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tabs>
          <w:tab w:pos="1137" w:val="left" w:leader="none"/>
          <w:tab w:pos="2533" w:val="left" w:leader="none"/>
          <w:tab w:pos="3973" w:val="left" w:leader="none"/>
        </w:tabs>
        <w:spacing w:line="737" w:lineRule="exact" w:before="0"/>
        <w:ind w:left="537" w:right="0" w:firstLine="0"/>
        <w:jc w:val="left"/>
        <w:rPr>
          <w:rFonts w:ascii="Calibri" w:hAnsi="Calibri" w:cs="Calibri" w:eastAsia="Calibri" w:hint="default"/>
          <w:sz w:val="64"/>
          <w:szCs w:val="64"/>
        </w:rPr>
      </w:pPr>
      <w:r>
        <w:rPr/>
        <w:pict>
          <v:shape style="position:absolute;margin-left:0pt;margin-top:656.640015pt;width:280.2635pt;height:185.279984pt;mso-position-horizontal-relative:page;mso-position-vertical-relative:page;z-index:0" type="#_x0000_t75" stroked="false">
            <v:imagedata r:id="rId5" o:title=""/>
          </v:shape>
        </w:pict>
      </w:r>
      <w:r>
        <w:rPr/>
        <w:pict>
          <v:group style="position:absolute;margin-left:478.943512pt;margin-top:12.28pt;width:93.25pt;height:75.150pt;mso-position-horizontal-relative:page;mso-position-vertical-relative:paragraph;z-index:1048" coordorigin="9579,246" coordsize="1865,1503">
            <v:group style="position:absolute;left:11033;top:1534;width:394;height:2" coordorigin="11033,1534" coordsize="394,2">
              <v:shape style="position:absolute;left:11033;top:1534;width:394;height:2" coordorigin="11033,1534" coordsize="394,0" path="m11033,1534l11426,1534e" filled="false" stroked="true" strokeweight="1.68pt" strokecolor="#0c0c0c">
                <v:path arrowok="t"/>
              </v:shape>
              <v:shape style="position:absolute;left:9579;top:246;width:1848;height:1502" type="#_x0000_t75" stroked="false">
                <v:imagedata r:id="rId6" o:title=""/>
              </v:shape>
              <v:shape style="position:absolute;left:10011;top:246;width:130;height:898" type="#_x0000_t75" stroked="false">
                <v:imagedata r:id="rId7" o:title=""/>
              </v:shape>
              <v:shape style="position:absolute;left:10615;top:246;width:125;height:898" type="#_x0000_t75" stroked="false">
                <v:imagedata r:id="rId8" o:title=""/>
              </v:shape>
            </v:group>
            <w10:wrap type="none"/>
          </v:group>
        </w:pict>
      </w:r>
      <w:r>
        <w:rPr>
          <w:rFonts w:ascii="Calibri" w:hAnsi="Calibri" w:cs="Calibri" w:eastAsia="Calibri" w:hint="default"/>
          <w:w w:val="125"/>
          <w:sz w:val="64"/>
          <w:szCs w:val="64"/>
        </w:rPr>
        <w:t>x</w:t>
        <w:tab/>
      </w:r>
      <w:r>
        <w:rPr>
          <w:rFonts w:ascii="Calibri" w:hAnsi="Calibri" w:cs="Calibri" w:eastAsia="Calibri" w:hint="default"/>
          <w:w w:val="50"/>
          <w:position w:val="3"/>
          <w:sz w:val="64"/>
          <w:szCs w:val="64"/>
        </w:rPr>
        <w:t>ıl</w:t>
        <w:tab/>
      </w:r>
      <w:r>
        <w:rPr>
          <w:rFonts w:ascii="Calibri" w:hAnsi="Calibri" w:cs="Calibri" w:eastAsia="Calibri" w:hint="default"/>
          <w:spacing w:val="-8"/>
          <w:w w:val="125"/>
          <w:sz w:val="64"/>
          <w:szCs w:val="64"/>
        </w:rPr>
        <w:t>-aa</w:t>
        <w:tab/>
      </w:r>
      <w:r>
        <w:rPr>
          <w:rFonts w:ascii="Calibri" w:hAnsi="Calibri" w:cs="Calibri" w:eastAsia="Calibri" w:hint="default"/>
          <w:spacing w:val="-11"/>
          <w:w w:val="90"/>
          <w:sz w:val="64"/>
          <w:szCs w:val="64"/>
        </w:rPr>
        <w:t>sa«•«c</w:t>
      </w:r>
      <w:r>
        <w:rPr>
          <w:rFonts w:ascii="Calibri" w:hAnsi="Calibri" w:cs="Calibri" w:eastAsia="Calibri" w:hint="default"/>
          <w:spacing w:val="-11"/>
          <w:sz w:val="64"/>
          <w:szCs w:val="64"/>
        </w:rPr>
      </w:r>
    </w:p>
    <w:p>
      <w:pPr>
        <w:tabs>
          <w:tab w:pos="2557" w:val="left" w:leader="none"/>
        </w:tabs>
        <w:spacing w:line="513" w:lineRule="exact" w:before="0"/>
        <w:ind w:left="523" w:right="0" w:firstLine="0"/>
        <w:jc w:val="left"/>
        <w:rPr>
          <w:rFonts w:ascii="Calibri" w:hAnsi="Calibri" w:cs="Calibri" w:eastAsia="Calibri" w:hint="default"/>
          <w:sz w:val="45"/>
          <w:szCs w:val="45"/>
        </w:rPr>
      </w:pPr>
      <w:r>
        <w:rPr>
          <w:rFonts w:ascii="Calibri"/>
          <w:sz w:val="45"/>
        </w:rPr>
        <w:t>Shenzhen</w:t>
        <w:tab/>
        <w:t>Aisidi</w:t>
      </w:r>
      <w:r>
        <w:rPr>
          <w:rFonts w:ascii="Calibri"/>
          <w:spacing w:val="76"/>
          <w:sz w:val="45"/>
        </w:rPr>
        <w:t> </w:t>
      </w:r>
      <w:r>
        <w:rPr>
          <w:rFonts w:ascii="Calibri"/>
          <w:sz w:val="45"/>
        </w:rPr>
        <w:t>CO.,LTD.</w:t>
      </w:r>
    </w:p>
    <w:p>
      <w:pPr>
        <w:spacing w:line="240" w:lineRule="auto" w:before="0"/>
        <w:rPr>
          <w:rFonts w:ascii="Calibri" w:hAnsi="Calibri" w:cs="Calibri" w:eastAsia="Calibri" w:hint="default"/>
          <w:sz w:val="44"/>
          <w:szCs w:val="44"/>
        </w:rPr>
      </w:pPr>
    </w:p>
    <w:p>
      <w:pPr>
        <w:spacing w:line="240" w:lineRule="auto" w:before="0"/>
        <w:rPr>
          <w:rFonts w:ascii="Calibri" w:hAnsi="Calibri" w:cs="Calibri" w:eastAsia="Calibri" w:hint="default"/>
          <w:sz w:val="44"/>
          <w:szCs w:val="44"/>
        </w:rPr>
      </w:pPr>
    </w:p>
    <w:p>
      <w:pPr>
        <w:spacing w:line="240" w:lineRule="auto" w:before="0"/>
        <w:rPr>
          <w:rFonts w:ascii="Calibri" w:hAnsi="Calibri" w:cs="Calibri" w:eastAsia="Calibri" w:hint="default"/>
          <w:sz w:val="44"/>
          <w:szCs w:val="44"/>
        </w:rPr>
      </w:pPr>
    </w:p>
    <w:p>
      <w:pPr>
        <w:spacing w:line="240" w:lineRule="auto" w:before="0"/>
        <w:rPr>
          <w:rFonts w:ascii="Calibri" w:hAnsi="Calibri" w:cs="Calibri" w:eastAsia="Calibri" w:hint="default"/>
          <w:sz w:val="34"/>
          <w:szCs w:val="34"/>
        </w:rPr>
      </w:pPr>
    </w:p>
    <w:p>
      <w:pPr>
        <w:tabs>
          <w:tab w:pos="7544" w:val="left" w:leader="none"/>
        </w:tabs>
        <w:spacing w:line="791" w:lineRule="exact" w:before="0"/>
        <w:ind w:left="4189" w:right="0" w:firstLine="0"/>
        <w:jc w:val="left"/>
        <w:rPr>
          <w:rFonts w:ascii="Calibri" w:hAnsi="Calibri" w:cs="Calibri" w:eastAsia="Calibri" w:hint="default"/>
          <w:sz w:val="88"/>
          <w:szCs w:val="88"/>
        </w:rPr>
      </w:pPr>
      <w:r>
        <w:rPr>
          <w:rFonts w:ascii="Calibri"/>
          <w:color w:val="A81887"/>
          <w:sz w:val="88"/>
        </w:rPr>
        <w:t>Annua</w:t>
        <w:tab/>
      </w:r>
      <w:r>
        <w:rPr>
          <w:rFonts w:ascii="Calibri"/>
          <w:color w:val="AA1889"/>
          <w:sz w:val="88"/>
        </w:rPr>
        <w:t>eport</w:t>
      </w:r>
      <w:r>
        <w:rPr>
          <w:rFonts w:ascii="Calibri"/>
          <w:sz w:val="88"/>
        </w:rPr>
      </w:r>
    </w:p>
    <w:p>
      <w:pPr>
        <w:spacing w:line="1446" w:lineRule="exact" w:before="0"/>
        <w:ind w:left="4007" w:right="0" w:firstLine="0"/>
        <w:jc w:val="left"/>
        <w:rPr>
          <w:rFonts w:ascii="Calibri" w:hAnsi="Calibri" w:cs="Calibri" w:eastAsia="Calibri" w:hint="default"/>
          <w:sz w:val="140"/>
          <w:szCs w:val="140"/>
        </w:rPr>
      </w:pPr>
      <w:r>
        <w:rPr>
          <w:rFonts w:ascii="Calibri" w:hAnsi="Calibri"/>
          <w:color w:val="BC1187"/>
          <w:spacing w:val="-41"/>
          <w:w w:val="278"/>
          <w:sz w:val="140"/>
        </w:rPr>
        <w:t>ı</w:t>
      </w:r>
      <w:r>
        <w:rPr>
          <w:rFonts w:ascii="Calibri" w:hAnsi="Calibri"/>
          <w:color w:val="BC1187"/>
          <w:spacing w:val="-67"/>
          <w:w w:val="121"/>
          <w:position w:val="2"/>
          <w:sz w:val="140"/>
        </w:rPr>
        <w:t>e</w:t>
      </w:r>
      <w:r>
        <w:rPr>
          <w:rFonts w:ascii="Calibri" w:hAnsi="Calibri"/>
          <w:color w:val="BC1187"/>
          <w:w w:val="98"/>
          <w:sz w:val="140"/>
        </w:rPr>
        <w:t>e«ł6«</w:t>
      </w:r>
      <w:r>
        <w:rPr>
          <w:rFonts w:ascii="Calibri" w:hAnsi="Calibri"/>
          <w:sz w:val="140"/>
        </w:rPr>
      </w:r>
    </w:p>
    <w:p>
      <w:pPr>
        <w:spacing w:before="567"/>
        <w:ind w:left="300" w:right="0" w:firstLine="0"/>
        <w:jc w:val="center"/>
        <w:rPr>
          <w:rFonts w:ascii="Courier New" w:hAnsi="Courier New" w:cs="Courier New" w:eastAsia="Courier New" w:hint="default"/>
          <w:sz w:val="36"/>
          <w:szCs w:val="36"/>
        </w:rPr>
      </w:pPr>
      <w:r>
        <w:rPr>
          <w:rFonts w:ascii="Courier New" w:hAnsi="Courier New"/>
          <w:w w:val="90"/>
          <w:sz w:val="36"/>
        </w:rPr>
        <w:t>iI#JżÕ:</w:t>
      </w:r>
      <w:r>
        <w:rPr>
          <w:rFonts w:ascii="Courier New" w:hAnsi="Courier New"/>
          <w:spacing w:val="-33"/>
          <w:w w:val="90"/>
          <w:sz w:val="36"/>
        </w:rPr>
        <w:t> </w:t>
      </w:r>
      <w:r>
        <w:rPr>
          <w:rFonts w:ascii="Courier New" w:hAnsi="Courier New"/>
          <w:w w:val="90"/>
          <w:sz w:val="36"/>
        </w:rPr>
        <w:t>002416</w:t>
      </w:r>
      <w:r>
        <w:rPr>
          <w:rFonts w:ascii="Courier New" w:hAnsi="Courier New"/>
          <w:sz w:val="36"/>
        </w:rPr>
      </w:r>
    </w:p>
    <w:p>
      <w:pPr>
        <w:tabs>
          <w:tab w:pos="762" w:val="left" w:leader="none"/>
          <w:tab w:pos="2331" w:val="left" w:leader="none"/>
        </w:tabs>
        <w:spacing w:before="33"/>
        <w:ind w:left="105" w:right="0" w:firstLine="0"/>
        <w:jc w:val="center"/>
        <w:rPr>
          <w:rFonts w:ascii="Calibri" w:hAnsi="Calibri" w:cs="Calibri" w:eastAsia="Calibri" w:hint="default"/>
          <w:sz w:val="28"/>
          <w:szCs w:val="28"/>
        </w:rPr>
      </w:pPr>
      <w:r>
        <w:rPr>
          <w:rFonts w:ascii="Calibri" w:hAnsi="Calibri" w:cs="Calibri" w:eastAsia="Calibri" w:hint="default"/>
          <w:w w:val="90"/>
          <w:sz w:val="28"/>
          <w:szCs w:val="28"/>
        </w:rPr>
        <w:t>ÎÎÊ</w:t>
        <w:tab/>
      </w:r>
      <w:r>
        <w:rPr>
          <w:rFonts w:ascii="Calibri" w:hAnsi="Calibri" w:cs="Calibri" w:eastAsia="Calibri" w:hint="default"/>
          <w:w w:val="105"/>
          <w:sz w:val="28"/>
          <w:szCs w:val="28"/>
        </w:rPr>
        <w:t>la  </w:t>
      </w:r>
      <w:r>
        <w:rPr>
          <w:rFonts w:ascii="Calibri" w:hAnsi="Calibri" w:cs="Calibri" w:eastAsia="Calibri" w:hint="default"/>
          <w:w w:val="95"/>
          <w:sz w:val="28"/>
          <w:szCs w:val="28"/>
        </w:rPr>
        <w:t>• </w:t>
      </w:r>
      <w:r>
        <w:rPr>
          <w:rFonts w:ascii="Calibri" w:hAnsi="Calibri" w:cs="Calibri" w:eastAsia="Calibri" w:hint="default"/>
          <w:w w:val="105"/>
          <w:sz w:val="28"/>
          <w:szCs w:val="28"/>
        </w:rPr>
        <w:t>›</w:t>
      </w:r>
      <w:r>
        <w:rPr>
          <w:rFonts w:ascii="Calibri" w:hAnsi="Calibri" w:cs="Calibri" w:eastAsia="Calibri" w:hint="default"/>
          <w:spacing w:val="-37"/>
          <w:w w:val="105"/>
          <w:sz w:val="28"/>
          <w:szCs w:val="28"/>
        </w:rPr>
        <w:t> </w:t>
      </w:r>
      <w:r>
        <w:rPr>
          <w:rFonts w:ascii="Calibri" w:hAnsi="Calibri" w:cs="Calibri" w:eastAsia="Calibri" w:hint="default"/>
          <w:w w:val="155"/>
          <w:sz w:val="28"/>
          <w:szCs w:val="28"/>
        </w:rPr>
        <w:t>:</w:t>
        <w:tab/>
        <w:t>í</w:t>
      </w:r>
      <w:r>
        <w:rPr>
          <w:rFonts w:ascii="Calibri" w:hAnsi="Calibri" w:cs="Calibri" w:eastAsia="Calibri" w:hint="default"/>
          <w:sz w:val="28"/>
          <w:szCs w:val="28"/>
        </w:rPr>
      </w:r>
    </w:p>
    <w:p>
      <w:pPr>
        <w:spacing w:before="23"/>
        <w:ind w:left="281" w:right="0" w:firstLine="0"/>
        <w:jc w:val="center"/>
        <w:rPr>
          <w:rFonts w:ascii="Calibri" w:hAnsi="Calibri" w:cs="Calibri" w:eastAsia="Calibri" w:hint="default"/>
          <w:sz w:val="34"/>
          <w:szCs w:val="34"/>
        </w:rPr>
      </w:pPr>
      <w:r>
        <w:rPr>
          <w:rFonts w:ascii="Calibri" w:hAnsi="Calibri"/>
          <w:w w:val="120"/>
          <w:sz w:val="34"/>
        </w:rPr>
        <w:t>@Ø</w:t>
      </w:r>
      <w:r>
        <w:rPr>
          <w:rFonts w:ascii="Calibri" w:hAnsi="Calibri"/>
          <w:spacing w:val="-36"/>
          <w:w w:val="120"/>
          <w:sz w:val="34"/>
        </w:rPr>
        <w:t> </w:t>
      </w:r>
      <w:r>
        <w:rPr>
          <w:rFonts w:ascii="Calibri" w:hAnsi="Calibri"/>
          <w:spacing w:val="10"/>
          <w:w w:val="120"/>
          <w:sz w:val="34"/>
        </w:rPr>
        <w:t>BØ</w:t>
      </w:r>
      <w:r>
        <w:rPr>
          <w:rFonts w:ascii="Calibri" w:hAnsi="Calibri"/>
          <w:spacing w:val="-55"/>
          <w:w w:val="120"/>
          <w:sz w:val="34"/>
        </w:rPr>
        <w:t> </w:t>
      </w:r>
      <w:r>
        <w:rPr>
          <w:rFonts w:ascii="Calibri" w:hAnsi="Calibri"/>
          <w:w w:val="120"/>
          <w:sz w:val="34"/>
        </w:rPr>
        <w:t>:</w:t>
      </w:r>
      <w:r>
        <w:rPr>
          <w:rFonts w:ascii="Calibri" w:hAnsi="Calibri"/>
          <w:spacing w:val="26"/>
          <w:w w:val="120"/>
          <w:sz w:val="34"/>
        </w:rPr>
        <w:t> </w:t>
      </w:r>
      <w:r>
        <w:rPr>
          <w:rFonts w:ascii="Calibri" w:hAnsi="Calibri"/>
          <w:spacing w:val="3"/>
          <w:w w:val="120"/>
          <w:sz w:val="34"/>
        </w:rPr>
        <w:t>201964@</w:t>
      </w:r>
      <w:r>
        <w:rPr>
          <w:rFonts w:ascii="Calibri" w:hAnsi="Calibri"/>
          <w:spacing w:val="-38"/>
          <w:w w:val="120"/>
          <w:sz w:val="34"/>
        </w:rPr>
        <w:t> </w:t>
      </w:r>
      <w:r>
        <w:rPr>
          <w:rFonts w:ascii="Calibri" w:hAnsi="Calibri"/>
          <w:w w:val="120"/>
          <w:sz w:val="34"/>
        </w:rPr>
        <w:t>16</w:t>
      </w:r>
      <w:r>
        <w:rPr>
          <w:rFonts w:ascii="Calibri" w:hAnsi="Calibri"/>
          <w:spacing w:val="-60"/>
          <w:w w:val="120"/>
          <w:sz w:val="34"/>
        </w:rPr>
        <w:t> </w:t>
      </w:r>
      <w:r>
        <w:rPr>
          <w:rFonts w:ascii="Calibri" w:hAnsi="Calibri"/>
          <w:w w:val="120"/>
          <w:sz w:val="34"/>
        </w:rPr>
        <w:t>B</w:t>
      </w:r>
      <w:r>
        <w:rPr>
          <w:rFonts w:ascii="Calibri" w:hAnsi="Calibri"/>
          <w:sz w:val="34"/>
        </w:rPr>
      </w: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8"/>
        <w:rPr>
          <w:rFonts w:ascii="Calibri" w:hAnsi="Calibri" w:cs="Calibri" w:eastAsia="Calibri" w:hint="default"/>
          <w:sz w:val="10"/>
          <w:szCs w:val="10"/>
        </w:rPr>
      </w:pPr>
    </w:p>
    <w:p>
      <w:pPr>
        <w:spacing w:line="1296" w:lineRule="exact"/>
        <w:ind w:left="1689" w:right="0" w:firstLine="0"/>
        <w:rPr>
          <w:rFonts w:ascii="Calibri" w:hAnsi="Calibri" w:cs="Calibri" w:eastAsia="Calibri" w:hint="default"/>
          <w:sz w:val="20"/>
          <w:szCs w:val="20"/>
        </w:rPr>
      </w:pPr>
      <w:r>
        <w:rPr>
          <w:rFonts w:ascii="Calibri" w:hAnsi="Calibri" w:cs="Calibri" w:eastAsia="Calibri" w:hint="default"/>
          <w:position w:val="-25"/>
          <w:sz w:val="20"/>
          <w:szCs w:val="20"/>
        </w:rPr>
        <w:drawing>
          <wp:inline distT="0" distB="0" distL="0" distR="0">
            <wp:extent cx="1413987" cy="822960"/>
            <wp:effectExtent l="0" t="0" r="0" b="0"/>
            <wp:docPr id="1" name="image5.jpeg" descr=""/>
            <wp:cNvGraphicFramePr>
              <a:graphicFrameLocks noChangeAspect="1"/>
            </wp:cNvGraphicFramePr>
            <a:graphic>
              <a:graphicData uri="http://schemas.openxmlformats.org/drawingml/2006/picture">
                <pic:pic>
                  <pic:nvPicPr>
                    <pic:cNvPr id="2" name="image5.jpeg"/>
                    <pic:cNvPicPr/>
                  </pic:nvPicPr>
                  <pic:blipFill>
                    <a:blip r:embed="rId9" cstate="print"/>
                    <a:stretch>
                      <a:fillRect/>
                    </a:stretch>
                  </pic:blipFill>
                  <pic:spPr>
                    <a:xfrm>
                      <a:off x="0" y="0"/>
                      <a:ext cx="1413987" cy="822960"/>
                    </a:xfrm>
                    <a:prstGeom prst="rect">
                      <a:avLst/>
                    </a:prstGeom>
                  </pic:spPr>
                </pic:pic>
              </a:graphicData>
            </a:graphic>
          </wp:inline>
        </w:drawing>
      </w:r>
      <w:r>
        <w:rPr>
          <w:rFonts w:ascii="Calibri" w:hAnsi="Calibri" w:cs="Calibri" w:eastAsia="Calibri" w:hint="default"/>
          <w:position w:val="-25"/>
          <w:sz w:val="20"/>
          <w:szCs w:val="20"/>
        </w:rPr>
      </w:r>
    </w:p>
    <w:p>
      <w:pPr>
        <w:spacing w:after="0" w:line="1296" w:lineRule="exact"/>
        <w:rPr>
          <w:rFonts w:ascii="Calibri" w:hAnsi="Calibri" w:cs="Calibri" w:eastAsia="Calibri" w:hint="default"/>
          <w:sz w:val="20"/>
          <w:szCs w:val="20"/>
        </w:rPr>
        <w:sectPr>
          <w:type w:val="continuous"/>
          <w:pgSz w:w="11910" w:h="16840"/>
          <w:pgMar w:top="240" w:bottom="0" w:left="0" w:right="360"/>
        </w:sect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16"/>
          <w:szCs w:val="16"/>
        </w:rPr>
      </w:pPr>
    </w:p>
    <w:p>
      <w:pPr>
        <w:pStyle w:val="Heading1"/>
        <w:spacing w:line="416" w:lineRule="exact"/>
        <w:ind w:left="2774" w:right="1113"/>
        <w:jc w:val="center"/>
        <w:rPr>
          <w:b w:val="0"/>
          <w:bCs w:val="0"/>
        </w:rPr>
      </w:pPr>
      <w:bookmarkStart w:name="_TOC_250000" w:id="1"/>
      <w:bookmarkStart w:name="重要提示" w:id="2"/>
      <w:r>
        <w:rPr>
          <w:b w:val="0"/>
          <w:bCs w:val="0"/>
        </w:rPr>
      </w:r>
      <w:bookmarkStart w:name="第一节 重要提示、目录和释义" w:id="3"/>
      <w:bookmarkEnd w:id="3"/>
      <w:r>
        <w:rPr>
          <w:b w:val="0"/>
          <w:bCs w:val="0"/>
        </w:rPr>
      </w:r>
      <w:r>
        <w:rPr>
          <w:color w:val="BC1386"/>
        </w:rPr>
        <w:t>第一节</w:t>
      </w:r>
      <w:r>
        <w:rPr>
          <w:color w:val="BC1386"/>
          <w:spacing w:val="79"/>
        </w:rPr>
        <w:t> </w:t>
      </w:r>
      <w:r>
        <w:rPr>
          <w:color w:val="BC1386"/>
        </w:rPr>
        <w:t>重要提示、目录和释义</w:t>
      </w:r>
      <w:bookmarkEnd w:id="1"/>
      <w:r>
        <w:rPr>
          <w:b w:val="0"/>
          <w:bCs w:val="0"/>
        </w:rPr>
      </w:r>
    </w:p>
    <w:p>
      <w:pPr>
        <w:spacing w:line="240" w:lineRule="auto" w:before="10"/>
        <w:rPr>
          <w:rFonts w:ascii="华文细黑" w:hAnsi="华文细黑" w:cs="华文细黑" w:eastAsia="华文细黑" w:hint="default"/>
          <w:b/>
          <w:bCs/>
          <w:sz w:val="40"/>
          <w:szCs w:val="40"/>
        </w:rPr>
      </w:pPr>
    </w:p>
    <w:p>
      <w:pPr>
        <w:spacing w:line="362" w:lineRule="auto" w:before="0"/>
        <w:ind w:left="2993" w:right="1217" w:firstLine="44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公司董事会、监事会及董事、监事、高级管理人员保证年度报告</w:t>
      </w:r>
      <w:r>
        <w:rPr>
          <w:rFonts w:ascii="华文细黑" w:hAnsi="华文细黑" w:cs="华文细黑" w:eastAsia="华文细黑" w:hint="default"/>
          <w:w w:val="99"/>
          <w:sz w:val="22"/>
          <w:szCs w:val="22"/>
        </w:rPr>
        <w:t> </w:t>
      </w:r>
      <w:r>
        <w:rPr>
          <w:rFonts w:ascii="华文细黑" w:hAnsi="华文细黑" w:cs="华文细黑" w:eastAsia="华文细黑" w:hint="default"/>
          <w:spacing w:val="-4"/>
          <w:sz w:val="22"/>
          <w:szCs w:val="22"/>
        </w:rPr>
        <w:t>内容的真实、准确、完整，不存在虚假记载、误导性陈述或重大遗漏，</w:t>
      </w:r>
      <w:r>
        <w:rPr>
          <w:rFonts w:ascii="华文细黑" w:hAnsi="华文细黑" w:cs="华文细黑" w:eastAsia="华文细黑" w:hint="default"/>
          <w:w w:val="99"/>
          <w:sz w:val="22"/>
          <w:szCs w:val="22"/>
        </w:rPr>
        <w:t> </w:t>
      </w:r>
      <w:r>
        <w:rPr>
          <w:rFonts w:ascii="华文细黑" w:hAnsi="华文细黑" w:cs="华文细黑" w:eastAsia="华文细黑" w:hint="default"/>
          <w:sz w:val="22"/>
          <w:szCs w:val="22"/>
        </w:rPr>
        <w:t>并承担个别和连带的法律责任。</w:t>
      </w:r>
    </w:p>
    <w:p>
      <w:pPr>
        <w:spacing w:line="362" w:lineRule="auto" w:before="74"/>
        <w:ind w:left="2993" w:right="1217" w:firstLine="440"/>
        <w:jc w:val="left"/>
        <w:rPr>
          <w:rFonts w:ascii="华文细黑" w:hAnsi="华文细黑" w:cs="华文细黑" w:eastAsia="华文细黑" w:hint="default"/>
          <w:sz w:val="22"/>
          <w:szCs w:val="22"/>
        </w:rPr>
      </w:pPr>
      <w:r>
        <w:rPr>
          <w:rFonts w:ascii="华文细黑" w:hAnsi="华文细黑" w:cs="华文细黑" w:eastAsia="华文细黑" w:hint="default"/>
          <w:spacing w:val="-3"/>
          <w:sz w:val="22"/>
          <w:szCs w:val="22"/>
        </w:rPr>
        <w:t>公司负责人黄文辉、主管会计工作负责人及会计机构负责人</w:t>
      </w:r>
      <w:r>
        <w:rPr>
          <w:rFonts w:ascii="华文细黑" w:hAnsi="华文细黑" w:cs="华文细黑" w:eastAsia="华文细黑" w:hint="default"/>
          <w:spacing w:val="-3"/>
          <w:sz w:val="22"/>
          <w:szCs w:val="22"/>
        </w:rPr>
        <w:t>(</w:t>
      </w:r>
      <w:r>
        <w:rPr>
          <w:rFonts w:ascii="华文细黑" w:hAnsi="华文细黑" w:cs="华文细黑" w:eastAsia="华文细黑" w:hint="default"/>
          <w:spacing w:val="-3"/>
          <w:sz w:val="22"/>
          <w:szCs w:val="22"/>
        </w:rPr>
        <w:t>会计</w:t>
      </w:r>
      <w:r>
        <w:rPr>
          <w:rFonts w:ascii="华文细黑" w:hAnsi="华文细黑" w:cs="华文细黑" w:eastAsia="华文细黑" w:hint="default"/>
          <w:spacing w:val="-2"/>
          <w:w w:val="99"/>
          <w:sz w:val="22"/>
          <w:szCs w:val="22"/>
        </w:rPr>
        <w:t> </w:t>
      </w:r>
      <w:r>
        <w:rPr>
          <w:rFonts w:ascii="华文细黑" w:hAnsi="华文细黑" w:cs="华文细黑" w:eastAsia="华文细黑" w:hint="default"/>
          <w:spacing w:val="-7"/>
          <w:sz w:val="22"/>
          <w:szCs w:val="22"/>
        </w:rPr>
        <w:t>主管人员</w:t>
      </w:r>
      <w:r>
        <w:rPr>
          <w:rFonts w:ascii="华文细黑" w:hAnsi="华文细黑" w:cs="华文细黑" w:eastAsia="华文细黑" w:hint="default"/>
          <w:spacing w:val="-7"/>
          <w:sz w:val="22"/>
          <w:szCs w:val="22"/>
        </w:rPr>
        <w:t>)</w:t>
      </w:r>
      <w:r>
        <w:rPr>
          <w:rFonts w:ascii="华文细黑" w:hAnsi="华文细黑" w:cs="华文细黑" w:eastAsia="华文细黑" w:hint="default"/>
          <w:spacing w:val="-7"/>
          <w:sz w:val="22"/>
          <w:szCs w:val="22"/>
        </w:rPr>
        <w:t>米泽东声明：保证年度报告中财务报告的真实、准确、完整。</w:t>
      </w:r>
    </w:p>
    <w:p>
      <w:pPr>
        <w:spacing w:line="391" w:lineRule="auto" w:before="76"/>
        <w:ind w:left="3434" w:right="1469" w:firstLine="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所有董事均已出席了审议本报告的董事会会议。</w:t>
      </w:r>
      <w:r>
        <w:rPr>
          <w:rFonts w:ascii="华文细黑" w:hAnsi="华文细黑" w:cs="华文细黑" w:eastAsia="华文细黑" w:hint="default"/>
          <w:w w:val="99"/>
          <w:sz w:val="22"/>
          <w:szCs w:val="22"/>
        </w:rPr>
        <w:t> </w:t>
      </w:r>
      <w:r>
        <w:rPr>
          <w:rFonts w:ascii="华文细黑" w:hAnsi="华文细黑" w:cs="华文细黑" w:eastAsia="华文细黑" w:hint="default"/>
          <w:sz w:val="22"/>
          <w:szCs w:val="22"/>
        </w:rPr>
        <w:t>公司经董事会审议通过的利润分配预案为：以  </w:t>
      </w:r>
      <w:r>
        <w:rPr>
          <w:rFonts w:ascii="华文细黑" w:hAnsi="华文细黑" w:cs="华文细黑" w:eastAsia="华文细黑" w:hint="default"/>
          <w:sz w:val="22"/>
          <w:szCs w:val="22"/>
        </w:rPr>
        <w:t>2018  </w:t>
      </w:r>
      <w:r>
        <w:rPr>
          <w:rFonts w:ascii="华文细黑" w:hAnsi="华文细黑" w:cs="华文细黑" w:eastAsia="华文细黑" w:hint="default"/>
          <w:sz w:val="22"/>
          <w:szCs w:val="22"/>
        </w:rPr>
        <w:t>年  </w:t>
      </w:r>
      <w:r>
        <w:rPr>
          <w:rFonts w:ascii="华文细黑" w:hAnsi="华文细黑" w:cs="华文细黑" w:eastAsia="华文细黑" w:hint="default"/>
          <w:sz w:val="22"/>
          <w:szCs w:val="22"/>
        </w:rPr>
        <w:t>12</w:t>
      </w:r>
      <w:r>
        <w:rPr>
          <w:rFonts w:ascii="华文细黑" w:hAnsi="华文细黑" w:cs="华文细黑" w:eastAsia="华文细黑" w:hint="default"/>
          <w:spacing w:val="47"/>
          <w:sz w:val="22"/>
          <w:szCs w:val="22"/>
        </w:rPr>
        <w:t> </w:t>
      </w:r>
      <w:r>
        <w:rPr>
          <w:rFonts w:ascii="华文细黑" w:hAnsi="华文细黑" w:cs="华文细黑" w:eastAsia="华文细黑" w:hint="default"/>
          <w:sz w:val="22"/>
          <w:szCs w:val="22"/>
        </w:rPr>
        <w:t>月</w:t>
      </w:r>
    </w:p>
    <w:p>
      <w:pPr>
        <w:spacing w:before="8"/>
        <w:ind w:left="2775" w:right="1113" w:firstLine="0"/>
        <w:jc w:val="center"/>
        <w:rPr>
          <w:rFonts w:ascii="华文细黑" w:hAnsi="华文细黑" w:cs="华文细黑" w:eastAsia="华文细黑" w:hint="default"/>
          <w:sz w:val="22"/>
          <w:szCs w:val="22"/>
        </w:rPr>
      </w:pPr>
      <w:r>
        <w:rPr>
          <w:rFonts w:ascii="华文细黑" w:hAnsi="华文细黑" w:cs="华文细黑" w:eastAsia="华文细黑" w:hint="default"/>
          <w:sz w:val="22"/>
          <w:szCs w:val="22"/>
        </w:rPr>
        <w:t>31  </w:t>
      </w:r>
      <w:r>
        <w:rPr>
          <w:rFonts w:ascii="华文细黑" w:hAnsi="华文细黑" w:cs="华文细黑" w:eastAsia="华文细黑" w:hint="default"/>
          <w:sz w:val="22"/>
          <w:szCs w:val="22"/>
        </w:rPr>
        <w:t>日的公司总股本 </w:t>
      </w:r>
      <w:r>
        <w:rPr>
          <w:rFonts w:ascii="华文细黑" w:hAnsi="华文细黑" w:cs="华文细黑" w:eastAsia="华文细黑" w:hint="default"/>
          <w:sz w:val="22"/>
          <w:szCs w:val="22"/>
        </w:rPr>
        <w:t>1,239,281,806 </w:t>
      </w:r>
      <w:r>
        <w:rPr>
          <w:rFonts w:ascii="华文细黑" w:hAnsi="华文细黑" w:cs="华文细黑" w:eastAsia="华文细黑" w:hint="default"/>
          <w:spacing w:val="-7"/>
          <w:sz w:val="22"/>
          <w:szCs w:val="22"/>
        </w:rPr>
        <w:t>股为基数，向全体股东每 </w:t>
      </w:r>
      <w:r>
        <w:rPr>
          <w:rFonts w:ascii="华文细黑" w:hAnsi="华文细黑" w:cs="华文细黑" w:eastAsia="华文细黑" w:hint="default"/>
          <w:sz w:val="22"/>
          <w:szCs w:val="22"/>
        </w:rPr>
        <w:t>10</w:t>
      </w:r>
      <w:r>
        <w:rPr>
          <w:rFonts w:ascii="华文细黑" w:hAnsi="华文细黑" w:cs="华文细黑" w:eastAsia="华文细黑" w:hint="default"/>
          <w:spacing w:val="54"/>
          <w:sz w:val="22"/>
          <w:szCs w:val="22"/>
        </w:rPr>
        <w:t> </w:t>
      </w:r>
      <w:r>
        <w:rPr>
          <w:rFonts w:ascii="华文细黑" w:hAnsi="华文细黑" w:cs="华文细黑" w:eastAsia="华文细黑" w:hint="default"/>
          <w:sz w:val="22"/>
          <w:szCs w:val="22"/>
        </w:rPr>
        <w:t>股派</w:t>
      </w:r>
    </w:p>
    <w:p>
      <w:pPr>
        <w:spacing w:before="156"/>
        <w:ind w:left="2813" w:right="1113" w:firstLine="0"/>
        <w:jc w:val="center"/>
        <w:rPr>
          <w:rFonts w:ascii="华文细黑" w:hAnsi="华文细黑" w:cs="华文细黑" w:eastAsia="华文细黑" w:hint="default"/>
          <w:sz w:val="22"/>
          <w:szCs w:val="22"/>
        </w:rPr>
      </w:pPr>
      <w:r>
        <w:rPr>
          <w:rFonts w:ascii="华文细黑" w:hAnsi="华文细黑" w:cs="华文细黑" w:eastAsia="华文细黑" w:hint="default"/>
          <w:w w:val="99"/>
          <w:sz w:val="22"/>
          <w:szCs w:val="22"/>
        </w:rPr>
        <w:t>发现金红利</w:t>
      </w:r>
      <w:r>
        <w:rPr>
          <w:rFonts w:ascii="华文细黑" w:hAnsi="华文细黑" w:cs="华文细黑" w:eastAsia="华文细黑" w:hint="default"/>
          <w:sz w:val="22"/>
          <w:szCs w:val="22"/>
        </w:rPr>
        <w:t> </w:t>
      </w:r>
      <w:r>
        <w:rPr>
          <w:rFonts w:ascii="华文细黑" w:hAnsi="华文细黑" w:cs="华文细黑" w:eastAsia="华文细黑" w:hint="default"/>
          <w:spacing w:val="1"/>
          <w:sz w:val="22"/>
          <w:szCs w:val="22"/>
        </w:rPr>
        <w:t> </w:t>
      </w:r>
      <w:r>
        <w:rPr>
          <w:rFonts w:ascii="华文细黑" w:hAnsi="华文细黑" w:cs="华文细黑" w:eastAsia="华文细黑" w:hint="default"/>
          <w:w w:val="99"/>
          <w:sz w:val="22"/>
          <w:szCs w:val="22"/>
        </w:rPr>
        <w:t>2.00</w:t>
      </w:r>
      <w:r>
        <w:rPr>
          <w:rFonts w:ascii="华文细黑" w:hAnsi="华文细黑" w:cs="华文细黑" w:eastAsia="华文细黑" w:hint="default"/>
          <w:sz w:val="22"/>
          <w:szCs w:val="22"/>
        </w:rPr>
        <w:t> </w:t>
      </w:r>
      <w:r>
        <w:rPr>
          <w:rFonts w:ascii="华文细黑" w:hAnsi="华文细黑" w:cs="华文细黑" w:eastAsia="华文细黑" w:hint="default"/>
          <w:w w:val="99"/>
          <w:sz w:val="22"/>
          <w:szCs w:val="22"/>
        </w:rPr>
        <w:t>元（含税</w:t>
      </w:r>
      <w:r>
        <w:rPr>
          <w:rFonts w:ascii="华文细黑" w:hAnsi="华文细黑" w:cs="华文细黑" w:eastAsia="华文细黑" w:hint="default"/>
          <w:spacing w:val="-111"/>
          <w:w w:val="99"/>
          <w:sz w:val="22"/>
          <w:szCs w:val="22"/>
        </w:rPr>
        <w:t>）</w:t>
      </w:r>
      <w:r>
        <w:rPr>
          <w:rFonts w:ascii="华文细黑" w:hAnsi="华文细黑" w:cs="华文细黑" w:eastAsia="华文细黑" w:hint="default"/>
          <w:w w:val="99"/>
          <w:sz w:val="22"/>
          <w:szCs w:val="22"/>
        </w:rPr>
        <w:t>，不送红股，不以资</w:t>
      </w:r>
      <w:r>
        <w:rPr>
          <w:rFonts w:ascii="华文细黑" w:hAnsi="华文细黑" w:cs="华文细黑" w:eastAsia="华文细黑" w:hint="default"/>
          <w:spacing w:val="2"/>
          <w:w w:val="99"/>
          <w:sz w:val="22"/>
          <w:szCs w:val="22"/>
        </w:rPr>
        <w:t>本</w:t>
      </w:r>
      <w:r>
        <w:rPr>
          <w:rFonts w:ascii="华文细黑" w:hAnsi="华文细黑" w:cs="华文细黑" w:eastAsia="华文细黑" w:hint="default"/>
          <w:w w:val="99"/>
          <w:sz w:val="22"/>
          <w:szCs w:val="22"/>
        </w:rPr>
        <w:t>公积金转增股本。</w:t>
      </w:r>
      <w:r>
        <w:rPr>
          <w:rFonts w:ascii="华文细黑" w:hAnsi="华文细黑" w:cs="华文细黑" w:eastAsia="华文细黑" w:hint="default"/>
          <w:sz w:val="22"/>
          <w:szCs w:val="22"/>
        </w:rPr>
      </w:r>
    </w:p>
    <w:p>
      <w:pPr>
        <w:spacing w:line="240" w:lineRule="auto" w:before="0"/>
        <w:rPr>
          <w:rFonts w:ascii="华文细黑" w:hAnsi="华文细黑" w:cs="华文细黑" w:eastAsia="华文细黑" w:hint="default"/>
          <w:sz w:val="22"/>
          <w:szCs w:val="22"/>
        </w:rPr>
      </w:pPr>
    </w:p>
    <w:p>
      <w:pPr>
        <w:spacing w:line="240" w:lineRule="auto" w:before="0"/>
        <w:rPr>
          <w:rFonts w:ascii="华文细黑" w:hAnsi="华文细黑" w:cs="华文细黑" w:eastAsia="华文细黑" w:hint="default"/>
          <w:sz w:val="22"/>
          <w:szCs w:val="22"/>
        </w:rPr>
      </w:pPr>
    </w:p>
    <w:p>
      <w:pPr>
        <w:spacing w:line="240" w:lineRule="auto" w:before="4"/>
        <w:rPr>
          <w:rFonts w:ascii="华文细黑" w:hAnsi="华文细黑" w:cs="华文细黑" w:eastAsia="华文细黑" w:hint="default"/>
          <w:sz w:val="31"/>
          <w:szCs w:val="31"/>
        </w:rPr>
      </w:pPr>
    </w:p>
    <w:p>
      <w:pPr>
        <w:pStyle w:val="Heading2"/>
        <w:spacing w:line="240" w:lineRule="auto"/>
        <w:ind w:left="2763" w:right="1113"/>
        <w:jc w:val="center"/>
        <w:rPr>
          <w:b w:val="0"/>
          <w:bCs w:val="0"/>
        </w:rPr>
      </w:pPr>
      <w:r>
        <w:rPr>
          <w:color w:val="BC1386"/>
        </w:rPr>
        <w:t>免责声明</w:t>
      </w:r>
      <w:r>
        <w:rPr>
          <w:b w:val="0"/>
          <w:bCs w:val="0"/>
        </w:rPr>
      </w:r>
    </w:p>
    <w:p>
      <w:pPr>
        <w:spacing w:line="362" w:lineRule="auto" w:before="229"/>
        <w:ind w:left="2993" w:right="1217" w:firstLine="441"/>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本报告包含若干对本公司财务状况、经营业绩及业务发展的展望</w:t>
      </w:r>
      <w:r>
        <w:rPr>
          <w:rFonts w:ascii="华文细黑" w:hAnsi="华文细黑" w:cs="华文细黑" w:eastAsia="华文细黑" w:hint="default"/>
          <w:w w:val="99"/>
          <w:sz w:val="22"/>
          <w:szCs w:val="22"/>
        </w:rPr>
        <w:t> </w:t>
      </w:r>
      <w:r>
        <w:rPr>
          <w:rFonts w:ascii="华文细黑" w:hAnsi="华文细黑" w:cs="华文细黑" w:eastAsia="华文细黑" w:hint="default"/>
          <w:spacing w:val="-29"/>
          <w:w w:val="99"/>
          <w:sz w:val="22"/>
          <w:szCs w:val="22"/>
        </w:rPr>
        <w:t>性陈述。报告中使用诸如“将”、“可能”、“努力”、“计划”、“预计”、</w:t>
      </w:r>
      <w:r>
        <w:rPr>
          <w:rFonts w:ascii="华文细黑" w:hAnsi="华文细黑" w:cs="华文细黑" w:eastAsia="华文细黑" w:hint="default"/>
          <w:spacing w:val="-42"/>
          <w:w w:val="99"/>
          <w:sz w:val="22"/>
          <w:szCs w:val="22"/>
        </w:rPr>
        <w:t> </w:t>
      </w:r>
      <w:r>
        <w:rPr>
          <w:rFonts w:ascii="华文细黑" w:hAnsi="华文细黑" w:cs="华文细黑" w:eastAsia="华文细黑" w:hint="default"/>
          <w:spacing w:val="-42"/>
          <w:w w:val="99"/>
          <w:sz w:val="22"/>
          <w:szCs w:val="22"/>
        </w:rPr>
      </w:r>
      <w:r>
        <w:rPr>
          <w:rFonts w:ascii="华文细黑" w:hAnsi="华文细黑" w:cs="华文细黑" w:eastAsia="华文细黑" w:hint="default"/>
          <w:sz w:val="22"/>
          <w:szCs w:val="22"/>
        </w:rPr>
        <w:t>“目标”及类似字眼以表达展望性陈述。这些陈述乃基于现行计划、</w:t>
      </w:r>
      <w:r>
        <w:rPr>
          <w:rFonts w:ascii="华文细黑" w:hAnsi="华文细黑" w:cs="华文细黑" w:eastAsia="华文细黑" w:hint="default"/>
          <w:w w:val="99"/>
          <w:sz w:val="22"/>
          <w:szCs w:val="22"/>
        </w:rPr>
        <w:t> </w:t>
      </w:r>
      <w:r>
        <w:rPr>
          <w:rFonts w:ascii="华文细黑" w:hAnsi="华文细黑" w:cs="华文细黑" w:eastAsia="华文细黑" w:hint="default"/>
          <w:sz w:val="22"/>
          <w:szCs w:val="22"/>
        </w:rPr>
        <w:t>估计及预测而作出。</w:t>
      </w:r>
    </w:p>
    <w:p>
      <w:pPr>
        <w:spacing w:line="362" w:lineRule="auto" w:before="76"/>
        <w:ind w:left="2993" w:right="1343" w:firstLine="441"/>
        <w:jc w:val="both"/>
        <w:rPr>
          <w:rFonts w:ascii="华文细黑" w:hAnsi="华文细黑" w:cs="华文细黑" w:eastAsia="华文细黑" w:hint="default"/>
          <w:sz w:val="22"/>
          <w:szCs w:val="22"/>
        </w:rPr>
      </w:pPr>
      <w:r>
        <w:rPr>
          <w:rFonts w:ascii="华文细黑" w:hAnsi="华文细黑" w:cs="华文细黑" w:eastAsia="华文细黑" w:hint="default"/>
          <w:spacing w:val="-1"/>
          <w:sz w:val="22"/>
          <w:szCs w:val="22"/>
        </w:rPr>
        <w:t>虽然本公司相信这些展望性陈述中所反映的期望是合理的，但本</w:t>
      </w:r>
      <w:r>
        <w:rPr>
          <w:rFonts w:ascii="华文细黑" w:hAnsi="华文细黑" w:cs="华文细黑" w:eastAsia="华文细黑" w:hint="default"/>
          <w:w w:val="99"/>
          <w:sz w:val="22"/>
          <w:szCs w:val="22"/>
        </w:rPr>
        <w:t> </w:t>
      </w:r>
      <w:r>
        <w:rPr>
          <w:rFonts w:ascii="华文细黑" w:hAnsi="华文细黑" w:cs="华文细黑" w:eastAsia="华文细黑" w:hint="default"/>
          <w:w w:val="95"/>
          <w:sz w:val="22"/>
          <w:szCs w:val="22"/>
        </w:rPr>
        <w:t>公司不能保证这些期望被实现或将会证实为正确，故不应对其过分依</w:t>
      </w:r>
      <w:r>
        <w:rPr>
          <w:rFonts w:ascii="华文细黑" w:hAnsi="华文细黑" w:cs="华文细黑" w:eastAsia="华文细黑" w:hint="default"/>
          <w:spacing w:val="46"/>
          <w:w w:val="95"/>
          <w:sz w:val="22"/>
          <w:szCs w:val="22"/>
        </w:rPr>
        <w:t> </w:t>
      </w:r>
      <w:r>
        <w:rPr>
          <w:rFonts w:ascii="华文细黑" w:hAnsi="华文细黑" w:cs="华文细黑" w:eastAsia="华文细黑" w:hint="default"/>
          <w:spacing w:val="46"/>
          <w:w w:val="95"/>
          <w:sz w:val="22"/>
          <w:szCs w:val="22"/>
        </w:rPr>
      </w:r>
      <w:r>
        <w:rPr>
          <w:rFonts w:ascii="华文细黑" w:hAnsi="华文细黑" w:cs="华文细黑" w:eastAsia="华文细黑" w:hint="default"/>
          <w:w w:val="95"/>
          <w:sz w:val="22"/>
          <w:szCs w:val="22"/>
        </w:rPr>
        <w:t>赖。务请注意，该等展望性陈述与日后事件或本公司日后财务、业务</w:t>
      </w:r>
      <w:r>
        <w:rPr>
          <w:rFonts w:ascii="华文细黑" w:hAnsi="华文细黑" w:cs="华文细黑" w:eastAsia="华文细黑" w:hint="default"/>
          <w:spacing w:val="45"/>
          <w:w w:val="95"/>
          <w:sz w:val="22"/>
          <w:szCs w:val="22"/>
        </w:rPr>
        <w:t> </w:t>
      </w:r>
      <w:r>
        <w:rPr>
          <w:rFonts w:ascii="华文细黑" w:hAnsi="华文细黑" w:cs="华文细黑" w:eastAsia="华文细黑" w:hint="default"/>
          <w:spacing w:val="45"/>
          <w:w w:val="95"/>
          <w:sz w:val="22"/>
          <w:szCs w:val="22"/>
        </w:rPr>
      </w:r>
      <w:r>
        <w:rPr>
          <w:rFonts w:ascii="华文细黑" w:hAnsi="华文细黑" w:cs="华文细黑" w:eastAsia="华文细黑" w:hint="default"/>
          <w:w w:val="95"/>
          <w:sz w:val="22"/>
          <w:szCs w:val="22"/>
        </w:rPr>
        <w:t>或其他表现有关，并受若干可能会导致实际结果出现重大差异的不明</w:t>
      </w:r>
      <w:r>
        <w:rPr>
          <w:rFonts w:ascii="华文细黑" w:hAnsi="华文细黑" w:cs="华文细黑" w:eastAsia="华文细黑" w:hint="default"/>
          <w:spacing w:val="46"/>
          <w:w w:val="95"/>
          <w:sz w:val="22"/>
          <w:szCs w:val="22"/>
        </w:rPr>
        <w:t> </w:t>
      </w:r>
      <w:r>
        <w:rPr>
          <w:rFonts w:ascii="华文细黑" w:hAnsi="华文细黑" w:cs="华文细黑" w:eastAsia="华文细黑" w:hint="default"/>
          <w:spacing w:val="46"/>
          <w:w w:val="95"/>
          <w:sz w:val="22"/>
          <w:szCs w:val="22"/>
        </w:rPr>
      </w:r>
      <w:r>
        <w:rPr>
          <w:rFonts w:ascii="华文细黑" w:hAnsi="华文细黑" w:cs="华文细黑" w:eastAsia="华文细黑" w:hint="default"/>
          <w:sz w:val="22"/>
          <w:szCs w:val="22"/>
        </w:rPr>
        <w:t>确因素的影响。</w:t>
      </w:r>
    </w:p>
    <w:p>
      <w:pPr>
        <w:spacing w:after="0" w:line="362" w:lineRule="auto"/>
        <w:jc w:val="both"/>
        <w:rPr>
          <w:rFonts w:ascii="华文细黑" w:hAnsi="华文细黑" w:cs="华文细黑" w:eastAsia="华文细黑" w:hint="default"/>
          <w:sz w:val="22"/>
          <w:szCs w:val="22"/>
        </w:rPr>
        <w:sectPr>
          <w:headerReference w:type="default" r:id="rId10"/>
          <w:footerReference w:type="default" r:id="rId11"/>
          <w:pgSz w:w="11910" w:h="16840"/>
          <w:pgMar w:header="917" w:footer="980" w:top="1120" w:bottom="1180" w:left="980" w:right="0"/>
          <w:pgNumType w:start="2"/>
        </w:sectPr>
      </w:pPr>
    </w:p>
    <w:p>
      <w:pPr>
        <w:spacing w:line="240" w:lineRule="auto" w:before="3"/>
        <w:rPr>
          <w:rFonts w:ascii="华文细黑" w:hAnsi="华文细黑" w:cs="华文细黑" w:eastAsia="华文细黑" w:hint="default"/>
          <w:sz w:val="27"/>
          <w:szCs w:val="27"/>
        </w:rPr>
      </w:pPr>
    </w:p>
    <w:p>
      <w:pPr>
        <w:pStyle w:val="Heading2"/>
        <w:spacing w:line="396" w:lineRule="exact"/>
        <w:ind w:left="136" w:right="1113"/>
        <w:jc w:val="center"/>
        <w:rPr>
          <w:b w:val="0"/>
          <w:bCs w:val="0"/>
        </w:rPr>
      </w:pPr>
      <w:r>
        <w:rPr/>
        <w:t>重要提示</w:t>
      </w:r>
      <w:r>
        <w:rPr>
          <w:b w:val="0"/>
          <w:bCs w:val="0"/>
        </w:rPr>
      </w: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391" w:lineRule="auto" w:before="175"/>
        <w:ind w:left="574" w:right="1134" w:firstLine="0"/>
        <w:jc w:val="left"/>
        <w:rPr>
          <w:rFonts w:ascii="华文细黑" w:hAnsi="华文细黑" w:cs="华文细黑" w:eastAsia="华文细黑" w:hint="default"/>
          <w:sz w:val="22"/>
          <w:szCs w:val="22"/>
        </w:rPr>
      </w:pPr>
      <w:bookmarkStart w:name="1、市场风险" w:id="4"/>
      <w:bookmarkEnd w:id="4"/>
      <w:r>
        <w:rPr/>
      </w:r>
      <w:r>
        <w:rPr>
          <w:rFonts w:ascii="华文细黑" w:hAnsi="华文细黑" w:cs="华文细黑" w:eastAsia="华文细黑" w:hint="default"/>
          <w:b/>
          <w:bCs/>
          <w:sz w:val="22"/>
          <w:szCs w:val="22"/>
        </w:rPr>
        <w:t>1</w:t>
      </w:r>
      <w:r>
        <w:rPr>
          <w:rFonts w:ascii="华文细黑" w:hAnsi="华文细黑" w:cs="华文细黑" w:eastAsia="华文细黑" w:hint="default"/>
          <w:b/>
          <w:bCs/>
          <w:sz w:val="22"/>
          <w:szCs w:val="22"/>
        </w:rPr>
        <w:t>、市场风险</w:t>
      </w:r>
      <w:r>
        <w:rPr>
          <w:rFonts w:ascii="华文细黑" w:hAnsi="华文细黑" w:cs="华文细黑" w:eastAsia="华文细黑" w:hint="default"/>
          <w:b/>
          <w:bCs/>
          <w:w w:val="99"/>
          <w:sz w:val="22"/>
          <w:szCs w:val="22"/>
        </w:rPr>
        <w:t> </w:t>
      </w:r>
      <w:r>
        <w:rPr>
          <w:rFonts w:ascii="华文细黑" w:hAnsi="华文细黑" w:cs="华文细黑" w:eastAsia="华文细黑" w:hint="default"/>
          <w:spacing w:val="-1"/>
          <w:sz w:val="22"/>
          <w:szCs w:val="22"/>
        </w:rPr>
        <w:t>智能终端分销与智慧零售业务：智能手机品牌之间的竞争加剧，用户换机周期加长，国内手机整</w:t>
      </w:r>
    </w:p>
    <w:p>
      <w:pPr>
        <w:spacing w:line="391" w:lineRule="auto" w:before="9"/>
        <w:ind w:left="574" w:right="1134" w:hanging="42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体出货量放缓。我们将通过不断提升服务终端能力和为客户创造价值，保持行业领先。</w:t>
      </w:r>
      <w:r>
        <w:rPr>
          <w:rFonts w:ascii="华文细黑" w:hAnsi="华文细黑" w:cs="华文细黑" w:eastAsia="华文细黑" w:hint="default"/>
          <w:w w:val="99"/>
          <w:sz w:val="22"/>
          <w:szCs w:val="22"/>
        </w:rPr>
        <w:t> </w:t>
      </w:r>
      <w:r>
        <w:rPr>
          <w:rFonts w:ascii="华文细黑" w:hAnsi="华文细黑" w:cs="华文细黑" w:eastAsia="华文细黑" w:hint="default"/>
          <w:spacing w:val="-1"/>
          <w:sz w:val="22"/>
          <w:szCs w:val="22"/>
        </w:rPr>
        <w:t>通信服务业务：移动转售业务需要实现规模突破，在保持盈利和稳健发展的基础之上，将继续聚</w:t>
      </w:r>
    </w:p>
    <w:p>
      <w:pPr>
        <w:spacing w:line="391" w:lineRule="auto" w:before="9"/>
        <w:ind w:left="574" w:right="1134" w:hanging="42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焦业务与模式创新，增强重点领域的技术研发与产品演进，做大做强。</w:t>
      </w:r>
      <w:r>
        <w:rPr>
          <w:rFonts w:ascii="华文细黑" w:hAnsi="华文细黑" w:cs="华文细黑" w:eastAsia="华文细黑" w:hint="default"/>
          <w:w w:val="99"/>
          <w:sz w:val="22"/>
          <w:szCs w:val="22"/>
        </w:rPr>
        <w:t> </w:t>
      </w:r>
      <w:r>
        <w:rPr>
          <w:rFonts w:ascii="华文细黑" w:hAnsi="华文细黑" w:cs="华文细黑" w:eastAsia="华文细黑" w:hint="default"/>
          <w:spacing w:val="-1"/>
          <w:sz w:val="22"/>
          <w:szCs w:val="22"/>
        </w:rPr>
        <w:t>金融及供应链服务业务：面对国家金融政策调整和宏观经济形势变化，公司发挥网络小贷牌照优</w:t>
      </w:r>
    </w:p>
    <w:p>
      <w:pPr>
        <w:spacing w:line="362" w:lineRule="auto" w:before="8"/>
        <w:ind w:left="154" w:right="1116" w:firstLine="0"/>
        <w:jc w:val="left"/>
        <w:rPr>
          <w:rFonts w:ascii="华文细黑" w:hAnsi="华文细黑" w:cs="华文细黑" w:eastAsia="华文细黑" w:hint="default"/>
          <w:sz w:val="22"/>
          <w:szCs w:val="22"/>
        </w:rPr>
      </w:pPr>
      <w:r>
        <w:rPr>
          <w:rFonts w:ascii="华文细黑" w:hAnsi="华文细黑" w:cs="华文细黑" w:eastAsia="华文细黑" w:hint="default"/>
          <w:spacing w:val="-1"/>
          <w:sz w:val="22"/>
          <w:szCs w:val="22"/>
        </w:rPr>
        <w:t>势和公司在供应链场景优势，持续完善基于大数据的风控体系建设，稳步推进对上下游供应链客户的</w:t>
      </w:r>
      <w:r>
        <w:rPr>
          <w:rFonts w:ascii="华文细黑" w:hAnsi="华文细黑" w:cs="华文细黑" w:eastAsia="华文细黑" w:hint="default"/>
          <w:w w:val="99"/>
          <w:sz w:val="22"/>
          <w:szCs w:val="22"/>
        </w:rPr>
        <w:t> </w:t>
      </w:r>
      <w:r>
        <w:rPr>
          <w:rFonts w:ascii="华文细黑" w:hAnsi="华文细黑" w:cs="华文细黑" w:eastAsia="华文细黑" w:hint="default"/>
          <w:sz w:val="22"/>
          <w:szCs w:val="22"/>
        </w:rPr>
        <w:t>服务。</w:t>
      </w:r>
    </w:p>
    <w:p>
      <w:pPr>
        <w:spacing w:line="391" w:lineRule="auto" w:before="76"/>
        <w:ind w:left="574" w:right="1134" w:firstLine="0"/>
        <w:jc w:val="left"/>
        <w:rPr>
          <w:rFonts w:ascii="华文细黑" w:hAnsi="华文细黑" w:cs="华文细黑" w:eastAsia="华文细黑" w:hint="default"/>
          <w:sz w:val="22"/>
          <w:szCs w:val="22"/>
        </w:rPr>
      </w:pPr>
      <w:bookmarkStart w:name="2、管理风险" w:id="5"/>
      <w:bookmarkEnd w:id="5"/>
      <w:r>
        <w:rPr/>
      </w:r>
      <w:r>
        <w:rPr>
          <w:rFonts w:ascii="华文细黑" w:hAnsi="华文细黑" w:cs="华文细黑" w:eastAsia="华文细黑" w:hint="default"/>
          <w:b/>
          <w:bCs/>
          <w:sz w:val="22"/>
          <w:szCs w:val="22"/>
        </w:rPr>
        <w:t>2</w:t>
      </w:r>
      <w:r>
        <w:rPr>
          <w:rFonts w:ascii="华文细黑" w:hAnsi="华文细黑" w:cs="华文细黑" w:eastAsia="华文细黑" w:hint="default"/>
          <w:b/>
          <w:bCs/>
          <w:sz w:val="22"/>
          <w:szCs w:val="22"/>
        </w:rPr>
        <w:t>、管理风险</w:t>
      </w:r>
      <w:r>
        <w:rPr>
          <w:rFonts w:ascii="华文细黑" w:hAnsi="华文细黑" w:cs="华文细黑" w:eastAsia="华文细黑" w:hint="default"/>
          <w:b/>
          <w:bCs/>
          <w:w w:val="99"/>
          <w:sz w:val="22"/>
          <w:szCs w:val="22"/>
        </w:rPr>
        <w:t> </w:t>
      </w:r>
      <w:r>
        <w:rPr>
          <w:rFonts w:ascii="华文细黑" w:hAnsi="华文细黑" w:cs="华文细黑" w:eastAsia="华文细黑" w:hint="default"/>
          <w:spacing w:val="-1"/>
          <w:sz w:val="22"/>
          <w:szCs w:val="22"/>
        </w:rPr>
        <w:t>公司已建立较规范的组织管理体系，但随着市场竞争加剧，业务领域的不断拓展，风险管控能力</w:t>
      </w:r>
    </w:p>
    <w:p>
      <w:pPr>
        <w:spacing w:before="9"/>
        <w:ind w:left="154" w:right="1217" w:firstLine="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面临挑战。</w:t>
      </w:r>
    </w:p>
    <w:p>
      <w:pPr>
        <w:spacing w:line="240" w:lineRule="auto" w:before="0"/>
        <w:rPr>
          <w:rFonts w:ascii="华文细黑" w:hAnsi="华文细黑" w:cs="华文细黑" w:eastAsia="华文细黑" w:hint="default"/>
          <w:sz w:val="14"/>
          <w:szCs w:val="14"/>
        </w:rPr>
      </w:pPr>
    </w:p>
    <w:p>
      <w:pPr>
        <w:spacing w:line="391" w:lineRule="auto" w:before="0"/>
        <w:ind w:left="574" w:right="1134" w:firstLine="0"/>
        <w:jc w:val="left"/>
        <w:rPr>
          <w:rFonts w:ascii="华文细黑" w:hAnsi="华文细黑" w:cs="华文细黑" w:eastAsia="华文细黑" w:hint="default"/>
          <w:sz w:val="22"/>
          <w:szCs w:val="22"/>
        </w:rPr>
      </w:pPr>
      <w:bookmarkStart w:name="3、财务风险" w:id="6"/>
      <w:bookmarkEnd w:id="6"/>
      <w:r>
        <w:rPr/>
      </w:r>
      <w:r>
        <w:rPr>
          <w:rFonts w:ascii="华文细黑" w:hAnsi="华文细黑" w:cs="华文细黑" w:eastAsia="华文细黑" w:hint="default"/>
          <w:b/>
          <w:bCs/>
          <w:sz w:val="22"/>
          <w:szCs w:val="22"/>
        </w:rPr>
        <w:t>3</w:t>
      </w:r>
      <w:r>
        <w:rPr>
          <w:rFonts w:ascii="华文细黑" w:hAnsi="华文细黑" w:cs="华文细黑" w:eastAsia="华文细黑" w:hint="default"/>
          <w:b/>
          <w:bCs/>
          <w:sz w:val="22"/>
          <w:szCs w:val="22"/>
        </w:rPr>
        <w:t>、财务风险</w:t>
      </w:r>
      <w:r>
        <w:rPr>
          <w:rFonts w:ascii="华文细黑" w:hAnsi="华文细黑" w:cs="华文细黑" w:eastAsia="华文细黑" w:hint="default"/>
          <w:b/>
          <w:bCs/>
          <w:w w:val="99"/>
          <w:sz w:val="22"/>
          <w:szCs w:val="22"/>
        </w:rPr>
        <w:t> </w:t>
      </w:r>
      <w:r>
        <w:rPr>
          <w:rFonts w:ascii="华文细黑" w:hAnsi="华文细黑" w:cs="华文细黑" w:eastAsia="华文细黑" w:hint="default"/>
          <w:spacing w:val="-1"/>
          <w:sz w:val="22"/>
          <w:szCs w:val="22"/>
        </w:rPr>
        <w:t>公司主营业务对资金成本比较敏感，国家金融政策的调整将会对公司短期经营业绩产生一定的影</w:t>
      </w:r>
    </w:p>
    <w:p>
      <w:pPr>
        <w:spacing w:before="9"/>
        <w:ind w:left="154" w:right="1217" w:firstLine="0"/>
        <w:jc w:val="left"/>
        <w:rPr>
          <w:rFonts w:ascii="华文细黑" w:hAnsi="华文细黑" w:cs="华文细黑" w:eastAsia="华文细黑" w:hint="default"/>
          <w:sz w:val="22"/>
          <w:szCs w:val="22"/>
        </w:rPr>
      </w:pPr>
      <w:r>
        <w:rPr>
          <w:rFonts w:ascii="华文细黑" w:hAnsi="华文细黑" w:cs="华文细黑" w:eastAsia="华文细黑" w:hint="default"/>
          <w:sz w:val="22"/>
          <w:szCs w:val="22"/>
        </w:rPr>
        <w:t>响。</w:t>
      </w:r>
    </w:p>
    <w:p>
      <w:pPr>
        <w:spacing w:after="0"/>
        <w:jc w:val="left"/>
        <w:rPr>
          <w:rFonts w:ascii="华文细黑" w:hAnsi="华文细黑" w:cs="华文细黑" w:eastAsia="华文细黑" w:hint="default"/>
          <w:sz w:val="22"/>
          <w:szCs w:val="22"/>
        </w:rPr>
        <w:sectPr>
          <w:pgSz w:w="11910" w:h="16840"/>
          <w:pgMar w:header="917" w:footer="980" w:top="1120" w:bottom="1180" w:left="980" w:right="0"/>
        </w:sectPr>
      </w:pPr>
    </w:p>
    <w:p>
      <w:pPr>
        <w:spacing w:line="240" w:lineRule="auto" w:before="2"/>
        <w:rPr>
          <w:rFonts w:ascii="华文细黑" w:hAnsi="华文细黑" w:cs="华文细黑" w:eastAsia="华文细黑" w:hint="default"/>
          <w:sz w:val="29"/>
          <w:szCs w:val="29"/>
        </w:rPr>
      </w:pPr>
    </w:p>
    <w:p>
      <w:pPr>
        <w:pStyle w:val="Heading2"/>
        <w:spacing w:line="396" w:lineRule="exact"/>
        <w:ind w:left="137" w:right="1113"/>
        <w:jc w:val="center"/>
        <w:rPr>
          <w:b w:val="0"/>
          <w:bCs w:val="0"/>
        </w:rPr>
      </w:pPr>
      <w:bookmarkStart w:name="目录" w:id="7"/>
      <w:bookmarkEnd w:id="7"/>
      <w:r>
        <w:rPr>
          <w:b w:val="0"/>
          <w:bCs w:val="0"/>
        </w:rPr>
      </w:r>
      <w:r>
        <w:rPr/>
        <w:t>目录</w:t>
      </w:r>
      <w:r>
        <w:rPr>
          <w:b w:val="0"/>
          <w:bCs w:val="0"/>
        </w:rPr>
      </w:r>
    </w:p>
    <w:sdt>
      <w:sdtPr>
        <w:docPartObj>
          <w:docPartGallery w:val="Table of Contents"/>
          <w:docPartUnique/>
        </w:docPartObj>
      </w:sdtPr>
      <w:sdtEndPr/>
      <w:sdtContent>
        <w:p>
          <w:pPr>
            <w:pStyle w:val="TOC1"/>
            <w:tabs>
              <w:tab w:pos="9782" w:val="right" w:leader="dot"/>
            </w:tabs>
            <w:spacing w:line="240" w:lineRule="auto" w:before="917"/>
            <w:ind w:right="0"/>
            <w:jc w:val="left"/>
            <w:rPr>
              <w:rFonts w:ascii="Times New Roman" w:hAnsi="Times New Roman" w:cs="Times New Roman" w:eastAsia="Times New Roman" w:hint="default"/>
              <w:b w:val="0"/>
              <w:bCs w:val="0"/>
              <w:sz w:val="18"/>
              <w:szCs w:val="18"/>
            </w:rPr>
          </w:pPr>
          <w:hyperlink w:history="true" w:anchor="_TOC_250000">
            <w:r>
              <w:rPr/>
              <w:t>第一节</w:t>
            </w:r>
            <w:r>
              <w:rPr>
                <w:spacing w:val="60"/>
              </w:rPr>
              <w:t> </w:t>
            </w:r>
            <w:r>
              <w:rPr/>
              <w:t>重要提示、目录和释义</w:t>
            </w:r>
            <w:r>
              <w:rPr>
                <w:rFonts w:ascii="Times New Roman" w:hAnsi="Times New Roman" w:cs="Times New Roman" w:eastAsia="Times New Roman" w:hint="default"/>
                <w:sz w:val="18"/>
                <w:szCs w:val="18"/>
              </w:rPr>
              <w:tab/>
              <w:t>2</w:t>
            </w:r>
            <w:r>
              <w:rPr>
                <w:rFonts w:ascii="Times New Roman" w:hAnsi="Times New Roman" w:cs="Times New Roman" w:eastAsia="Times New Roman" w:hint="default"/>
                <w:b w:val="0"/>
                <w:bCs w:val="0"/>
                <w:sz w:val="18"/>
                <w:szCs w:val="18"/>
              </w:rPr>
            </w:r>
          </w:hyperlink>
        </w:p>
        <w:p>
          <w:pPr>
            <w:pStyle w:val="TOC1"/>
            <w:tabs>
              <w:tab w:pos="9782" w:val="right" w:leader="dot"/>
            </w:tabs>
            <w:spacing w:line="240" w:lineRule="auto" w:before="326"/>
            <w:ind w:right="0"/>
            <w:jc w:val="left"/>
            <w:rPr>
              <w:rFonts w:ascii="Times New Roman" w:hAnsi="Times New Roman" w:cs="Times New Roman" w:eastAsia="Times New Roman" w:hint="default"/>
              <w:b w:val="0"/>
              <w:bCs w:val="0"/>
              <w:sz w:val="18"/>
              <w:szCs w:val="18"/>
            </w:rPr>
          </w:pPr>
          <w:hyperlink w:history="true" w:anchor="_bookmark0">
            <w:r>
              <w:rPr/>
              <w:t>第二节</w:t>
            </w:r>
            <w:r>
              <w:rPr>
                <w:spacing w:val="60"/>
              </w:rPr>
              <w:t> </w:t>
            </w:r>
            <w:r>
              <w:rPr/>
              <w:t>公司简介和主要财务指标</w:t>
            </w:r>
            <w:r>
              <w:rPr>
                <w:rFonts w:ascii="Times New Roman" w:hAnsi="Times New Roman" w:cs="Times New Roman" w:eastAsia="Times New Roman" w:hint="default"/>
                <w:sz w:val="18"/>
                <w:szCs w:val="18"/>
              </w:rPr>
              <w:tab/>
              <w:t>8</w:t>
            </w:r>
            <w:r>
              <w:rPr>
                <w:rFonts w:ascii="Times New Roman" w:hAnsi="Times New Roman" w:cs="Times New Roman" w:eastAsia="Times New Roman" w:hint="default"/>
                <w:b w:val="0"/>
                <w:bCs w:val="0"/>
                <w:sz w:val="18"/>
                <w:szCs w:val="18"/>
              </w:rPr>
            </w:r>
          </w:hyperlink>
        </w:p>
        <w:p>
          <w:pPr>
            <w:pStyle w:val="TOC2"/>
            <w:tabs>
              <w:tab w:pos="9782" w:val="right" w:leader="dot"/>
            </w:tabs>
            <w:spacing w:line="240" w:lineRule="auto"/>
            <w:ind w:right="0"/>
            <w:jc w:val="left"/>
            <w:rPr>
              <w:rFonts w:ascii="Times New Roman" w:hAnsi="Times New Roman" w:cs="Times New Roman" w:eastAsia="Times New Roman" w:hint="default"/>
              <w:b w:val="0"/>
              <w:bCs w:val="0"/>
              <w:i w:val="0"/>
              <w:sz w:val="18"/>
              <w:szCs w:val="18"/>
            </w:rPr>
          </w:pPr>
          <w:hyperlink w:history="true" w:anchor="_bookmark1">
            <w:r>
              <w:rPr>
                <w:i w:val="0"/>
                <w:sz w:val="24"/>
                <w:szCs w:val="24"/>
              </w:rPr>
              <w:t>第三节</w:t>
            </w:r>
            <w:r>
              <w:rPr>
                <w:i w:val="0"/>
                <w:spacing w:val="60"/>
                <w:sz w:val="24"/>
                <w:szCs w:val="24"/>
              </w:rPr>
              <w:t> </w:t>
            </w:r>
            <w:r>
              <w:rPr>
                <w:i w:val="0"/>
                <w:sz w:val="24"/>
                <w:szCs w:val="24"/>
              </w:rPr>
              <w:t>公司业务概要</w:t>
            </w:r>
            <w:r>
              <w:rPr>
                <w:rFonts w:ascii="Times New Roman" w:hAnsi="Times New Roman" w:cs="Times New Roman" w:eastAsia="Times New Roman" w:hint="default"/>
                <w:i w:val="0"/>
                <w:sz w:val="18"/>
                <w:szCs w:val="18"/>
              </w:rPr>
              <w:tab/>
              <w:t>13</w:t>
            </w:r>
            <w:r>
              <w:rPr>
                <w:rFonts w:ascii="Times New Roman" w:hAnsi="Times New Roman" w:cs="Times New Roman" w:eastAsia="Times New Roman" w:hint="default"/>
                <w:b w:val="0"/>
                <w:bCs w:val="0"/>
                <w:i w:val="0"/>
                <w:sz w:val="18"/>
                <w:szCs w:val="18"/>
              </w:rPr>
            </w:r>
          </w:hyperlink>
        </w:p>
        <w:p>
          <w:pPr>
            <w:pStyle w:val="TOC1"/>
            <w:tabs>
              <w:tab w:pos="9782" w:val="right" w:leader="dot"/>
            </w:tabs>
            <w:spacing w:line="240" w:lineRule="auto"/>
            <w:ind w:right="0"/>
            <w:jc w:val="left"/>
            <w:rPr>
              <w:rFonts w:ascii="Times New Roman" w:hAnsi="Times New Roman" w:cs="Times New Roman" w:eastAsia="Times New Roman" w:hint="default"/>
              <w:b w:val="0"/>
              <w:bCs w:val="0"/>
              <w:sz w:val="18"/>
              <w:szCs w:val="18"/>
            </w:rPr>
          </w:pPr>
          <w:hyperlink w:history="true" w:anchor="_bookmark2">
            <w:r>
              <w:rPr/>
              <w:t>第四节</w:t>
            </w:r>
            <w:r>
              <w:rPr>
                <w:spacing w:val="60"/>
              </w:rPr>
              <w:t> </w:t>
            </w:r>
            <w:r>
              <w:rPr/>
              <w:t>经营情况讨论与分析</w:t>
            </w:r>
            <w:r>
              <w:rPr>
                <w:rFonts w:ascii="Times New Roman" w:hAnsi="Times New Roman" w:cs="Times New Roman" w:eastAsia="Times New Roman" w:hint="default"/>
                <w:sz w:val="18"/>
                <w:szCs w:val="18"/>
              </w:rPr>
              <w:tab/>
              <w:t>17</w:t>
            </w:r>
            <w:r>
              <w:rPr>
                <w:rFonts w:ascii="Times New Roman" w:hAnsi="Times New Roman" w:cs="Times New Roman" w:eastAsia="Times New Roman" w:hint="default"/>
                <w:b w:val="0"/>
                <w:bCs w:val="0"/>
                <w:sz w:val="18"/>
                <w:szCs w:val="18"/>
              </w:rPr>
            </w:r>
          </w:hyperlink>
        </w:p>
        <w:p>
          <w:pPr>
            <w:pStyle w:val="TOC2"/>
            <w:tabs>
              <w:tab w:pos="9782" w:val="right" w:leader="dot"/>
            </w:tabs>
            <w:spacing w:line="240" w:lineRule="auto" w:before="326"/>
            <w:ind w:right="0"/>
            <w:jc w:val="left"/>
            <w:rPr>
              <w:rFonts w:ascii="Times New Roman" w:hAnsi="Times New Roman" w:cs="Times New Roman" w:eastAsia="Times New Roman" w:hint="default"/>
              <w:b w:val="0"/>
              <w:bCs w:val="0"/>
              <w:i w:val="0"/>
              <w:sz w:val="18"/>
              <w:szCs w:val="18"/>
            </w:rPr>
          </w:pPr>
          <w:hyperlink w:history="true" w:anchor="_bookmark3">
            <w:r>
              <w:rPr>
                <w:i w:val="0"/>
                <w:sz w:val="24"/>
                <w:szCs w:val="24"/>
              </w:rPr>
              <w:t>第五节</w:t>
            </w:r>
            <w:r>
              <w:rPr>
                <w:i w:val="0"/>
                <w:spacing w:val="60"/>
                <w:sz w:val="24"/>
                <w:szCs w:val="24"/>
              </w:rPr>
              <w:t> </w:t>
            </w:r>
            <w:r>
              <w:rPr>
                <w:i w:val="0"/>
                <w:sz w:val="24"/>
                <w:szCs w:val="24"/>
              </w:rPr>
              <w:t>重要事项</w:t>
            </w:r>
            <w:r>
              <w:rPr>
                <w:rFonts w:ascii="Times New Roman" w:hAnsi="Times New Roman" w:cs="Times New Roman" w:eastAsia="Times New Roman" w:hint="default"/>
                <w:i w:val="0"/>
                <w:sz w:val="18"/>
                <w:szCs w:val="18"/>
              </w:rPr>
              <w:tab/>
              <w:t>36</w:t>
            </w:r>
            <w:r>
              <w:rPr>
                <w:rFonts w:ascii="Times New Roman" w:hAnsi="Times New Roman" w:cs="Times New Roman" w:eastAsia="Times New Roman" w:hint="default"/>
                <w:b w:val="0"/>
                <w:bCs w:val="0"/>
                <w:i w:val="0"/>
                <w:sz w:val="18"/>
                <w:szCs w:val="18"/>
              </w:rPr>
            </w:r>
          </w:hyperlink>
        </w:p>
        <w:p>
          <w:pPr>
            <w:pStyle w:val="TOC1"/>
            <w:tabs>
              <w:tab w:pos="9782" w:val="right" w:leader="dot"/>
            </w:tabs>
            <w:spacing w:line="240" w:lineRule="auto"/>
            <w:ind w:right="0"/>
            <w:jc w:val="left"/>
            <w:rPr>
              <w:rFonts w:ascii="Times New Roman" w:hAnsi="Times New Roman" w:cs="Times New Roman" w:eastAsia="Times New Roman" w:hint="default"/>
              <w:b w:val="0"/>
              <w:bCs w:val="0"/>
              <w:sz w:val="18"/>
              <w:szCs w:val="18"/>
            </w:rPr>
          </w:pPr>
          <w:hyperlink w:history="true" w:anchor="_bookmark4">
            <w:r>
              <w:rPr/>
              <w:t>第六节</w:t>
            </w:r>
            <w:r>
              <w:rPr>
                <w:spacing w:val="60"/>
              </w:rPr>
              <w:t> </w:t>
            </w:r>
            <w:r>
              <w:rPr/>
              <w:t>股份变动及股东情况</w:t>
            </w:r>
            <w:r>
              <w:rPr>
                <w:rFonts w:ascii="Times New Roman" w:hAnsi="Times New Roman" w:cs="Times New Roman" w:eastAsia="Times New Roman" w:hint="default"/>
                <w:sz w:val="18"/>
                <w:szCs w:val="18"/>
              </w:rPr>
              <w:tab/>
              <w:t>52</w:t>
            </w:r>
            <w:r>
              <w:rPr>
                <w:rFonts w:ascii="Times New Roman" w:hAnsi="Times New Roman" w:cs="Times New Roman" w:eastAsia="Times New Roman" w:hint="default"/>
                <w:b w:val="0"/>
                <w:bCs w:val="0"/>
                <w:sz w:val="18"/>
                <w:szCs w:val="18"/>
              </w:rPr>
            </w:r>
          </w:hyperlink>
        </w:p>
        <w:p>
          <w:pPr>
            <w:pStyle w:val="TOC2"/>
            <w:tabs>
              <w:tab w:pos="9782" w:val="right" w:leader="dot"/>
            </w:tabs>
            <w:spacing w:line="240" w:lineRule="auto"/>
            <w:ind w:right="0"/>
            <w:jc w:val="left"/>
            <w:rPr>
              <w:rFonts w:ascii="Times New Roman" w:hAnsi="Times New Roman" w:cs="Times New Roman" w:eastAsia="Times New Roman" w:hint="default"/>
              <w:b w:val="0"/>
              <w:bCs w:val="0"/>
              <w:i w:val="0"/>
              <w:sz w:val="18"/>
              <w:szCs w:val="18"/>
            </w:rPr>
          </w:pPr>
          <w:hyperlink w:history="true" w:anchor="_bookmark5">
            <w:r>
              <w:rPr>
                <w:i w:val="0"/>
                <w:sz w:val="24"/>
                <w:szCs w:val="24"/>
              </w:rPr>
              <w:t>第七节</w:t>
            </w:r>
            <w:r>
              <w:rPr>
                <w:i w:val="0"/>
                <w:spacing w:val="60"/>
                <w:sz w:val="24"/>
                <w:szCs w:val="24"/>
              </w:rPr>
              <w:t> </w:t>
            </w:r>
            <w:r>
              <w:rPr>
                <w:i w:val="0"/>
                <w:sz w:val="24"/>
                <w:szCs w:val="24"/>
              </w:rPr>
              <w:t>优先股相关情况</w:t>
            </w:r>
            <w:r>
              <w:rPr>
                <w:rFonts w:ascii="Times New Roman" w:hAnsi="Times New Roman" w:cs="Times New Roman" w:eastAsia="Times New Roman" w:hint="default"/>
                <w:i w:val="0"/>
                <w:sz w:val="18"/>
                <w:szCs w:val="18"/>
              </w:rPr>
              <w:tab/>
              <w:t>60</w:t>
            </w:r>
            <w:r>
              <w:rPr>
                <w:rFonts w:ascii="Times New Roman" w:hAnsi="Times New Roman" w:cs="Times New Roman" w:eastAsia="Times New Roman" w:hint="default"/>
                <w:b w:val="0"/>
                <w:bCs w:val="0"/>
                <w:i w:val="0"/>
                <w:sz w:val="18"/>
                <w:szCs w:val="18"/>
              </w:rPr>
            </w:r>
          </w:hyperlink>
        </w:p>
        <w:p>
          <w:pPr>
            <w:pStyle w:val="TOC1"/>
            <w:tabs>
              <w:tab w:pos="9782" w:val="right" w:leader="dot"/>
            </w:tabs>
            <w:spacing w:line="240" w:lineRule="auto" w:before="326"/>
            <w:ind w:right="0"/>
            <w:jc w:val="left"/>
            <w:rPr>
              <w:rFonts w:ascii="Times New Roman" w:hAnsi="Times New Roman" w:cs="Times New Roman" w:eastAsia="Times New Roman" w:hint="default"/>
              <w:b w:val="0"/>
              <w:bCs w:val="0"/>
              <w:sz w:val="18"/>
              <w:szCs w:val="18"/>
            </w:rPr>
          </w:pPr>
          <w:hyperlink w:history="true" w:anchor="_bookmark6">
            <w:r>
              <w:rPr/>
              <w:t>第八节</w:t>
            </w:r>
            <w:r>
              <w:rPr>
                <w:spacing w:val="60"/>
              </w:rPr>
              <w:t> </w:t>
            </w:r>
            <w:r>
              <w:rPr/>
              <w:t>董事、监事、高级管理人员和员工情况</w:t>
            </w:r>
            <w:r>
              <w:rPr>
                <w:rFonts w:ascii="Times New Roman" w:hAnsi="Times New Roman" w:cs="Times New Roman" w:eastAsia="Times New Roman" w:hint="default"/>
                <w:sz w:val="18"/>
                <w:szCs w:val="18"/>
              </w:rPr>
              <w:tab/>
              <w:t>61</w:t>
            </w:r>
            <w:r>
              <w:rPr>
                <w:rFonts w:ascii="Times New Roman" w:hAnsi="Times New Roman" w:cs="Times New Roman" w:eastAsia="Times New Roman" w:hint="default"/>
                <w:b w:val="0"/>
                <w:bCs w:val="0"/>
                <w:sz w:val="18"/>
                <w:szCs w:val="18"/>
              </w:rPr>
            </w:r>
          </w:hyperlink>
        </w:p>
        <w:p>
          <w:pPr>
            <w:pStyle w:val="TOC2"/>
            <w:tabs>
              <w:tab w:pos="9782" w:val="right" w:leader="dot"/>
            </w:tabs>
            <w:spacing w:line="240" w:lineRule="auto" w:before="325"/>
            <w:ind w:right="0"/>
            <w:jc w:val="left"/>
            <w:rPr>
              <w:rFonts w:ascii="Times New Roman" w:hAnsi="Times New Roman" w:cs="Times New Roman" w:eastAsia="Times New Roman" w:hint="default"/>
              <w:b w:val="0"/>
              <w:bCs w:val="0"/>
              <w:i w:val="0"/>
              <w:sz w:val="18"/>
              <w:szCs w:val="18"/>
            </w:rPr>
          </w:pPr>
          <w:hyperlink w:history="true" w:anchor="_bookmark7">
            <w:r>
              <w:rPr>
                <w:i w:val="0"/>
                <w:sz w:val="24"/>
                <w:szCs w:val="24"/>
              </w:rPr>
              <w:t>第九节</w:t>
            </w:r>
            <w:r>
              <w:rPr>
                <w:i w:val="0"/>
                <w:spacing w:val="60"/>
                <w:sz w:val="24"/>
                <w:szCs w:val="24"/>
              </w:rPr>
              <w:t> </w:t>
            </w:r>
            <w:r>
              <w:rPr>
                <w:i w:val="0"/>
                <w:sz w:val="24"/>
                <w:szCs w:val="24"/>
              </w:rPr>
              <w:t>公司治理</w:t>
            </w:r>
            <w:r>
              <w:rPr>
                <w:rFonts w:ascii="Times New Roman" w:hAnsi="Times New Roman" w:cs="Times New Roman" w:eastAsia="Times New Roman" w:hint="default"/>
                <w:i w:val="0"/>
                <w:sz w:val="18"/>
                <w:szCs w:val="18"/>
              </w:rPr>
              <w:tab/>
              <w:t>70</w:t>
            </w:r>
            <w:r>
              <w:rPr>
                <w:rFonts w:ascii="Times New Roman" w:hAnsi="Times New Roman" w:cs="Times New Roman" w:eastAsia="Times New Roman" w:hint="default"/>
                <w:b w:val="0"/>
                <w:bCs w:val="0"/>
                <w:i w:val="0"/>
                <w:sz w:val="18"/>
                <w:szCs w:val="18"/>
              </w:rPr>
            </w:r>
          </w:hyperlink>
        </w:p>
        <w:p>
          <w:pPr>
            <w:pStyle w:val="TOC1"/>
            <w:tabs>
              <w:tab w:pos="9782" w:val="right" w:leader="dot"/>
            </w:tabs>
            <w:spacing w:line="240" w:lineRule="auto"/>
            <w:ind w:right="0"/>
            <w:jc w:val="left"/>
            <w:rPr>
              <w:rFonts w:ascii="Times New Roman" w:hAnsi="Times New Roman" w:cs="Times New Roman" w:eastAsia="Times New Roman" w:hint="default"/>
              <w:b w:val="0"/>
              <w:bCs w:val="0"/>
              <w:sz w:val="18"/>
              <w:szCs w:val="18"/>
            </w:rPr>
          </w:pPr>
          <w:hyperlink w:history="true" w:anchor="_bookmark8">
            <w:r>
              <w:rPr/>
              <w:t>第十节</w:t>
            </w:r>
            <w:r>
              <w:rPr>
                <w:spacing w:val="60"/>
              </w:rPr>
              <w:t> </w:t>
            </w:r>
            <w:r>
              <w:rPr/>
              <w:t>公司债券相关情况</w:t>
            </w:r>
            <w:r>
              <w:rPr>
                <w:rFonts w:ascii="Times New Roman" w:hAnsi="Times New Roman" w:cs="Times New Roman" w:eastAsia="Times New Roman" w:hint="default"/>
                <w:sz w:val="18"/>
                <w:szCs w:val="18"/>
              </w:rPr>
              <w:tab/>
              <w:t>78</w:t>
            </w:r>
            <w:r>
              <w:rPr>
                <w:rFonts w:ascii="Times New Roman" w:hAnsi="Times New Roman" w:cs="Times New Roman" w:eastAsia="Times New Roman" w:hint="default"/>
                <w:b w:val="0"/>
                <w:bCs w:val="0"/>
                <w:sz w:val="18"/>
                <w:szCs w:val="18"/>
              </w:rPr>
            </w:r>
          </w:hyperlink>
        </w:p>
        <w:p>
          <w:pPr>
            <w:pStyle w:val="TOC2"/>
            <w:tabs>
              <w:tab w:pos="9782" w:val="right" w:leader="dot"/>
            </w:tabs>
            <w:spacing w:line="240" w:lineRule="auto" w:before="326"/>
            <w:ind w:right="0"/>
            <w:jc w:val="left"/>
            <w:rPr>
              <w:rFonts w:ascii="Times New Roman" w:hAnsi="Times New Roman" w:cs="Times New Roman" w:eastAsia="Times New Roman" w:hint="default"/>
              <w:b w:val="0"/>
              <w:bCs w:val="0"/>
              <w:i w:val="0"/>
              <w:sz w:val="18"/>
              <w:szCs w:val="18"/>
            </w:rPr>
          </w:pPr>
          <w:hyperlink w:history="true" w:anchor="_bookmark9">
            <w:r>
              <w:rPr>
                <w:i w:val="0"/>
                <w:sz w:val="24"/>
                <w:szCs w:val="24"/>
              </w:rPr>
              <w:t>第十一节</w:t>
            </w:r>
            <w:r>
              <w:rPr>
                <w:i w:val="0"/>
                <w:spacing w:val="60"/>
                <w:sz w:val="24"/>
                <w:szCs w:val="24"/>
              </w:rPr>
              <w:t> </w:t>
            </w:r>
            <w:r>
              <w:rPr>
                <w:i w:val="0"/>
                <w:sz w:val="24"/>
                <w:szCs w:val="24"/>
              </w:rPr>
              <w:t>财务报告</w:t>
            </w:r>
            <w:r>
              <w:rPr>
                <w:rFonts w:ascii="Times New Roman" w:hAnsi="Times New Roman" w:cs="Times New Roman" w:eastAsia="Times New Roman" w:hint="default"/>
                <w:i w:val="0"/>
                <w:sz w:val="18"/>
                <w:szCs w:val="18"/>
              </w:rPr>
              <w:tab/>
              <w:t>83</w:t>
            </w:r>
            <w:r>
              <w:rPr>
                <w:rFonts w:ascii="Times New Roman" w:hAnsi="Times New Roman" w:cs="Times New Roman" w:eastAsia="Times New Roman" w:hint="default"/>
                <w:b w:val="0"/>
                <w:bCs w:val="0"/>
                <w:i w:val="0"/>
                <w:sz w:val="18"/>
                <w:szCs w:val="18"/>
              </w:rPr>
            </w:r>
          </w:hyperlink>
        </w:p>
        <w:p>
          <w:pPr>
            <w:pStyle w:val="TOC2"/>
            <w:tabs>
              <w:tab w:pos="9782" w:val="right" w:leader="dot"/>
            </w:tabs>
            <w:spacing w:line="240" w:lineRule="auto"/>
            <w:ind w:right="0"/>
            <w:jc w:val="left"/>
            <w:rPr>
              <w:rFonts w:ascii="Times New Roman" w:hAnsi="Times New Roman" w:cs="Times New Roman" w:eastAsia="Times New Roman" w:hint="default"/>
              <w:b w:val="0"/>
              <w:bCs w:val="0"/>
              <w:i w:val="0"/>
              <w:sz w:val="18"/>
              <w:szCs w:val="18"/>
            </w:rPr>
          </w:pPr>
          <w:hyperlink w:history="true" w:anchor="_bookmark10">
            <w:r>
              <w:rPr>
                <w:i w:val="0"/>
                <w:sz w:val="24"/>
                <w:szCs w:val="24"/>
              </w:rPr>
              <w:t>第十二节</w:t>
            </w:r>
            <w:r>
              <w:rPr>
                <w:i w:val="0"/>
                <w:spacing w:val="60"/>
                <w:sz w:val="24"/>
                <w:szCs w:val="24"/>
              </w:rPr>
              <w:t> </w:t>
            </w:r>
            <w:r>
              <w:rPr>
                <w:i w:val="0"/>
                <w:sz w:val="24"/>
                <w:szCs w:val="24"/>
              </w:rPr>
              <w:t>备查文件目录</w:t>
            </w:r>
            <w:r>
              <w:rPr>
                <w:rFonts w:ascii="Times New Roman" w:hAnsi="Times New Roman" w:cs="Times New Roman" w:eastAsia="Times New Roman" w:hint="default"/>
                <w:i w:val="0"/>
                <w:sz w:val="18"/>
                <w:szCs w:val="18"/>
              </w:rPr>
              <w:tab/>
            </w:r>
            <w:r>
              <w:rPr>
                <w:rFonts w:ascii="Times New Roman" w:hAnsi="Times New Roman" w:cs="Times New Roman" w:eastAsia="Times New Roman" w:hint="default"/>
                <w:i w:val="0"/>
                <w:spacing w:val="-4"/>
                <w:sz w:val="18"/>
                <w:szCs w:val="18"/>
              </w:rPr>
              <w:t>211</w:t>
            </w:r>
            <w:r>
              <w:rPr>
                <w:rFonts w:ascii="Times New Roman" w:hAnsi="Times New Roman" w:cs="Times New Roman" w:eastAsia="Times New Roman" w:hint="default"/>
                <w:b w:val="0"/>
                <w:bCs w:val="0"/>
                <w:i w:val="0"/>
                <w:spacing w:val="-4"/>
                <w:sz w:val="18"/>
                <w:szCs w:val="18"/>
              </w:rPr>
            </w:r>
          </w:hyperlink>
        </w:p>
      </w:sdtContent>
    </w:sdt>
    <w:p>
      <w:pPr>
        <w:spacing w:after="0" w:line="240" w:lineRule="auto"/>
        <w:jc w:val="left"/>
        <w:rPr>
          <w:rFonts w:ascii="Times New Roman" w:hAnsi="Times New Roman" w:cs="Times New Roman" w:eastAsia="Times New Roman" w:hint="default"/>
          <w:sz w:val="18"/>
          <w:szCs w:val="18"/>
        </w:rPr>
        <w:sectPr>
          <w:headerReference w:type="default" r:id="rId12"/>
          <w:pgSz w:w="11910" w:h="16840"/>
          <w:pgMar w:header="917" w:footer="980" w:top="1100" w:bottom="1180" w:left="980" w:right="0"/>
        </w:sect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line="240" w:lineRule="auto" w:before="0"/>
        <w:rPr>
          <w:rFonts w:ascii="Times New Roman" w:hAnsi="Times New Roman" w:cs="Times New Roman" w:eastAsia="Times New Roman" w:hint="default"/>
          <w:b/>
          <w:bCs/>
          <w:sz w:val="18"/>
          <w:szCs w:val="18"/>
        </w:rPr>
      </w:pPr>
    </w:p>
    <w:p>
      <w:pPr>
        <w:spacing w:before="158"/>
        <w:ind w:left="514" w:right="0" w:firstLine="0"/>
        <w:jc w:val="left"/>
        <w:rPr>
          <w:rFonts w:ascii="华文细黑" w:hAnsi="华文细黑" w:cs="华文细黑" w:eastAsia="华文细黑" w:hint="default"/>
          <w:sz w:val="18"/>
          <w:szCs w:val="18"/>
        </w:rPr>
      </w:pPr>
      <w:r>
        <w:rPr/>
        <w:pict>
          <v:shape style="position:absolute;margin-left:55.452pt;margin-top:-305.914246pt;width:539.85pt;height:277.55pt;mso-position-horizontal-relative:page;mso-position-vertical-relative:paragraph;z-index:1072" type="#_x0000_t75" stroked="false">
            <v:imagedata r:id="rId13" o:title=""/>
          </v:shape>
        </w:pict>
      </w:r>
      <w:r>
        <w:rPr>
          <w:rFonts w:ascii="华文细黑" w:hAnsi="华文细黑" w:cs="华文细黑" w:eastAsia="华文细黑" w:hint="default"/>
          <w:sz w:val="18"/>
          <w:szCs w:val="18"/>
        </w:rPr>
        <w:t>2018</w:t>
      </w:r>
      <w:r>
        <w:rPr>
          <w:rFonts w:ascii="华文细黑" w:hAnsi="华文细黑" w:cs="华文细黑" w:eastAsia="华文细黑" w:hint="default"/>
          <w:spacing w:val="12"/>
          <w:sz w:val="18"/>
          <w:szCs w:val="18"/>
        </w:rPr>
        <w:t> </w:t>
      </w:r>
      <w:r>
        <w:rPr>
          <w:rFonts w:ascii="华文细黑" w:hAnsi="华文细黑" w:cs="华文细黑" w:eastAsia="华文细黑" w:hint="default"/>
          <w:sz w:val="18"/>
          <w:szCs w:val="18"/>
        </w:rPr>
        <w:t>年，我们经历了贸易战等外部环境迅猛变化和品牌竞争加剧带来的挑战，也经历了去杠杆等内部变革和模式创新</w:t>
      </w:r>
    </w:p>
    <w:p>
      <w:pPr>
        <w:spacing w:line="240" w:lineRule="auto" w:before="2"/>
        <w:rPr>
          <w:rFonts w:ascii="华文细黑" w:hAnsi="华文细黑" w:cs="华文细黑" w:eastAsia="华文细黑" w:hint="default"/>
          <w:sz w:val="15"/>
          <w:szCs w:val="15"/>
        </w:rPr>
      </w:pPr>
    </w:p>
    <w:p>
      <w:pPr>
        <w:spacing w:line="441" w:lineRule="auto" w:before="0"/>
        <w:ind w:left="154" w:right="1041" w:firstLine="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带来的阵痛。回顾 </w:t>
      </w:r>
      <w:r>
        <w:rPr>
          <w:rFonts w:ascii="华文细黑" w:hAnsi="华文细黑" w:cs="华文细黑" w:eastAsia="华文细黑" w:hint="default"/>
          <w:sz w:val="18"/>
          <w:szCs w:val="18"/>
        </w:rPr>
        <w:t>2018</w:t>
      </w:r>
      <w:r>
        <w:rPr>
          <w:rFonts w:ascii="华文细黑" w:hAnsi="华文细黑" w:cs="华文细黑" w:eastAsia="华文细黑" w:hint="default"/>
          <w:spacing w:val="-17"/>
          <w:sz w:val="18"/>
          <w:szCs w:val="18"/>
        </w:rPr>
        <w:t> </w:t>
      </w:r>
      <w:r>
        <w:rPr>
          <w:rFonts w:ascii="华文细黑" w:hAnsi="华文细黑" w:cs="华文细黑" w:eastAsia="华文细黑" w:hint="default"/>
          <w:sz w:val="18"/>
          <w:szCs w:val="18"/>
        </w:rPr>
        <w:t>年智能终端市场，全球手机出货量下滑明显，国内情况同样不容乐观。在这样的市场环境下，爱施 </w:t>
      </w:r>
      <w:r>
        <w:rPr>
          <w:rFonts w:ascii="华文细黑" w:hAnsi="华文细黑" w:cs="华文细黑" w:eastAsia="华文细黑" w:hint="default"/>
          <w:spacing w:val="-2"/>
          <w:sz w:val="18"/>
          <w:szCs w:val="18"/>
        </w:rPr>
        <w:t>德夯实基础，上下同欲，砥砺前行，持续“构建能力、提升效率”，聚焦为客户创造价值，公司各项业务逆势实现了稳健发</w:t>
      </w:r>
      <w:r>
        <w:rPr>
          <w:rFonts w:ascii="华文细黑" w:hAnsi="华文细黑" w:cs="华文细黑" w:eastAsia="华文细黑" w:hint="default"/>
          <w:spacing w:val="-20"/>
          <w:sz w:val="18"/>
          <w:szCs w:val="18"/>
        </w:rPr>
        <w:t> </w:t>
      </w:r>
      <w:r>
        <w:rPr>
          <w:rFonts w:ascii="华文细黑" w:hAnsi="华文细黑" w:cs="华文细黑" w:eastAsia="华文细黑" w:hint="default"/>
          <w:spacing w:val="-20"/>
          <w:sz w:val="18"/>
          <w:szCs w:val="18"/>
        </w:rPr>
      </w:r>
      <w:r>
        <w:rPr>
          <w:rFonts w:ascii="华文细黑" w:hAnsi="华文细黑" w:cs="华文细黑" w:eastAsia="华文细黑" w:hint="default"/>
          <w:sz w:val="18"/>
          <w:szCs w:val="18"/>
        </w:rPr>
        <w:t>展，营业收入规模达到</w:t>
      </w:r>
      <w:r>
        <w:rPr>
          <w:rFonts w:ascii="华文细黑" w:hAnsi="华文细黑" w:cs="华文细黑" w:eastAsia="华文细黑" w:hint="default"/>
          <w:spacing w:val="-17"/>
          <w:sz w:val="18"/>
          <w:szCs w:val="18"/>
        </w:rPr>
        <w:t> </w:t>
      </w:r>
      <w:r>
        <w:rPr>
          <w:rFonts w:ascii="华文细黑" w:hAnsi="华文细黑" w:cs="华文细黑" w:eastAsia="华文细黑" w:hint="default"/>
          <w:sz w:val="18"/>
          <w:szCs w:val="18"/>
        </w:rPr>
        <w:t>569.84</w:t>
      </w:r>
      <w:r>
        <w:rPr>
          <w:rFonts w:ascii="华文细黑" w:hAnsi="华文细黑" w:cs="华文细黑" w:eastAsia="华文细黑" w:hint="default"/>
          <w:spacing w:val="-17"/>
          <w:sz w:val="18"/>
          <w:szCs w:val="18"/>
        </w:rPr>
        <w:t> </w:t>
      </w:r>
      <w:r>
        <w:rPr>
          <w:rFonts w:ascii="华文细黑" w:hAnsi="华文细黑" w:cs="华文细黑" w:eastAsia="华文细黑" w:hint="default"/>
          <w:spacing w:val="-3"/>
          <w:sz w:val="18"/>
          <w:szCs w:val="18"/>
        </w:rPr>
        <w:t>亿元，再创新高，同比增长</w:t>
      </w:r>
      <w:r>
        <w:rPr>
          <w:rFonts w:ascii="华文细黑" w:hAnsi="华文细黑" w:cs="华文细黑" w:eastAsia="华文细黑" w:hint="default"/>
          <w:spacing w:val="-17"/>
          <w:sz w:val="18"/>
          <w:szCs w:val="18"/>
        </w:rPr>
        <w:t> </w:t>
      </w:r>
      <w:r>
        <w:rPr>
          <w:rFonts w:ascii="华文细黑" w:hAnsi="华文细黑" w:cs="华文细黑" w:eastAsia="华文细黑" w:hint="default"/>
          <w:sz w:val="18"/>
          <w:szCs w:val="18"/>
        </w:rPr>
        <w:t>0.44%</w:t>
      </w:r>
      <w:r>
        <w:rPr>
          <w:rFonts w:ascii="华文细黑" w:hAnsi="华文细黑" w:cs="华文细黑" w:eastAsia="华文细黑" w:hint="default"/>
          <w:sz w:val="18"/>
          <w:szCs w:val="18"/>
        </w:rPr>
        <w:t>，实现了可持续规模发展，进一步夯实了行业内领先地位。</w:t>
      </w:r>
    </w:p>
    <w:p>
      <w:pPr>
        <w:spacing w:line="240" w:lineRule="auto" w:before="5"/>
        <w:rPr>
          <w:rFonts w:ascii="华文细黑" w:hAnsi="华文细黑" w:cs="华文细黑" w:eastAsia="华文细黑" w:hint="default"/>
          <w:sz w:val="16"/>
          <w:szCs w:val="16"/>
        </w:rPr>
      </w:pPr>
    </w:p>
    <w:p>
      <w:pPr>
        <w:spacing w:line="441" w:lineRule="auto" w:before="0"/>
        <w:ind w:left="154" w:right="1130" w:firstLine="36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感恩 </w:t>
      </w:r>
      <w:r>
        <w:rPr>
          <w:rFonts w:ascii="华文细黑" w:hAnsi="华文细黑" w:cs="华文细黑" w:eastAsia="华文细黑" w:hint="default"/>
          <w:sz w:val="18"/>
          <w:szCs w:val="18"/>
        </w:rPr>
        <w:t>2018</w:t>
      </w:r>
      <w:r>
        <w:rPr>
          <w:rFonts w:ascii="华文细黑" w:hAnsi="华文细黑" w:cs="华文细黑" w:eastAsia="华文细黑" w:hint="default"/>
          <w:spacing w:val="-31"/>
          <w:sz w:val="18"/>
          <w:szCs w:val="18"/>
        </w:rPr>
        <w:t> </w:t>
      </w:r>
      <w:r>
        <w:rPr>
          <w:rFonts w:ascii="华文细黑" w:hAnsi="华文细黑" w:cs="华文细黑" w:eastAsia="华文细黑" w:hint="default"/>
          <w:sz w:val="18"/>
          <w:szCs w:val="18"/>
        </w:rPr>
        <w:t>年，二十岁的爱施德正值而冠之年，我们秉持“以创业创新为核心的奋斗者精神，以价值创造为核心的实干 </w:t>
      </w:r>
      <w:r>
        <w:rPr>
          <w:rFonts w:ascii="华文细黑" w:hAnsi="华文细黑" w:cs="华文细黑" w:eastAsia="华文细黑" w:hint="default"/>
          <w:spacing w:val="-2"/>
          <w:sz w:val="18"/>
          <w:szCs w:val="18"/>
        </w:rPr>
        <w:t>家精神”，爱施德人直面考验，凝心聚力，绽放出了强大的生命力。公司坚持以规模优势为核心向产业链纵深发展，主营业</w:t>
      </w:r>
      <w:r>
        <w:rPr>
          <w:rFonts w:ascii="华文细黑" w:hAnsi="华文细黑" w:cs="华文细黑" w:eastAsia="华文细黑" w:hint="default"/>
          <w:spacing w:val="-20"/>
          <w:sz w:val="18"/>
          <w:szCs w:val="18"/>
        </w:rPr>
        <w:t> </w:t>
      </w:r>
      <w:r>
        <w:rPr>
          <w:rFonts w:ascii="华文细黑" w:hAnsi="华文细黑" w:cs="华文细黑" w:eastAsia="华文细黑" w:hint="default"/>
          <w:spacing w:val="-20"/>
          <w:sz w:val="18"/>
          <w:szCs w:val="18"/>
        </w:rPr>
      </w:r>
      <w:r>
        <w:rPr>
          <w:rFonts w:ascii="华文细黑" w:hAnsi="华文细黑" w:cs="华文细黑" w:eastAsia="华文细黑" w:hint="default"/>
          <w:sz w:val="18"/>
          <w:szCs w:val="18"/>
        </w:rPr>
        <w:t>务和创新业务协同并进的新布局初见成效。</w:t>
      </w:r>
    </w:p>
    <w:p>
      <w:pPr>
        <w:spacing w:line="240" w:lineRule="auto" w:before="5"/>
        <w:rPr>
          <w:rFonts w:ascii="华文细黑" w:hAnsi="华文细黑" w:cs="华文细黑" w:eastAsia="华文细黑" w:hint="default"/>
          <w:sz w:val="16"/>
          <w:szCs w:val="16"/>
        </w:rPr>
      </w:pPr>
    </w:p>
    <w:p>
      <w:pPr>
        <w:spacing w:line="441" w:lineRule="auto" w:before="0"/>
        <w:ind w:left="154" w:right="1130" w:firstLine="360"/>
        <w:jc w:val="both"/>
        <w:rPr>
          <w:rFonts w:ascii="华文细黑" w:hAnsi="华文细黑" w:cs="华文细黑" w:eastAsia="华文细黑" w:hint="default"/>
          <w:sz w:val="18"/>
          <w:szCs w:val="18"/>
        </w:rPr>
      </w:pPr>
      <w:r>
        <w:rPr>
          <w:rFonts w:ascii="华文细黑" w:hAnsi="华文细黑" w:cs="华文细黑" w:eastAsia="华文细黑" w:hint="default"/>
          <w:spacing w:val="-2"/>
          <w:sz w:val="18"/>
          <w:szCs w:val="18"/>
        </w:rPr>
        <w:t>凛冬时节，更加彰显企业内生的张力。过去的一年里，公司分销业务收入规模持续扩大，市场地位稳固、网格化运营突</w:t>
      </w:r>
      <w:r>
        <w:rPr>
          <w:rFonts w:ascii="华文细黑" w:hAnsi="华文细黑" w:cs="华文细黑" w:eastAsia="华文细黑" w:hint="default"/>
          <w:sz w:val="18"/>
          <w:szCs w:val="18"/>
        </w:rPr>
        <w:t> 破、组织效率提升，并发布了爱施德分销信息系统 </w:t>
      </w:r>
      <w:r>
        <w:rPr>
          <w:rFonts w:ascii="华文细黑" w:hAnsi="华文细黑" w:cs="华文细黑" w:eastAsia="华文细黑" w:hint="default"/>
          <w:sz w:val="18"/>
          <w:szCs w:val="18"/>
        </w:rPr>
        <w:t>4.0</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IT</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支撑能力再上新台阶，持续为客户创造价值；公司全面启动智慧 </w:t>
      </w:r>
      <w:r>
        <w:rPr>
          <w:rFonts w:ascii="华文细黑" w:hAnsi="华文细黑" w:cs="华文细黑" w:eastAsia="华文细黑" w:hint="default"/>
          <w:spacing w:val="-2"/>
          <w:sz w:val="18"/>
          <w:szCs w:val="18"/>
        </w:rPr>
        <w:t>零售平台新布局，实现了公司对门店和客户的全方位赋能；智慧连接平台发展跨上新的台阶，通信服务获得工信部颁发的跨</w:t>
      </w:r>
      <w:r>
        <w:rPr>
          <w:rFonts w:ascii="华文细黑" w:hAnsi="华文细黑" w:cs="华文细黑" w:eastAsia="华文细黑" w:hint="default"/>
          <w:spacing w:val="-21"/>
          <w:sz w:val="18"/>
          <w:szCs w:val="18"/>
        </w:rPr>
        <w:t> </w:t>
      </w:r>
      <w:r>
        <w:rPr>
          <w:rFonts w:ascii="华文细黑" w:hAnsi="华文细黑" w:cs="华文细黑" w:eastAsia="华文细黑" w:hint="default"/>
          <w:spacing w:val="-21"/>
          <w:sz w:val="18"/>
          <w:szCs w:val="18"/>
        </w:rPr>
      </w:r>
      <w:r>
        <w:rPr>
          <w:rFonts w:ascii="华文细黑" w:hAnsi="华文细黑" w:cs="华文细黑" w:eastAsia="华文细黑" w:hint="default"/>
          <w:spacing w:val="-2"/>
          <w:sz w:val="18"/>
          <w:szCs w:val="18"/>
        </w:rPr>
        <w:t>地区增值电信业务正式牌照，获得国家高新技术企业认定，工业物联网云平台上线，运营能力行业领先，持续打造“运营商</w:t>
      </w:r>
    </w:p>
    <w:p>
      <w:pPr>
        <w:spacing w:line="441" w:lineRule="auto" w:before="50"/>
        <w:ind w:left="154" w:right="1132" w:firstLine="0"/>
        <w:jc w:val="both"/>
        <w:rPr>
          <w:rFonts w:ascii="华文细黑" w:hAnsi="华文细黑" w:cs="华文细黑" w:eastAsia="华文细黑" w:hint="default"/>
          <w:sz w:val="18"/>
          <w:szCs w:val="18"/>
        </w:rPr>
      </w:pPr>
      <w:r>
        <w:rPr>
          <w:rFonts w:ascii="华文细黑" w:hAnsi="华文细黑" w:cs="华文细黑" w:eastAsia="华文细黑" w:hint="default"/>
          <w:spacing w:val="-1"/>
          <w:sz w:val="18"/>
          <w:szCs w:val="18"/>
        </w:rPr>
        <w:t>+</w:t>
      </w:r>
      <w:r>
        <w:rPr>
          <w:rFonts w:ascii="华文细黑" w:hAnsi="华文细黑" w:cs="华文细黑" w:eastAsia="华文细黑" w:hint="default"/>
          <w:spacing w:val="-1"/>
          <w:sz w:val="18"/>
          <w:szCs w:val="18"/>
        </w:rPr>
        <w:t>服务商”的渠道产业模式；智慧供应链平台建设，广泛应用云计算、人工智能、大数据技术持续打造金融科技能力，创新</w:t>
      </w:r>
      <w:r>
        <w:rPr>
          <w:rFonts w:ascii="华文细黑" w:hAnsi="华文细黑" w:cs="华文细黑" w:eastAsia="华文细黑" w:hint="default"/>
          <w:spacing w:val="-7"/>
          <w:sz w:val="18"/>
          <w:szCs w:val="18"/>
        </w:rPr>
        <w:t> </w:t>
      </w:r>
      <w:r>
        <w:rPr>
          <w:rFonts w:ascii="华文细黑" w:hAnsi="华文细黑" w:cs="华文细黑" w:eastAsia="华文细黑" w:hint="default"/>
          <w:spacing w:val="-7"/>
          <w:sz w:val="18"/>
          <w:szCs w:val="18"/>
        </w:rPr>
      </w:r>
      <w:r>
        <w:rPr>
          <w:rFonts w:ascii="华文细黑" w:hAnsi="华文细黑" w:cs="华文细黑" w:eastAsia="华文细黑" w:hint="default"/>
          <w:sz w:val="18"/>
          <w:szCs w:val="18"/>
        </w:rPr>
        <w:t>金融产品与服务；公司持续深化推进和完善合伙人机制，推行轮值 </w:t>
      </w:r>
      <w:r>
        <w:rPr>
          <w:rFonts w:ascii="华文细黑" w:hAnsi="华文细黑" w:cs="华文细黑" w:eastAsia="华文细黑" w:hint="default"/>
          <w:sz w:val="18"/>
          <w:szCs w:val="18"/>
        </w:rPr>
        <w:t>CEO</w:t>
      </w:r>
      <w:r>
        <w:rPr>
          <w:rFonts w:ascii="华文细黑" w:hAnsi="华文细黑" w:cs="华文细黑" w:eastAsia="华文细黑" w:hint="default"/>
          <w:spacing w:val="38"/>
          <w:sz w:val="18"/>
          <w:szCs w:val="18"/>
        </w:rPr>
        <w:t> </w:t>
      </w:r>
      <w:r>
        <w:rPr>
          <w:rFonts w:ascii="华文细黑" w:hAnsi="华文细黑" w:cs="华文细黑" w:eastAsia="华文细黑" w:hint="default"/>
          <w:sz w:val="18"/>
          <w:szCs w:val="18"/>
        </w:rPr>
        <w:t>制度与后备人才梯队培养计划，实施平台化运营</w:t>
      </w:r>
      <w:r>
        <w:rPr>
          <w:rFonts w:ascii="华文细黑" w:hAnsi="华文细黑" w:cs="华文细黑" w:eastAsia="华文细黑" w:hint="default"/>
          <w:sz w:val="18"/>
          <w:szCs w:val="18"/>
        </w:rPr>
        <w:t>+ </w:t>
      </w:r>
      <w:r>
        <w:rPr>
          <w:rFonts w:ascii="华文细黑" w:hAnsi="华文细黑" w:cs="华文细黑" w:eastAsia="华文细黑" w:hint="default"/>
          <w:sz w:val="18"/>
          <w:szCs w:val="18"/>
        </w:rPr>
        <w:t>网格化支撑，构建公司持续发展动力。</w:t>
      </w:r>
    </w:p>
    <w:p>
      <w:pPr>
        <w:spacing w:line="240" w:lineRule="auto" w:before="5"/>
        <w:rPr>
          <w:rFonts w:ascii="华文细黑" w:hAnsi="华文细黑" w:cs="华文细黑" w:eastAsia="华文细黑" w:hint="default"/>
          <w:sz w:val="16"/>
          <w:szCs w:val="16"/>
        </w:rPr>
      </w:pPr>
    </w:p>
    <w:p>
      <w:pPr>
        <w:spacing w:before="0"/>
        <w:ind w:left="514" w:right="0" w:firstLine="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度冬迎春，须稳中求进。应当说，主营业务规模实现可持续发展是 </w:t>
      </w:r>
      <w:r>
        <w:rPr>
          <w:rFonts w:ascii="华文细黑" w:hAnsi="华文细黑" w:cs="华文细黑" w:eastAsia="华文细黑" w:hint="default"/>
          <w:sz w:val="18"/>
          <w:szCs w:val="18"/>
        </w:rPr>
        <w:t>2018</w:t>
      </w:r>
      <w:r>
        <w:rPr>
          <w:rFonts w:ascii="华文细黑" w:hAnsi="华文细黑" w:cs="华文细黑" w:eastAsia="华文细黑" w:hint="default"/>
          <w:spacing w:val="-31"/>
          <w:sz w:val="18"/>
          <w:szCs w:val="18"/>
        </w:rPr>
        <w:t> </w:t>
      </w:r>
      <w:r>
        <w:rPr>
          <w:rFonts w:ascii="华文细黑" w:hAnsi="华文细黑" w:cs="华文细黑" w:eastAsia="华文细黑" w:hint="default"/>
          <w:sz w:val="18"/>
          <w:szCs w:val="18"/>
        </w:rPr>
        <w:t>年的主线，各产业稳步推进亦是可圈可点。我</w:t>
      </w:r>
    </w:p>
    <w:p>
      <w:pPr>
        <w:spacing w:after="0"/>
        <w:jc w:val="left"/>
        <w:rPr>
          <w:rFonts w:ascii="华文细黑" w:hAnsi="华文细黑" w:cs="华文细黑" w:eastAsia="华文细黑" w:hint="default"/>
          <w:sz w:val="18"/>
          <w:szCs w:val="18"/>
        </w:rPr>
        <w:sectPr>
          <w:pgSz w:w="11910" w:h="16840"/>
          <w:pgMar w:header="917" w:footer="980" w:top="1120" w:bottom="1180" w:left="980" w:right="0"/>
        </w:sectPr>
      </w:pPr>
    </w:p>
    <w:p>
      <w:pPr>
        <w:spacing w:line="240" w:lineRule="auto" w:before="6"/>
        <w:rPr>
          <w:rFonts w:ascii="华文细黑" w:hAnsi="华文细黑" w:cs="华文细黑" w:eastAsia="华文细黑" w:hint="default"/>
          <w:sz w:val="25"/>
          <w:szCs w:val="25"/>
        </w:rPr>
      </w:pPr>
    </w:p>
    <w:p>
      <w:pPr>
        <w:spacing w:line="441" w:lineRule="auto" w:before="23"/>
        <w:ind w:left="154" w:right="1131" w:firstLine="0"/>
        <w:jc w:val="both"/>
        <w:rPr>
          <w:rFonts w:ascii="华文细黑" w:hAnsi="华文细黑" w:cs="华文细黑" w:eastAsia="华文细黑" w:hint="default"/>
          <w:sz w:val="18"/>
          <w:szCs w:val="18"/>
        </w:rPr>
      </w:pPr>
      <w:r>
        <w:rPr>
          <w:rFonts w:ascii="华文细黑" w:hAnsi="华文细黑" w:cs="华文细黑" w:eastAsia="华文细黑" w:hint="default"/>
          <w:spacing w:val="-2"/>
          <w:sz w:val="18"/>
          <w:szCs w:val="18"/>
        </w:rPr>
        <w:t>们也认识到在品牌品类选择等方面也有需要总结和改进之处，作为行业的领先者和探索者，我们不会裹足不前。我们将持续</w:t>
      </w:r>
      <w:r>
        <w:rPr>
          <w:rFonts w:ascii="华文细黑" w:hAnsi="华文细黑" w:cs="华文细黑" w:eastAsia="华文细黑" w:hint="default"/>
          <w:spacing w:val="-21"/>
          <w:sz w:val="18"/>
          <w:szCs w:val="18"/>
        </w:rPr>
        <w:t> </w:t>
      </w:r>
      <w:r>
        <w:rPr>
          <w:rFonts w:ascii="华文细黑" w:hAnsi="华文细黑" w:cs="华文细黑" w:eastAsia="华文细黑" w:hint="default"/>
          <w:spacing w:val="-21"/>
          <w:sz w:val="18"/>
          <w:szCs w:val="18"/>
        </w:rPr>
      </w:r>
      <w:r>
        <w:rPr>
          <w:rFonts w:ascii="华文细黑" w:hAnsi="华文细黑" w:cs="华文细黑" w:eastAsia="华文细黑" w:hint="default"/>
          <w:spacing w:val="-2"/>
          <w:sz w:val="18"/>
          <w:szCs w:val="18"/>
        </w:rPr>
        <w:t>加强风险管理意识，加强风险管控流程建设。公司的主营业务仍然保持行业领先和持续增长，创新业务更加健康，前景更加</w:t>
      </w:r>
      <w:r>
        <w:rPr>
          <w:rFonts w:ascii="华文细黑" w:hAnsi="华文细黑" w:cs="华文细黑" w:eastAsia="华文细黑" w:hint="default"/>
          <w:spacing w:val="-21"/>
          <w:sz w:val="18"/>
          <w:szCs w:val="18"/>
        </w:rPr>
        <w:t> </w:t>
      </w:r>
      <w:r>
        <w:rPr>
          <w:rFonts w:ascii="华文细黑" w:hAnsi="华文细黑" w:cs="华文细黑" w:eastAsia="华文细黑" w:hint="default"/>
          <w:spacing w:val="-21"/>
          <w:sz w:val="18"/>
          <w:szCs w:val="18"/>
        </w:rPr>
      </w:r>
      <w:r>
        <w:rPr>
          <w:rFonts w:ascii="华文细黑" w:hAnsi="华文细黑" w:cs="华文细黑" w:eastAsia="华文细黑" w:hint="default"/>
          <w:sz w:val="18"/>
          <w:szCs w:val="18"/>
        </w:rPr>
        <w:t>明晰！唯此，我们必将继续保持健康而持续的成长。</w:t>
      </w:r>
    </w:p>
    <w:p>
      <w:pPr>
        <w:spacing w:line="240" w:lineRule="auto" w:before="5"/>
        <w:rPr>
          <w:rFonts w:ascii="华文细黑" w:hAnsi="华文细黑" w:cs="华文细黑" w:eastAsia="华文细黑" w:hint="default"/>
          <w:sz w:val="16"/>
          <w:szCs w:val="16"/>
        </w:rPr>
      </w:pPr>
    </w:p>
    <w:p>
      <w:pPr>
        <w:spacing w:line="441" w:lineRule="auto" w:before="0"/>
        <w:ind w:left="154" w:right="1131" w:firstLine="36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拥抱 </w:t>
      </w:r>
      <w:r>
        <w:rPr>
          <w:rFonts w:ascii="华文细黑" w:hAnsi="华文细黑" w:cs="华文细黑" w:eastAsia="华文细黑" w:hint="default"/>
          <w:sz w:val="18"/>
          <w:szCs w:val="18"/>
        </w:rPr>
        <w:t>2019 </w:t>
      </w:r>
      <w:r>
        <w:rPr>
          <w:rFonts w:ascii="华文细黑" w:hAnsi="华文细黑" w:cs="华文细黑" w:eastAsia="华文细黑" w:hint="default"/>
          <w:sz w:val="18"/>
          <w:szCs w:val="18"/>
        </w:rPr>
        <w:t>年，</w:t>
      </w:r>
      <w:r>
        <w:rPr>
          <w:rFonts w:ascii="华文细黑" w:hAnsi="华文细黑" w:cs="华文细黑" w:eastAsia="华文细黑" w:hint="default"/>
          <w:sz w:val="18"/>
          <w:szCs w:val="18"/>
        </w:rPr>
        <w:t>5G</w:t>
      </w:r>
      <w:r>
        <w:rPr>
          <w:rFonts w:ascii="华文细黑" w:hAnsi="华文细黑" w:cs="华文细黑" w:eastAsia="华文细黑" w:hint="default"/>
          <w:spacing w:val="23"/>
          <w:sz w:val="18"/>
          <w:szCs w:val="18"/>
        </w:rPr>
        <w:t> </w:t>
      </w:r>
      <w:r>
        <w:rPr>
          <w:rFonts w:ascii="华文细黑" w:hAnsi="华文细黑" w:cs="华文细黑" w:eastAsia="华文细黑" w:hint="default"/>
          <w:sz w:val="18"/>
          <w:szCs w:val="18"/>
        </w:rPr>
        <w:t>正在加速走进我们生活，为智能终端市场带来新的突破，引领新一轮的换机潮。我们将抓住机遇， </w:t>
      </w:r>
      <w:r>
        <w:rPr>
          <w:rFonts w:ascii="华文细黑" w:hAnsi="华文细黑" w:cs="华文细黑" w:eastAsia="华文细黑" w:hint="default"/>
          <w:spacing w:val="-2"/>
          <w:sz w:val="18"/>
          <w:szCs w:val="18"/>
        </w:rPr>
        <w:t>更加强化与品牌厂商的合作，更加强化自身能力的提升，更加强化各产业的协同发展，实现新的突破，创造更大价值回馈股</w:t>
      </w:r>
      <w:r>
        <w:rPr>
          <w:rFonts w:ascii="华文细黑" w:hAnsi="华文细黑" w:cs="华文细黑" w:eastAsia="华文细黑" w:hint="default"/>
          <w:spacing w:val="-21"/>
          <w:sz w:val="18"/>
          <w:szCs w:val="18"/>
        </w:rPr>
        <w:t> </w:t>
      </w:r>
      <w:r>
        <w:rPr>
          <w:rFonts w:ascii="华文细黑" w:hAnsi="华文细黑" w:cs="华文细黑" w:eastAsia="华文细黑" w:hint="default"/>
          <w:spacing w:val="-21"/>
          <w:sz w:val="18"/>
          <w:szCs w:val="18"/>
        </w:rPr>
      </w:r>
      <w:r>
        <w:rPr>
          <w:rFonts w:ascii="华文细黑" w:hAnsi="华文细黑" w:cs="华文细黑" w:eastAsia="华文细黑" w:hint="default"/>
          <w:sz w:val="18"/>
          <w:szCs w:val="18"/>
        </w:rPr>
        <w:t>东。</w:t>
      </w:r>
    </w:p>
    <w:p>
      <w:pPr>
        <w:spacing w:line="240" w:lineRule="auto" w:before="5"/>
        <w:rPr>
          <w:rFonts w:ascii="华文细黑" w:hAnsi="华文细黑" w:cs="华文细黑" w:eastAsia="华文细黑" w:hint="default"/>
          <w:sz w:val="16"/>
          <w:szCs w:val="16"/>
        </w:rPr>
      </w:pPr>
    </w:p>
    <w:p>
      <w:pPr>
        <w:spacing w:line="441" w:lineRule="auto" w:before="0"/>
        <w:ind w:left="154" w:right="1046" w:firstLine="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潮涌催人进，风正好扬帆。爱施德将顺应 </w:t>
      </w:r>
      <w:r>
        <w:rPr>
          <w:rFonts w:ascii="华文细黑" w:hAnsi="华文细黑" w:cs="华文细黑" w:eastAsia="华文细黑" w:hint="default"/>
          <w:sz w:val="18"/>
          <w:szCs w:val="18"/>
        </w:rPr>
        <w:t>5G</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通信技术和万物互联的时代趋势，充分挖掘智能终端万亿级的市场红利， 拥抱新零售带来的变革与机遇，发挥行业领先的爱施德 </w:t>
      </w:r>
      <w:r>
        <w:rPr>
          <w:rFonts w:ascii="华文细黑" w:hAnsi="华文细黑" w:cs="华文细黑" w:eastAsia="华文细黑" w:hint="default"/>
          <w:sz w:val="18"/>
          <w:szCs w:val="18"/>
        </w:rPr>
        <w:t>IT</w:t>
      </w:r>
      <w:r>
        <w:rPr>
          <w:rFonts w:ascii="华文细黑" w:hAnsi="华文细黑" w:cs="华文细黑" w:eastAsia="华文细黑" w:hint="default"/>
          <w:spacing w:val="26"/>
          <w:sz w:val="18"/>
          <w:szCs w:val="18"/>
        </w:rPr>
        <w:t> </w:t>
      </w:r>
      <w:r>
        <w:rPr>
          <w:rFonts w:ascii="华文细黑" w:hAnsi="华文细黑" w:cs="华文细黑" w:eastAsia="华文细黑" w:hint="default"/>
          <w:sz w:val="18"/>
          <w:szCs w:val="18"/>
        </w:rPr>
        <w:t>支撑能力和品牌价值，加强对大数据、云计算、人工智能、物联 网等技术的投入和应用，打造大通信产业生态圈，力争成为智能终端领域最具价值的供应链、零售和通信技术服务商。</w:t>
      </w:r>
    </w:p>
    <w:p>
      <w:pPr>
        <w:spacing w:line="240" w:lineRule="auto" w:before="5"/>
        <w:rPr>
          <w:rFonts w:ascii="华文细黑" w:hAnsi="华文细黑" w:cs="华文细黑" w:eastAsia="华文细黑" w:hint="default"/>
          <w:sz w:val="16"/>
          <w:szCs w:val="16"/>
        </w:rPr>
      </w:pPr>
    </w:p>
    <w:p>
      <w:pPr>
        <w:spacing w:line="441" w:lineRule="auto" w:before="0"/>
        <w:ind w:left="154" w:right="1116" w:firstLine="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展望 </w:t>
      </w:r>
      <w:r>
        <w:rPr>
          <w:rFonts w:ascii="华文细黑" w:hAnsi="华文细黑" w:cs="华文细黑" w:eastAsia="华文细黑" w:hint="default"/>
          <w:sz w:val="18"/>
          <w:szCs w:val="18"/>
        </w:rPr>
        <w:t>2019</w:t>
      </w:r>
      <w:r>
        <w:rPr>
          <w:rFonts w:ascii="华文细黑" w:hAnsi="华文细黑" w:cs="华文细黑" w:eastAsia="华文细黑" w:hint="default"/>
          <w:spacing w:val="-33"/>
          <w:sz w:val="18"/>
          <w:szCs w:val="18"/>
        </w:rPr>
        <w:t> </w:t>
      </w:r>
      <w:r>
        <w:rPr>
          <w:rFonts w:ascii="华文细黑" w:hAnsi="华文细黑" w:cs="华文细黑" w:eastAsia="华文细黑" w:hint="default"/>
          <w:sz w:val="18"/>
          <w:szCs w:val="18"/>
        </w:rPr>
        <w:t>年，我们具有行业中优秀的团队和更加高效的运营能力，我们的市场地位和收入规模持续领先。在这个生机 勃勃的春天里，爱施德人仍将义无反顾，满怀期待，充满激情踏上追梦奔跑的新征程。</w:t>
      </w:r>
    </w:p>
    <w:p>
      <w:pPr>
        <w:spacing w:line="240" w:lineRule="auto" w:before="5"/>
        <w:rPr>
          <w:rFonts w:ascii="华文细黑" w:hAnsi="华文细黑" w:cs="华文细黑" w:eastAsia="华文细黑" w:hint="default"/>
          <w:sz w:val="16"/>
          <w:szCs w:val="16"/>
        </w:rPr>
      </w:pPr>
    </w:p>
    <w:p>
      <w:pPr>
        <w:spacing w:line="441" w:lineRule="auto" w:before="0"/>
        <w:ind w:left="154" w:right="1032" w:firstLine="360"/>
        <w:jc w:val="left"/>
        <w:rPr>
          <w:rFonts w:ascii="华文细黑" w:hAnsi="华文细黑" w:cs="华文细黑" w:eastAsia="华文细黑" w:hint="default"/>
          <w:sz w:val="18"/>
          <w:szCs w:val="18"/>
        </w:rPr>
      </w:pPr>
      <w:r>
        <w:rPr/>
        <w:pict>
          <v:group style="position:absolute;margin-left:170.75pt;margin-top:88.37574pt;width:424.6pt;height:384.3pt;mso-position-horizontal-relative:page;mso-position-vertical-relative:paragraph;z-index:1144" coordorigin="3415,1768" coordsize="8492,7686">
            <v:shape style="position:absolute;left:3415;top:1768;width:8491;height:7685" type="#_x0000_t75" stroked="false">
              <v:imagedata r:id="rId16" o:title=""/>
            </v:shape>
            <v:shape style="position:absolute;left:10713;top:8749;width:1190;height:536" type="#_x0000_t75" stroked="false">
              <v:imagedata r:id="rId17" o:title=""/>
            </v:shape>
            <v:shape style="position:absolute;left:8254;top:3124;width:2520;height:780" type="#_x0000_t202" filled="false" stroked="false">
              <v:textbox inset="0,0,0,0">
                <w:txbxContent>
                  <w:p>
                    <w:pPr>
                      <w:spacing w:line="207" w:lineRule="exact" w:before="0"/>
                      <w:ind w:left="0" w:right="0" w:firstLine="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深圳市爱施德股份有限公司</w:t>
                    </w:r>
                  </w:p>
                  <w:p>
                    <w:pPr>
                      <w:spacing w:line="240" w:lineRule="auto" w:before="5"/>
                      <w:rPr>
                        <w:rFonts w:ascii="华文细黑" w:hAnsi="华文细黑" w:cs="华文细黑" w:eastAsia="华文细黑" w:hint="default"/>
                        <w:sz w:val="19"/>
                        <w:szCs w:val="19"/>
                      </w:rPr>
                    </w:pPr>
                  </w:p>
                  <w:p>
                    <w:pPr>
                      <w:spacing w:before="0"/>
                      <w:ind w:left="34" w:right="0" w:firstLine="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董事会</w:t>
                    </w:r>
                  </w:p>
                </w:txbxContent>
              </v:textbox>
              <w10:wrap type="none"/>
            </v:shape>
            <v:shape style="position:absolute;left:5908;top:8234;width:9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w:t>
                    </w:r>
                  </w:p>
                </w:txbxContent>
              </v:textbox>
              <w10:wrap type="none"/>
            </v:shape>
            <w10:wrap type="none"/>
          </v:group>
        </w:pict>
      </w:r>
      <w:r>
        <w:rPr>
          <w:rFonts w:ascii="华文细黑" w:hAnsi="华文细黑" w:cs="华文细黑" w:eastAsia="华文细黑" w:hint="default"/>
          <w:sz w:val="18"/>
          <w:szCs w:val="18"/>
        </w:rPr>
        <w:t>再回首，爱施德二十载辉煌；再出发，爱施德未来更美好。我们正处在一个伟大的时代，一个难得的发展战略机遇期， 我们是这个大机遇中的参与者、奋斗者、也一定是成功者。</w:t>
      </w:r>
    </w:p>
    <w:p>
      <w:pPr>
        <w:spacing w:after="0" w:line="441" w:lineRule="auto"/>
        <w:jc w:val="left"/>
        <w:rPr>
          <w:rFonts w:ascii="华文细黑" w:hAnsi="华文细黑" w:cs="华文细黑" w:eastAsia="华文细黑" w:hint="default"/>
          <w:sz w:val="18"/>
          <w:szCs w:val="18"/>
        </w:rPr>
        <w:sectPr>
          <w:headerReference w:type="default" r:id="rId14"/>
          <w:footerReference w:type="default" r:id="rId15"/>
          <w:pgSz w:w="11910" w:h="16840"/>
          <w:pgMar w:header="917" w:footer="0" w:top="1120" w:bottom="0" w:left="980" w:right="0"/>
        </w:sectPr>
      </w:pPr>
    </w:p>
    <w:p>
      <w:pPr>
        <w:spacing w:line="20" w:lineRule="exact"/>
        <w:ind w:left="139" w:right="0" w:firstLine="0"/>
        <w:rPr>
          <w:rFonts w:ascii="华文细黑" w:hAnsi="华文细黑" w:cs="华文细黑" w:eastAsia="华文细黑" w:hint="default"/>
          <w:sz w:val="2"/>
          <w:szCs w:val="2"/>
        </w:rPr>
      </w:pPr>
      <w:r>
        <w:rPr/>
        <w:pict>
          <v:group style="position:absolute;margin-left:595.210022pt;margin-top:0pt;width:.1pt;height:36.2pt;mso-position-horizontal-relative:page;mso-position-vertical-relative:page;z-index:1192" coordorigin="11904,0" coordsize="2,724">
            <v:shape style="position:absolute;left:11904;top:0;width:2;height:724" coordorigin="11904,0" coordsize="0,724" path="m11904,0l11904,724e" filled="false" stroked="true" strokeweight=".220007pt" strokecolor="#000000">
              <v:path arrowok="t"/>
            </v:shape>
            <w10:wrap type="none"/>
          </v:group>
        </w:pict>
      </w:r>
      <w:r>
        <w:rPr>
          <w:rFonts w:ascii="华文细黑" w:hAnsi="华文细黑" w:cs="华文细黑" w:eastAsia="华文细黑" w:hint="default"/>
          <w:sz w:val="2"/>
          <w:szCs w:val="2"/>
        </w:rPr>
        <w:pict>
          <v:group style="width:485.5pt;height:.5pt;mso-position-horizontal-relative:char;mso-position-vertical-relative:line" coordorigin="0,0" coordsize="9710,10">
            <v:group style="position:absolute;left:5;top:5;width:9700;height:2" coordorigin="5,5" coordsize="9700,2">
              <v:shape style="position:absolute;left:5;top:5;width:9700;height:2" coordorigin="5,5" coordsize="9700,0" path="m5,5l9704,5e" filled="false" stroked="true" strokeweight=".48pt" strokecolor="#000000">
                <v:path arrowok="t"/>
              </v:shape>
            </v:group>
          </v:group>
        </w:pict>
      </w:r>
      <w:r>
        <w:rPr>
          <w:rFonts w:ascii="华文细黑" w:hAnsi="华文细黑" w:cs="华文细黑" w:eastAsia="华文细黑" w:hint="default"/>
          <w:sz w:val="2"/>
          <w:szCs w:val="2"/>
        </w:rPr>
      </w:r>
    </w:p>
    <w:p>
      <w:pPr>
        <w:spacing w:line="240" w:lineRule="auto" w:before="2"/>
        <w:rPr>
          <w:rFonts w:ascii="华文细黑" w:hAnsi="华文细黑" w:cs="华文细黑" w:eastAsia="华文细黑" w:hint="default"/>
          <w:sz w:val="27"/>
          <w:szCs w:val="27"/>
        </w:rPr>
      </w:pPr>
    </w:p>
    <w:p>
      <w:pPr>
        <w:pStyle w:val="Heading1"/>
        <w:spacing w:line="416" w:lineRule="exact"/>
        <w:ind w:left="4654" w:right="5610"/>
        <w:jc w:val="center"/>
        <w:rPr>
          <w:b w:val="0"/>
          <w:bCs w:val="0"/>
        </w:rPr>
      </w:pPr>
      <w:bookmarkStart w:name="释义" w:id="8"/>
      <w:bookmarkEnd w:id="8"/>
      <w:r>
        <w:rPr>
          <w:b w:val="0"/>
          <w:bCs w:val="0"/>
        </w:rPr>
      </w:r>
      <w:r>
        <w:rPr/>
        <w:t>释义</w:t>
      </w:r>
      <w:r>
        <w:rPr>
          <w:b w:val="0"/>
          <w:bCs w:val="0"/>
        </w:rPr>
      </w:r>
    </w:p>
    <w:p>
      <w:pPr>
        <w:spacing w:line="240" w:lineRule="auto" w:before="9"/>
        <w:rPr>
          <w:rFonts w:ascii="华文细黑" w:hAnsi="华文细黑" w:cs="华文细黑" w:eastAsia="华文细黑" w:hint="default"/>
          <w:b/>
          <w:bCs/>
          <w:sz w:val="12"/>
          <w:szCs w:val="12"/>
        </w:rPr>
      </w:pPr>
    </w:p>
    <w:tbl>
      <w:tblPr>
        <w:tblW w:w="0" w:type="auto"/>
        <w:jc w:val="left"/>
        <w:tblInd w:w="113" w:type="dxa"/>
        <w:tblLayout w:type="fixed"/>
        <w:tblCellMar>
          <w:top w:w="0" w:type="dxa"/>
          <w:left w:w="0" w:type="dxa"/>
          <w:bottom w:w="0" w:type="dxa"/>
          <w:right w:w="0" w:type="dxa"/>
        </w:tblCellMar>
        <w:tblLook w:val="01E0"/>
      </w:tblPr>
      <w:tblGrid>
        <w:gridCol w:w="2080"/>
        <w:gridCol w:w="1147"/>
        <w:gridCol w:w="6522"/>
      </w:tblGrid>
      <w:tr>
        <w:trPr>
          <w:trHeight w:val="401"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b/>
                <w:bCs/>
                <w:sz w:val="18"/>
                <w:szCs w:val="18"/>
              </w:rPr>
              <w:t>释义项</w:t>
            </w:r>
            <w:r>
              <w:rPr>
                <w:rFonts w:ascii="华文细黑" w:hAnsi="华文细黑" w:cs="华文细黑" w:eastAsia="华文细黑" w:hint="default"/>
                <w:sz w:val="18"/>
                <w:szCs w:val="18"/>
              </w:rPr>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476"/>
              <w:jc w:val="right"/>
              <w:rPr>
                <w:rFonts w:ascii="华文细黑" w:hAnsi="华文细黑" w:cs="华文细黑" w:eastAsia="华文细黑" w:hint="default"/>
                <w:sz w:val="18"/>
                <w:szCs w:val="18"/>
              </w:rPr>
            </w:pPr>
            <w:r>
              <w:rPr>
                <w:rFonts w:ascii="华文细黑" w:hAnsi="华文细黑" w:cs="华文细黑" w:eastAsia="华文细黑" w:hint="default"/>
                <w:b/>
                <w:bCs/>
                <w:w w:val="99"/>
                <w:sz w:val="18"/>
                <w:szCs w:val="18"/>
              </w:rPr>
              <w:t>指</w:t>
            </w:r>
            <w:r>
              <w:rPr>
                <w:rFonts w:ascii="华文细黑" w:hAnsi="华文细黑" w:cs="华文细黑" w:eastAsia="华文细黑" w:hint="default"/>
                <w:sz w:val="18"/>
                <w:szCs w:val="18"/>
              </w:rPr>
            </w:r>
          </w:p>
        </w:tc>
        <w:tc>
          <w:tcPr>
            <w:tcW w:w="65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1"/>
              <w:jc w:val="center"/>
              <w:rPr>
                <w:rFonts w:ascii="华文细黑" w:hAnsi="华文细黑" w:cs="华文细黑" w:eastAsia="华文细黑" w:hint="default"/>
                <w:sz w:val="18"/>
                <w:szCs w:val="18"/>
              </w:rPr>
            </w:pPr>
            <w:r>
              <w:rPr>
                <w:rFonts w:ascii="华文细黑" w:hAnsi="华文细黑" w:cs="华文细黑" w:eastAsia="华文细黑" w:hint="default"/>
                <w:b/>
                <w:bCs/>
                <w:sz w:val="18"/>
                <w:szCs w:val="18"/>
              </w:rPr>
              <w:t>释义内容</w:t>
            </w:r>
            <w:r>
              <w:rPr>
                <w:rFonts w:ascii="华文细黑" w:hAnsi="华文细黑" w:cs="华文细黑" w:eastAsia="华文细黑" w:hint="default"/>
                <w:sz w:val="18"/>
                <w:szCs w:val="18"/>
              </w:rPr>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公司、本公司或爱施德</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深圳市爱施德股份有限公司</w:t>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中国证监会</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中国证券监督管理委员会</w:t>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深圳证监局</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中国证券监督管理委员会深圳证监局</w:t>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深交所</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深圳证券交易所</w:t>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《公司法》</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《中华人民共和国公司法》</w:t>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《证券法》</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《中华人民共和国证券法》</w:t>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中国移动</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中国移动通信集团公司</w:t>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中国联通</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中国联合通信有限公司</w:t>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中新控股</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中新控股科技集团有限公司</w:t>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西藏酷爱</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西藏酷爱通信有限公司</w:t>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由你购、</w:t>
            </w:r>
            <w:r>
              <w:rPr>
                <w:rFonts w:ascii="华文细黑" w:hAnsi="华文细黑" w:cs="华文细黑" w:eastAsia="华文细黑" w:hint="default"/>
                <w:sz w:val="18"/>
                <w:szCs w:val="18"/>
              </w:rPr>
              <w:t>YNG</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深圳由你网络技术有限公司</w:t>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爱保科技</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深圳市爱保科技信息服务有限公司</w:t>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一号机</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深圳市一号机科技有限公司</w:t>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爱施德（香港）</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爱施德（香港）有限公司</w:t>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酷动数码、</w:t>
            </w:r>
            <w:r>
              <w:rPr>
                <w:rFonts w:ascii="华文细黑" w:hAnsi="华文细黑" w:cs="华文细黑" w:eastAsia="华文细黑" w:hint="default"/>
                <w:sz w:val="18"/>
                <w:szCs w:val="18"/>
              </w:rPr>
              <w:t>coodoo</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深圳市酷动数码有限公司</w:t>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优友互联</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深圳市优友互联有限公司</w:t>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海南小贷</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海南先锋网信小额贷款有限公司</w:t>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爱施德小贷</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江西赣江新区爱施德网络小额贷款有限公司</w:t>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优友金服</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深圳市优友金融服务有限公司</w:t>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爱享投资</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深圳市爱享投资有限公司</w:t>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酷亿投资</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共青城酷亿投资管理合伙企业</w:t>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华贵人寿</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华贵人寿保险股份有限公司</w:t>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1"/>
              <w:jc w:val="center"/>
              <w:rPr>
                <w:rFonts w:ascii="华文细黑" w:hAnsi="华文细黑" w:cs="华文细黑" w:eastAsia="华文细黑" w:hint="default"/>
                <w:sz w:val="18"/>
                <w:szCs w:val="18"/>
              </w:rPr>
            </w:pPr>
            <w:r>
              <w:rPr>
                <w:rFonts w:ascii="华文细黑"/>
                <w:sz w:val="18"/>
              </w:rPr>
              <w:t>5G</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第五代移动电话行动通信标准，也称第五代移动通信技术</w:t>
            </w:r>
          </w:p>
        </w:tc>
      </w:tr>
      <w:tr>
        <w:trPr>
          <w:trHeight w:val="402"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sz w:val="18"/>
              </w:rPr>
              <w:t>MVNE</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Mobile Virtual Network Enabler</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的简称，即移动虚拟网络提供商</w:t>
            </w:r>
          </w:p>
        </w:tc>
      </w:tr>
      <w:tr>
        <w:trPr>
          <w:trHeight w:val="714"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
              <w:ind w:right="0"/>
              <w:jc w:val="left"/>
              <w:rPr>
                <w:rFonts w:ascii="华文细黑" w:hAnsi="华文细黑" w:cs="华文细黑" w:eastAsia="华文细黑" w:hint="default"/>
                <w:b/>
                <w:bCs/>
                <w:sz w:val="13"/>
                <w:szCs w:val="13"/>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sz w:val="18"/>
              </w:rPr>
              <w:t>eSIM</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
              <w:ind w:right="0"/>
              <w:jc w:val="left"/>
              <w:rPr>
                <w:rFonts w:ascii="华文细黑" w:hAnsi="华文细黑" w:cs="华文细黑" w:eastAsia="华文细黑" w:hint="default"/>
                <w:b/>
                <w:bCs/>
                <w:sz w:val="13"/>
                <w:szCs w:val="13"/>
              </w:rPr>
            </w:pPr>
          </w:p>
          <w:p>
            <w:pPr>
              <w:pStyle w:val="TableParagraph"/>
              <w:spacing w:line="240" w:lineRule="auto"/>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12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embedded SIM </w:t>
            </w:r>
            <w:r>
              <w:rPr>
                <w:rFonts w:ascii="华文细黑" w:hAnsi="华文细黑" w:cs="华文细黑" w:eastAsia="华文细黑" w:hint="default"/>
                <w:sz w:val="18"/>
                <w:szCs w:val="18"/>
              </w:rPr>
              <w:t>的简称，又称嵌入式 </w:t>
            </w:r>
            <w:r>
              <w:rPr>
                <w:rFonts w:ascii="华文细黑" w:hAnsi="华文细黑" w:cs="华文细黑" w:eastAsia="华文细黑" w:hint="default"/>
                <w:sz w:val="18"/>
                <w:szCs w:val="18"/>
              </w:rPr>
              <w:t>SIM</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卡，是一种新型的安全芯片，将传统 </w:t>
            </w:r>
            <w:r>
              <w:rPr>
                <w:rFonts w:ascii="华文细黑" w:hAnsi="华文细黑" w:cs="华文细黑" w:eastAsia="华文细黑" w:hint="default"/>
                <w:sz w:val="18"/>
                <w:szCs w:val="18"/>
              </w:rPr>
              <w:t>SIM </w:t>
            </w:r>
            <w:r>
              <w:rPr>
                <w:rFonts w:ascii="华文细黑" w:hAnsi="华文细黑" w:cs="华文细黑" w:eastAsia="华文细黑" w:hint="default"/>
                <w:sz w:val="18"/>
                <w:szCs w:val="18"/>
              </w:rPr>
              <w:t>卡嵌入到设备芯片中，用于远程管理多个移动网络运营商个人化管理服务</w:t>
            </w:r>
          </w:p>
        </w:tc>
      </w:tr>
      <w:tr>
        <w:trPr>
          <w:trHeight w:val="403" w:hRule="exact"/>
        </w:trPr>
        <w:tc>
          <w:tcPr>
            <w:tcW w:w="2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本报告期</w:t>
            </w:r>
          </w:p>
        </w:tc>
        <w:tc>
          <w:tcPr>
            <w:tcW w:w="11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4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指</w:t>
            </w:r>
          </w:p>
        </w:tc>
        <w:tc>
          <w:tcPr>
            <w:tcW w:w="65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1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1 </w:t>
            </w:r>
            <w:r>
              <w:rPr>
                <w:rFonts w:ascii="华文细黑" w:hAnsi="华文细黑" w:cs="华文细黑" w:eastAsia="华文细黑" w:hint="default"/>
                <w:sz w:val="18"/>
                <w:szCs w:val="18"/>
              </w:rPr>
              <w:t>日至 </w:t>
            </w: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12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31</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日</w:t>
            </w:r>
          </w:p>
        </w:tc>
      </w:tr>
    </w:tbl>
    <w:p>
      <w:pPr>
        <w:spacing w:after="0" w:line="240" w:lineRule="auto"/>
        <w:jc w:val="center"/>
        <w:rPr>
          <w:rFonts w:ascii="华文细黑" w:hAnsi="华文细黑" w:cs="华文细黑" w:eastAsia="华文细黑" w:hint="default"/>
          <w:sz w:val="18"/>
          <w:szCs w:val="18"/>
        </w:rPr>
        <w:sectPr>
          <w:footerReference w:type="default" r:id="rId18"/>
          <w:pgSz w:w="11910" w:h="16840"/>
          <w:pgMar w:footer="1019" w:header="917" w:top="1100" w:bottom="1200" w:left="960" w:right="0"/>
          <w:pgNumType w:start="7"/>
        </w:sectPr>
      </w:pPr>
    </w:p>
    <w:p>
      <w:pPr>
        <w:spacing w:line="20" w:lineRule="exact"/>
        <w:ind w:left="199" w:right="0" w:firstLine="0"/>
        <w:rPr>
          <w:rFonts w:ascii="华文细黑" w:hAnsi="华文细黑" w:cs="华文细黑" w:eastAsia="华文细黑" w:hint="default"/>
          <w:sz w:val="2"/>
          <w:szCs w:val="2"/>
        </w:rPr>
      </w:pPr>
      <w:r>
        <w:rPr>
          <w:rFonts w:ascii="华文细黑" w:hAnsi="华文细黑" w:cs="华文细黑" w:eastAsia="华文细黑" w:hint="default"/>
          <w:sz w:val="2"/>
          <w:szCs w:val="2"/>
        </w:rPr>
        <w:pict>
          <v:group style="width:485.5pt;height:.5pt;mso-position-horizontal-relative:char;mso-position-vertical-relative:line" coordorigin="0,0" coordsize="9710,10">
            <v:group style="position:absolute;left:5;top:5;width:9700;height:2" coordorigin="5,5" coordsize="9700,2">
              <v:shape style="position:absolute;left:5;top:5;width:9700;height:2" coordorigin="5,5" coordsize="9700,0" path="m5,5l9704,5e" filled="false" stroked="true" strokeweight=".48pt" strokecolor="#000000">
                <v:path arrowok="t"/>
              </v:shape>
            </v:group>
          </v:group>
        </w:pict>
      </w:r>
      <w:r>
        <w:rPr>
          <w:rFonts w:ascii="华文细黑" w:hAnsi="华文细黑" w:cs="华文细黑" w:eastAsia="华文细黑" w:hint="default"/>
          <w:sz w:val="2"/>
          <w:szCs w:val="2"/>
        </w:rPr>
      </w: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12"/>
        <w:rPr>
          <w:rFonts w:ascii="华文细黑" w:hAnsi="华文细黑" w:cs="华文细黑" w:eastAsia="华文细黑" w:hint="default"/>
          <w:b/>
          <w:bCs/>
          <w:sz w:val="12"/>
          <w:szCs w:val="12"/>
        </w:rPr>
      </w:pPr>
    </w:p>
    <w:p>
      <w:pPr>
        <w:pStyle w:val="Heading1"/>
        <w:spacing w:line="416" w:lineRule="exact"/>
        <w:ind w:left="2730" w:right="1023"/>
        <w:jc w:val="left"/>
        <w:rPr>
          <w:b w:val="0"/>
          <w:bCs w:val="0"/>
        </w:rPr>
      </w:pPr>
      <w:bookmarkStart w:name="第二节 公司简介和主要财务指标" w:id="9"/>
      <w:bookmarkEnd w:id="9"/>
      <w:r>
        <w:rPr>
          <w:b w:val="0"/>
          <w:bCs w:val="0"/>
        </w:rPr>
      </w:r>
      <w:bookmarkStart w:name="_bookmark0" w:id="10"/>
      <w:bookmarkEnd w:id="10"/>
      <w:r>
        <w:rPr>
          <w:b w:val="0"/>
          <w:bCs w:val="0"/>
        </w:rPr>
      </w:r>
      <w:r>
        <w:rPr/>
        <w:t>第二节</w:t>
      </w:r>
      <w:r>
        <w:rPr>
          <w:spacing w:val="79"/>
        </w:rPr>
        <w:t> </w:t>
      </w:r>
      <w:r>
        <w:rPr/>
        <w:t>公司简介和主要财务指标</w:t>
      </w:r>
      <w:r>
        <w:rPr>
          <w:b w:val="0"/>
          <w:bCs w:val="0"/>
        </w:rPr>
      </w:r>
    </w:p>
    <w:p>
      <w:pPr>
        <w:spacing w:line="240" w:lineRule="auto" w:before="0"/>
        <w:rPr>
          <w:rFonts w:ascii="华文细黑" w:hAnsi="华文细黑" w:cs="华文细黑" w:eastAsia="华文细黑" w:hint="default"/>
          <w:b/>
          <w:bCs/>
          <w:sz w:val="20"/>
          <w:szCs w:val="20"/>
        </w:rPr>
      </w:pPr>
    </w:p>
    <w:p>
      <w:pPr>
        <w:spacing w:line="240" w:lineRule="auto" w:before="4"/>
        <w:rPr>
          <w:rFonts w:ascii="华文细黑" w:hAnsi="华文细黑" w:cs="华文细黑" w:eastAsia="华文细黑" w:hint="default"/>
          <w:b/>
          <w:bCs/>
          <w:sz w:val="23"/>
          <w:szCs w:val="23"/>
        </w:rPr>
      </w:pPr>
    </w:p>
    <w:p>
      <w:pPr>
        <w:pStyle w:val="Heading2"/>
        <w:spacing w:line="396" w:lineRule="exact"/>
        <w:ind w:right="1023"/>
        <w:jc w:val="left"/>
        <w:rPr>
          <w:b w:val="0"/>
          <w:bCs w:val="0"/>
        </w:rPr>
      </w:pPr>
      <w:bookmarkStart w:name="一、公司信息" w:id="11"/>
      <w:bookmarkEnd w:id="11"/>
      <w:r>
        <w:rPr>
          <w:b w:val="0"/>
          <w:bCs w:val="0"/>
        </w:rPr>
      </w:r>
      <w:r>
        <w:rPr/>
        <w:t>一、公司信息</w:t>
      </w:r>
      <w:r>
        <w:rPr>
          <w:b w:val="0"/>
          <w:bCs w:val="0"/>
        </w:rPr>
      </w:r>
    </w:p>
    <w:p>
      <w:pPr>
        <w:spacing w:line="240" w:lineRule="auto" w:before="0"/>
        <w:rPr>
          <w:rFonts w:ascii="华文细黑" w:hAnsi="华文细黑" w:cs="华文细黑" w:eastAsia="华文细黑" w:hint="default"/>
          <w:b/>
          <w:bCs/>
          <w:sz w:val="20"/>
          <w:szCs w:val="20"/>
        </w:rPr>
      </w:pPr>
    </w:p>
    <w:p>
      <w:pPr>
        <w:spacing w:line="240" w:lineRule="auto" w:before="12"/>
        <w:rPr>
          <w:rFonts w:ascii="华文细黑" w:hAnsi="华文细黑" w:cs="华文细黑" w:eastAsia="华文细黑" w:hint="default"/>
          <w:b/>
          <w:bCs/>
          <w:sz w:val="11"/>
          <w:szCs w:val="11"/>
        </w:rPr>
      </w:pPr>
    </w:p>
    <w:tbl>
      <w:tblPr>
        <w:tblW w:w="0" w:type="auto"/>
        <w:jc w:val="left"/>
        <w:tblInd w:w="117" w:type="dxa"/>
        <w:tblLayout w:type="fixed"/>
        <w:tblCellMar>
          <w:top w:w="0" w:type="dxa"/>
          <w:left w:w="0" w:type="dxa"/>
          <w:bottom w:w="0" w:type="dxa"/>
          <w:right w:w="0" w:type="dxa"/>
        </w:tblCellMar>
        <w:tblLook w:val="01E0"/>
      </w:tblPr>
      <w:tblGrid>
        <w:gridCol w:w="3178"/>
        <w:gridCol w:w="2060"/>
        <w:gridCol w:w="2157"/>
        <w:gridCol w:w="2176"/>
      </w:tblGrid>
      <w:tr>
        <w:trPr>
          <w:trHeight w:val="402" w:hRule="exact"/>
        </w:trPr>
        <w:tc>
          <w:tcPr>
            <w:tcW w:w="31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股票简称</w:t>
            </w:r>
          </w:p>
        </w:tc>
        <w:tc>
          <w:tcPr>
            <w:tcW w:w="20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爱施德</w:t>
            </w:r>
          </w:p>
        </w:tc>
        <w:tc>
          <w:tcPr>
            <w:tcW w:w="215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股票代码</w:t>
            </w:r>
          </w:p>
        </w:tc>
        <w:tc>
          <w:tcPr>
            <w:tcW w:w="21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sz w:val="18"/>
              </w:rPr>
              <w:t>002416</w:t>
            </w:r>
          </w:p>
        </w:tc>
      </w:tr>
      <w:tr>
        <w:trPr>
          <w:trHeight w:val="402" w:hRule="exact"/>
        </w:trPr>
        <w:tc>
          <w:tcPr>
            <w:tcW w:w="31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股票上市证券交易所</w:t>
            </w:r>
          </w:p>
        </w:tc>
        <w:tc>
          <w:tcPr>
            <w:tcW w:w="6392"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深圳证券交易所</w:t>
            </w:r>
          </w:p>
        </w:tc>
      </w:tr>
      <w:tr>
        <w:trPr>
          <w:trHeight w:val="402" w:hRule="exact"/>
        </w:trPr>
        <w:tc>
          <w:tcPr>
            <w:tcW w:w="31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公司的中文名称</w:t>
            </w:r>
          </w:p>
        </w:tc>
        <w:tc>
          <w:tcPr>
            <w:tcW w:w="6392"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深圳市爱施德股份有限公司</w:t>
            </w:r>
          </w:p>
        </w:tc>
      </w:tr>
      <w:tr>
        <w:trPr>
          <w:trHeight w:val="402" w:hRule="exact"/>
        </w:trPr>
        <w:tc>
          <w:tcPr>
            <w:tcW w:w="31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公司的中文简称</w:t>
            </w:r>
          </w:p>
        </w:tc>
        <w:tc>
          <w:tcPr>
            <w:tcW w:w="6392"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爱施德</w:t>
            </w:r>
          </w:p>
        </w:tc>
      </w:tr>
      <w:tr>
        <w:trPr>
          <w:trHeight w:val="402" w:hRule="exact"/>
        </w:trPr>
        <w:tc>
          <w:tcPr>
            <w:tcW w:w="31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公司的外文名称（如有）</w:t>
            </w:r>
          </w:p>
        </w:tc>
        <w:tc>
          <w:tcPr>
            <w:tcW w:w="6392"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Shenzhen Aisidi</w:t>
            </w:r>
            <w:r>
              <w:rPr>
                <w:rFonts w:ascii="华文细黑"/>
                <w:spacing w:val="-4"/>
                <w:sz w:val="18"/>
              </w:rPr>
              <w:t> </w:t>
            </w:r>
            <w:r>
              <w:rPr>
                <w:rFonts w:ascii="华文细黑"/>
                <w:sz w:val="18"/>
              </w:rPr>
              <w:t>CO.,LTD.</w:t>
            </w:r>
          </w:p>
        </w:tc>
      </w:tr>
      <w:tr>
        <w:trPr>
          <w:trHeight w:val="402" w:hRule="exact"/>
        </w:trPr>
        <w:tc>
          <w:tcPr>
            <w:tcW w:w="31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公司的外文名称缩写（如有）</w:t>
            </w:r>
          </w:p>
        </w:tc>
        <w:tc>
          <w:tcPr>
            <w:tcW w:w="6392"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aisidi</w:t>
            </w:r>
          </w:p>
        </w:tc>
      </w:tr>
      <w:tr>
        <w:trPr>
          <w:trHeight w:val="402" w:hRule="exact"/>
        </w:trPr>
        <w:tc>
          <w:tcPr>
            <w:tcW w:w="31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公司的法定代表人</w:t>
            </w:r>
          </w:p>
        </w:tc>
        <w:tc>
          <w:tcPr>
            <w:tcW w:w="6392"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黄文辉</w:t>
            </w:r>
          </w:p>
        </w:tc>
      </w:tr>
      <w:tr>
        <w:trPr>
          <w:trHeight w:val="402" w:hRule="exact"/>
        </w:trPr>
        <w:tc>
          <w:tcPr>
            <w:tcW w:w="31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注册地址</w:t>
            </w:r>
          </w:p>
        </w:tc>
        <w:tc>
          <w:tcPr>
            <w:tcW w:w="6392"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深圳市福田区泰然大道东泰然劲松大厦</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20F</w:t>
            </w:r>
          </w:p>
        </w:tc>
      </w:tr>
      <w:tr>
        <w:trPr>
          <w:trHeight w:val="402" w:hRule="exact"/>
        </w:trPr>
        <w:tc>
          <w:tcPr>
            <w:tcW w:w="31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注册地址的邮政编码</w:t>
            </w:r>
          </w:p>
        </w:tc>
        <w:tc>
          <w:tcPr>
            <w:tcW w:w="6392"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518040</w:t>
            </w:r>
          </w:p>
        </w:tc>
      </w:tr>
      <w:tr>
        <w:trPr>
          <w:trHeight w:val="402" w:hRule="exact"/>
        </w:trPr>
        <w:tc>
          <w:tcPr>
            <w:tcW w:w="31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办公地址</w:t>
            </w:r>
          </w:p>
        </w:tc>
        <w:tc>
          <w:tcPr>
            <w:tcW w:w="6392"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深圳市南山区沙河西路 </w:t>
            </w:r>
            <w:r>
              <w:rPr>
                <w:rFonts w:ascii="华文细黑" w:hAnsi="华文细黑" w:cs="华文细黑" w:eastAsia="华文细黑" w:hint="default"/>
                <w:sz w:val="18"/>
                <w:szCs w:val="18"/>
              </w:rPr>
              <w:t>3151 </w:t>
            </w:r>
            <w:r>
              <w:rPr>
                <w:rFonts w:ascii="华文细黑" w:hAnsi="华文细黑" w:cs="华文细黑" w:eastAsia="华文细黑" w:hint="default"/>
                <w:sz w:val="18"/>
                <w:szCs w:val="18"/>
              </w:rPr>
              <w:t>号新兴产业园（健兴科技大厦）</w:t>
            </w:r>
            <w:r>
              <w:rPr>
                <w:rFonts w:ascii="华文细黑" w:hAnsi="华文细黑" w:cs="华文细黑" w:eastAsia="华文细黑" w:hint="default"/>
                <w:sz w:val="18"/>
                <w:szCs w:val="18"/>
              </w:rPr>
              <w:t>C </w:t>
            </w:r>
            <w:r>
              <w:rPr>
                <w:rFonts w:ascii="华文细黑" w:hAnsi="华文细黑" w:cs="华文细黑" w:eastAsia="华文细黑" w:hint="default"/>
                <w:sz w:val="18"/>
                <w:szCs w:val="18"/>
              </w:rPr>
              <w:t>栋 </w:t>
            </w:r>
            <w:r>
              <w:rPr>
                <w:rFonts w:ascii="华文细黑" w:hAnsi="华文细黑" w:cs="华文细黑" w:eastAsia="华文细黑" w:hint="default"/>
                <w:sz w:val="18"/>
                <w:szCs w:val="18"/>
              </w:rPr>
              <w:t>8</w:t>
            </w:r>
            <w:r>
              <w:rPr>
                <w:rFonts w:ascii="华文细黑" w:hAnsi="华文细黑" w:cs="华文细黑" w:eastAsia="华文细黑" w:hint="default"/>
                <w:spacing w:val="-6"/>
                <w:sz w:val="18"/>
                <w:szCs w:val="18"/>
              </w:rPr>
              <w:t> </w:t>
            </w:r>
            <w:r>
              <w:rPr>
                <w:rFonts w:ascii="华文细黑" w:hAnsi="华文细黑" w:cs="华文细黑" w:eastAsia="华文细黑" w:hint="default"/>
                <w:sz w:val="18"/>
                <w:szCs w:val="18"/>
              </w:rPr>
              <w:t>楼</w:t>
            </w:r>
          </w:p>
        </w:tc>
      </w:tr>
      <w:tr>
        <w:trPr>
          <w:trHeight w:val="402" w:hRule="exact"/>
        </w:trPr>
        <w:tc>
          <w:tcPr>
            <w:tcW w:w="31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办公地址的邮政编码</w:t>
            </w:r>
          </w:p>
        </w:tc>
        <w:tc>
          <w:tcPr>
            <w:tcW w:w="6392"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518055</w:t>
            </w:r>
          </w:p>
        </w:tc>
      </w:tr>
      <w:tr>
        <w:trPr>
          <w:trHeight w:val="402" w:hRule="exact"/>
        </w:trPr>
        <w:tc>
          <w:tcPr>
            <w:tcW w:w="31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公司网址</w:t>
            </w:r>
          </w:p>
        </w:tc>
        <w:tc>
          <w:tcPr>
            <w:tcW w:w="6392"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hyperlink r:id="rId19">
              <w:r>
                <w:rPr>
                  <w:rFonts w:ascii="华文细黑"/>
                  <w:sz w:val="18"/>
                </w:rPr>
                <w:t>http://www.aisidi.com</w:t>
              </w:r>
            </w:hyperlink>
          </w:p>
        </w:tc>
      </w:tr>
      <w:tr>
        <w:trPr>
          <w:trHeight w:val="402" w:hRule="exact"/>
        </w:trPr>
        <w:tc>
          <w:tcPr>
            <w:tcW w:w="31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电子信箱</w:t>
            </w:r>
          </w:p>
        </w:tc>
        <w:tc>
          <w:tcPr>
            <w:tcW w:w="6392"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hyperlink r:id="rId20">
              <w:r>
                <w:rPr>
                  <w:rFonts w:ascii="华文细黑"/>
                  <w:sz w:val="18"/>
                </w:rPr>
                <w:t>ir@aisidi.com</w:t>
              </w:r>
            </w:hyperlink>
          </w:p>
        </w:tc>
      </w:tr>
    </w:tbl>
    <w:p>
      <w:pPr>
        <w:spacing w:line="240" w:lineRule="auto" w:before="11"/>
        <w:rPr>
          <w:rFonts w:ascii="华文细黑" w:hAnsi="华文细黑" w:cs="华文细黑" w:eastAsia="华文细黑" w:hint="default"/>
          <w:b/>
          <w:bCs/>
          <w:sz w:val="26"/>
          <w:szCs w:val="26"/>
        </w:rPr>
      </w:pPr>
    </w:p>
    <w:p>
      <w:pPr>
        <w:spacing w:line="396" w:lineRule="exact" w:before="0"/>
        <w:ind w:left="234" w:right="1023" w:firstLine="0"/>
        <w:jc w:val="left"/>
        <w:rPr>
          <w:rFonts w:ascii="华文细黑" w:hAnsi="华文细黑" w:cs="华文细黑" w:eastAsia="华文细黑" w:hint="default"/>
          <w:sz w:val="30"/>
          <w:szCs w:val="30"/>
        </w:rPr>
      </w:pPr>
      <w:bookmarkStart w:name="二、联系人和联系方式" w:id="12"/>
      <w:bookmarkEnd w:id="12"/>
      <w:r>
        <w:rPr/>
      </w:r>
      <w:r>
        <w:rPr>
          <w:rFonts w:ascii="华文细黑" w:hAnsi="华文细黑" w:cs="华文细黑" w:eastAsia="华文细黑" w:hint="default"/>
          <w:b/>
          <w:bCs/>
          <w:sz w:val="30"/>
          <w:szCs w:val="30"/>
        </w:rPr>
        <w:t>二、联系人和联系方式</w:t>
      </w:r>
      <w:r>
        <w:rPr>
          <w:rFonts w:ascii="华文细黑" w:hAnsi="华文细黑" w:cs="华文细黑" w:eastAsia="华文细黑" w:hint="default"/>
          <w:sz w:val="30"/>
          <w:szCs w:val="30"/>
        </w:rPr>
      </w:r>
    </w:p>
    <w:p>
      <w:pPr>
        <w:spacing w:line="240" w:lineRule="auto" w:before="0"/>
        <w:rPr>
          <w:rFonts w:ascii="华文细黑" w:hAnsi="华文细黑" w:cs="华文细黑" w:eastAsia="华文细黑" w:hint="default"/>
          <w:b/>
          <w:bCs/>
          <w:sz w:val="20"/>
          <w:szCs w:val="20"/>
        </w:rPr>
      </w:pPr>
    </w:p>
    <w:p>
      <w:pPr>
        <w:spacing w:line="240" w:lineRule="auto" w:before="13"/>
        <w:rPr>
          <w:rFonts w:ascii="华文细黑" w:hAnsi="华文细黑" w:cs="华文细黑" w:eastAsia="华文细黑" w:hint="default"/>
          <w:b/>
          <w:bCs/>
          <w:sz w:val="11"/>
          <w:szCs w:val="11"/>
        </w:rPr>
      </w:pPr>
    </w:p>
    <w:tbl>
      <w:tblPr>
        <w:tblW w:w="0" w:type="auto"/>
        <w:jc w:val="left"/>
        <w:tblInd w:w="117" w:type="dxa"/>
        <w:tblLayout w:type="fixed"/>
        <w:tblCellMar>
          <w:top w:w="0" w:type="dxa"/>
          <w:left w:w="0" w:type="dxa"/>
          <w:bottom w:w="0" w:type="dxa"/>
          <w:right w:w="0" w:type="dxa"/>
        </w:tblCellMar>
        <w:tblLook w:val="01E0"/>
      </w:tblPr>
      <w:tblGrid>
        <w:gridCol w:w="3189"/>
        <w:gridCol w:w="3191"/>
        <w:gridCol w:w="3190"/>
      </w:tblGrid>
      <w:tr>
        <w:trPr>
          <w:trHeight w:val="401" w:hRule="exact"/>
        </w:trPr>
        <w:tc>
          <w:tcPr>
            <w:tcW w:w="3189"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319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董事会秘书</w:t>
            </w:r>
          </w:p>
        </w:tc>
        <w:tc>
          <w:tcPr>
            <w:tcW w:w="31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4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证券事务代表</w:t>
            </w:r>
          </w:p>
        </w:tc>
      </w:tr>
      <w:tr>
        <w:trPr>
          <w:trHeight w:val="402" w:hRule="exact"/>
        </w:trPr>
        <w:tc>
          <w:tcPr>
            <w:tcW w:w="318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姓名</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米泽东</w:t>
            </w:r>
          </w:p>
        </w:tc>
        <w:tc>
          <w:tcPr>
            <w:tcW w:w="31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赵玲玲</w:t>
            </w:r>
          </w:p>
        </w:tc>
      </w:tr>
      <w:tr>
        <w:trPr>
          <w:trHeight w:val="714" w:hRule="exact"/>
        </w:trPr>
        <w:tc>
          <w:tcPr>
            <w:tcW w:w="318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
              <w:ind w:right="0"/>
              <w:jc w:val="left"/>
              <w:rPr>
                <w:rFonts w:ascii="华文细黑" w:hAnsi="华文细黑" w:cs="华文细黑" w:eastAsia="华文细黑" w:hint="default"/>
                <w:b/>
                <w:bCs/>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联系地址</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10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深圳市南山区沙河西路</w:t>
            </w:r>
            <w:r>
              <w:rPr>
                <w:rFonts w:ascii="华文细黑" w:hAnsi="华文细黑" w:cs="华文细黑" w:eastAsia="华文细黑" w:hint="default"/>
                <w:spacing w:val="-20"/>
                <w:sz w:val="18"/>
                <w:szCs w:val="18"/>
              </w:rPr>
              <w:t> </w:t>
            </w:r>
            <w:r>
              <w:rPr>
                <w:rFonts w:ascii="华文细黑" w:hAnsi="华文细黑" w:cs="华文细黑" w:eastAsia="华文细黑" w:hint="default"/>
                <w:sz w:val="18"/>
                <w:szCs w:val="18"/>
              </w:rPr>
              <w:t>3151</w:t>
            </w:r>
            <w:r>
              <w:rPr>
                <w:rFonts w:ascii="华文细黑" w:hAnsi="华文细黑" w:cs="华文细黑" w:eastAsia="华文细黑" w:hint="default"/>
                <w:spacing w:val="-20"/>
                <w:sz w:val="18"/>
                <w:szCs w:val="18"/>
              </w:rPr>
              <w:t> </w:t>
            </w:r>
            <w:r>
              <w:rPr>
                <w:rFonts w:ascii="华文细黑" w:hAnsi="华文细黑" w:cs="华文细黑" w:eastAsia="华文细黑" w:hint="default"/>
                <w:sz w:val="18"/>
                <w:szCs w:val="18"/>
              </w:rPr>
              <w:t>号新兴产 业园（健兴科技大厦）</w:t>
            </w:r>
            <w:r>
              <w:rPr>
                <w:rFonts w:ascii="华文细黑" w:hAnsi="华文细黑" w:cs="华文细黑" w:eastAsia="华文细黑" w:hint="default"/>
                <w:sz w:val="18"/>
                <w:szCs w:val="18"/>
              </w:rPr>
              <w:t>C </w:t>
            </w:r>
            <w:r>
              <w:rPr>
                <w:rFonts w:ascii="华文细黑" w:hAnsi="华文细黑" w:cs="华文细黑" w:eastAsia="华文细黑" w:hint="default"/>
                <w:sz w:val="18"/>
                <w:szCs w:val="18"/>
              </w:rPr>
              <w:t>栋 </w:t>
            </w:r>
            <w:r>
              <w:rPr>
                <w:rFonts w:ascii="华文细黑" w:hAnsi="华文细黑" w:cs="华文细黑" w:eastAsia="华文细黑" w:hint="default"/>
                <w:sz w:val="18"/>
                <w:szCs w:val="18"/>
              </w:rPr>
              <w:t>8</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楼</w:t>
            </w:r>
          </w:p>
        </w:tc>
        <w:tc>
          <w:tcPr>
            <w:tcW w:w="3190"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2" w:right="10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深圳市南山区沙河西路</w:t>
            </w:r>
            <w:r>
              <w:rPr>
                <w:rFonts w:ascii="华文细黑" w:hAnsi="华文细黑" w:cs="华文细黑" w:eastAsia="华文细黑" w:hint="default"/>
                <w:spacing w:val="-19"/>
                <w:sz w:val="18"/>
                <w:szCs w:val="18"/>
              </w:rPr>
              <w:t> </w:t>
            </w:r>
            <w:r>
              <w:rPr>
                <w:rFonts w:ascii="华文细黑" w:hAnsi="华文细黑" w:cs="华文细黑" w:eastAsia="华文细黑" w:hint="default"/>
                <w:sz w:val="18"/>
                <w:szCs w:val="18"/>
              </w:rPr>
              <w:t>3151</w:t>
            </w:r>
            <w:r>
              <w:rPr>
                <w:rFonts w:ascii="华文细黑" w:hAnsi="华文细黑" w:cs="华文细黑" w:eastAsia="华文细黑" w:hint="default"/>
                <w:spacing w:val="-20"/>
                <w:sz w:val="18"/>
                <w:szCs w:val="18"/>
              </w:rPr>
              <w:t> </w:t>
            </w:r>
            <w:r>
              <w:rPr>
                <w:rFonts w:ascii="华文细黑" w:hAnsi="华文细黑" w:cs="华文细黑" w:eastAsia="华文细黑" w:hint="default"/>
                <w:sz w:val="18"/>
                <w:szCs w:val="18"/>
              </w:rPr>
              <w:t>号新兴产 业园（健兴科技大厦）</w:t>
            </w:r>
            <w:r>
              <w:rPr>
                <w:rFonts w:ascii="华文细黑" w:hAnsi="华文细黑" w:cs="华文细黑" w:eastAsia="华文细黑" w:hint="default"/>
                <w:sz w:val="18"/>
                <w:szCs w:val="18"/>
              </w:rPr>
              <w:t>C </w:t>
            </w:r>
            <w:r>
              <w:rPr>
                <w:rFonts w:ascii="华文细黑" w:hAnsi="华文细黑" w:cs="华文细黑" w:eastAsia="华文细黑" w:hint="default"/>
                <w:sz w:val="18"/>
                <w:szCs w:val="18"/>
              </w:rPr>
              <w:t>栋 </w:t>
            </w:r>
            <w:r>
              <w:rPr>
                <w:rFonts w:ascii="华文细黑" w:hAnsi="华文细黑" w:cs="华文细黑" w:eastAsia="华文细黑" w:hint="default"/>
                <w:sz w:val="18"/>
                <w:szCs w:val="18"/>
              </w:rPr>
              <w:t>8</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楼</w:t>
            </w:r>
          </w:p>
        </w:tc>
      </w:tr>
      <w:tr>
        <w:trPr>
          <w:trHeight w:val="714" w:hRule="exact"/>
        </w:trPr>
        <w:tc>
          <w:tcPr>
            <w:tcW w:w="318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
              <w:ind w:right="0"/>
              <w:jc w:val="left"/>
              <w:rPr>
                <w:rFonts w:ascii="华文细黑" w:hAnsi="华文细黑" w:cs="华文细黑" w:eastAsia="华文细黑" w:hint="default"/>
                <w:b/>
                <w:bCs/>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电话</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0755-21519907</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0755-21519888</w:t>
            </w:r>
            <w:r>
              <w:rPr>
                <w:rFonts w:ascii="华文细黑" w:hAnsi="华文细黑" w:cs="华文细黑" w:eastAsia="华文细黑" w:hint="default"/>
                <w:spacing w:val="34"/>
                <w:sz w:val="18"/>
                <w:szCs w:val="18"/>
              </w:rPr>
              <w:t> </w:t>
            </w:r>
            <w:r>
              <w:rPr>
                <w:rFonts w:ascii="华文细黑" w:hAnsi="华文细黑" w:cs="华文细黑" w:eastAsia="华文细黑" w:hint="default"/>
                <w:sz w:val="18"/>
                <w:szCs w:val="18"/>
              </w:rPr>
              <w:t>转</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董事会办公室</w:t>
            </w:r>
          </w:p>
        </w:tc>
        <w:tc>
          <w:tcPr>
            <w:tcW w:w="31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0755-21519907</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0755-21519888</w:t>
            </w:r>
            <w:r>
              <w:rPr>
                <w:rFonts w:ascii="华文细黑" w:hAnsi="华文细黑" w:cs="华文细黑" w:eastAsia="华文细黑" w:hint="default"/>
                <w:spacing w:val="34"/>
                <w:sz w:val="18"/>
                <w:szCs w:val="18"/>
              </w:rPr>
              <w:t> </w:t>
            </w:r>
            <w:r>
              <w:rPr>
                <w:rFonts w:ascii="华文细黑" w:hAnsi="华文细黑" w:cs="华文细黑" w:eastAsia="华文细黑" w:hint="default"/>
                <w:sz w:val="18"/>
                <w:szCs w:val="18"/>
              </w:rPr>
              <w:t>转</w:t>
            </w:r>
          </w:p>
          <w:p>
            <w:pPr>
              <w:pStyle w:val="TableParagraph"/>
              <w:spacing w:line="240" w:lineRule="auto" w:before="58"/>
              <w:ind w:left="10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董事会办公室</w:t>
            </w:r>
          </w:p>
        </w:tc>
      </w:tr>
      <w:tr>
        <w:trPr>
          <w:trHeight w:val="402" w:hRule="exact"/>
        </w:trPr>
        <w:tc>
          <w:tcPr>
            <w:tcW w:w="318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传真</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sz w:val="18"/>
              </w:rPr>
              <w:t>0755-83890101</w:t>
            </w:r>
          </w:p>
        </w:tc>
        <w:tc>
          <w:tcPr>
            <w:tcW w:w="31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2" w:right="0"/>
              <w:jc w:val="left"/>
              <w:rPr>
                <w:rFonts w:ascii="华文细黑" w:hAnsi="华文细黑" w:cs="华文细黑" w:eastAsia="华文细黑" w:hint="default"/>
                <w:sz w:val="18"/>
                <w:szCs w:val="18"/>
              </w:rPr>
            </w:pPr>
            <w:r>
              <w:rPr>
                <w:rFonts w:ascii="华文细黑"/>
                <w:sz w:val="18"/>
              </w:rPr>
              <w:t>0755-83890101</w:t>
            </w:r>
          </w:p>
        </w:tc>
      </w:tr>
      <w:tr>
        <w:trPr>
          <w:trHeight w:val="403" w:hRule="exact"/>
        </w:trPr>
        <w:tc>
          <w:tcPr>
            <w:tcW w:w="318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电子信箱</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hyperlink r:id="rId20">
              <w:r>
                <w:rPr>
                  <w:rFonts w:ascii="华文细黑"/>
                  <w:sz w:val="18"/>
                </w:rPr>
                <w:t>ir@aisidi.com</w:t>
              </w:r>
            </w:hyperlink>
          </w:p>
        </w:tc>
        <w:tc>
          <w:tcPr>
            <w:tcW w:w="31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2" w:right="0"/>
              <w:jc w:val="left"/>
              <w:rPr>
                <w:rFonts w:ascii="华文细黑" w:hAnsi="华文细黑" w:cs="华文细黑" w:eastAsia="华文细黑" w:hint="default"/>
                <w:sz w:val="18"/>
                <w:szCs w:val="18"/>
              </w:rPr>
            </w:pPr>
            <w:hyperlink r:id="rId20">
              <w:r>
                <w:rPr>
                  <w:rFonts w:ascii="华文细黑"/>
                  <w:sz w:val="18"/>
                </w:rPr>
                <w:t>ir@aisidi.com</w:t>
              </w:r>
            </w:hyperlink>
          </w:p>
        </w:tc>
      </w:tr>
    </w:tbl>
    <w:p>
      <w:pPr>
        <w:spacing w:after="0" w:line="240" w:lineRule="auto"/>
        <w:jc w:val="left"/>
        <w:rPr>
          <w:rFonts w:ascii="华文细黑" w:hAnsi="华文细黑" w:cs="华文细黑" w:eastAsia="华文细黑" w:hint="default"/>
          <w:sz w:val="18"/>
          <w:szCs w:val="18"/>
        </w:rPr>
        <w:sectPr>
          <w:pgSz w:w="11910" w:h="16840"/>
          <w:pgMar w:header="917" w:footer="1019" w:top="1100" w:bottom="1200" w:left="900" w:right="0"/>
        </w:sect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before="119"/>
        <w:ind w:left="234" w:right="1023" w:firstLine="0"/>
        <w:jc w:val="left"/>
        <w:rPr>
          <w:rFonts w:ascii="华文细黑" w:hAnsi="华文细黑" w:cs="华文细黑" w:eastAsia="华文细黑" w:hint="default"/>
          <w:sz w:val="30"/>
          <w:szCs w:val="30"/>
        </w:rPr>
      </w:pPr>
      <w:bookmarkStart w:name="三、信息披露及备置地点" w:id="13"/>
      <w:bookmarkEnd w:id="13"/>
      <w:r>
        <w:rPr/>
      </w:r>
      <w:r>
        <w:rPr>
          <w:rFonts w:ascii="华文细黑" w:hAnsi="华文细黑" w:cs="华文细黑" w:eastAsia="华文细黑" w:hint="default"/>
          <w:b/>
          <w:bCs/>
          <w:sz w:val="30"/>
          <w:szCs w:val="30"/>
        </w:rPr>
        <w:t>三、信息披露及备置地点</w:t>
      </w:r>
      <w:r>
        <w:rPr>
          <w:rFonts w:ascii="华文细黑" w:hAnsi="华文细黑" w:cs="华文细黑" w:eastAsia="华文细黑" w:hint="default"/>
          <w:sz w:val="30"/>
          <w:szCs w:val="30"/>
        </w:rPr>
      </w:r>
    </w:p>
    <w:p>
      <w:pPr>
        <w:spacing w:line="240" w:lineRule="auto" w:before="0"/>
        <w:rPr>
          <w:rFonts w:ascii="华文细黑" w:hAnsi="华文细黑" w:cs="华文细黑" w:eastAsia="华文细黑" w:hint="default"/>
          <w:b/>
          <w:bCs/>
          <w:sz w:val="20"/>
          <w:szCs w:val="20"/>
        </w:rPr>
      </w:pPr>
    </w:p>
    <w:p>
      <w:pPr>
        <w:spacing w:line="240" w:lineRule="auto" w:before="12"/>
        <w:rPr>
          <w:rFonts w:ascii="华文细黑" w:hAnsi="华文细黑" w:cs="华文细黑" w:eastAsia="华文细黑" w:hint="default"/>
          <w:b/>
          <w:bCs/>
          <w:sz w:val="11"/>
          <w:szCs w:val="11"/>
        </w:rPr>
      </w:pPr>
    </w:p>
    <w:tbl>
      <w:tblPr>
        <w:tblW w:w="0" w:type="auto"/>
        <w:jc w:val="left"/>
        <w:tblInd w:w="117" w:type="dxa"/>
        <w:tblLayout w:type="fixed"/>
        <w:tblCellMar>
          <w:top w:w="0" w:type="dxa"/>
          <w:left w:w="0" w:type="dxa"/>
          <w:bottom w:w="0" w:type="dxa"/>
          <w:right w:w="0" w:type="dxa"/>
        </w:tblCellMar>
        <w:tblLook w:val="01E0"/>
      </w:tblPr>
      <w:tblGrid>
        <w:gridCol w:w="3193"/>
        <w:gridCol w:w="6376"/>
      </w:tblGrid>
      <w:tr>
        <w:trPr>
          <w:trHeight w:val="402" w:hRule="exact"/>
        </w:trPr>
        <w:tc>
          <w:tcPr>
            <w:tcW w:w="31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公司选定的信息披露媒体的名称</w:t>
            </w:r>
          </w:p>
        </w:tc>
        <w:tc>
          <w:tcPr>
            <w:tcW w:w="63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《中国证券报</w:t>
            </w:r>
            <w:r>
              <w:rPr>
                <w:rFonts w:ascii="华文细黑" w:hAnsi="华文细黑" w:cs="华文细黑" w:eastAsia="华文细黑" w:hint="default"/>
                <w:spacing w:val="-90"/>
                <w:sz w:val="18"/>
                <w:szCs w:val="18"/>
              </w:rPr>
              <w:t>》、</w:t>
            </w:r>
            <w:r>
              <w:rPr>
                <w:rFonts w:ascii="华文细黑" w:hAnsi="华文细黑" w:cs="华文细黑" w:eastAsia="华文细黑" w:hint="default"/>
                <w:sz w:val="18"/>
                <w:szCs w:val="18"/>
              </w:rPr>
              <w:t>《证券时报》</w:t>
            </w:r>
          </w:p>
        </w:tc>
      </w:tr>
      <w:tr>
        <w:trPr>
          <w:trHeight w:val="714" w:hRule="exact"/>
        </w:trPr>
        <w:tc>
          <w:tcPr>
            <w:tcW w:w="31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登载年度报告的中国证监会指定网站 的网址</w:t>
            </w:r>
          </w:p>
        </w:tc>
        <w:tc>
          <w:tcPr>
            <w:tcW w:w="63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left="10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巨潮资讯网（</w:t>
            </w:r>
            <w:hyperlink r:id="rId21">
              <w:r>
                <w:rPr>
                  <w:rFonts w:ascii="华文细黑" w:hAnsi="华文细黑" w:cs="华文细黑" w:eastAsia="华文细黑" w:hint="default"/>
                  <w:sz w:val="18"/>
                  <w:szCs w:val="18"/>
                </w:rPr>
                <w:t>www.cninfo.com.cn</w:t>
              </w:r>
            </w:hyperlink>
            <w:r>
              <w:rPr>
                <w:rFonts w:ascii="华文细黑" w:hAnsi="华文细黑" w:cs="华文细黑" w:eastAsia="华文细黑" w:hint="default"/>
                <w:sz w:val="18"/>
                <w:szCs w:val="18"/>
              </w:rPr>
              <w:t>）</w:t>
            </w:r>
          </w:p>
        </w:tc>
      </w:tr>
      <w:tr>
        <w:trPr>
          <w:trHeight w:val="402" w:hRule="exact"/>
        </w:trPr>
        <w:tc>
          <w:tcPr>
            <w:tcW w:w="31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公司年度报告备置地点</w:t>
            </w:r>
          </w:p>
        </w:tc>
        <w:tc>
          <w:tcPr>
            <w:tcW w:w="63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公司董事会办公室</w:t>
            </w:r>
          </w:p>
        </w:tc>
      </w:tr>
    </w:tbl>
    <w:p>
      <w:pPr>
        <w:spacing w:line="240" w:lineRule="auto" w:before="11"/>
        <w:rPr>
          <w:rFonts w:ascii="华文细黑" w:hAnsi="华文细黑" w:cs="华文细黑" w:eastAsia="华文细黑" w:hint="default"/>
          <w:b/>
          <w:bCs/>
          <w:sz w:val="26"/>
          <w:szCs w:val="26"/>
        </w:rPr>
      </w:pPr>
    </w:p>
    <w:p>
      <w:pPr>
        <w:spacing w:line="396" w:lineRule="exact" w:before="0"/>
        <w:ind w:left="234" w:right="1023" w:firstLine="0"/>
        <w:jc w:val="left"/>
        <w:rPr>
          <w:rFonts w:ascii="华文细黑" w:hAnsi="华文细黑" w:cs="华文细黑" w:eastAsia="华文细黑" w:hint="default"/>
          <w:sz w:val="30"/>
          <w:szCs w:val="30"/>
        </w:rPr>
      </w:pPr>
      <w:bookmarkStart w:name="四、注册变更情况" w:id="14"/>
      <w:bookmarkEnd w:id="14"/>
      <w:r>
        <w:rPr/>
      </w:r>
      <w:r>
        <w:rPr>
          <w:rFonts w:ascii="华文细黑" w:hAnsi="华文细黑" w:cs="华文细黑" w:eastAsia="华文细黑" w:hint="default"/>
          <w:b/>
          <w:bCs/>
          <w:sz w:val="30"/>
          <w:szCs w:val="30"/>
        </w:rPr>
        <w:t>四、注册变更情况</w:t>
      </w:r>
      <w:r>
        <w:rPr>
          <w:rFonts w:ascii="华文细黑" w:hAnsi="华文细黑" w:cs="华文细黑" w:eastAsia="华文细黑" w:hint="default"/>
          <w:sz w:val="30"/>
          <w:szCs w:val="30"/>
        </w:rPr>
      </w:r>
    </w:p>
    <w:p>
      <w:pPr>
        <w:spacing w:line="240" w:lineRule="auto" w:before="0"/>
        <w:rPr>
          <w:rFonts w:ascii="华文细黑" w:hAnsi="华文细黑" w:cs="华文细黑" w:eastAsia="华文细黑" w:hint="default"/>
          <w:b/>
          <w:bCs/>
          <w:sz w:val="20"/>
          <w:szCs w:val="20"/>
        </w:rPr>
      </w:pPr>
    </w:p>
    <w:p>
      <w:pPr>
        <w:spacing w:line="240" w:lineRule="auto" w:before="12"/>
        <w:rPr>
          <w:rFonts w:ascii="华文细黑" w:hAnsi="华文细黑" w:cs="华文细黑" w:eastAsia="华文细黑" w:hint="default"/>
          <w:b/>
          <w:bCs/>
          <w:sz w:val="11"/>
          <w:szCs w:val="11"/>
        </w:rPr>
      </w:pPr>
    </w:p>
    <w:tbl>
      <w:tblPr>
        <w:tblW w:w="0" w:type="auto"/>
        <w:jc w:val="left"/>
        <w:tblInd w:w="117" w:type="dxa"/>
        <w:tblLayout w:type="fixed"/>
        <w:tblCellMar>
          <w:top w:w="0" w:type="dxa"/>
          <w:left w:w="0" w:type="dxa"/>
          <w:bottom w:w="0" w:type="dxa"/>
          <w:right w:w="0" w:type="dxa"/>
        </w:tblCellMar>
        <w:tblLook w:val="01E0"/>
      </w:tblPr>
      <w:tblGrid>
        <w:gridCol w:w="3190"/>
        <w:gridCol w:w="6379"/>
      </w:tblGrid>
      <w:tr>
        <w:trPr>
          <w:trHeight w:val="402" w:hRule="exact"/>
        </w:trPr>
        <w:tc>
          <w:tcPr>
            <w:tcW w:w="31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组织机构代码</w:t>
            </w:r>
          </w:p>
        </w:tc>
        <w:tc>
          <w:tcPr>
            <w:tcW w:w="63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sz w:val="18"/>
              </w:rPr>
              <w:t>91440300708415957K</w:t>
            </w:r>
          </w:p>
        </w:tc>
      </w:tr>
      <w:tr>
        <w:trPr>
          <w:trHeight w:val="714" w:hRule="exact"/>
        </w:trPr>
        <w:tc>
          <w:tcPr>
            <w:tcW w:w="31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1"/>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6"/>
                <w:sz w:val="18"/>
                <w:szCs w:val="18"/>
              </w:rPr>
              <w:t>公司上市以来主营业务的变化情况（如</w:t>
            </w:r>
            <w:r>
              <w:rPr>
                <w:rFonts w:ascii="华文细黑" w:hAnsi="华文细黑" w:cs="华文细黑" w:eastAsia="华文细黑" w:hint="default"/>
                <w:spacing w:val="-30"/>
                <w:sz w:val="18"/>
                <w:szCs w:val="18"/>
              </w:rPr>
              <w:t> </w:t>
            </w:r>
            <w:r>
              <w:rPr>
                <w:rFonts w:ascii="华文细黑" w:hAnsi="华文细黑" w:cs="华文细黑" w:eastAsia="华文细黑" w:hint="default"/>
                <w:spacing w:val="-30"/>
                <w:sz w:val="18"/>
                <w:szCs w:val="18"/>
              </w:rPr>
            </w:r>
            <w:r>
              <w:rPr>
                <w:rFonts w:ascii="华文细黑" w:hAnsi="华文细黑" w:cs="华文细黑" w:eastAsia="华文细黑" w:hint="default"/>
                <w:sz w:val="18"/>
                <w:szCs w:val="18"/>
              </w:rPr>
              <w:t>有）</w:t>
            </w:r>
          </w:p>
        </w:tc>
        <w:tc>
          <w:tcPr>
            <w:tcW w:w="63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b/>
                <w:bCs/>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无变更</w:t>
            </w:r>
          </w:p>
        </w:tc>
      </w:tr>
      <w:tr>
        <w:trPr>
          <w:trHeight w:val="403" w:hRule="exact"/>
        </w:trPr>
        <w:tc>
          <w:tcPr>
            <w:tcW w:w="31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历次控股股东的变更情况（如有）</w:t>
            </w:r>
          </w:p>
        </w:tc>
        <w:tc>
          <w:tcPr>
            <w:tcW w:w="63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无变更</w:t>
            </w:r>
          </w:p>
        </w:tc>
      </w:tr>
    </w:tbl>
    <w:p>
      <w:pPr>
        <w:spacing w:line="240" w:lineRule="auto" w:before="11"/>
        <w:rPr>
          <w:rFonts w:ascii="华文细黑" w:hAnsi="华文细黑" w:cs="华文细黑" w:eastAsia="华文细黑" w:hint="default"/>
          <w:b/>
          <w:bCs/>
          <w:sz w:val="26"/>
          <w:szCs w:val="26"/>
        </w:rPr>
      </w:pPr>
    </w:p>
    <w:p>
      <w:pPr>
        <w:spacing w:line="396" w:lineRule="exact" w:before="0"/>
        <w:ind w:left="234" w:right="1023" w:firstLine="0"/>
        <w:jc w:val="left"/>
        <w:rPr>
          <w:rFonts w:ascii="华文细黑" w:hAnsi="华文细黑" w:cs="华文细黑" w:eastAsia="华文细黑" w:hint="default"/>
          <w:sz w:val="30"/>
          <w:szCs w:val="30"/>
        </w:rPr>
      </w:pPr>
      <w:bookmarkStart w:name="五、其他有关资料" w:id="15"/>
      <w:bookmarkEnd w:id="15"/>
      <w:r>
        <w:rPr/>
      </w:r>
      <w:r>
        <w:rPr>
          <w:rFonts w:ascii="华文细黑" w:hAnsi="华文细黑" w:cs="华文细黑" w:eastAsia="华文细黑" w:hint="default"/>
          <w:b/>
          <w:bCs/>
          <w:sz w:val="30"/>
          <w:szCs w:val="30"/>
        </w:rPr>
        <w:t>五、其他有关资料</w:t>
      </w:r>
      <w:r>
        <w:rPr>
          <w:rFonts w:ascii="华文细黑" w:hAnsi="华文细黑" w:cs="华文细黑" w:eastAsia="华文细黑" w:hint="default"/>
          <w:sz w:val="30"/>
          <w:szCs w:val="30"/>
        </w:rPr>
      </w:r>
    </w:p>
    <w:p>
      <w:pPr>
        <w:spacing w:line="240" w:lineRule="auto" w:before="0"/>
        <w:rPr>
          <w:rFonts w:ascii="华文细黑" w:hAnsi="华文细黑" w:cs="华文细黑" w:eastAsia="华文细黑" w:hint="default"/>
          <w:b/>
          <w:bCs/>
          <w:sz w:val="30"/>
          <w:szCs w:val="30"/>
        </w:rPr>
      </w:pPr>
    </w:p>
    <w:p>
      <w:pPr>
        <w:pStyle w:val="BodyText"/>
        <w:spacing w:line="240" w:lineRule="auto"/>
        <w:ind w:left="234" w:right="1023"/>
        <w:jc w:val="left"/>
      </w:pPr>
      <w:r>
        <w:rPr/>
        <w:t>公司聘请的会计师事务所</w:t>
      </w:r>
    </w:p>
    <w:p>
      <w:pPr>
        <w:spacing w:line="240" w:lineRule="auto" w:before="11"/>
        <w:rPr>
          <w:rFonts w:ascii="华文细黑" w:hAnsi="华文细黑" w:cs="华文细黑" w:eastAsia="华文细黑" w:hint="default"/>
          <w:sz w:val="5"/>
          <w:szCs w:val="5"/>
        </w:rPr>
      </w:pPr>
    </w:p>
    <w:tbl>
      <w:tblPr>
        <w:tblW w:w="0" w:type="auto"/>
        <w:jc w:val="left"/>
        <w:tblInd w:w="117" w:type="dxa"/>
        <w:tblLayout w:type="fixed"/>
        <w:tblCellMar>
          <w:top w:w="0" w:type="dxa"/>
          <w:left w:w="0" w:type="dxa"/>
          <w:bottom w:w="0" w:type="dxa"/>
          <w:right w:w="0" w:type="dxa"/>
        </w:tblCellMar>
        <w:tblLook w:val="01E0"/>
      </w:tblPr>
      <w:tblGrid>
        <w:gridCol w:w="3193"/>
        <w:gridCol w:w="6376"/>
      </w:tblGrid>
      <w:tr>
        <w:trPr>
          <w:trHeight w:val="402" w:hRule="exact"/>
        </w:trPr>
        <w:tc>
          <w:tcPr>
            <w:tcW w:w="31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会计师事务所名称</w:t>
            </w:r>
          </w:p>
        </w:tc>
        <w:tc>
          <w:tcPr>
            <w:tcW w:w="63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瑞华会计师事务所（特殊普通合伙）</w:t>
            </w:r>
          </w:p>
        </w:tc>
      </w:tr>
      <w:tr>
        <w:trPr>
          <w:trHeight w:val="402" w:hRule="exact"/>
        </w:trPr>
        <w:tc>
          <w:tcPr>
            <w:tcW w:w="31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会计师事务所办公地址</w:t>
            </w:r>
          </w:p>
        </w:tc>
        <w:tc>
          <w:tcPr>
            <w:tcW w:w="63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北京市东城区永定门西滨河路 </w:t>
            </w:r>
            <w:r>
              <w:rPr>
                <w:rFonts w:ascii="华文细黑" w:hAnsi="华文细黑" w:cs="华文细黑" w:eastAsia="华文细黑" w:hint="default"/>
                <w:sz w:val="18"/>
                <w:szCs w:val="18"/>
              </w:rPr>
              <w:t>8 </w:t>
            </w:r>
            <w:r>
              <w:rPr>
                <w:rFonts w:ascii="华文细黑" w:hAnsi="华文细黑" w:cs="华文细黑" w:eastAsia="华文细黑" w:hint="default"/>
                <w:sz w:val="18"/>
                <w:szCs w:val="18"/>
              </w:rPr>
              <w:t>号院 </w:t>
            </w:r>
            <w:r>
              <w:rPr>
                <w:rFonts w:ascii="华文细黑" w:hAnsi="华文细黑" w:cs="华文细黑" w:eastAsia="华文细黑" w:hint="default"/>
                <w:sz w:val="18"/>
                <w:szCs w:val="18"/>
              </w:rPr>
              <w:t>7 </w:t>
            </w:r>
            <w:r>
              <w:rPr>
                <w:rFonts w:ascii="华文细黑" w:hAnsi="华文细黑" w:cs="华文细黑" w:eastAsia="华文细黑" w:hint="default"/>
                <w:sz w:val="18"/>
                <w:szCs w:val="18"/>
              </w:rPr>
              <w:t>号楼中海地产广场西塔 </w:t>
            </w:r>
            <w:r>
              <w:rPr>
                <w:rFonts w:ascii="华文细黑" w:hAnsi="华文细黑" w:cs="华文细黑" w:eastAsia="华文细黑" w:hint="default"/>
                <w:sz w:val="18"/>
                <w:szCs w:val="18"/>
              </w:rPr>
              <w:t>9</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层</w:t>
            </w:r>
          </w:p>
        </w:tc>
      </w:tr>
      <w:tr>
        <w:trPr>
          <w:trHeight w:val="402" w:hRule="exact"/>
        </w:trPr>
        <w:tc>
          <w:tcPr>
            <w:tcW w:w="31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签字会计师姓名</w:t>
            </w:r>
          </w:p>
        </w:tc>
        <w:tc>
          <w:tcPr>
            <w:tcW w:w="63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邓登峰、廖晓鸿</w:t>
            </w:r>
          </w:p>
        </w:tc>
      </w:tr>
    </w:tbl>
    <w:p>
      <w:pPr>
        <w:pStyle w:val="BodyText"/>
        <w:spacing w:line="240" w:lineRule="auto" w:before="13"/>
        <w:ind w:left="234" w:right="1023"/>
        <w:jc w:val="left"/>
      </w:pPr>
      <w:r>
        <w:rPr/>
        <w:t>公司聘请的报告期内履行持续督导职责的保荐机构</w:t>
      </w:r>
    </w:p>
    <w:p>
      <w:pPr>
        <w:pStyle w:val="BodyText"/>
        <w:spacing w:line="285" w:lineRule="auto" w:before="56"/>
        <w:ind w:left="234" w:right="6132"/>
        <w:jc w:val="left"/>
      </w:pPr>
      <w:r>
        <w:rPr/>
        <w:t>□ 适用 √</w:t>
      </w:r>
      <w:r>
        <w:rPr>
          <w:spacing w:val="51"/>
        </w:rPr>
        <w:t> </w:t>
      </w:r>
      <w:r>
        <w:rPr/>
        <w:t>不适用</w:t>
      </w:r>
      <w:r>
        <w:rPr/>
        <w:t> 公司聘请的报告期内履行持续督导职责的财务顾问</w:t>
      </w:r>
    </w:p>
    <w:p>
      <w:pPr>
        <w:pStyle w:val="BodyText"/>
        <w:spacing w:line="240" w:lineRule="auto" w:before="13"/>
        <w:ind w:left="234" w:right="1023"/>
        <w:jc w:val="left"/>
      </w:pPr>
      <w:r>
        <w:rPr/>
        <w:t>□  适用  √</w:t>
      </w:r>
      <w:r>
        <w:rPr>
          <w:spacing w:val="51"/>
        </w:rPr>
        <w:t> </w:t>
      </w:r>
      <w:r>
        <w:rPr/>
        <w:t>不适用</w:t>
      </w:r>
    </w:p>
    <w:p>
      <w:pPr>
        <w:spacing w:after="0" w:line="240" w:lineRule="auto"/>
        <w:jc w:val="left"/>
        <w:sectPr>
          <w:pgSz w:w="11910" w:h="16840"/>
          <w:pgMar w:header="917" w:footer="1019" w:top="1100" w:bottom="1200" w:left="900" w:right="0"/>
        </w:sectPr>
      </w:pPr>
    </w:p>
    <w:p>
      <w:pPr>
        <w:spacing w:line="240" w:lineRule="auto" w:before="0"/>
        <w:rPr>
          <w:rFonts w:ascii="华文细黑" w:hAnsi="华文细黑" w:cs="华文细黑" w:eastAsia="华文细黑" w:hint="default"/>
          <w:sz w:val="20"/>
          <w:szCs w:val="20"/>
        </w:rPr>
      </w:pPr>
    </w:p>
    <w:p>
      <w:pPr>
        <w:spacing w:line="240" w:lineRule="auto" w:before="8"/>
        <w:rPr>
          <w:rFonts w:ascii="华文细黑" w:hAnsi="华文细黑" w:cs="华文细黑" w:eastAsia="华文细黑" w:hint="default"/>
          <w:sz w:val="27"/>
          <w:szCs w:val="27"/>
        </w:rPr>
      </w:pPr>
    </w:p>
    <w:p>
      <w:pPr>
        <w:pStyle w:val="Heading2"/>
        <w:spacing w:line="396" w:lineRule="exact"/>
        <w:ind w:right="1023"/>
        <w:jc w:val="left"/>
        <w:rPr>
          <w:b w:val="0"/>
          <w:bCs w:val="0"/>
        </w:rPr>
      </w:pPr>
      <w:bookmarkStart w:name="六、主要会计数据和财务指标" w:id="16"/>
      <w:bookmarkEnd w:id="16"/>
      <w:r>
        <w:rPr>
          <w:b w:val="0"/>
          <w:bCs w:val="0"/>
        </w:rPr>
      </w:r>
      <w:r>
        <w:rPr/>
        <w:t>六、主要会计数据和财务指标</w:t>
      </w:r>
      <w:r>
        <w:rPr>
          <w:b w:val="0"/>
          <w:bCs w:val="0"/>
        </w:rPr>
      </w:r>
    </w:p>
    <w:p>
      <w:pPr>
        <w:spacing w:line="240" w:lineRule="auto" w:before="1"/>
        <w:rPr>
          <w:rFonts w:ascii="华文细黑" w:hAnsi="华文细黑" w:cs="华文细黑" w:eastAsia="华文细黑" w:hint="default"/>
          <w:b/>
          <w:bCs/>
          <w:sz w:val="30"/>
          <w:szCs w:val="30"/>
        </w:rPr>
      </w:pPr>
    </w:p>
    <w:p>
      <w:pPr>
        <w:pStyle w:val="BodyText"/>
        <w:spacing w:line="240" w:lineRule="auto"/>
        <w:ind w:left="234" w:right="1023"/>
        <w:jc w:val="left"/>
      </w:pPr>
      <w:r>
        <w:rPr/>
        <w:t>公司是否需追溯调整或重述以前年度会计数据</w:t>
      </w:r>
    </w:p>
    <w:p>
      <w:pPr>
        <w:pStyle w:val="BodyText"/>
        <w:spacing w:line="240" w:lineRule="auto" w:before="55"/>
        <w:ind w:left="234" w:right="1023"/>
        <w:jc w:val="left"/>
      </w:pPr>
      <w:r>
        <w:rPr/>
        <w:t>□  是  √  否</w:t>
      </w:r>
    </w:p>
    <w:p>
      <w:pPr>
        <w:spacing w:line="240" w:lineRule="auto" w:before="11"/>
        <w:rPr>
          <w:rFonts w:ascii="华文细黑" w:hAnsi="华文细黑" w:cs="华文细黑" w:eastAsia="华文细黑" w:hint="default"/>
          <w:sz w:val="5"/>
          <w:szCs w:val="5"/>
        </w:rPr>
      </w:pPr>
    </w:p>
    <w:tbl>
      <w:tblPr>
        <w:tblW w:w="0" w:type="auto"/>
        <w:jc w:val="left"/>
        <w:tblInd w:w="117" w:type="dxa"/>
        <w:tblLayout w:type="fixed"/>
        <w:tblCellMar>
          <w:top w:w="0" w:type="dxa"/>
          <w:left w:w="0" w:type="dxa"/>
          <w:bottom w:w="0" w:type="dxa"/>
          <w:right w:w="0" w:type="dxa"/>
        </w:tblCellMar>
        <w:tblLook w:val="01E0"/>
      </w:tblPr>
      <w:tblGrid>
        <w:gridCol w:w="2621"/>
        <w:gridCol w:w="1738"/>
        <w:gridCol w:w="1738"/>
        <w:gridCol w:w="1737"/>
        <w:gridCol w:w="1736"/>
      </w:tblGrid>
      <w:tr>
        <w:trPr>
          <w:trHeight w:val="401" w:hRule="exact"/>
        </w:trPr>
        <w:tc>
          <w:tcPr>
            <w:tcW w:w="2621"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7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55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17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55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2017</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173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23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本年比上年增减</w:t>
            </w:r>
          </w:p>
        </w:tc>
        <w:tc>
          <w:tcPr>
            <w:tcW w:w="1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55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2016</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r>
      <w:tr>
        <w:trPr>
          <w:trHeight w:val="402" w:hRule="exact"/>
        </w:trPr>
        <w:tc>
          <w:tcPr>
            <w:tcW w:w="262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营业收入（元）</w:t>
            </w:r>
          </w:p>
        </w:tc>
        <w:tc>
          <w:tcPr>
            <w:tcW w:w="17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56,983,791,975.82</w:t>
            </w:r>
          </w:p>
        </w:tc>
        <w:tc>
          <w:tcPr>
            <w:tcW w:w="17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56,735,870,506.54</w:t>
            </w:r>
          </w:p>
        </w:tc>
        <w:tc>
          <w:tcPr>
            <w:tcW w:w="173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99"/>
              <w:jc w:val="right"/>
              <w:rPr>
                <w:rFonts w:ascii="华文细黑" w:hAnsi="华文细黑" w:cs="华文细黑" w:eastAsia="华文细黑" w:hint="default"/>
                <w:sz w:val="18"/>
                <w:szCs w:val="18"/>
              </w:rPr>
            </w:pPr>
            <w:r>
              <w:rPr>
                <w:rFonts w:ascii="华文细黑"/>
                <w:sz w:val="18"/>
              </w:rPr>
              <w:t>0.44%</w:t>
            </w:r>
          </w:p>
        </w:tc>
        <w:tc>
          <w:tcPr>
            <w:tcW w:w="17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48,333,277,751.09</w:t>
            </w:r>
          </w:p>
        </w:tc>
      </w:tr>
      <w:tr>
        <w:trPr>
          <w:trHeight w:val="714" w:hRule="exact"/>
        </w:trPr>
        <w:tc>
          <w:tcPr>
            <w:tcW w:w="262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归属于上市公司股东的净利润</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（元）</w:t>
            </w:r>
          </w:p>
        </w:tc>
        <w:tc>
          <w:tcPr>
            <w:tcW w:w="17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0"/>
              <w:jc w:val="right"/>
              <w:rPr>
                <w:rFonts w:ascii="华文细黑" w:hAnsi="华文细黑" w:cs="华文细黑" w:eastAsia="华文细黑" w:hint="default"/>
                <w:sz w:val="18"/>
                <w:szCs w:val="18"/>
              </w:rPr>
            </w:pPr>
            <w:r>
              <w:rPr>
                <w:rFonts w:ascii="华文细黑"/>
                <w:sz w:val="18"/>
              </w:rPr>
              <w:t>-92,720,082.99</w:t>
            </w:r>
          </w:p>
        </w:tc>
        <w:tc>
          <w:tcPr>
            <w:tcW w:w="17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378,967,619.06</w:t>
            </w:r>
          </w:p>
        </w:tc>
        <w:tc>
          <w:tcPr>
            <w:tcW w:w="173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0"/>
              <w:jc w:val="right"/>
              <w:rPr>
                <w:rFonts w:ascii="华文细黑" w:hAnsi="华文细黑" w:cs="华文细黑" w:eastAsia="华文细黑" w:hint="default"/>
                <w:sz w:val="18"/>
                <w:szCs w:val="18"/>
              </w:rPr>
            </w:pPr>
            <w:r>
              <w:rPr>
                <w:rFonts w:ascii="华文细黑"/>
                <w:sz w:val="18"/>
              </w:rPr>
              <w:t>-124.47%</w:t>
            </w:r>
          </w:p>
        </w:tc>
        <w:tc>
          <w:tcPr>
            <w:tcW w:w="17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187,751,905.53</w:t>
            </w:r>
          </w:p>
        </w:tc>
      </w:tr>
      <w:tr>
        <w:trPr>
          <w:trHeight w:val="714" w:hRule="exact"/>
        </w:trPr>
        <w:tc>
          <w:tcPr>
            <w:tcW w:w="262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1"/>
              <w:ind w:left="103" w:right="166"/>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归属于上市公司股东的扣除非 经常性损益的净利润（元）</w:t>
            </w:r>
          </w:p>
        </w:tc>
        <w:tc>
          <w:tcPr>
            <w:tcW w:w="17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188,059,847.72</w:t>
            </w:r>
          </w:p>
        </w:tc>
        <w:tc>
          <w:tcPr>
            <w:tcW w:w="17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245,725,614.39</w:t>
            </w:r>
          </w:p>
        </w:tc>
        <w:tc>
          <w:tcPr>
            <w:tcW w:w="173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99"/>
              <w:jc w:val="right"/>
              <w:rPr>
                <w:rFonts w:ascii="华文细黑" w:hAnsi="华文细黑" w:cs="华文细黑" w:eastAsia="华文细黑" w:hint="default"/>
                <w:sz w:val="18"/>
                <w:szCs w:val="18"/>
              </w:rPr>
            </w:pPr>
            <w:r>
              <w:rPr>
                <w:rFonts w:ascii="华文细黑"/>
                <w:sz w:val="18"/>
              </w:rPr>
              <w:t>-23.47%</w:t>
            </w:r>
          </w:p>
        </w:tc>
        <w:tc>
          <w:tcPr>
            <w:tcW w:w="17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96,800,272.66</w:t>
            </w:r>
          </w:p>
        </w:tc>
      </w:tr>
      <w:tr>
        <w:trPr>
          <w:trHeight w:val="714" w:hRule="exact"/>
        </w:trPr>
        <w:tc>
          <w:tcPr>
            <w:tcW w:w="262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经营活动产生的现金流量净额</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（元）</w:t>
            </w:r>
          </w:p>
        </w:tc>
        <w:tc>
          <w:tcPr>
            <w:tcW w:w="17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492,248,739.91</w:t>
            </w:r>
          </w:p>
        </w:tc>
        <w:tc>
          <w:tcPr>
            <w:tcW w:w="17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-1,542,790,911.28</w:t>
            </w:r>
          </w:p>
        </w:tc>
        <w:tc>
          <w:tcPr>
            <w:tcW w:w="173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0"/>
              <w:jc w:val="right"/>
              <w:rPr>
                <w:rFonts w:ascii="华文细黑" w:hAnsi="华文细黑" w:cs="华文细黑" w:eastAsia="华文细黑" w:hint="default"/>
                <w:sz w:val="18"/>
                <w:szCs w:val="18"/>
              </w:rPr>
            </w:pPr>
            <w:r>
              <w:rPr>
                <w:rFonts w:ascii="华文细黑"/>
                <w:sz w:val="18"/>
              </w:rPr>
              <w:t>131.91%</w:t>
            </w:r>
          </w:p>
        </w:tc>
        <w:tc>
          <w:tcPr>
            <w:tcW w:w="17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1,389,738,733.61</w:t>
            </w:r>
          </w:p>
        </w:tc>
      </w:tr>
      <w:tr>
        <w:trPr>
          <w:trHeight w:val="402" w:hRule="exact"/>
        </w:trPr>
        <w:tc>
          <w:tcPr>
            <w:tcW w:w="262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基本每股收益（元</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股）</w:t>
            </w:r>
          </w:p>
        </w:tc>
        <w:tc>
          <w:tcPr>
            <w:tcW w:w="17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-0.0748</w:t>
            </w:r>
          </w:p>
        </w:tc>
        <w:tc>
          <w:tcPr>
            <w:tcW w:w="17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0.3058</w:t>
            </w:r>
          </w:p>
        </w:tc>
        <w:tc>
          <w:tcPr>
            <w:tcW w:w="173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sz w:val="18"/>
              </w:rPr>
              <w:t>-124.46%</w:t>
            </w:r>
          </w:p>
        </w:tc>
        <w:tc>
          <w:tcPr>
            <w:tcW w:w="17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0.1551</w:t>
            </w:r>
          </w:p>
        </w:tc>
      </w:tr>
      <w:tr>
        <w:trPr>
          <w:trHeight w:val="402" w:hRule="exact"/>
        </w:trPr>
        <w:tc>
          <w:tcPr>
            <w:tcW w:w="262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稀释每股收益（元</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股）</w:t>
            </w:r>
          </w:p>
        </w:tc>
        <w:tc>
          <w:tcPr>
            <w:tcW w:w="17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-0.0748</w:t>
            </w:r>
          </w:p>
        </w:tc>
        <w:tc>
          <w:tcPr>
            <w:tcW w:w="17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0.3058</w:t>
            </w:r>
          </w:p>
        </w:tc>
        <w:tc>
          <w:tcPr>
            <w:tcW w:w="173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sz w:val="18"/>
              </w:rPr>
              <w:t>-124.46%</w:t>
            </w:r>
          </w:p>
        </w:tc>
        <w:tc>
          <w:tcPr>
            <w:tcW w:w="17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0.1551</w:t>
            </w:r>
          </w:p>
        </w:tc>
      </w:tr>
      <w:tr>
        <w:trPr>
          <w:trHeight w:val="403" w:hRule="exact"/>
        </w:trPr>
        <w:tc>
          <w:tcPr>
            <w:tcW w:w="262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加权平均净资产收益率</w:t>
            </w:r>
          </w:p>
        </w:tc>
        <w:tc>
          <w:tcPr>
            <w:tcW w:w="17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-1.80%</w:t>
            </w:r>
          </w:p>
        </w:tc>
        <w:tc>
          <w:tcPr>
            <w:tcW w:w="17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7.04%</w:t>
            </w:r>
          </w:p>
        </w:tc>
        <w:tc>
          <w:tcPr>
            <w:tcW w:w="173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99"/>
              <w:jc w:val="right"/>
              <w:rPr>
                <w:rFonts w:ascii="华文细黑" w:hAnsi="华文细黑" w:cs="华文细黑" w:eastAsia="华文细黑" w:hint="default"/>
                <w:sz w:val="18"/>
                <w:szCs w:val="18"/>
              </w:rPr>
            </w:pPr>
            <w:r>
              <w:rPr>
                <w:rFonts w:ascii="华文细黑"/>
                <w:sz w:val="18"/>
              </w:rPr>
              <w:t>-8.84%</w:t>
            </w:r>
          </w:p>
        </w:tc>
        <w:tc>
          <w:tcPr>
            <w:tcW w:w="17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3.88%</w:t>
            </w:r>
          </w:p>
        </w:tc>
      </w:tr>
      <w:tr>
        <w:trPr>
          <w:trHeight w:val="713" w:hRule="exact"/>
        </w:trPr>
        <w:tc>
          <w:tcPr>
            <w:tcW w:w="2621"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7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46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年末</w:t>
            </w:r>
          </w:p>
        </w:tc>
        <w:tc>
          <w:tcPr>
            <w:tcW w:w="17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46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2017</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年末</w:t>
            </w:r>
          </w:p>
        </w:tc>
        <w:tc>
          <w:tcPr>
            <w:tcW w:w="173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774" w:right="141" w:hanging="63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本年末比上年末增 减</w:t>
            </w:r>
          </w:p>
        </w:tc>
        <w:tc>
          <w:tcPr>
            <w:tcW w:w="1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46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2016</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年末</w:t>
            </w:r>
          </w:p>
        </w:tc>
      </w:tr>
      <w:tr>
        <w:trPr>
          <w:trHeight w:val="402" w:hRule="exact"/>
        </w:trPr>
        <w:tc>
          <w:tcPr>
            <w:tcW w:w="262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总资产（元）</w:t>
            </w:r>
          </w:p>
        </w:tc>
        <w:tc>
          <w:tcPr>
            <w:tcW w:w="17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10,247,229,234.89</w:t>
            </w:r>
          </w:p>
        </w:tc>
        <w:tc>
          <w:tcPr>
            <w:tcW w:w="17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12,481,003,219.90</w:t>
            </w:r>
          </w:p>
        </w:tc>
        <w:tc>
          <w:tcPr>
            <w:tcW w:w="173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99"/>
              <w:jc w:val="right"/>
              <w:rPr>
                <w:rFonts w:ascii="华文细黑" w:hAnsi="华文细黑" w:cs="华文细黑" w:eastAsia="华文细黑" w:hint="default"/>
                <w:sz w:val="18"/>
                <w:szCs w:val="18"/>
              </w:rPr>
            </w:pPr>
            <w:r>
              <w:rPr>
                <w:rFonts w:ascii="华文细黑"/>
                <w:sz w:val="18"/>
              </w:rPr>
              <w:t>-17.90%</w:t>
            </w:r>
          </w:p>
        </w:tc>
        <w:tc>
          <w:tcPr>
            <w:tcW w:w="17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pacing w:val="-1"/>
                <w:sz w:val="18"/>
              </w:rPr>
              <w:t>9,894,835,568.17</w:t>
            </w:r>
          </w:p>
        </w:tc>
      </w:tr>
      <w:tr>
        <w:trPr>
          <w:trHeight w:val="715" w:hRule="exact"/>
        </w:trPr>
        <w:tc>
          <w:tcPr>
            <w:tcW w:w="262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归属于上市公司股东的净资产</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（元）</w:t>
            </w:r>
          </w:p>
        </w:tc>
        <w:tc>
          <w:tcPr>
            <w:tcW w:w="17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4,921,808,809.07</w:t>
            </w:r>
          </w:p>
        </w:tc>
        <w:tc>
          <w:tcPr>
            <w:tcW w:w="17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5,386,377,182.84</w:t>
            </w:r>
          </w:p>
        </w:tc>
        <w:tc>
          <w:tcPr>
            <w:tcW w:w="173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99"/>
              <w:jc w:val="right"/>
              <w:rPr>
                <w:rFonts w:ascii="华文细黑" w:hAnsi="华文细黑" w:cs="华文细黑" w:eastAsia="华文细黑" w:hint="default"/>
                <w:sz w:val="18"/>
                <w:szCs w:val="18"/>
              </w:rPr>
            </w:pPr>
            <w:r>
              <w:rPr>
                <w:rFonts w:ascii="华文细黑"/>
                <w:sz w:val="18"/>
              </w:rPr>
              <w:t>-8.62%</w:t>
            </w:r>
          </w:p>
        </w:tc>
        <w:tc>
          <w:tcPr>
            <w:tcW w:w="17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5,270,988,504.51</w:t>
            </w:r>
          </w:p>
        </w:tc>
      </w:tr>
    </w:tbl>
    <w:p>
      <w:pPr>
        <w:spacing w:line="295" w:lineRule="auto" w:before="40"/>
        <w:ind w:left="234" w:right="1023" w:firstLine="0"/>
        <w:jc w:val="left"/>
        <w:rPr>
          <w:rFonts w:ascii="华文细黑" w:hAnsi="华文细黑" w:cs="华文细黑" w:eastAsia="华文细黑" w:hint="default"/>
          <w:sz w:val="18"/>
          <w:szCs w:val="18"/>
        </w:rPr>
      </w:pPr>
      <w:r>
        <w:rPr>
          <w:rFonts w:ascii="华文细黑" w:hAnsi="华文细黑" w:cs="华文细黑" w:eastAsia="华文细黑" w:hint="default"/>
          <w:spacing w:val="-7"/>
          <w:sz w:val="18"/>
          <w:szCs w:val="18"/>
        </w:rPr>
        <w:t>说明：营业收入（元）取自第十一节财务报告中合并利润表的营业总收入，包括营业收入（含主营业务收入及其他业务收入）、</w:t>
      </w:r>
      <w:r>
        <w:rPr>
          <w:rFonts w:ascii="华文细黑" w:hAnsi="华文细黑" w:cs="华文细黑" w:eastAsia="华文细黑" w:hint="default"/>
          <w:spacing w:val="-8"/>
          <w:sz w:val="18"/>
          <w:szCs w:val="18"/>
        </w:rPr>
        <w:t> </w:t>
      </w:r>
      <w:r>
        <w:rPr>
          <w:rFonts w:ascii="华文细黑" w:hAnsi="华文细黑" w:cs="华文细黑" w:eastAsia="华文细黑" w:hint="default"/>
          <w:spacing w:val="-8"/>
          <w:sz w:val="18"/>
          <w:szCs w:val="18"/>
        </w:rPr>
      </w:r>
      <w:r>
        <w:rPr>
          <w:rFonts w:ascii="华文细黑" w:hAnsi="华文细黑" w:cs="华文细黑" w:eastAsia="华文细黑" w:hint="default"/>
          <w:sz w:val="18"/>
          <w:szCs w:val="18"/>
        </w:rPr>
        <w:t>利息收入。</w:t>
      </w:r>
    </w:p>
    <w:p>
      <w:pPr>
        <w:spacing w:line="240" w:lineRule="auto" w:before="10"/>
        <w:rPr>
          <w:rFonts w:ascii="华文细黑" w:hAnsi="华文细黑" w:cs="华文细黑" w:eastAsia="华文细黑" w:hint="default"/>
          <w:sz w:val="25"/>
          <w:szCs w:val="25"/>
        </w:rPr>
      </w:pPr>
    </w:p>
    <w:p>
      <w:pPr>
        <w:pStyle w:val="Heading2"/>
        <w:spacing w:line="240" w:lineRule="auto"/>
        <w:ind w:right="1023"/>
        <w:jc w:val="left"/>
        <w:rPr>
          <w:b w:val="0"/>
          <w:bCs w:val="0"/>
        </w:rPr>
      </w:pPr>
      <w:bookmarkStart w:name="七、境内外会计准则下会计数据差异" w:id="17"/>
      <w:bookmarkEnd w:id="17"/>
      <w:r>
        <w:rPr>
          <w:b w:val="0"/>
          <w:bCs w:val="0"/>
        </w:rPr>
      </w:r>
      <w:r>
        <w:rPr/>
        <w:t>七、境内外会计准则下会计数据差异</w:t>
      </w:r>
      <w:r>
        <w:rPr>
          <w:b w:val="0"/>
          <w:bCs w:val="0"/>
        </w:rPr>
      </w:r>
    </w:p>
    <w:p>
      <w:pPr>
        <w:spacing w:line="240" w:lineRule="auto" w:before="0"/>
        <w:rPr>
          <w:rFonts w:ascii="华文细黑" w:hAnsi="华文细黑" w:cs="华文细黑" w:eastAsia="华文细黑" w:hint="default"/>
          <w:b/>
          <w:bCs/>
          <w:sz w:val="30"/>
          <w:szCs w:val="30"/>
        </w:rPr>
      </w:pPr>
    </w:p>
    <w:p>
      <w:pPr>
        <w:pStyle w:val="Heading5"/>
        <w:spacing w:line="240" w:lineRule="auto" w:before="0"/>
        <w:ind w:right="1023"/>
        <w:jc w:val="left"/>
        <w:rPr>
          <w:b w:val="0"/>
          <w:bCs w:val="0"/>
        </w:rPr>
      </w:pPr>
      <w:bookmarkStart w:name="1、同时按照国际会计准则与按照中国会计准则披露的财务报告中净利润和净资产差异情况" w:id="18"/>
      <w:bookmarkEnd w:id="18"/>
      <w:r>
        <w:rPr>
          <w:b w:val="0"/>
          <w:bCs w:val="0"/>
        </w:rPr>
      </w:r>
      <w:r>
        <w:rPr>
          <w:rFonts w:ascii="华文细黑" w:hAnsi="华文细黑" w:cs="华文细黑" w:eastAsia="华文细黑" w:hint="default"/>
        </w:rPr>
        <w:t>1</w:t>
      </w:r>
      <w:r>
        <w:rPr/>
        <w:t>、同时按照国际会计准则与按照中国会计准则披露的财务报告中净利润和净资产差异情况</w:t>
      </w:r>
      <w:r>
        <w:rPr>
          <w:b w:val="0"/>
          <w:bCs w:val="0"/>
        </w:rPr>
      </w:r>
    </w:p>
    <w:p>
      <w:pPr>
        <w:spacing w:line="240" w:lineRule="auto" w:before="6"/>
        <w:rPr>
          <w:rFonts w:ascii="华文细黑" w:hAnsi="华文细黑" w:cs="华文细黑" w:eastAsia="华文细黑" w:hint="default"/>
          <w:b/>
          <w:bCs/>
          <w:sz w:val="22"/>
          <w:szCs w:val="22"/>
        </w:rPr>
      </w:pPr>
    </w:p>
    <w:p>
      <w:pPr>
        <w:pStyle w:val="BodyText"/>
        <w:spacing w:line="285" w:lineRule="auto"/>
        <w:ind w:left="234" w:right="1302"/>
        <w:jc w:val="left"/>
      </w:pPr>
      <w:r>
        <w:rPr/>
        <w:t>□ 适用 √</w:t>
      </w:r>
      <w:r>
        <w:rPr>
          <w:spacing w:val="51"/>
        </w:rPr>
        <w:t> </w:t>
      </w:r>
      <w:r>
        <w:rPr/>
        <w:t>不适用</w:t>
      </w:r>
      <w:r>
        <w:rPr/>
        <w:t> 公司报告期不存在按照国际会计准则与按照中国会计准则披露的财务报告中净利润和净资产差异情况。</w:t>
      </w:r>
    </w:p>
    <w:p>
      <w:pPr>
        <w:spacing w:line="240" w:lineRule="auto" w:before="4"/>
        <w:rPr>
          <w:rFonts w:ascii="华文细黑" w:hAnsi="华文细黑" w:cs="华文细黑" w:eastAsia="华文细黑" w:hint="default"/>
          <w:sz w:val="19"/>
          <w:szCs w:val="19"/>
        </w:rPr>
      </w:pPr>
    </w:p>
    <w:p>
      <w:pPr>
        <w:pStyle w:val="Heading5"/>
        <w:spacing w:line="240" w:lineRule="auto" w:before="0"/>
        <w:ind w:right="1023"/>
        <w:jc w:val="left"/>
        <w:rPr>
          <w:b w:val="0"/>
          <w:bCs w:val="0"/>
        </w:rPr>
      </w:pPr>
      <w:bookmarkStart w:name="2、同时按照境外会计准则与按照中国会计准则披露的财务报告中净利润和净资产差异情况" w:id="19"/>
      <w:bookmarkEnd w:id="19"/>
      <w:r>
        <w:rPr>
          <w:b w:val="0"/>
          <w:bCs w:val="0"/>
        </w:rPr>
      </w:r>
      <w:r>
        <w:rPr>
          <w:rFonts w:ascii="华文细黑" w:hAnsi="华文细黑" w:cs="华文细黑" w:eastAsia="华文细黑" w:hint="default"/>
        </w:rPr>
        <w:t>2</w:t>
      </w:r>
      <w:r>
        <w:rPr/>
        <w:t>、同时按照境外会计准则与按照中国会计准则披露的财务报告中净利润和净资产差异情况</w:t>
      </w:r>
      <w:r>
        <w:rPr>
          <w:b w:val="0"/>
          <w:bCs w:val="0"/>
        </w:rPr>
      </w:r>
    </w:p>
    <w:p>
      <w:pPr>
        <w:spacing w:line="240" w:lineRule="auto" w:before="6"/>
        <w:rPr>
          <w:rFonts w:ascii="华文细黑" w:hAnsi="华文细黑" w:cs="华文细黑" w:eastAsia="华文细黑" w:hint="default"/>
          <w:b/>
          <w:bCs/>
          <w:sz w:val="22"/>
          <w:szCs w:val="22"/>
        </w:rPr>
      </w:pPr>
    </w:p>
    <w:p>
      <w:pPr>
        <w:pStyle w:val="BodyText"/>
        <w:spacing w:line="285" w:lineRule="auto"/>
        <w:ind w:left="234" w:right="1302"/>
        <w:jc w:val="left"/>
      </w:pPr>
      <w:r>
        <w:rPr/>
        <w:t>□ 适用 √</w:t>
      </w:r>
      <w:r>
        <w:rPr>
          <w:spacing w:val="51"/>
        </w:rPr>
        <w:t> </w:t>
      </w:r>
      <w:r>
        <w:rPr/>
        <w:t>不适用</w:t>
      </w:r>
      <w:r>
        <w:rPr/>
        <w:t> 公司报告期不存在按照境外会计准则与按照中国会计准则披露的财务报告中净利润和净资产差异情况。</w:t>
      </w:r>
    </w:p>
    <w:p>
      <w:pPr>
        <w:spacing w:after="0" w:line="285" w:lineRule="auto"/>
        <w:jc w:val="left"/>
        <w:sectPr>
          <w:pgSz w:w="11910" w:h="16840"/>
          <w:pgMar w:header="917" w:footer="1019" w:top="1100" w:bottom="1200" w:left="900" w:right="0"/>
        </w:sectPr>
      </w:pPr>
    </w:p>
    <w:p>
      <w:pPr>
        <w:spacing w:line="240" w:lineRule="auto" w:before="0"/>
        <w:rPr>
          <w:rFonts w:ascii="华文细黑" w:hAnsi="华文细黑" w:cs="华文细黑" w:eastAsia="华文细黑" w:hint="default"/>
          <w:sz w:val="20"/>
          <w:szCs w:val="20"/>
        </w:rPr>
      </w:pPr>
    </w:p>
    <w:p>
      <w:pPr>
        <w:spacing w:line="240" w:lineRule="auto" w:before="8"/>
        <w:rPr>
          <w:rFonts w:ascii="华文细黑" w:hAnsi="华文细黑" w:cs="华文细黑" w:eastAsia="华文细黑" w:hint="default"/>
          <w:sz w:val="27"/>
          <w:szCs w:val="27"/>
        </w:rPr>
      </w:pPr>
    </w:p>
    <w:p>
      <w:pPr>
        <w:pStyle w:val="Heading2"/>
        <w:spacing w:line="396" w:lineRule="exact"/>
        <w:ind w:right="1023"/>
        <w:jc w:val="left"/>
        <w:rPr>
          <w:b w:val="0"/>
          <w:bCs w:val="0"/>
        </w:rPr>
      </w:pPr>
      <w:bookmarkStart w:name="八、分季度主要财务指标" w:id="20"/>
      <w:bookmarkEnd w:id="20"/>
      <w:r>
        <w:rPr>
          <w:b w:val="0"/>
          <w:bCs w:val="0"/>
        </w:rPr>
      </w:r>
      <w:r>
        <w:rPr/>
        <w:t>八、分季度主要财务指标</w:t>
      </w:r>
      <w:r>
        <w:rPr>
          <w:b w:val="0"/>
          <w:bCs w:val="0"/>
        </w:rPr>
      </w:r>
    </w:p>
    <w:p>
      <w:pPr>
        <w:spacing w:line="240" w:lineRule="auto" w:before="0"/>
        <w:rPr>
          <w:rFonts w:ascii="华文细黑" w:hAnsi="华文细黑" w:cs="华文细黑" w:eastAsia="华文细黑" w:hint="default"/>
          <w:b/>
          <w:bCs/>
          <w:sz w:val="20"/>
          <w:szCs w:val="20"/>
        </w:rPr>
      </w:pPr>
    </w:p>
    <w:p>
      <w:pPr>
        <w:spacing w:line="240" w:lineRule="auto" w:before="13"/>
        <w:rPr>
          <w:rFonts w:ascii="华文细黑" w:hAnsi="华文细黑" w:cs="华文细黑" w:eastAsia="华文细黑" w:hint="default"/>
          <w:b/>
          <w:bCs/>
          <w:sz w:val="11"/>
          <w:szCs w:val="11"/>
        </w:rPr>
      </w:pPr>
    </w:p>
    <w:p>
      <w:pPr>
        <w:spacing w:before="0"/>
        <w:ind w:left="0" w:right="1130" w:firstLine="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单位：元</w:t>
      </w:r>
    </w:p>
    <w:p>
      <w:pPr>
        <w:spacing w:line="240" w:lineRule="auto" w:before="12"/>
        <w:rPr>
          <w:rFonts w:ascii="华文细黑" w:hAnsi="华文细黑" w:cs="华文细黑" w:eastAsia="华文细黑" w:hint="default"/>
          <w:sz w:val="6"/>
          <w:szCs w:val="6"/>
        </w:rPr>
      </w:pPr>
    </w:p>
    <w:tbl>
      <w:tblPr>
        <w:tblW w:w="0" w:type="auto"/>
        <w:jc w:val="left"/>
        <w:tblInd w:w="117" w:type="dxa"/>
        <w:tblLayout w:type="fixed"/>
        <w:tblCellMar>
          <w:top w:w="0" w:type="dxa"/>
          <w:left w:w="0" w:type="dxa"/>
          <w:bottom w:w="0" w:type="dxa"/>
          <w:right w:w="0" w:type="dxa"/>
        </w:tblCellMar>
        <w:tblLook w:val="01E0"/>
      </w:tblPr>
      <w:tblGrid>
        <w:gridCol w:w="2621"/>
        <w:gridCol w:w="1740"/>
        <w:gridCol w:w="1739"/>
        <w:gridCol w:w="1739"/>
        <w:gridCol w:w="1730"/>
      </w:tblGrid>
      <w:tr>
        <w:trPr>
          <w:trHeight w:val="402" w:hRule="exact"/>
        </w:trPr>
        <w:tc>
          <w:tcPr>
            <w:tcW w:w="2621"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7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50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第一季度</w:t>
            </w:r>
          </w:p>
        </w:tc>
        <w:tc>
          <w:tcPr>
            <w:tcW w:w="17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5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第二季度</w:t>
            </w:r>
          </w:p>
        </w:tc>
        <w:tc>
          <w:tcPr>
            <w:tcW w:w="17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5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第三季度</w:t>
            </w:r>
          </w:p>
        </w:tc>
        <w:tc>
          <w:tcPr>
            <w:tcW w:w="173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50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第四季度</w:t>
            </w:r>
          </w:p>
        </w:tc>
      </w:tr>
      <w:tr>
        <w:trPr>
          <w:trHeight w:val="402" w:hRule="exact"/>
        </w:trPr>
        <w:tc>
          <w:tcPr>
            <w:tcW w:w="262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营业收入</w:t>
            </w:r>
          </w:p>
        </w:tc>
        <w:tc>
          <w:tcPr>
            <w:tcW w:w="17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15,040,461,597.94</w:t>
            </w:r>
          </w:p>
        </w:tc>
        <w:tc>
          <w:tcPr>
            <w:tcW w:w="173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14,142,555,341.46</w:t>
            </w:r>
          </w:p>
        </w:tc>
        <w:tc>
          <w:tcPr>
            <w:tcW w:w="173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13,481,323,316.61</w:t>
            </w:r>
          </w:p>
        </w:tc>
        <w:tc>
          <w:tcPr>
            <w:tcW w:w="17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14,319,451,719.81</w:t>
            </w:r>
          </w:p>
        </w:tc>
      </w:tr>
      <w:tr>
        <w:trPr>
          <w:trHeight w:val="402" w:hRule="exact"/>
        </w:trPr>
        <w:tc>
          <w:tcPr>
            <w:tcW w:w="262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归属于上市公司股东的净利润</w:t>
            </w:r>
          </w:p>
        </w:tc>
        <w:tc>
          <w:tcPr>
            <w:tcW w:w="17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92,392,975.09</w:t>
            </w:r>
          </w:p>
        </w:tc>
        <w:tc>
          <w:tcPr>
            <w:tcW w:w="173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61,500,611.50</w:t>
            </w:r>
          </w:p>
        </w:tc>
        <w:tc>
          <w:tcPr>
            <w:tcW w:w="173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27,136,646.91</w:t>
            </w:r>
          </w:p>
        </w:tc>
        <w:tc>
          <w:tcPr>
            <w:tcW w:w="17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sz w:val="18"/>
              </w:rPr>
              <w:t>-273,750,316.49</w:t>
            </w:r>
          </w:p>
        </w:tc>
      </w:tr>
      <w:tr>
        <w:trPr>
          <w:trHeight w:val="714" w:hRule="exact"/>
        </w:trPr>
        <w:tc>
          <w:tcPr>
            <w:tcW w:w="262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66"/>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归属于上市公司股东的扣除非 经常性损益的净利润</w:t>
            </w:r>
          </w:p>
        </w:tc>
        <w:tc>
          <w:tcPr>
            <w:tcW w:w="17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63,860,640.85</w:t>
            </w:r>
          </w:p>
        </w:tc>
        <w:tc>
          <w:tcPr>
            <w:tcW w:w="173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53,674,883.37</w:t>
            </w:r>
          </w:p>
        </w:tc>
        <w:tc>
          <w:tcPr>
            <w:tcW w:w="173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29,393,182.01</w:t>
            </w:r>
          </w:p>
        </w:tc>
        <w:tc>
          <w:tcPr>
            <w:tcW w:w="17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41,131,141.49</w:t>
            </w:r>
          </w:p>
        </w:tc>
      </w:tr>
      <w:tr>
        <w:trPr>
          <w:trHeight w:val="402" w:hRule="exact"/>
        </w:trPr>
        <w:tc>
          <w:tcPr>
            <w:tcW w:w="262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经营活动产生的现金流量净额</w:t>
            </w:r>
          </w:p>
        </w:tc>
        <w:tc>
          <w:tcPr>
            <w:tcW w:w="17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474,555,901.34</w:t>
            </w:r>
          </w:p>
        </w:tc>
        <w:tc>
          <w:tcPr>
            <w:tcW w:w="173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sz w:val="18"/>
              </w:rPr>
              <w:t>1,458,304,661.86</w:t>
            </w:r>
          </w:p>
        </w:tc>
        <w:tc>
          <w:tcPr>
            <w:tcW w:w="173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sz w:val="18"/>
              </w:rPr>
              <w:t>1,753,704,291.49</w:t>
            </w:r>
          </w:p>
        </w:tc>
        <w:tc>
          <w:tcPr>
            <w:tcW w:w="17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sz w:val="18"/>
              </w:rPr>
              <w:t>-3,194,316,114.78</w:t>
            </w:r>
          </w:p>
        </w:tc>
      </w:tr>
    </w:tbl>
    <w:p>
      <w:pPr>
        <w:pStyle w:val="BodyText"/>
        <w:spacing w:line="252" w:lineRule="auto" w:before="13"/>
        <w:ind w:left="234" w:right="1023"/>
        <w:jc w:val="left"/>
      </w:pPr>
      <w:r>
        <w:rPr>
          <w:spacing w:val="-1"/>
        </w:rPr>
        <w:t>说明：报告期内，第四季度确认计提了可供出售金融资产减值准备，使得第四季度归属于上市公司股东的</w:t>
      </w:r>
      <w:r>
        <w:rPr>
          <w:spacing w:val="-30"/>
        </w:rPr>
        <w:t> </w:t>
      </w:r>
      <w:r>
        <w:rPr>
          <w:spacing w:val="-30"/>
        </w:rPr>
      </w:r>
      <w:r>
        <w:rPr>
          <w:spacing w:val="-1"/>
        </w:rPr>
        <w:t>净利润为负数。由于移动通信产品的行业特点，各个季度应收账款、预付账款、应付账款、存货等会有所</w:t>
      </w:r>
      <w:r>
        <w:rPr>
          <w:spacing w:val="-30"/>
        </w:rPr>
        <w:t> </w:t>
      </w:r>
      <w:r>
        <w:rPr>
          <w:spacing w:val="-30"/>
        </w:rPr>
      </w:r>
      <w:r>
        <w:rPr>
          <w:spacing w:val="-1"/>
        </w:rPr>
        <w:t>变动，使得各个季度的经营活动产生的现金流量净额与净利润非同比变化，故第四季度经营活动流量净额</w:t>
      </w:r>
      <w:r>
        <w:rPr>
          <w:spacing w:val="-29"/>
        </w:rPr>
        <w:t> </w:t>
      </w:r>
      <w:r>
        <w:rPr>
          <w:spacing w:val="-29"/>
        </w:rPr>
      </w:r>
      <w:r>
        <w:rPr/>
        <w:t>为负数。报告期内的会计数据及财务指标同比变动较大的原因，可详见第十节</w:t>
      </w:r>
      <w:r>
        <w:rPr>
          <w:spacing w:val="52"/>
        </w:rPr>
        <w:t> </w:t>
      </w:r>
      <w:r>
        <w:rPr/>
        <w:t>公司债券相关情况“八、</w:t>
      </w:r>
      <w:r>
        <w:rPr/>
        <w:t> 截至报告期末公司近 </w:t>
      </w:r>
      <w:r>
        <w:rPr>
          <w:rFonts w:ascii="华文细黑" w:hAnsi="华文细黑" w:cs="华文细黑" w:eastAsia="华文细黑" w:hint="default"/>
        </w:rPr>
        <w:t>2</w:t>
      </w:r>
      <w:r>
        <w:rPr>
          <w:rFonts w:ascii="华文细黑" w:hAnsi="华文细黑" w:cs="华文细黑" w:eastAsia="华文细黑" w:hint="default"/>
          <w:spacing w:val="-1"/>
        </w:rPr>
        <w:t> </w:t>
      </w:r>
      <w:r>
        <w:rPr>
          <w:spacing w:val="-7"/>
        </w:rPr>
        <w:t>年的主要会计数据和财务指标”。</w:t>
      </w:r>
    </w:p>
    <w:p>
      <w:pPr>
        <w:spacing w:line="240" w:lineRule="auto" w:before="0"/>
        <w:rPr>
          <w:rFonts w:ascii="华文细黑" w:hAnsi="华文细黑" w:cs="华文细黑" w:eastAsia="华文细黑" w:hint="default"/>
          <w:sz w:val="28"/>
          <w:szCs w:val="28"/>
        </w:rPr>
      </w:pPr>
    </w:p>
    <w:p>
      <w:pPr>
        <w:pStyle w:val="BodyText"/>
        <w:spacing w:line="240" w:lineRule="auto"/>
        <w:ind w:left="234" w:right="1023"/>
        <w:jc w:val="left"/>
      </w:pPr>
      <w:r>
        <w:rPr/>
        <w:t>上述财务指标或其加总数是否与公司已披露季度报告、半年度报告相关财务指标存在重大差异</w:t>
      </w:r>
    </w:p>
    <w:p>
      <w:pPr>
        <w:pStyle w:val="BodyText"/>
        <w:spacing w:line="240" w:lineRule="auto" w:before="56"/>
        <w:ind w:left="234" w:right="1023"/>
        <w:jc w:val="left"/>
      </w:pPr>
      <w:r>
        <w:rPr/>
        <w:t>□  是  √  否</w:t>
      </w:r>
    </w:p>
    <w:p>
      <w:pPr>
        <w:spacing w:line="240" w:lineRule="auto" w:before="11"/>
        <w:rPr>
          <w:rFonts w:ascii="华文细黑" w:hAnsi="华文细黑" w:cs="华文细黑" w:eastAsia="华文细黑" w:hint="default"/>
          <w:sz w:val="27"/>
          <w:szCs w:val="27"/>
        </w:rPr>
      </w:pPr>
    </w:p>
    <w:p>
      <w:pPr>
        <w:pStyle w:val="Heading2"/>
        <w:spacing w:line="240" w:lineRule="auto"/>
        <w:ind w:right="1023"/>
        <w:jc w:val="left"/>
        <w:rPr>
          <w:b w:val="0"/>
          <w:bCs w:val="0"/>
        </w:rPr>
      </w:pPr>
      <w:bookmarkStart w:name="九、非经常性损益项目及金额" w:id="21"/>
      <w:bookmarkEnd w:id="21"/>
      <w:r>
        <w:rPr>
          <w:b w:val="0"/>
          <w:bCs w:val="0"/>
        </w:rPr>
      </w:r>
      <w:r>
        <w:rPr/>
        <w:t>九、非经常性损益项目及金额</w:t>
      </w:r>
      <w:r>
        <w:rPr>
          <w:b w:val="0"/>
          <w:bCs w:val="0"/>
        </w:rPr>
      </w:r>
    </w:p>
    <w:p>
      <w:pPr>
        <w:spacing w:line="240" w:lineRule="auto" w:before="4"/>
        <w:rPr>
          <w:rFonts w:ascii="华文细黑" w:hAnsi="华文细黑" w:cs="华文细黑" w:eastAsia="华文细黑" w:hint="default"/>
          <w:b/>
          <w:bCs/>
          <w:sz w:val="29"/>
          <w:szCs w:val="29"/>
        </w:rPr>
      </w:pPr>
    </w:p>
    <w:p>
      <w:pPr>
        <w:spacing w:after="0" w:line="240" w:lineRule="auto"/>
        <w:rPr>
          <w:rFonts w:ascii="华文细黑" w:hAnsi="华文细黑" w:cs="华文细黑" w:eastAsia="华文细黑" w:hint="default"/>
          <w:sz w:val="29"/>
          <w:szCs w:val="29"/>
        </w:rPr>
        <w:sectPr>
          <w:pgSz w:w="11910" w:h="16840"/>
          <w:pgMar w:header="917" w:footer="1019" w:top="1100" w:bottom="1200" w:left="900" w:right="0"/>
        </w:sectPr>
      </w:pPr>
    </w:p>
    <w:p>
      <w:pPr>
        <w:pStyle w:val="BodyText"/>
        <w:spacing w:line="240" w:lineRule="auto" w:before="10"/>
        <w:ind w:left="234" w:right="-19"/>
        <w:jc w:val="left"/>
      </w:pPr>
      <w:r>
        <w:rPr/>
        <w:t>√  适用  □</w:t>
      </w:r>
      <w:r>
        <w:rPr>
          <w:spacing w:val="51"/>
        </w:rPr>
        <w:t> </w:t>
      </w:r>
      <w:r>
        <w:rPr/>
        <w:t>不适用</w:t>
      </w:r>
    </w:p>
    <w:p>
      <w:pPr>
        <w:spacing w:line="240" w:lineRule="auto" w:before="0"/>
        <w:rPr>
          <w:rFonts w:ascii="华文细黑" w:hAnsi="华文细黑" w:cs="华文细黑" w:eastAsia="华文细黑" w:hint="default"/>
          <w:sz w:val="18"/>
          <w:szCs w:val="18"/>
        </w:rPr>
      </w:pPr>
      <w:r>
        <w:rPr/>
        <w:br w:type="column"/>
      </w:r>
      <w:r>
        <w:rPr>
          <w:rFonts w:ascii="华文细黑"/>
          <w:sz w:val="18"/>
        </w:rPr>
      </w:r>
    </w:p>
    <w:p>
      <w:pPr>
        <w:spacing w:before="134"/>
        <w:ind w:left="233" w:right="0" w:firstLine="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单位：元</w:t>
      </w:r>
    </w:p>
    <w:p>
      <w:pPr>
        <w:spacing w:after="0"/>
        <w:jc w:val="left"/>
        <w:rPr>
          <w:rFonts w:ascii="华文细黑" w:hAnsi="华文细黑" w:cs="华文细黑" w:eastAsia="华文细黑" w:hint="default"/>
          <w:sz w:val="18"/>
          <w:szCs w:val="18"/>
        </w:rPr>
        <w:sectPr>
          <w:type w:val="continuous"/>
          <w:pgSz w:w="11910" w:h="16840"/>
          <w:pgMar w:top="240" w:bottom="0" w:left="900" w:right="0"/>
          <w:cols w:num="2" w:equalWidth="0">
            <w:col w:w="2019" w:space="6900"/>
            <w:col w:w="2091"/>
          </w:cols>
        </w:sectPr>
      </w:pPr>
    </w:p>
    <w:p>
      <w:pPr>
        <w:spacing w:line="240" w:lineRule="auto" w:before="13"/>
        <w:rPr>
          <w:rFonts w:ascii="华文细黑" w:hAnsi="华文细黑" w:cs="华文细黑" w:eastAsia="华文细黑" w:hint="default"/>
          <w:sz w:val="6"/>
          <w:szCs w:val="6"/>
        </w:rPr>
      </w:pPr>
    </w:p>
    <w:tbl>
      <w:tblPr>
        <w:tblW w:w="0" w:type="auto"/>
        <w:jc w:val="left"/>
        <w:tblInd w:w="117" w:type="dxa"/>
        <w:tblLayout w:type="fixed"/>
        <w:tblCellMar>
          <w:top w:w="0" w:type="dxa"/>
          <w:left w:w="0" w:type="dxa"/>
          <w:bottom w:w="0" w:type="dxa"/>
          <w:right w:w="0" w:type="dxa"/>
        </w:tblCellMar>
        <w:tblLook w:val="01E0"/>
      </w:tblPr>
      <w:tblGrid>
        <w:gridCol w:w="3296"/>
        <w:gridCol w:w="1593"/>
        <w:gridCol w:w="1546"/>
        <w:gridCol w:w="1545"/>
        <w:gridCol w:w="1590"/>
      </w:tblGrid>
      <w:tr>
        <w:trPr>
          <w:trHeight w:val="401" w:hRule="exact"/>
        </w:trPr>
        <w:tc>
          <w:tcPr>
            <w:tcW w:w="32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项目</w:t>
            </w:r>
          </w:p>
        </w:tc>
        <w:tc>
          <w:tcPr>
            <w:tcW w:w="15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29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年金额</w:t>
            </w:r>
          </w:p>
        </w:tc>
        <w:tc>
          <w:tcPr>
            <w:tcW w:w="154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27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2017</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年金额</w:t>
            </w:r>
          </w:p>
        </w:tc>
        <w:tc>
          <w:tcPr>
            <w:tcW w:w="15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27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2016</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年金额</w:t>
            </w:r>
          </w:p>
        </w:tc>
        <w:tc>
          <w:tcPr>
            <w:tcW w:w="15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说明</w:t>
            </w:r>
          </w:p>
        </w:tc>
      </w:tr>
      <w:tr>
        <w:trPr>
          <w:trHeight w:val="714" w:hRule="exact"/>
        </w:trPr>
        <w:tc>
          <w:tcPr>
            <w:tcW w:w="32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1"/>
              <w:ind w:left="103" w:right="12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非流动资产处置损益（包括已计提资产 减值准备的冲销部分）</w:t>
            </w:r>
          </w:p>
        </w:tc>
        <w:tc>
          <w:tcPr>
            <w:tcW w:w="15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-48,847.63</w:t>
            </w:r>
          </w:p>
        </w:tc>
        <w:tc>
          <w:tcPr>
            <w:tcW w:w="15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12,827,699.54</w:t>
            </w:r>
          </w:p>
        </w:tc>
        <w:tc>
          <w:tcPr>
            <w:tcW w:w="15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42,992,130.23</w:t>
            </w:r>
          </w:p>
        </w:tc>
        <w:tc>
          <w:tcPr>
            <w:tcW w:w="1590" w:type="dxa"/>
            <w:tcBorders>
              <w:top w:val="single" w:sz="4" w:space="0" w:color="FFC000"/>
              <w:left w:val="single" w:sz="4" w:space="0" w:color="FFC000"/>
              <w:bottom w:val="single" w:sz="4" w:space="0" w:color="FFC000"/>
              <w:right w:val="single" w:sz="4" w:space="0" w:color="FFC000"/>
            </w:tcBorders>
          </w:tcPr>
          <w:p>
            <w:pPr/>
          </w:p>
        </w:tc>
      </w:tr>
      <w:tr>
        <w:trPr>
          <w:trHeight w:val="1026" w:hRule="exact"/>
        </w:trPr>
        <w:tc>
          <w:tcPr>
            <w:tcW w:w="32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1"/>
              <w:ind w:left="103" w:right="12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计入当期损益的政府补助（与企业业务 密切相关，按照国家统一标准定额或定 量享受的政府补助除外）</w:t>
            </w:r>
          </w:p>
        </w:tc>
        <w:tc>
          <w:tcPr>
            <w:tcW w:w="15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39,392,384.57</w:t>
            </w:r>
          </w:p>
        </w:tc>
        <w:tc>
          <w:tcPr>
            <w:tcW w:w="15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25,211,583.11</w:t>
            </w:r>
          </w:p>
        </w:tc>
        <w:tc>
          <w:tcPr>
            <w:tcW w:w="15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21,895,102.04</w:t>
            </w:r>
          </w:p>
        </w:tc>
        <w:tc>
          <w:tcPr>
            <w:tcW w:w="15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95" w:lineRule="auto"/>
              <w:ind w:left="103" w:right="215"/>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主要系企业发展 金</w:t>
            </w:r>
          </w:p>
        </w:tc>
      </w:tr>
      <w:tr>
        <w:trPr>
          <w:trHeight w:val="1338" w:hRule="exact"/>
        </w:trPr>
        <w:tc>
          <w:tcPr>
            <w:tcW w:w="32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1"/>
              <w:ind w:left="103" w:right="12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企业取得子公司、联营企业及合营企业 的投资成本小于取得投资时应享有被投 资单位可辨认净资产公允价值产生的收 益</w:t>
            </w:r>
          </w:p>
        </w:tc>
        <w:tc>
          <w:tcPr>
            <w:tcW w:w="1593" w:type="dxa"/>
            <w:tcBorders>
              <w:top w:val="single" w:sz="4" w:space="0" w:color="FFC000"/>
              <w:left w:val="single" w:sz="4" w:space="0" w:color="FFC000"/>
              <w:bottom w:val="single" w:sz="4" w:space="0" w:color="FFC000"/>
              <w:right w:val="single" w:sz="4" w:space="0" w:color="FFC000"/>
            </w:tcBorders>
          </w:tcPr>
          <w:p>
            <w:pPr/>
          </w:p>
        </w:tc>
        <w:tc>
          <w:tcPr>
            <w:tcW w:w="1546" w:type="dxa"/>
            <w:tcBorders>
              <w:top w:val="single" w:sz="4" w:space="0" w:color="FFC000"/>
              <w:left w:val="single" w:sz="4" w:space="0" w:color="FFC000"/>
              <w:bottom w:val="single" w:sz="4" w:space="0" w:color="FFC000"/>
              <w:right w:val="single" w:sz="4" w:space="0" w:color="FFC000"/>
            </w:tcBorders>
          </w:tcPr>
          <w:p>
            <w:pPr/>
          </w:p>
        </w:tc>
        <w:tc>
          <w:tcPr>
            <w:tcW w:w="15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
              <w:ind w:right="0"/>
              <w:jc w:val="left"/>
              <w:rPr>
                <w:rFonts w:ascii="华文细黑" w:hAnsi="华文细黑" w:cs="华文细黑" w:eastAsia="华文细黑" w:hint="default"/>
                <w:sz w:val="18"/>
                <w:szCs w:val="18"/>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3,049,716.46</w:t>
            </w:r>
          </w:p>
        </w:tc>
        <w:tc>
          <w:tcPr>
            <w:tcW w:w="1590"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32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委托他人投资或管理资产的损益</w:t>
            </w:r>
          </w:p>
        </w:tc>
        <w:tc>
          <w:tcPr>
            <w:tcW w:w="15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18,108,710.19</w:t>
            </w:r>
          </w:p>
        </w:tc>
        <w:tc>
          <w:tcPr>
            <w:tcW w:w="15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6,977,880.53</w:t>
            </w:r>
          </w:p>
        </w:tc>
        <w:tc>
          <w:tcPr>
            <w:tcW w:w="15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16,816,482.39</w:t>
            </w:r>
          </w:p>
        </w:tc>
        <w:tc>
          <w:tcPr>
            <w:tcW w:w="15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银行理财收益</w:t>
            </w:r>
          </w:p>
        </w:tc>
      </w:tr>
      <w:tr>
        <w:trPr>
          <w:trHeight w:val="1611" w:hRule="exact"/>
        </w:trPr>
        <w:tc>
          <w:tcPr>
            <w:tcW w:w="32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1"/>
              <w:ind w:left="103" w:right="12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除同公司正常经营业务相关的有效套期 保值业务外，持有交易性金融资产、交 易性金融负债产生的公允价值变动损 益，以及处置交易性金融资产、交易性 金融负债和可供出售金融资产取得的投</w:t>
            </w:r>
          </w:p>
        </w:tc>
        <w:tc>
          <w:tcPr>
            <w:tcW w:w="15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37"/>
              <w:ind w:right="101"/>
              <w:jc w:val="right"/>
              <w:rPr>
                <w:rFonts w:ascii="华文细黑" w:hAnsi="华文细黑" w:cs="华文细黑" w:eastAsia="华文细黑" w:hint="default"/>
                <w:sz w:val="18"/>
                <w:szCs w:val="18"/>
              </w:rPr>
            </w:pPr>
            <w:r>
              <w:rPr>
                <w:rFonts w:ascii="华文细黑"/>
                <w:sz w:val="18"/>
              </w:rPr>
              <w:t>32,466,373.97</w:t>
            </w:r>
          </w:p>
        </w:tc>
        <w:tc>
          <w:tcPr>
            <w:tcW w:w="15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37"/>
              <w:ind w:right="102"/>
              <w:jc w:val="right"/>
              <w:rPr>
                <w:rFonts w:ascii="华文细黑" w:hAnsi="华文细黑" w:cs="华文细黑" w:eastAsia="华文细黑" w:hint="default"/>
                <w:sz w:val="18"/>
                <w:szCs w:val="18"/>
              </w:rPr>
            </w:pPr>
            <w:r>
              <w:rPr>
                <w:rFonts w:ascii="华文细黑"/>
                <w:sz w:val="18"/>
              </w:rPr>
              <w:t>113,578,563.37</w:t>
            </w:r>
          </w:p>
        </w:tc>
        <w:tc>
          <w:tcPr>
            <w:tcW w:w="15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37"/>
              <w:ind w:right="101"/>
              <w:jc w:val="right"/>
              <w:rPr>
                <w:rFonts w:ascii="华文细黑" w:hAnsi="华文细黑" w:cs="华文细黑" w:eastAsia="华文细黑" w:hint="default"/>
                <w:sz w:val="18"/>
                <w:szCs w:val="18"/>
              </w:rPr>
            </w:pPr>
            <w:r>
              <w:rPr>
                <w:rFonts w:ascii="华文细黑"/>
                <w:sz w:val="18"/>
              </w:rPr>
              <w:t>9,271,573.75</w:t>
            </w:r>
          </w:p>
        </w:tc>
        <w:tc>
          <w:tcPr>
            <w:tcW w:w="15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9"/>
              <w:ind w:right="0"/>
              <w:jc w:val="left"/>
              <w:rPr>
                <w:rFonts w:ascii="华文细黑" w:hAnsi="华文细黑" w:cs="华文细黑" w:eastAsia="华文细黑" w:hint="default"/>
                <w:sz w:val="16"/>
                <w:szCs w:val="16"/>
              </w:rPr>
            </w:pPr>
          </w:p>
          <w:p>
            <w:pPr>
              <w:pStyle w:val="TableParagraph"/>
              <w:spacing w:line="295" w:lineRule="auto"/>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投资收益、公允价</w:t>
            </w:r>
            <w:r>
              <w:rPr>
                <w:rFonts w:ascii="华文细黑" w:hAnsi="华文细黑" w:cs="华文细黑" w:eastAsia="华文细黑" w:hint="default"/>
                <w:spacing w:val="-40"/>
                <w:sz w:val="18"/>
                <w:szCs w:val="18"/>
              </w:rPr>
              <w:t> </w:t>
            </w:r>
            <w:r>
              <w:rPr>
                <w:rFonts w:ascii="华文细黑" w:hAnsi="华文细黑" w:cs="华文细黑" w:eastAsia="华文细黑" w:hint="default"/>
                <w:spacing w:val="-40"/>
                <w:sz w:val="18"/>
                <w:szCs w:val="18"/>
              </w:rPr>
            </w:r>
            <w:r>
              <w:rPr>
                <w:rFonts w:ascii="华文细黑" w:hAnsi="华文细黑" w:cs="华文细黑" w:eastAsia="华文细黑" w:hint="default"/>
                <w:sz w:val="18"/>
                <w:szCs w:val="18"/>
              </w:rPr>
              <w:t>值变动损益</w:t>
            </w:r>
          </w:p>
        </w:tc>
      </w:tr>
    </w:tbl>
    <w:p>
      <w:pPr>
        <w:spacing w:after="0" w:line="295" w:lineRule="auto"/>
        <w:jc w:val="left"/>
        <w:rPr>
          <w:rFonts w:ascii="华文细黑" w:hAnsi="华文细黑" w:cs="华文细黑" w:eastAsia="华文细黑" w:hint="default"/>
          <w:sz w:val="18"/>
          <w:szCs w:val="18"/>
        </w:rPr>
        <w:sectPr>
          <w:type w:val="continuous"/>
          <w:pgSz w:w="11910" w:h="16840"/>
          <w:pgMar w:top="240" w:bottom="0" w:left="900" w:right="0"/>
        </w:sectPr>
      </w:pPr>
    </w:p>
    <w:p>
      <w:pPr>
        <w:spacing w:line="240" w:lineRule="auto" w:before="8"/>
        <w:rPr>
          <w:rFonts w:ascii="华文细黑" w:hAnsi="华文细黑" w:cs="华文细黑" w:eastAsia="华文细黑" w:hint="default"/>
          <w:sz w:val="23"/>
          <w:szCs w:val="23"/>
        </w:rPr>
      </w:pPr>
    </w:p>
    <w:tbl>
      <w:tblPr>
        <w:tblW w:w="0" w:type="auto"/>
        <w:jc w:val="left"/>
        <w:tblInd w:w="117" w:type="dxa"/>
        <w:tblLayout w:type="fixed"/>
        <w:tblCellMar>
          <w:top w:w="0" w:type="dxa"/>
          <w:left w:w="0" w:type="dxa"/>
          <w:bottom w:w="0" w:type="dxa"/>
          <w:right w:w="0" w:type="dxa"/>
        </w:tblCellMar>
        <w:tblLook w:val="01E0"/>
      </w:tblPr>
      <w:tblGrid>
        <w:gridCol w:w="3296"/>
        <w:gridCol w:w="1593"/>
        <w:gridCol w:w="1546"/>
        <w:gridCol w:w="1545"/>
        <w:gridCol w:w="1590"/>
      </w:tblGrid>
      <w:tr>
        <w:trPr>
          <w:trHeight w:val="362" w:hRule="exact"/>
        </w:trPr>
        <w:tc>
          <w:tcPr>
            <w:tcW w:w="32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资收益</w:t>
            </w:r>
          </w:p>
        </w:tc>
        <w:tc>
          <w:tcPr>
            <w:tcW w:w="1593" w:type="dxa"/>
            <w:tcBorders>
              <w:top w:val="single" w:sz="4" w:space="0" w:color="FFC000"/>
              <w:left w:val="single" w:sz="4" w:space="0" w:color="FFC000"/>
              <w:bottom w:val="single" w:sz="4" w:space="0" w:color="FFC000"/>
              <w:right w:val="single" w:sz="4" w:space="0" w:color="FFC000"/>
            </w:tcBorders>
          </w:tcPr>
          <w:p>
            <w:pPr/>
          </w:p>
        </w:tc>
        <w:tc>
          <w:tcPr>
            <w:tcW w:w="1546" w:type="dxa"/>
            <w:tcBorders>
              <w:top w:val="single" w:sz="4" w:space="0" w:color="FFC000"/>
              <w:left w:val="single" w:sz="4" w:space="0" w:color="FFC000"/>
              <w:bottom w:val="single" w:sz="4" w:space="0" w:color="FFC000"/>
              <w:right w:val="single" w:sz="4" w:space="0" w:color="FFC000"/>
            </w:tcBorders>
          </w:tcPr>
          <w:p>
            <w:pPr/>
          </w:p>
        </w:tc>
        <w:tc>
          <w:tcPr>
            <w:tcW w:w="1545" w:type="dxa"/>
            <w:tcBorders>
              <w:top w:val="single" w:sz="4" w:space="0" w:color="FFC000"/>
              <w:left w:val="single" w:sz="4" w:space="0" w:color="FFC000"/>
              <w:bottom w:val="single" w:sz="4" w:space="0" w:color="FFC000"/>
              <w:right w:val="single" w:sz="4" w:space="0" w:color="FFC000"/>
            </w:tcBorders>
          </w:tcPr>
          <w:p>
            <w:pPr/>
          </w:p>
        </w:tc>
        <w:tc>
          <w:tcPr>
            <w:tcW w:w="1590" w:type="dxa"/>
            <w:tcBorders>
              <w:top w:val="single" w:sz="4" w:space="0" w:color="FFC000"/>
              <w:left w:val="single" w:sz="4" w:space="0" w:color="FFC000"/>
              <w:bottom w:val="single" w:sz="4" w:space="0" w:color="FFC000"/>
              <w:right w:val="single" w:sz="4" w:space="0" w:color="FFC000"/>
            </w:tcBorders>
          </w:tcPr>
          <w:p>
            <w:pPr/>
          </w:p>
        </w:tc>
      </w:tr>
      <w:tr>
        <w:trPr>
          <w:trHeight w:val="714" w:hRule="exact"/>
        </w:trPr>
        <w:tc>
          <w:tcPr>
            <w:tcW w:w="32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2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除上述各项之外的其他营业外收入和支 出</w:t>
            </w:r>
          </w:p>
        </w:tc>
        <w:tc>
          <w:tcPr>
            <w:tcW w:w="15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0"/>
              <w:jc w:val="right"/>
              <w:rPr>
                <w:rFonts w:ascii="华文细黑" w:hAnsi="华文细黑" w:cs="华文细黑" w:eastAsia="华文细黑" w:hint="default"/>
                <w:sz w:val="18"/>
                <w:szCs w:val="18"/>
              </w:rPr>
            </w:pPr>
            <w:r>
              <w:rPr>
                <w:rFonts w:ascii="华文细黑"/>
                <w:sz w:val="18"/>
              </w:rPr>
              <w:t>5,741,396.71</w:t>
            </w:r>
          </w:p>
        </w:tc>
        <w:tc>
          <w:tcPr>
            <w:tcW w:w="15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3,158,071.50</w:t>
            </w:r>
          </w:p>
        </w:tc>
        <w:tc>
          <w:tcPr>
            <w:tcW w:w="15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15,566,052.58</w:t>
            </w:r>
          </w:p>
        </w:tc>
        <w:tc>
          <w:tcPr>
            <w:tcW w:w="1590" w:type="dxa"/>
            <w:tcBorders>
              <w:top w:val="single" w:sz="4" w:space="0" w:color="FFC000"/>
              <w:left w:val="single" w:sz="4" w:space="0" w:color="FFC000"/>
              <w:bottom w:val="single" w:sz="4" w:space="0" w:color="FFC000"/>
              <w:right w:val="single" w:sz="4" w:space="0" w:color="FFC000"/>
            </w:tcBorders>
          </w:tcPr>
          <w:p>
            <w:pPr/>
          </w:p>
        </w:tc>
      </w:tr>
      <w:tr>
        <w:trPr>
          <w:trHeight w:val="1026" w:hRule="exact"/>
        </w:trPr>
        <w:tc>
          <w:tcPr>
            <w:tcW w:w="32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
              <w:ind w:right="0"/>
              <w:jc w:val="left"/>
              <w:rPr>
                <w:rFonts w:ascii="华文细黑" w:hAnsi="华文细黑" w:cs="华文细黑" w:eastAsia="华文细黑" w:hint="default"/>
                <w:sz w:val="24"/>
                <w:szCs w:val="24"/>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其他符合非经常性损益定义的损益项目</w:t>
            </w:r>
          </w:p>
        </w:tc>
        <w:tc>
          <w:tcPr>
            <w:tcW w:w="15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-413,408,644.20</w:t>
            </w:r>
          </w:p>
        </w:tc>
        <w:tc>
          <w:tcPr>
            <w:tcW w:w="1546" w:type="dxa"/>
            <w:tcBorders>
              <w:top w:val="single" w:sz="4" w:space="0" w:color="FFC000"/>
              <w:left w:val="single" w:sz="4" w:space="0" w:color="FFC000"/>
              <w:bottom w:val="single" w:sz="4" w:space="0" w:color="FFC000"/>
              <w:right w:val="single" w:sz="4" w:space="0" w:color="FFC000"/>
            </w:tcBorders>
          </w:tcPr>
          <w:p>
            <w:pPr/>
          </w:p>
        </w:tc>
        <w:tc>
          <w:tcPr>
            <w:tcW w:w="1545" w:type="dxa"/>
            <w:tcBorders>
              <w:top w:val="single" w:sz="4" w:space="0" w:color="FFC000"/>
              <w:left w:val="single" w:sz="4" w:space="0" w:color="FFC000"/>
              <w:bottom w:val="single" w:sz="4" w:space="0" w:color="FFC000"/>
              <w:right w:val="single" w:sz="4" w:space="0" w:color="FFC000"/>
            </w:tcBorders>
          </w:tcPr>
          <w:p>
            <w:pPr/>
          </w:p>
        </w:tc>
        <w:tc>
          <w:tcPr>
            <w:tcW w:w="1590"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25" w:firstLine="88"/>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非经常性可供出 售金融资产减值 准备</w:t>
            </w:r>
          </w:p>
        </w:tc>
      </w:tr>
      <w:tr>
        <w:trPr>
          <w:trHeight w:val="402" w:hRule="exact"/>
        </w:trPr>
        <w:tc>
          <w:tcPr>
            <w:tcW w:w="32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减：所得税影响额</w:t>
            </w:r>
          </w:p>
        </w:tc>
        <w:tc>
          <w:tcPr>
            <w:tcW w:w="15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-37,747,076.96</w:t>
            </w:r>
          </w:p>
        </w:tc>
        <w:tc>
          <w:tcPr>
            <w:tcW w:w="15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28,399,914.58</w:t>
            </w:r>
          </w:p>
        </w:tc>
        <w:tc>
          <w:tcPr>
            <w:tcW w:w="15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18,370,273.10</w:t>
            </w:r>
          </w:p>
        </w:tc>
        <w:tc>
          <w:tcPr>
            <w:tcW w:w="1590"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32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4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少数股东权益影响额（税后）</w:t>
            </w:r>
          </w:p>
        </w:tc>
        <w:tc>
          <w:tcPr>
            <w:tcW w:w="15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w w:val="95"/>
                <w:sz w:val="18"/>
              </w:rPr>
              <w:t>778,381.28</w:t>
            </w:r>
          </w:p>
        </w:tc>
        <w:tc>
          <w:tcPr>
            <w:tcW w:w="15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w w:val="95"/>
                <w:sz w:val="18"/>
              </w:rPr>
              <w:t>111,878.80</w:t>
            </w:r>
          </w:p>
        </w:tc>
        <w:tc>
          <w:tcPr>
            <w:tcW w:w="15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w w:val="95"/>
                <w:sz w:val="18"/>
              </w:rPr>
              <w:t>269,151.48</w:t>
            </w:r>
          </w:p>
        </w:tc>
        <w:tc>
          <w:tcPr>
            <w:tcW w:w="1590"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32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合计</w:t>
            </w:r>
          </w:p>
        </w:tc>
        <w:tc>
          <w:tcPr>
            <w:tcW w:w="15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sz w:val="18"/>
              </w:rPr>
              <w:t>-280,779,930.71</w:t>
            </w:r>
          </w:p>
        </w:tc>
        <w:tc>
          <w:tcPr>
            <w:tcW w:w="15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133,242,004.67</w:t>
            </w:r>
          </w:p>
        </w:tc>
        <w:tc>
          <w:tcPr>
            <w:tcW w:w="15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90,951,632.87</w:t>
            </w:r>
          </w:p>
        </w:tc>
        <w:tc>
          <w:tcPr>
            <w:tcW w:w="15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
              <w:jc w:val="center"/>
              <w:rPr>
                <w:rFonts w:ascii="华文细黑" w:hAnsi="华文细黑" w:cs="华文细黑" w:eastAsia="华文细黑" w:hint="default"/>
                <w:sz w:val="18"/>
                <w:szCs w:val="18"/>
              </w:rPr>
            </w:pPr>
            <w:r>
              <w:rPr>
                <w:rFonts w:ascii="华文细黑"/>
                <w:sz w:val="18"/>
              </w:rPr>
              <w:t>--</w:t>
            </w:r>
          </w:p>
        </w:tc>
      </w:tr>
    </w:tbl>
    <w:p>
      <w:pPr>
        <w:spacing w:line="240" w:lineRule="auto" w:before="11"/>
        <w:rPr>
          <w:rFonts w:ascii="华文细黑" w:hAnsi="华文细黑" w:cs="华文细黑" w:eastAsia="华文细黑" w:hint="default"/>
          <w:sz w:val="5"/>
          <w:szCs w:val="5"/>
        </w:rPr>
      </w:pPr>
    </w:p>
    <w:p>
      <w:pPr>
        <w:pStyle w:val="BodyText"/>
        <w:spacing w:line="379" w:lineRule="auto" w:before="10"/>
        <w:ind w:left="234" w:right="1113"/>
        <w:jc w:val="left"/>
      </w:pPr>
      <w:r>
        <w:rPr/>
        <w:t>公司报告期不存在将根据《公开发行证券的公司信息披露解释性公告第 </w:t>
      </w:r>
      <w:r>
        <w:rPr>
          <w:rFonts w:ascii="华文细黑" w:hAnsi="华文细黑" w:cs="华文细黑" w:eastAsia="华文细黑" w:hint="default"/>
        </w:rPr>
        <w:t>1</w:t>
      </w:r>
      <w:r>
        <w:rPr>
          <w:rFonts w:ascii="华文细黑" w:hAnsi="华文细黑" w:cs="华文细黑" w:eastAsia="华文细黑" w:hint="default"/>
          <w:spacing w:val="-32"/>
        </w:rPr>
        <w:t> </w:t>
      </w:r>
      <w:r>
        <w:rPr/>
        <w:t>号——非经常性损益》定义、列 举的非经常性损益项目界定为经常性损益的项目的情形。</w:t>
      </w:r>
    </w:p>
    <w:p>
      <w:pPr>
        <w:spacing w:after="0" w:line="379" w:lineRule="auto"/>
        <w:jc w:val="left"/>
        <w:sectPr>
          <w:pgSz w:w="11910" w:h="16840"/>
          <w:pgMar w:header="917" w:footer="1019" w:top="1100" w:bottom="1200" w:left="900" w:right="0"/>
        </w:sect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4"/>
        <w:rPr>
          <w:rFonts w:ascii="华文细黑" w:hAnsi="华文细黑" w:cs="华文细黑" w:eastAsia="华文细黑" w:hint="default"/>
          <w:sz w:val="14"/>
          <w:szCs w:val="14"/>
        </w:rPr>
      </w:pPr>
    </w:p>
    <w:p>
      <w:pPr>
        <w:pStyle w:val="Heading1"/>
        <w:spacing w:line="416" w:lineRule="exact"/>
        <w:ind w:left="3452" w:right="1217"/>
        <w:jc w:val="left"/>
        <w:rPr>
          <w:b w:val="0"/>
          <w:bCs w:val="0"/>
        </w:rPr>
      </w:pPr>
      <w:bookmarkStart w:name="第三节 公司业务概要" w:id="22"/>
      <w:bookmarkEnd w:id="22"/>
      <w:r>
        <w:rPr>
          <w:b w:val="0"/>
          <w:bCs w:val="0"/>
        </w:rPr>
      </w:r>
      <w:bookmarkStart w:name="_bookmark1" w:id="23"/>
      <w:bookmarkEnd w:id="23"/>
      <w:r>
        <w:rPr>
          <w:b w:val="0"/>
          <w:bCs w:val="0"/>
        </w:rPr>
      </w:r>
      <w:r>
        <w:rPr/>
        <w:t>第三节</w:t>
      </w:r>
      <w:r>
        <w:rPr>
          <w:spacing w:val="80"/>
        </w:rPr>
        <w:t> </w:t>
      </w:r>
      <w:r>
        <w:rPr/>
        <w:t>公司业务概要</w:t>
      </w:r>
      <w:r>
        <w:rPr>
          <w:b w:val="0"/>
          <w:bCs w:val="0"/>
        </w:rPr>
      </w:r>
    </w:p>
    <w:p>
      <w:pPr>
        <w:spacing w:line="240" w:lineRule="auto" w:before="4"/>
        <w:rPr>
          <w:rFonts w:ascii="华文细黑" w:hAnsi="华文细黑" w:cs="华文细黑" w:eastAsia="华文细黑" w:hint="default"/>
          <w:b/>
          <w:bCs/>
          <w:sz w:val="41"/>
          <w:szCs w:val="41"/>
        </w:rPr>
      </w:pPr>
    </w:p>
    <w:p>
      <w:pPr>
        <w:pStyle w:val="Heading2"/>
        <w:spacing w:line="240" w:lineRule="auto"/>
        <w:ind w:left="154" w:right="1217"/>
        <w:jc w:val="left"/>
        <w:rPr>
          <w:b w:val="0"/>
          <w:bCs w:val="0"/>
        </w:rPr>
      </w:pPr>
      <w:bookmarkStart w:name="一、报告期内公司从事的主要业务" w:id="24"/>
      <w:bookmarkEnd w:id="24"/>
      <w:r>
        <w:rPr>
          <w:b w:val="0"/>
          <w:bCs w:val="0"/>
        </w:rPr>
      </w:r>
      <w:r>
        <w:rPr/>
        <w:t>一、报告期内公司从事的主要业务</w:t>
      </w:r>
      <w:r>
        <w:rPr>
          <w:b w:val="0"/>
          <w:bCs w:val="0"/>
        </w:rPr>
      </w:r>
    </w:p>
    <w:p>
      <w:pPr>
        <w:spacing w:line="240" w:lineRule="auto" w:before="7"/>
        <w:rPr>
          <w:rFonts w:ascii="华文细黑" w:hAnsi="华文细黑" w:cs="华文细黑" w:eastAsia="华文细黑" w:hint="default"/>
          <w:b/>
          <w:bCs/>
          <w:sz w:val="35"/>
          <w:szCs w:val="35"/>
        </w:rPr>
      </w:pPr>
    </w:p>
    <w:p>
      <w:pPr>
        <w:pStyle w:val="BodyText"/>
        <w:spacing w:line="379" w:lineRule="auto"/>
        <w:ind w:left="154" w:right="1217" w:firstLine="422"/>
        <w:jc w:val="left"/>
      </w:pPr>
      <w:r>
        <w:rPr/>
        <w:t>爱施德经过二十年的成长，一路伴随移动通信和智能终端的大发展迈入</w:t>
      </w:r>
      <w:r>
        <w:rPr>
          <w:rFonts w:ascii="华文细黑" w:hAnsi="华文细黑" w:cs="华文细黑" w:eastAsia="华文细黑" w:hint="default"/>
        </w:rPr>
        <w:t>5G</w:t>
      </w:r>
      <w:r>
        <w:rPr/>
        <w:t>时代。</w:t>
      </w:r>
      <w:r>
        <w:rPr>
          <w:rFonts w:ascii="华文细黑" w:hAnsi="华文细黑" w:cs="华文细黑" w:eastAsia="华文细黑" w:hint="default"/>
        </w:rPr>
        <w:t>2018</w:t>
      </w:r>
      <w:r>
        <w:rPr/>
        <w:t>年，公 </w:t>
      </w:r>
      <w:r>
        <w:rPr>
          <w:spacing w:val="-1"/>
        </w:rPr>
        <w:t>司以“聚焦价值创造，坚定持续发展”为核心，坚持“构建能力、提升效率”，利用大数据分析和</w:t>
      </w:r>
      <w:r>
        <w:rPr>
          <w:spacing w:val="-44"/>
        </w:rPr>
        <w:t> </w:t>
      </w:r>
      <w:r>
        <w:rPr>
          <w:spacing w:val="-44"/>
        </w:rPr>
      </w:r>
      <w:r>
        <w:rPr>
          <w:spacing w:val="-2"/>
        </w:rPr>
        <w:t>云计算技术，推进</w:t>
      </w:r>
      <w:r>
        <w:rPr>
          <w:rFonts w:ascii="华文细黑" w:hAnsi="华文细黑" w:cs="华文细黑" w:eastAsia="华文细黑" w:hint="default"/>
          <w:spacing w:val="-2"/>
        </w:rPr>
        <w:t>IT</w:t>
      </w:r>
      <w:r>
        <w:rPr>
          <w:spacing w:val="-2"/>
        </w:rPr>
        <w:t>支撑与行业的深度融合，打造“智慧供应链、智慧连接和智慧零售”三大平台，</w:t>
      </w:r>
      <w:r>
        <w:rPr>
          <w:spacing w:val="-20"/>
        </w:rPr>
        <w:t> </w:t>
      </w:r>
      <w:r>
        <w:rPr>
          <w:spacing w:val="-20"/>
        </w:rPr>
      </w:r>
      <w:r>
        <w:rPr/>
        <w:t>构建了大智能连接产业生态，形成了以“连接”为核心的四大业务板块：智能终端分销、金融及供</w:t>
      </w:r>
      <w:r>
        <w:rPr/>
        <w:t> 应链服务、通信服务和智慧零售。</w:t>
      </w:r>
    </w:p>
    <w:p>
      <w:pPr>
        <w:spacing w:line="240" w:lineRule="auto" w:before="1"/>
        <w:rPr>
          <w:rFonts w:ascii="华文细黑" w:hAnsi="华文细黑" w:cs="华文细黑" w:eastAsia="华文细黑" w:hint="default"/>
          <w:sz w:val="21"/>
          <w:szCs w:val="21"/>
        </w:rPr>
      </w:pPr>
    </w:p>
    <w:p>
      <w:pPr>
        <w:spacing w:line="5321" w:lineRule="exact"/>
        <w:ind w:left="1781" w:right="0" w:firstLine="0"/>
        <w:rPr>
          <w:rFonts w:ascii="华文细黑" w:hAnsi="华文细黑" w:cs="华文细黑" w:eastAsia="华文细黑" w:hint="default"/>
          <w:sz w:val="20"/>
          <w:szCs w:val="20"/>
        </w:rPr>
      </w:pPr>
      <w:r>
        <w:rPr>
          <w:rFonts w:ascii="华文细黑" w:hAnsi="华文细黑" w:cs="华文细黑" w:eastAsia="华文细黑" w:hint="default"/>
          <w:position w:val="-105"/>
          <w:sz w:val="20"/>
          <w:szCs w:val="20"/>
        </w:rPr>
        <w:drawing>
          <wp:inline distT="0" distB="0" distL="0" distR="0">
            <wp:extent cx="3930815" cy="3379089"/>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22" cstate="print"/>
                    <a:stretch>
                      <a:fillRect/>
                    </a:stretch>
                  </pic:blipFill>
                  <pic:spPr>
                    <a:xfrm>
                      <a:off x="0" y="0"/>
                      <a:ext cx="3930815" cy="3379089"/>
                    </a:xfrm>
                    <a:prstGeom prst="rect">
                      <a:avLst/>
                    </a:prstGeom>
                  </pic:spPr>
                </pic:pic>
              </a:graphicData>
            </a:graphic>
          </wp:inline>
        </w:drawing>
      </w:r>
      <w:r>
        <w:rPr>
          <w:rFonts w:ascii="华文细黑" w:hAnsi="华文细黑" w:cs="华文细黑" w:eastAsia="华文细黑" w:hint="default"/>
          <w:position w:val="-105"/>
          <w:sz w:val="20"/>
          <w:szCs w:val="20"/>
        </w:rPr>
      </w:r>
    </w:p>
    <w:p>
      <w:pPr>
        <w:spacing w:line="240" w:lineRule="auto" w:before="1"/>
        <w:rPr>
          <w:rFonts w:ascii="华文细黑" w:hAnsi="华文细黑" w:cs="华文细黑" w:eastAsia="华文细黑" w:hint="default"/>
          <w:sz w:val="24"/>
          <w:szCs w:val="24"/>
        </w:rPr>
      </w:pPr>
    </w:p>
    <w:p>
      <w:pPr>
        <w:pStyle w:val="Heading5"/>
        <w:spacing w:line="240" w:lineRule="auto"/>
        <w:ind w:left="574" w:right="1217"/>
        <w:jc w:val="left"/>
        <w:rPr>
          <w:b w:val="0"/>
          <w:bCs w:val="0"/>
        </w:rPr>
      </w:pPr>
      <w:bookmarkStart w:name="1、智能终端分销业务" w:id="25"/>
      <w:bookmarkEnd w:id="25"/>
      <w:r>
        <w:rPr>
          <w:b w:val="0"/>
          <w:bCs w:val="0"/>
        </w:rPr>
      </w:r>
      <w:r>
        <w:rPr>
          <w:rFonts w:ascii="华文细黑" w:hAnsi="华文细黑" w:cs="华文细黑" w:eastAsia="华文细黑" w:hint="default"/>
        </w:rPr>
        <w:t>1</w:t>
      </w:r>
      <w:r>
        <w:rPr/>
        <w:t>、智能终端分销业务</w:t>
      </w:r>
      <w:r>
        <w:rPr>
          <w:b w:val="0"/>
          <w:bCs w:val="0"/>
        </w:rPr>
      </w:r>
    </w:p>
    <w:p>
      <w:pPr>
        <w:spacing w:line="240" w:lineRule="auto" w:before="3"/>
        <w:rPr>
          <w:rFonts w:ascii="华文细黑" w:hAnsi="华文细黑" w:cs="华文细黑" w:eastAsia="华文细黑" w:hint="default"/>
          <w:b/>
          <w:bCs/>
          <w:sz w:val="23"/>
          <w:szCs w:val="23"/>
        </w:rPr>
      </w:pPr>
    </w:p>
    <w:p>
      <w:pPr>
        <w:pStyle w:val="BodyText"/>
        <w:spacing w:line="379" w:lineRule="auto"/>
        <w:ind w:left="154" w:right="0" w:firstLine="420"/>
        <w:jc w:val="left"/>
      </w:pPr>
      <w:r>
        <w:rPr/>
        <w:t>智能终端分销是公司核心业务，是连接智能终端上游厂商和下游客户的桥梁，为厂商和零售商提供渠 道拓展、销售、资金和物流等供应链服务。作为国内规模和效率领先的智能终端销售服务商，多年来，公 </w:t>
      </w:r>
      <w:r>
        <w:rPr>
          <w:spacing w:val="-2"/>
        </w:rPr>
        <w:t>司一直强调</w:t>
      </w:r>
      <w:r>
        <w:rPr>
          <w:rFonts w:ascii="华文细黑" w:hAnsi="华文细黑" w:cs="华文细黑" w:eastAsia="华文细黑" w:hint="default"/>
          <w:spacing w:val="-2"/>
        </w:rPr>
        <w:t>IT</w:t>
      </w:r>
      <w:r>
        <w:rPr>
          <w:spacing w:val="-2"/>
        </w:rPr>
        <w:t>支撑赋能产业发展，保持与国内外优秀智能终端品牌的战略合作，提供智能手机、平板电脑、</w:t>
      </w:r>
      <w:r>
        <w:rPr>
          <w:spacing w:val="-15"/>
        </w:rPr>
        <w:t> </w:t>
      </w:r>
      <w:r>
        <w:rPr>
          <w:spacing w:val="-15"/>
        </w:rPr>
      </w:r>
      <w:r>
        <w:rPr/>
        <w:t>智能音箱、智能手表、机器人等智能终端的分销服务，现已覆盖门店</w:t>
      </w:r>
      <w:r>
        <w:rPr>
          <w:rFonts w:ascii="华文细黑" w:hAnsi="华文细黑" w:cs="华文细黑" w:eastAsia="华文细黑" w:hint="default"/>
        </w:rPr>
        <w:t>10</w:t>
      </w:r>
      <w:r>
        <w:rPr/>
        <w:t>万余家。</w:t>
      </w:r>
    </w:p>
    <w:p>
      <w:pPr>
        <w:spacing w:line="240" w:lineRule="auto" w:before="13"/>
        <w:rPr>
          <w:rFonts w:ascii="华文细黑" w:hAnsi="华文细黑" w:cs="华文细黑" w:eastAsia="华文细黑" w:hint="default"/>
          <w:sz w:val="13"/>
          <w:szCs w:val="13"/>
        </w:rPr>
      </w:pPr>
    </w:p>
    <w:p>
      <w:pPr>
        <w:pStyle w:val="Heading5"/>
        <w:spacing w:line="240" w:lineRule="auto" w:before="0"/>
        <w:ind w:left="574" w:right="1217"/>
        <w:jc w:val="left"/>
        <w:rPr>
          <w:b w:val="0"/>
          <w:bCs w:val="0"/>
        </w:rPr>
      </w:pPr>
      <w:bookmarkStart w:name="2、金融及供应链服务业务" w:id="26"/>
      <w:bookmarkEnd w:id="26"/>
      <w:r>
        <w:rPr>
          <w:b w:val="0"/>
          <w:bCs w:val="0"/>
        </w:rPr>
      </w:r>
      <w:r>
        <w:rPr>
          <w:rFonts w:ascii="华文细黑" w:hAnsi="华文细黑" w:cs="华文细黑" w:eastAsia="华文细黑" w:hint="default"/>
        </w:rPr>
        <w:t>2</w:t>
      </w:r>
      <w:r>
        <w:rPr/>
        <w:t>、金融及供应链服务业务</w:t>
      </w:r>
      <w:r>
        <w:rPr>
          <w:b w:val="0"/>
          <w:bCs w:val="0"/>
        </w:rPr>
      </w:r>
    </w:p>
    <w:p>
      <w:pPr>
        <w:spacing w:after="0" w:line="240" w:lineRule="auto"/>
        <w:jc w:val="left"/>
        <w:sectPr>
          <w:pgSz w:w="11910" w:h="16840"/>
          <w:pgMar w:header="917" w:footer="1019" w:top="1100" w:bottom="1200" w:left="980" w:right="0"/>
        </w:sectPr>
      </w:pPr>
    </w:p>
    <w:p>
      <w:pPr>
        <w:spacing w:line="240" w:lineRule="auto" w:before="7"/>
        <w:rPr>
          <w:rFonts w:ascii="华文细黑" w:hAnsi="华文细黑" w:cs="华文细黑" w:eastAsia="华文细黑" w:hint="default"/>
          <w:b/>
          <w:bCs/>
          <w:sz w:val="26"/>
          <w:szCs w:val="26"/>
        </w:rPr>
      </w:pPr>
    </w:p>
    <w:p>
      <w:pPr>
        <w:pStyle w:val="BodyText"/>
        <w:spacing w:line="379" w:lineRule="auto" w:before="10"/>
        <w:ind w:left="234" w:right="1131" w:firstLine="420"/>
        <w:jc w:val="both"/>
      </w:pPr>
      <w:r>
        <w:rPr>
          <w:spacing w:val="-1"/>
        </w:rPr>
        <w:t>公司依托网络小贷牌照和智能终端供应链场景，充分发挥对行业的深刻理解和金融科技实力，为产业</w:t>
      </w:r>
      <w:r>
        <w:rPr/>
        <w:t> </w:t>
      </w:r>
      <w:r>
        <w:rPr>
          <w:spacing w:val="-1"/>
        </w:rPr>
        <w:t>链客户提供更加高效的金融服务，实现了产业与金融的融合发展和相互促进。公司坚定不移地将金融科技</w:t>
      </w:r>
      <w:r>
        <w:rPr>
          <w:spacing w:val="-29"/>
        </w:rPr>
        <w:t> </w:t>
      </w:r>
      <w:r>
        <w:rPr>
          <w:spacing w:val="-29"/>
        </w:rPr>
      </w:r>
      <w:r>
        <w:rPr/>
        <w:t>助力产业发展作为战略方向，强化金融业务创新、风控管理及</w:t>
      </w:r>
      <w:r>
        <w:rPr>
          <w:rFonts w:ascii="华文细黑" w:hAnsi="华文细黑" w:cs="华文细黑" w:eastAsia="华文细黑" w:hint="default"/>
        </w:rPr>
        <w:t>IT</w:t>
      </w:r>
      <w:r>
        <w:rPr/>
        <w:t>建设，报告期内申报和获得计算机软件著</w:t>
      </w:r>
      <w:r>
        <w:rPr>
          <w:spacing w:val="-9"/>
        </w:rPr>
        <w:t> </w:t>
      </w:r>
      <w:r>
        <w:rPr>
          <w:spacing w:val="-9"/>
        </w:rPr>
      </w:r>
      <w:r>
        <w:rPr/>
        <w:t>作权</w:t>
      </w:r>
      <w:r>
        <w:rPr>
          <w:rFonts w:ascii="华文细黑" w:hAnsi="华文细黑" w:cs="华文细黑" w:eastAsia="华文细黑" w:hint="default"/>
        </w:rPr>
        <w:t>48</w:t>
      </w:r>
      <w:r>
        <w:rPr/>
        <w:t>项。</w:t>
      </w:r>
    </w:p>
    <w:p>
      <w:pPr>
        <w:spacing w:line="240" w:lineRule="auto" w:before="13"/>
        <w:rPr>
          <w:rFonts w:ascii="华文细黑" w:hAnsi="华文细黑" w:cs="华文细黑" w:eastAsia="华文细黑" w:hint="default"/>
          <w:sz w:val="13"/>
          <w:szCs w:val="13"/>
        </w:rPr>
      </w:pPr>
    </w:p>
    <w:p>
      <w:pPr>
        <w:pStyle w:val="Heading5"/>
        <w:spacing w:line="240" w:lineRule="auto" w:before="0"/>
        <w:ind w:left="214" w:right="8322"/>
        <w:jc w:val="center"/>
        <w:rPr>
          <w:b w:val="0"/>
          <w:bCs w:val="0"/>
        </w:rPr>
      </w:pPr>
      <w:bookmarkStart w:name="3、通信服务业务" w:id="27"/>
      <w:bookmarkEnd w:id="27"/>
      <w:r>
        <w:rPr>
          <w:b w:val="0"/>
          <w:bCs w:val="0"/>
        </w:rPr>
      </w:r>
      <w:r>
        <w:rPr>
          <w:rFonts w:ascii="华文细黑" w:hAnsi="华文细黑" w:cs="华文细黑" w:eastAsia="华文细黑" w:hint="default"/>
        </w:rPr>
        <w:t>3</w:t>
      </w:r>
      <w:r>
        <w:rPr/>
        <w:t>、通信服务业务</w:t>
      </w:r>
      <w:r>
        <w:rPr>
          <w:b w:val="0"/>
          <w:bCs w:val="0"/>
        </w:rPr>
      </w:r>
    </w:p>
    <w:p>
      <w:pPr>
        <w:spacing w:line="240" w:lineRule="auto" w:before="3"/>
        <w:rPr>
          <w:rFonts w:ascii="华文细黑" w:hAnsi="华文细黑" w:cs="华文细黑" w:eastAsia="华文细黑" w:hint="default"/>
          <w:b/>
          <w:bCs/>
          <w:sz w:val="23"/>
          <w:szCs w:val="23"/>
        </w:rPr>
      </w:pPr>
    </w:p>
    <w:p>
      <w:pPr>
        <w:pStyle w:val="BodyText"/>
        <w:spacing w:line="379" w:lineRule="auto"/>
        <w:ind w:left="234" w:right="1131" w:firstLine="420"/>
        <w:jc w:val="both"/>
      </w:pPr>
      <w:r>
        <w:rPr>
          <w:spacing w:val="-4"/>
        </w:rPr>
        <w:t>以移动转售业务为基础，公司坚持“智能连接</w:t>
      </w:r>
      <w:r>
        <w:rPr>
          <w:rFonts w:ascii="华文细黑" w:hAnsi="华文细黑" w:cs="华文细黑" w:eastAsia="华文细黑" w:hint="default"/>
          <w:spacing w:val="-4"/>
        </w:rPr>
        <w:t>+</w:t>
      </w:r>
      <w:r>
        <w:rPr>
          <w:spacing w:val="-4"/>
        </w:rPr>
        <w:t>创新服务”</w:t>
      </w:r>
      <w:r>
        <w:rPr>
          <w:rFonts w:ascii="华文细黑" w:hAnsi="华文细黑" w:cs="华文细黑" w:eastAsia="华文细黑" w:hint="default"/>
          <w:spacing w:val="-4"/>
        </w:rPr>
        <w:t>,</w:t>
      </w:r>
      <w:r>
        <w:rPr>
          <w:rFonts w:ascii="华文细黑" w:hAnsi="华文细黑" w:cs="华文细黑" w:eastAsia="华文细黑" w:hint="default"/>
          <w:spacing w:val="6"/>
        </w:rPr>
        <w:t> </w:t>
      </w:r>
      <w:r>
        <w:rPr/>
        <w:t>在基础通信服务和物联网平台的核心技术 </w:t>
      </w:r>
      <w:r>
        <w:rPr>
          <w:spacing w:val="-1"/>
        </w:rPr>
        <w:t>上实现进一步突破。优友互联作为公司移动转售业务的运营主体已率先获得由工信部颁发的跨地区增值电</w:t>
      </w:r>
      <w:r>
        <w:rPr>
          <w:spacing w:val="-29"/>
        </w:rPr>
        <w:t> </w:t>
      </w:r>
      <w:r>
        <w:rPr>
          <w:spacing w:val="-29"/>
        </w:rPr>
      </w:r>
      <w:r>
        <w:rPr/>
        <w:t>信业务正式牌照；荣获</w:t>
      </w:r>
      <w:r>
        <w:rPr>
          <w:spacing w:val="43"/>
        </w:rPr>
        <w:t> </w:t>
      </w:r>
      <w:r>
        <w:rPr/>
        <w:t>“国家高新技术企业”证书；获得</w:t>
      </w:r>
      <w:r>
        <w:rPr>
          <w:rFonts w:ascii="华文细黑" w:hAnsi="华文细黑" w:cs="华文细黑" w:eastAsia="华文细黑" w:hint="default"/>
        </w:rPr>
        <w:t>6</w:t>
      </w:r>
      <w:r>
        <w:rPr/>
        <w:t>项发明专利和</w:t>
      </w:r>
      <w:r>
        <w:rPr>
          <w:rFonts w:ascii="华文细黑" w:hAnsi="华文细黑" w:cs="华文细黑" w:eastAsia="华文细黑" w:hint="default"/>
        </w:rPr>
        <w:t>9</w:t>
      </w:r>
      <w:r>
        <w:rPr/>
        <w:t>项著作权。公司在个人移动通</w:t>
      </w:r>
      <w:r>
        <w:rPr>
          <w:spacing w:val="-46"/>
        </w:rPr>
        <w:t> </w:t>
      </w:r>
      <w:r>
        <w:rPr>
          <w:spacing w:val="-46"/>
        </w:rPr>
      </w:r>
      <w:r>
        <w:rPr>
          <w:spacing w:val="-1"/>
        </w:rPr>
        <w:t>信、智慧城市、安全防控、工业物联、商业消费、智能车联和智能家居等应用场景实现了智慧连接，并在</w:t>
      </w:r>
      <w:r>
        <w:rPr>
          <w:spacing w:val="-31"/>
        </w:rPr>
        <w:t> </w:t>
      </w:r>
      <w:r>
        <w:rPr>
          <w:spacing w:val="-31"/>
        </w:rPr>
      </w:r>
      <w:r>
        <w:rPr/>
        <w:t>移动互联、物联网和国际漫游等领域拥有先进的技术解决方案。</w:t>
      </w:r>
    </w:p>
    <w:p>
      <w:pPr>
        <w:spacing w:line="240" w:lineRule="auto" w:before="13"/>
        <w:rPr>
          <w:rFonts w:ascii="华文细黑" w:hAnsi="华文细黑" w:cs="华文细黑" w:eastAsia="华文细黑" w:hint="default"/>
          <w:sz w:val="13"/>
          <w:szCs w:val="13"/>
        </w:rPr>
      </w:pPr>
    </w:p>
    <w:p>
      <w:pPr>
        <w:pStyle w:val="Heading5"/>
        <w:spacing w:line="240" w:lineRule="auto" w:before="0"/>
        <w:ind w:left="214" w:right="8322"/>
        <w:jc w:val="center"/>
        <w:rPr>
          <w:b w:val="0"/>
          <w:bCs w:val="0"/>
        </w:rPr>
      </w:pPr>
      <w:bookmarkStart w:name="4、智慧零售业务" w:id="28"/>
      <w:bookmarkEnd w:id="28"/>
      <w:r>
        <w:rPr>
          <w:b w:val="0"/>
          <w:bCs w:val="0"/>
        </w:rPr>
      </w:r>
      <w:r>
        <w:rPr>
          <w:rFonts w:ascii="华文细黑" w:hAnsi="华文细黑" w:cs="华文细黑" w:eastAsia="华文细黑" w:hint="default"/>
        </w:rPr>
        <w:t>4</w:t>
      </w:r>
      <w:r>
        <w:rPr/>
        <w:t>、智慧零售业务</w:t>
      </w:r>
      <w:r>
        <w:rPr>
          <w:b w:val="0"/>
          <w:bCs w:val="0"/>
        </w:rPr>
      </w:r>
    </w:p>
    <w:p>
      <w:pPr>
        <w:spacing w:line="240" w:lineRule="auto" w:before="3"/>
        <w:rPr>
          <w:rFonts w:ascii="华文细黑" w:hAnsi="华文细黑" w:cs="华文细黑" w:eastAsia="华文细黑" w:hint="default"/>
          <w:b/>
          <w:bCs/>
          <w:sz w:val="23"/>
          <w:szCs w:val="23"/>
        </w:rPr>
      </w:pPr>
    </w:p>
    <w:p>
      <w:pPr>
        <w:pStyle w:val="BodyText"/>
        <w:spacing w:line="379" w:lineRule="auto"/>
        <w:ind w:left="234" w:right="1026" w:firstLine="420"/>
        <w:jc w:val="both"/>
      </w:pPr>
      <w:r>
        <w:rPr>
          <w:spacing w:val="14"/>
        </w:rPr>
        <w:t>公司以苹果零售业务为基础，逐步向泛智能终端及周边产品延伸，依托不同的业务场景构建了</w:t>
      </w:r>
      <w:r>
        <w:rPr/>
        <w:t> </w:t>
      </w:r>
      <w:r>
        <w:rPr>
          <w:spacing w:val="-13"/>
        </w:rPr>
        <w:t>“</w:t>
      </w:r>
      <w:r>
        <w:rPr>
          <w:rFonts w:ascii="华文细黑" w:hAnsi="华文细黑" w:cs="华文细黑" w:eastAsia="华文细黑" w:hint="default"/>
          <w:spacing w:val="-13"/>
        </w:rPr>
        <w:t>Coodoo</w:t>
      </w:r>
      <w:r>
        <w:rPr>
          <w:spacing w:val="-13"/>
        </w:rPr>
        <w:t>”、“一号机”、“由你购”、“爱保科技”等集线上线下为一体，贯穿售前售后的智慧零售品牌。</w:t>
      </w:r>
      <w:r>
        <w:rPr>
          <w:spacing w:val="-24"/>
        </w:rPr>
        <w:t> </w:t>
      </w:r>
      <w:r>
        <w:rPr>
          <w:spacing w:val="-24"/>
        </w:rPr>
      </w:r>
      <w:r>
        <w:rPr/>
        <w:t>通过自主研发的智慧营销和零售服务云平台的应用以及电商平台的不断优化升级，公司进一步融合了线上</w:t>
      </w:r>
      <w:r>
        <w:rPr/>
        <w:t> </w:t>
      </w:r>
      <w:r>
        <w:rPr>
          <w:spacing w:val="-3"/>
        </w:rPr>
        <w:t>和线下场景在商品信息流、资金流和物流上的优势，完善了自有门店、合作门店和线上营销的运营及管理，</w:t>
      </w:r>
      <w:r>
        <w:rPr>
          <w:spacing w:val="-38"/>
        </w:rPr>
        <w:t> </w:t>
      </w:r>
      <w:r>
        <w:rPr>
          <w:spacing w:val="-38"/>
        </w:rPr>
      </w:r>
      <w:r>
        <w:rPr/>
        <w:t>提升了会员服务和零售服务的品质，实现了智能导购和精准营销。</w:t>
      </w:r>
    </w:p>
    <w:p>
      <w:pPr>
        <w:spacing w:line="240" w:lineRule="auto" w:before="1"/>
        <w:rPr>
          <w:rFonts w:ascii="华文细黑" w:hAnsi="华文细黑" w:cs="华文细黑" w:eastAsia="华文细黑" w:hint="default"/>
          <w:sz w:val="24"/>
          <w:szCs w:val="24"/>
        </w:rPr>
      </w:pPr>
    </w:p>
    <w:p>
      <w:pPr>
        <w:pStyle w:val="Heading2"/>
        <w:spacing w:line="240" w:lineRule="auto"/>
        <w:ind w:right="1023"/>
        <w:jc w:val="left"/>
        <w:rPr>
          <w:b w:val="0"/>
          <w:bCs w:val="0"/>
        </w:rPr>
      </w:pPr>
      <w:bookmarkStart w:name="二、主要资产重大变化情况" w:id="29"/>
      <w:bookmarkEnd w:id="29"/>
      <w:r>
        <w:rPr>
          <w:b w:val="0"/>
          <w:bCs w:val="0"/>
        </w:rPr>
      </w:r>
      <w:r>
        <w:rPr/>
        <w:t>二、主要资产重大变化情况</w:t>
      </w:r>
      <w:r>
        <w:rPr>
          <w:b w:val="0"/>
          <w:bCs w:val="0"/>
        </w:rPr>
      </w:r>
    </w:p>
    <w:p>
      <w:pPr>
        <w:spacing w:line="240" w:lineRule="auto" w:before="13"/>
        <w:rPr>
          <w:rFonts w:ascii="华文细黑" w:hAnsi="华文细黑" w:cs="华文细黑" w:eastAsia="华文细黑" w:hint="default"/>
          <w:b/>
          <w:bCs/>
          <w:sz w:val="29"/>
          <w:szCs w:val="29"/>
        </w:rPr>
      </w:pPr>
    </w:p>
    <w:p>
      <w:pPr>
        <w:pStyle w:val="Heading5"/>
        <w:spacing w:line="240" w:lineRule="auto" w:before="0"/>
        <w:ind w:left="215" w:right="8322"/>
        <w:jc w:val="center"/>
        <w:rPr>
          <w:b w:val="0"/>
          <w:bCs w:val="0"/>
        </w:rPr>
      </w:pPr>
      <w:bookmarkStart w:name="1、主要资产重大变化情况" w:id="30"/>
      <w:bookmarkEnd w:id="30"/>
      <w:r>
        <w:rPr>
          <w:b w:val="0"/>
          <w:bCs w:val="0"/>
        </w:rPr>
      </w:r>
      <w:r>
        <w:rPr>
          <w:rFonts w:ascii="华文细黑" w:hAnsi="华文细黑" w:cs="华文细黑" w:eastAsia="华文细黑" w:hint="default"/>
        </w:rPr>
        <w:t>1</w:t>
      </w:r>
      <w:r>
        <w:rPr/>
        <w:t>、主要资产重大变化情况</w:t>
      </w:r>
      <w:r>
        <w:rPr>
          <w:b w:val="0"/>
          <w:bCs w:val="0"/>
        </w:rPr>
      </w:r>
    </w:p>
    <w:p>
      <w:pPr>
        <w:spacing w:line="240" w:lineRule="auto" w:before="4"/>
        <w:rPr>
          <w:rFonts w:ascii="华文细黑" w:hAnsi="华文细黑" w:cs="华文细黑" w:eastAsia="华文细黑" w:hint="default"/>
          <w:b/>
          <w:bCs/>
          <w:sz w:val="24"/>
          <w:szCs w:val="24"/>
        </w:rPr>
      </w:pPr>
    </w:p>
    <w:tbl>
      <w:tblPr>
        <w:tblW w:w="0" w:type="auto"/>
        <w:jc w:val="left"/>
        <w:tblInd w:w="117" w:type="dxa"/>
        <w:tblLayout w:type="fixed"/>
        <w:tblCellMar>
          <w:top w:w="0" w:type="dxa"/>
          <w:left w:w="0" w:type="dxa"/>
          <w:bottom w:w="0" w:type="dxa"/>
          <w:right w:w="0" w:type="dxa"/>
        </w:tblCellMar>
        <w:tblLook w:val="01E0"/>
      </w:tblPr>
      <w:tblGrid>
        <w:gridCol w:w="3051"/>
        <w:gridCol w:w="6518"/>
      </w:tblGrid>
      <w:tr>
        <w:trPr>
          <w:trHeight w:val="764" w:hRule="exact"/>
        </w:trPr>
        <w:tc>
          <w:tcPr>
            <w:tcW w:w="30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9"/>
              <w:ind w:right="0"/>
              <w:jc w:val="left"/>
              <w:rPr>
                <w:rFonts w:ascii="华文细黑" w:hAnsi="华文细黑" w:cs="华文细黑" w:eastAsia="华文细黑" w:hint="default"/>
                <w:b/>
                <w:bCs/>
                <w:sz w:val="15"/>
                <w:szCs w:val="15"/>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主要资产</w:t>
            </w:r>
          </w:p>
        </w:tc>
        <w:tc>
          <w:tcPr>
            <w:tcW w:w="651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9"/>
              <w:ind w:right="0"/>
              <w:jc w:val="left"/>
              <w:rPr>
                <w:rFonts w:ascii="华文细黑" w:hAnsi="华文细黑" w:cs="华文细黑" w:eastAsia="华文细黑" w:hint="default"/>
                <w:b/>
                <w:bCs/>
                <w:sz w:val="15"/>
                <w:szCs w:val="15"/>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重大变化说明</w:t>
            </w:r>
          </w:p>
        </w:tc>
      </w:tr>
      <w:tr>
        <w:trPr>
          <w:trHeight w:val="402" w:hRule="exact"/>
        </w:trPr>
        <w:tc>
          <w:tcPr>
            <w:tcW w:w="30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股权资产</w:t>
            </w:r>
          </w:p>
        </w:tc>
        <w:tc>
          <w:tcPr>
            <w:tcW w:w="65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长期股权投资无重大变化</w:t>
            </w:r>
          </w:p>
        </w:tc>
      </w:tr>
      <w:tr>
        <w:trPr>
          <w:trHeight w:val="402" w:hRule="exact"/>
        </w:trPr>
        <w:tc>
          <w:tcPr>
            <w:tcW w:w="30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固定资产</w:t>
            </w:r>
          </w:p>
        </w:tc>
        <w:tc>
          <w:tcPr>
            <w:tcW w:w="65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固定资产无重大变化</w:t>
            </w:r>
          </w:p>
        </w:tc>
      </w:tr>
      <w:tr>
        <w:trPr>
          <w:trHeight w:val="402" w:hRule="exact"/>
        </w:trPr>
        <w:tc>
          <w:tcPr>
            <w:tcW w:w="30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无形资产</w:t>
            </w:r>
          </w:p>
        </w:tc>
        <w:tc>
          <w:tcPr>
            <w:tcW w:w="65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无形资产无重大变化</w:t>
            </w:r>
          </w:p>
        </w:tc>
      </w:tr>
      <w:tr>
        <w:trPr>
          <w:trHeight w:val="402" w:hRule="exact"/>
        </w:trPr>
        <w:tc>
          <w:tcPr>
            <w:tcW w:w="30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在建工程</w:t>
            </w:r>
          </w:p>
        </w:tc>
        <w:tc>
          <w:tcPr>
            <w:tcW w:w="65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较年初减少</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100%</w:t>
            </w:r>
            <w:r>
              <w:rPr>
                <w:rFonts w:ascii="华文细黑" w:hAnsi="华文细黑" w:cs="华文细黑" w:eastAsia="华文细黑" w:hint="default"/>
                <w:sz w:val="18"/>
                <w:szCs w:val="18"/>
              </w:rPr>
              <w:t>，系爱施德小贷资金平台及消费分期系统完工所致</w:t>
            </w:r>
          </w:p>
        </w:tc>
      </w:tr>
      <w:tr>
        <w:trPr>
          <w:trHeight w:val="402" w:hRule="exact"/>
        </w:trPr>
        <w:tc>
          <w:tcPr>
            <w:tcW w:w="30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发放贷款及垫款</w:t>
            </w:r>
          </w:p>
        </w:tc>
        <w:tc>
          <w:tcPr>
            <w:tcW w:w="65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较年初减少</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19.79%</w:t>
            </w:r>
            <w:r>
              <w:rPr>
                <w:rFonts w:ascii="华文细黑" w:hAnsi="华文细黑" w:cs="华文细黑" w:eastAsia="华文细黑" w:hint="default"/>
                <w:sz w:val="18"/>
                <w:szCs w:val="18"/>
              </w:rPr>
              <w:t>，系爱施德小贷对外发放贷款减少所致</w:t>
            </w:r>
          </w:p>
        </w:tc>
      </w:tr>
      <w:tr>
        <w:trPr>
          <w:trHeight w:val="402" w:hRule="exact"/>
        </w:trPr>
        <w:tc>
          <w:tcPr>
            <w:tcW w:w="30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可供出售金融资产</w:t>
            </w:r>
          </w:p>
        </w:tc>
        <w:tc>
          <w:tcPr>
            <w:tcW w:w="65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较年初减少</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74.16%</w:t>
            </w:r>
            <w:r>
              <w:rPr>
                <w:rFonts w:ascii="华文细黑" w:hAnsi="华文细黑" w:cs="华文细黑" w:eastAsia="华文细黑" w:hint="default"/>
                <w:sz w:val="18"/>
                <w:szCs w:val="18"/>
              </w:rPr>
              <w:t>，主要系持有的中新控股股票价格波动计提减值准备所致</w:t>
            </w:r>
          </w:p>
        </w:tc>
      </w:tr>
      <w:tr>
        <w:trPr>
          <w:trHeight w:val="402" w:hRule="exact"/>
        </w:trPr>
        <w:tc>
          <w:tcPr>
            <w:tcW w:w="30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存货</w:t>
            </w:r>
          </w:p>
        </w:tc>
        <w:tc>
          <w:tcPr>
            <w:tcW w:w="65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较年初减少</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40.19%</w:t>
            </w:r>
            <w:r>
              <w:rPr>
                <w:rFonts w:ascii="华文细黑" w:hAnsi="华文细黑" w:cs="华文细黑" w:eastAsia="华文细黑" w:hint="default"/>
                <w:sz w:val="18"/>
                <w:szCs w:val="18"/>
              </w:rPr>
              <w:t>，主要系加速产品销售，降低存货所致</w:t>
            </w:r>
          </w:p>
        </w:tc>
      </w:tr>
      <w:tr>
        <w:trPr>
          <w:trHeight w:val="402" w:hRule="exact"/>
        </w:trPr>
        <w:tc>
          <w:tcPr>
            <w:tcW w:w="30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预付账款</w:t>
            </w:r>
          </w:p>
        </w:tc>
        <w:tc>
          <w:tcPr>
            <w:tcW w:w="65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较年初减少</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67.26%</w:t>
            </w:r>
            <w:r>
              <w:rPr>
                <w:rFonts w:ascii="华文细黑" w:hAnsi="华文细黑" w:cs="华文细黑" w:eastAsia="华文细黑" w:hint="default"/>
                <w:sz w:val="18"/>
                <w:szCs w:val="18"/>
              </w:rPr>
              <w:t>，主要系期末无新品上市，预付厂家货款减少所致</w:t>
            </w:r>
          </w:p>
        </w:tc>
      </w:tr>
    </w:tbl>
    <w:p>
      <w:pPr>
        <w:spacing w:after="0" w:line="240" w:lineRule="auto"/>
        <w:jc w:val="left"/>
        <w:rPr>
          <w:rFonts w:ascii="华文细黑" w:hAnsi="华文细黑" w:cs="华文细黑" w:eastAsia="华文细黑" w:hint="default"/>
          <w:sz w:val="18"/>
          <w:szCs w:val="18"/>
        </w:rPr>
        <w:sectPr>
          <w:pgSz w:w="11910" w:h="16840"/>
          <w:pgMar w:header="917" w:footer="1019" w:top="1100" w:bottom="1200" w:left="900" w:right="0"/>
        </w:sectPr>
      </w:pPr>
    </w:p>
    <w:p>
      <w:pPr>
        <w:spacing w:line="240" w:lineRule="auto" w:before="8"/>
        <w:rPr>
          <w:rFonts w:ascii="华文细黑" w:hAnsi="华文细黑" w:cs="华文细黑" w:eastAsia="华文细黑" w:hint="default"/>
          <w:b/>
          <w:bCs/>
          <w:sz w:val="23"/>
          <w:szCs w:val="23"/>
        </w:rPr>
      </w:pPr>
    </w:p>
    <w:tbl>
      <w:tblPr>
        <w:tblW w:w="0" w:type="auto"/>
        <w:jc w:val="left"/>
        <w:tblInd w:w="117" w:type="dxa"/>
        <w:tblLayout w:type="fixed"/>
        <w:tblCellMar>
          <w:top w:w="0" w:type="dxa"/>
          <w:left w:w="0" w:type="dxa"/>
          <w:bottom w:w="0" w:type="dxa"/>
          <w:right w:w="0" w:type="dxa"/>
        </w:tblCellMar>
        <w:tblLook w:val="01E0"/>
      </w:tblPr>
      <w:tblGrid>
        <w:gridCol w:w="3051"/>
        <w:gridCol w:w="6518"/>
      </w:tblGrid>
      <w:tr>
        <w:trPr>
          <w:trHeight w:val="714" w:hRule="exact"/>
        </w:trPr>
        <w:tc>
          <w:tcPr>
            <w:tcW w:w="30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其他流动资产</w:t>
            </w:r>
          </w:p>
        </w:tc>
        <w:tc>
          <w:tcPr>
            <w:tcW w:w="6518"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较年初减少</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36.78%</w:t>
            </w:r>
            <w:r>
              <w:rPr>
                <w:rFonts w:ascii="华文细黑" w:hAnsi="华文细黑" w:cs="华文细黑" w:eastAsia="华文细黑" w:hint="default"/>
                <w:sz w:val="18"/>
                <w:szCs w:val="18"/>
              </w:rPr>
              <w:t>，主要系期末存货减少使得留抵税金减少，理财产品余额减 少所致</w:t>
            </w:r>
          </w:p>
        </w:tc>
      </w:tr>
    </w:tbl>
    <w:p>
      <w:pPr>
        <w:spacing w:line="240" w:lineRule="auto" w:before="9"/>
        <w:rPr>
          <w:rFonts w:ascii="华文细黑" w:hAnsi="华文细黑" w:cs="华文细黑" w:eastAsia="华文细黑" w:hint="default"/>
          <w:b/>
          <w:bCs/>
          <w:sz w:val="18"/>
          <w:szCs w:val="18"/>
        </w:rPr>
      </w:pPr>
    </w:p>
    <w:p>
      <w:pPr>
        <w:spacing w:before="10"/>
        <w:ind w:left="234" w:right="0" w:firstLine="0"/>
        <w:jc w:val="both"/>
        <w:rPr>
          <w:rFonts w:ascii="华文细黑" w:hAnsi="华文细黑" w:cs="华文细黑" w:eastAsia="华文细黑" w:hint="default"/>
          <w:sz w:val="21"/>
          <w:szCs w:val="21"/>
        </w:rPr>
      </w:pPr>
      <w:bookmarkStart w:name="2、主要境外资产情况" w:id="31"/>
      <w:bookmarkEnd w:id="31"/>
      <w:r>
        <w:rPr/>
      </w: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、主要境外资产情况</w:t>
      </w:r>
      <w:r>
        <w:rPr>
          <w:rFonts w:ascii="华文细黑" w:hAnsi="华文细黑" w:cs="华文细黑" w:eastAsia="华文细黑" w:hint="default"/>
          <w:sz w:val="21"/>
          <w:szCs w:val="21"/>
        </w:rPr>
      </w:r>
    </w:p>
    <w:p>
      <w:pPr>
        <w:spacing w:line="240" w:lineRule="auto" w:before="6"/>
        <w:rPr>
          <w:rFonts w:ascii="华文细黑" w:hAnsi="华文细黑" w:cs="华文细黑" w:eastAsia="华文细黑" w:hint="default"/>
          <w:b/>
          <w:bCs/>
          <w:sz w:val="22"/>
          <w:szCs w:val="22"/>
        </w:rPr>
      </w:pPr>
    </w:p>
    <w:p>
      <w:pPr>
        <w:pStyle w:val="BodyText"/>
        <w:spacing w:line="240" w:lineRule="auto"/>
        <w:ind w:left="234" w:right="0"/>
        <w:jc w:val="both"/>
      </w:pPr>
      <w:r>
        <w:rPr/>
        <w:t>□  适用  √</w:t>
      </w:r>
      <w:r>
        <w:rPr>
          <w:spacing w:val="51"/>
        </w:rPr>
        <w:t> </w:t>
      </w:r>
      <w:r>
        <w:rPr/>
        <w:t>不适用</w:t>
      </w:r>
    </w:p>
    <w:p>
      <w:pPr>
        <w:spacing w:line="240" w:lineRule="auto" w:before="12"/>
        <w:rPr>
          <w:rFonts w:ascii="华文细黑" w:hAnsi="华文细黑" w:cs="华文细黑" w:eastAsia="华文细黑" w:hint="default"/>
          <w:sz w:val="27"/>
          <w:szCs w:val="27"/>
        </w:rPr>
      </w:pPr>
    </w:p>
    <w:p>
      <w:pPr>
        <w:pStyle w:val="Heading2"/>
        <w:spacing w:line="240" w:lineRule="auto"/>
        <w:ind w:right="0"/>
        <w:jc w:val="both"/>
        <w:rPr>
          <w:b w:val="0"/>
          <w:bCs w:val="0"/>
        </w:rPr>
      </w:pPr>
      <w:bookmarkStart w:name="三、核心竞争力分析" w:id="32"/>
      <w:bookmarkEnd w:id="32"/>
      <w:r>
        <w:rPr>
          <w:b w:val="0"/>
          <w:bCs w:val="0"/>
        </w:rPr>
      </w:r>
      <w:r>
        <w:rPr/>
        <w:t>三、核心竞争力分析</w:t>
      </w:r>
      <w:r>
        <w:rPr>
          <w:b w:val="0"/>
          <w:bCs w:val="0"/>
        </w:rPr>
      </w:r>
    </w:p>
    <w:p>
      <w:pPr>
        <w:spacing w:line="240" w:lineRule="auto" w:before="5"/>
        <w:rPr>
          <w:rFonts w:ascii="华文细黑" w:hAnsi="华文细黑" w:cs="华文细黑" w:eastAsia="华文细黑" w:hint="default"/>
          <w:b/>
          <w:bCs/>
          <w:sz w:val="35"/>
          <w:szCs w:val="35"/>
        </w:rPr>
      </w:pPr>
    </w:p>
    <w:p>
      <w:pPr>
        <w:spacing w:line="379" w:lineRule="auto" w:before="0"/>
        <w:ind w:left="654" w:right="1023" w:firstLine="0"/>
        <w:jc w:val="left"/>
        <w:rPr>
          <w:rFonts w:ascii="华文细黑" w:hAnsi="华文细黑" w:cs="华文细黑" w:eastAsia="华文细黑" w:hint="default"/>
          <w:sz w:val="21"/>
          <w:szCs w:val="21"/>
        </w:rPr>
      </w:pPr>
      <w:bookmarkStart w:name="1、“爱施德”二十年品牌打造，铸就5G时代的竞争优势" w:id="33"/>
      <w:bookmarkEnd w:id="33"/>
      <w:r>
        <w:rPr/>
      </w:r>
      <w:r>
        <w:rPr>
          <w:rFonts w:ascii="华文细黑" w:hAnsi="华文细黑" w:cs="华文细黑" w:eastAsia="华文细黑" w:hint="default"/>
          <w:b/>
          <w:bCs/>
          <w:spacing w:val="-4"/>
          <w:w w:val="99"/>
          <w:sz w:val="21"/>
          <w:szCs w:val="21"/>
        </w:rPr>
        <w:t>1</w:t>
      </w:r>
      <w:r>
        <w:rPr>
          <w:rFonts w:ascii="华文细黑" w:hAnsi="华文细黑" w:cs="华文细黑" w:eastAsia="华文细黑" w:hint="default"/>
          <w:b/>
          <w:bCs/>
          <w:spacing w:val="-4"/>
          <w:w w:val="99"/>
          <w:sz w:val="21"/>
          <w:szCs w:val="21"/>
        </w:rPr>
        <w:t>、“爱施德”二十年品牌打造，铸就</w:t>
      </w:r>
      <w:r>
        <w:rPr>
          <w:rFonts w:ascii="华文细黑" w:hAnsi="华文细黑" w:cs="华文细黑" w:eastAsia="华文细黑" w:hint="default"/>
          <w:b/>
          <w:bCs/>
          <w:spacing w:val="-4"/>
          <w:w w:val="99"/>
          <w:sz w:val="21"/>
          <w:szCs w:val="21"/>
        </w:rPr>
        <w:t>5G</w:t>
      </w:r>
      <w:r>
        <w:rPr>
          <w:rFonts w:ascii="华文细黑" w:hAnsi="华文细黑" w:cs="华文细黑" w:eastAsia="华文细黑" w:hint="default"/>
          <w:b/>
          <w:bCs/>
          <w:spacing w:val="-4"/>
          <w:w w:val="99"/>
          <w:sz w:val="21"/>
          <w:szCs w:val="21"/>
        </w:rPr>
        <w:t>时代的竞争优势</w:t>
      </w:r>
      <w:r>
        <w:rPr>
          <w:rFonts w:ascii="华文细黑" w:hAnsi="华文细黑" w:cs="华文细黑" w:eastAsia="华文细黑" w:hint="default"/>
          <w:b/>
          <w:bCs/>
          <w:spacing w:val="-50"/>
          <w:w w:val="99"/>
          <w:sz w:val="21"/>
          <w:szCs w:val="21"/>
        </w:rPr>
        <w:t> </w:t>
      </w:r>
      <w:r>
        <w:rPr>
          <w:rFonts w:ascii="华文细黑" w:hAnsi="华文细黑" w:cs="华文细黑" w:eastAsia="华文细黑" w:hint="default"/>
          <w:b/>
          <w:bCs/>
          <w:spacing w:val="-50"/>
          <w:w w:val="99"/>
          <w:sz w:val="21"/>
          <w:szCs w:val="21"/>
        </w:rPr>
      </w:r>
      <w:r>
        <w:rPr>
          <w:rFonts w:ascii="华文细黑" w:hAnsi="华文细黑" w:cs="华文细黑" w:eastAsia="华文细黑" w:hint="default"/>
          <w:spacing w:val="-1"/>
          <w:sz w:val="21"/>
          <w:szCs w:val="21"/>
        </w:rPr>
        <w:t>公司一直是国内外知名手机品牌和三大运营商的长期战略合作伙伴，依靠强大的销售服务能力为上下</w:t>
      </w:r>
    </w:p>
    <w:p>
      <w:pPr>
        <w:pStyle w:val="BodyText"/>
        <w:spacing w:line="379" w:lineRule="auto" w:before="40"/>
        <w:ind w:left="234" w:right="1130"/>
        <w:jc w:val="both"/>
      </w:pPr>
      <w:r>
        <w:rPr>
          <w:spacing w:val="-1"/>
        </w:rPr>
        <w:t>游客户创造了行业领先的服务价值。公司坚持“运营效率领先、行业地位领先、品牌合作领先和服务价值</w:t>
      </w:r>
      <w:r>
        <w:rPr>
          <w:spacing w:val="-34"/>
        </w:rPr>
        <w:t> </w:t>
      </w:r>
      <w:r>
        <w:rPr>
          <w:spacing w:val="-34"/>
        </w:rPr>
      </w:r>
      <w:r>
        <w:rPr>
          <w:spacing w:val="-3"/>
        </w:rPr>
        <w:t>领先”，铸就了优秀的行业品牌，深受厂商和客户的信任与支持，公司也做好了</w:t>
      </w:r>
      <w:r>
        <w:rPr>
          <w:rFonts w:ascii="华文细黑" w:hAnsi="华文细黑" w:cs="华文细黑" w:eastAsia="华文细黑" w:hint="default"/>
          <w:spacing w:val="-3"/>
        </w:rPr>
        <w:t>5G</w:t>
      </w:r>
      <w:r>
        <w:rPr>
          <w:spacing w:val="-3"/>
        </w:rPr>
        <w:t>时代的品牌和渠道资源</w:t>
      </w:r>
      <w:r>
        <w:rPr>
          <w:spacing w:val="-26"/>
        </w:rPr>
        <w:t> </w:t>
      </w:r>
      <w:r>
        <w:rPr/>
        <w:t>的战略储备。</w:t>
      </w:r>
    </w:p>
    <w:p>
      <w:pPr>
        <w:spacing w:line="379" w:lineRule="auto" w:before="40"/>
        <w:ind w:left="654" w:right="1130" w:firstLine="0"/>
        <w:jc w:val="left"/>
        <w:rPr>
          <w:rFonts w:ascii="华文细黑" w:hAnsi="华文细黑" w:cs="华文细黑" w:eastAsia="华文细黑" w:hint="default"/>
          <w:sz w:val="21"/>
          <w:szCs w:val="21"/>
        </w:rPr>
      </w:pPr>
      <w:bookmarkStart w:name="2、强大的服务能力和销售网络，成就行业领先的供应链服务商" w:id="34"/>
      <w:bookmarkEnd w:id="34"/>
      <w:r>
        <w:rPr/>
      </w: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、强大的服务能力和销售网络，成就行业领先的供应链服务商</w:t>
      </w:r>
      <w:r>
        <w:rPr>
          <w:rFonts w:ascii="华文细黑" w:hAnsi="华文细黑" w:cs="华文细黑" w:eastAsia="华文细黑" w:hint="default"/>
          <w:b/>
          <w:bCs/>
          <w:w w:val="99"/>
          <w:sz w:val="21"/>
          <w:szCs w:val="21"/>
        </w:rPr>
        <w:t> </w:t>
      </w:r>
      <w:r>
        <w:rPr>
          <w:rFonts w:ascii="华文细黑" w:hAnsi="华文细黑" w:cs="华文细黑" w:eastAsia="华文细黑" w:hint="default"/>
          <w:spacing w:val="-1"/>
          <w:sz w:val="21"/>
          <w:szCs w:val="21"/>
        </w:rPr>
        <w:t>公司智能终端分销网络覆盖全国，网格化管理服务全国</w:t>
      </w:r>
      <w:r>
        <w:rPr>
          <w:rFonts w:ascii="华文细黑" w:hAnsi="华文细黑" w:cs="华文细黑" w:eastAsia="华文细黑" w:hint="default"/>
          <w:spacing w:val="-1"/>
          <w:sz w:val="21"/>
          <w:szCs w:val="21"/>
        </w:rPr>
        <w:t>31</w:t>
      </w:r>
      <w:r>
        <w:rPr>
          <w:rFonts w:ascii="华文细黑" w:hAnsi="华文细黑" w:cs="华文细黑" w:eastAsia="华文细黑" w:hint="default"/>
          <w:spacing w:val="-1"/>
          <w:sz w:val="21"/>
          <w:szCs w:val="21"/>
        </w:rPr>
        <w:t>个省级区域</w:t>
      </w:r>
      <w:r>
        <w:rPr>
          <w:rFonts w:ascii="华文细黑" w:hAnsi="华文细黑" w:cs="华文细黑" w:eastAsia="华文细黑" w:hint="default"/>
          <w:spacing w:val="-1"/>
          <w:sz w:val="21"/>
          <w:szCs w:val="21"/>
        </w:rPr>
        <w:t>300</w:t>
      </w:r>
      <w:r>
        <w:rPr>
          <w:rFonts w:ascii="华文细黑" w:hAnsi="华文细黑" w:cs="华文细黑" w:eastAsia="华文细黑" w:hint="default"/>
          <w:spacing w:val="-1"/>
          <w:sz w:val="21"/>
          <w:szCs w:val="21"/>
        </w:rPr>
        <w:t>多地级市，拓展了</w:t>
      </w:r>
      <w:r>
        <w:rPr>
          <w:rFonts w:ascii="华文细黑" w:hAnsi="华文细黑" w:cs="华文细黑" w:eastAsia="华文细黑" w:hint="default"/>
          <w:spacing w:val="-1"/>
          <w:sz w:val="21"/>
          <w:szCs w:val="21"/>
        </w:rPr>
        <w:t>T1-T6</w:t>
      </w:r>
      <w:r>
        <w:rPr>
          <w:rFonts w:ascii="华文细黑" w:hAnsi="华文细黑" w:cs="华文细黑" w:eastAsia="华文细黑" w:hint="default"/>
          <w:spacing w:val="-1"/>
          <w:sz w:val="21"/>
          <w:szCs w:val="21"/>
        </w:rPr>
        <w:t>全渠</w:t>
      </w:r>
    </w:p>
    <w:p>
      <w:pPr>
        <w:pStyle w:val="BodyText"/>
        <w:spacing w:line="379" w:lineRule="auto" w:before="40"/>
        <w:ind w:left="234" w:right="1129"/>
        <w:jc w:val="both"/>
      </w:pPr>
      <w:r>
        <w:rPr/>
        <w:t>道，合作客户</w:t>
      </w:r>
      <w:r>
        <w:rPr>
          <w:rFonts w:ascii="华文细黑" w:hAnsi="华文细黑" w:cs="华文细黑" w:eastAsia="华文细黑" w:hint="default"/>
        </w:rPr>
        <w:t>3</w:t>
      </w:r>
      <w:r>
        <w:rPr/>
        <w:t>万余家，覆盖门店</w:t>
      </w:r>
      <w:r>
        <w:rPr>
          <w:rFonts w:ascii="华文细黑" w:hAnsi="华文细黑" w:cs="华文细黑" w:eastAsia="华文细黑" w:hint="default"/>
        </w:rPr>
        <w:t>10</w:t>
      </w:r>
      <w:r>
        <w:rPr/>
        <w:t>万余家。公司在全国</w:t>
      </w:r>
      <w:r>
        <w:rPr>
          <w:rFonts w:ascii="华文细黑" w:hAnsi="华文细黑" w:cs="华文细黑" w:eastAsia="华文细黑" w:hint="default"/>
        </w:rPr>
        <w:t>15</w:t>
      </w:r>
      <w:r>
        <w:rPr/>
        <w:t>个省</w:t>
      </w:r>
      <w:r>
        <w:rPr>
          <w:rFonts w:ascii="华文细黑" w:hAnsi="华文细黑" w:cs="华文细黑" w:eastAsia="华文细黑" w:hint="default"/>
        </w:rPr>
        <w:t>28</w:t>
      </w:r>
      <w:r>
        <w:rPr/>
        <w:t>个城市的高端时尚购物中心建有一流的 </w:t>
      </w:r>
      <w:r>
        <w:rPr>
          <w:spacing w:val="-1"/>
        </w:rPr>
        <w:t>自有零售苹果门店和服务站点，为客户提供良好的购买体验。售后保障网络同样发达，公司不仅直营</w:t>
      </w:r>
      <w:r>
        <w:rPr>
          <w:rFonts w:ascii="华文细黑" w:hAnsi="华文细黑" w:cs="华文细黑" w:eastAsia="华文细黑" w:hint="default"/>
          <w:spacing w:val="-1"/>
        </w:rPr>
        <w:t>15</w:t>
      </w:r>
      <w:r>
        <w:rPr>
          <w:spacing w:val="-1"/>
        </w:rPr>
        <w:t>家</w:t>
      </w:r>
      <w:r>
        <w:rPr>
          <w:spacing w:val="-50"/>
        </w:rPr>
        <w:t> </w:t>
      </w:r>
      <w:r>
        <w:rPr>
          <w:spacing w:val="-3"/>
        </w:rPr>
        <w:t>苹果授权维修站，连接</w:t>
      </w:r>
      <w:r>
        <w:rPr>
          <w:rFonts w:ascii="华文细黑" w:hAnsi="华文细黑" w:cs="华文细黑" w:eastAsia="华文细黑" w:hint="default"/>
          <w:spacing w:val="-3"/>
        </w:rPr>
        <w:t>450</w:t>
      </w:r>
      <w:r>
        <w:rPr>
          <w:spacing w:val="-3"/>
        </w:rPr>
        <w:t>家苹果</w:t>
      </w:r>
      <w:r>
        <w:rPr>
          <w:rFonts w:ascii="华文细黑" w:hAnsi="华文细黑" w:cs="华文细黑" w:eastAsia="华文细黑" w:hint="default"/>
          <w:spacing w:val="-3"/>
        </w:rPr>
        <w:t>MONO</w:t>
      </w:r>
      <w:r>
        <w:rPr>
          <w:spacing w:val="-3"/>
        </w:rPr>
        <w:t>接机点，而且拥有超过</w:t>
      </w:r>
      <w:r>
        <w:rPr>
          <w:rFonts w:ascii="华文细黑" w:hAnsi="华文细黑" w:cs="华文细黑" w:eastAsia="华文细黑" w:hint="default"/>
          <w:spacing w:val="-3"/>
        </w:rPr>
        <w:t>2000</w:t>
      </w:r>
      <w:r>
        <w:rPr>
          <w:spacing w:val="-3"/>
        </w:rPr>
        <w:t>家的合作维修网点，覆盖全国</w:t>
      </w:r>
      <w:r>
        <w:rPr>
          <w:rFonts w:ascii="华文细黑" w:hAnsi="华文细黑" w:cs="华文细黑" w:eastAsia="华文细黑" w:hint="default"/>
          <w:spacing w:val="-3"/>
        </w:rPr>
        <w:t>32</w:t>
      </w:r>
      <w:r>
        <w:rPr>
          <w:spacing w:val="-3"/>
        </w:rPr>
        <w:t>个省</w:t>
      </w:r>
      <w:r>
        <w:rPr>
          <w:spacing w:val="-4"/>
        </w:rPr>
        <w:t> </w:t>
      </w:r>
      <w:r>
        <w:rPr>
          <w:spacing w:val="-2"/>
        </w:rPr>
        <w:t>级区域</w:t>
      </w:r>
      <w:r>
        <w:rPr>
          <w:rFonts w:ascii="华文细黑" w:hAnsi="华文细黑" w:cs="华文细黑" w:eastAsia="华文细黑" w:hint="default"/>
          <w:spacing w:val="-2"/>
        </w:rPr>
        <w:t>290</w:t>
      </w:r>
      <w:r>
        <w:rPr>
          <w:spacing w:val="-2"/>
        </w:rPr>
        <w:t>个地市。同时，公司还具备行业领先的物流配送能力，建立了拥有</w:t>
      </w:r>
      <w:r>
        <w:rPr>
          <w:rFonts w:ascii="华文细黑" w:hAnsi="华文细黑" w:cs="华文细黑" w:eastAsia="华文细黑" w:hint="default"/>
          <w:spacing w:val="-2"/>
        </w:rPr>
        <w:t>5</w:t>
      </w:r>
      <w:r>
        <w:rPr>
          <w:spacing w:val="-2"/>
        </w:rPr>
        <w:t>大配送中心和</w:t>
      </w:r>
      <w:r>
        <w:rPr>
          <w:rFonts w:ascii="华文细黑" w:hAnsi="华文细黑" w:cs="华文细黑" w:eastAsia="华文细黑" w:hint="default"/>
          <w:spacing w:val="-2"/>
        </w:rPr>
        <w:t>30</w:t>
      </w:r>
      <w:r>
        <w:rPr>
          <w:spacing w:val="-2"/>
        </w:rPr>
        <w:t>个自有区域</w:t>
      </w:r>
      <w:r>
        <w:rPr>
          <w:spacing w:val="-48"/>
        </w:rPr>
        <w:t> </w:t>
      </w:r>
      <w:r>
        <w:rPr>
          <w:spacing w:val="-1"/>
        </w:rPr>
        <w:t>分仓的物流网，配送范围直至乡镇。公司强大的销售网络和服务能力，深受厂商、运营商、经销商及零售</w:t>
      </w:r>
      <w:r>
        <w:rPr>
          <w:spacing w:val="-31"/>
        </w:rPr>
        <w:t> </w:t>
      </w:r>
      <w:r>
        <w:rPr>
          <w:spacing w:val="-31"/>
        </w:rPr>
      </w:r>
      <w:r>
        <w:rPr/>
        <w:t>客户的广泛信赖。</w:t>
      </w:r>
    </w:p>
    <w:p>
      <w:pPr>
        <w:spacing w:line="379" w:lineRule="auto" w:before="40"/>
        <w:ind w:left="654" w:right="1122" w:firstLine="0"/>
        <w:jc w:val="left"/>
        <w:rPr>
          <w:rFonts w:ascii="华文细黑" w:hAnsi="华文细黑" w:cs="华文细黑" w:eastAsia="华文细黑" w:hint="default"/>
          <w:sz w:val="21"/>
          <w:szCs w:val="21"/>
        </w:rPr>
      </w:pPr>
      <w:bookmarkStart w:name="3、行业领先的IT支撑能力，实现业务高效智慧化运营服务" w:id="35"/>
      <w:bookmarkEnd w:id="35"/>
      <w:r>
        <w:rPr/>
      </w:r>
      <w:r>
        <w:rPr>
          <w:rFonts w:ascii="华文细黑" w:hAnsi="华文细黑" w:cs="华文细黑" w:eastAsia="华文细黑" w:hint="default"/>
          <w:b/>
          <w:bCs/>
          <w:sz w:val="21"/>
          <w:szCs w:val="21"/>
        </w:rPr>
        <w:t>3</w:t>
      </w:r>
      <w:r>
        <w:rPr>
          <w:rFonts w:ascii="华文细黑" w:hAnsi="华文细黑" w:cs="华文细黑" w:eastAsia="华文细黑" w:hint="default"/>
          <w:b/>
          <w:bCs/>
          <w:sz w:val="21"/>
          <w:szCs w:val="21"/>
        </w:rPr>
        <w:t>、行业领先的</w:t>
      </w:r>
      <w:r>
        <w:rPr>
          <w:rFonts w:ascii="华文细黑" w:hAnsi="华文细黑" w:cs="华文细黑" w:eastAsia="华文细黑" w:hint="default"/>
          <w:b/>
          <w:bCs/>
          <w:sz w:val="21"/>
          <w:szCs w:val="21"/>
        </w:rPr>
        <w:t>IT</w:t>
      </w:r>
      <w:r>
        <w:rPr>
          <w:rFonts w:ascii="华文细黑" w:hAnsi="华文细黑" w:cs="华文细黑" w:eastAsia="华文细黑" w:hint="default"/>
          <w:b/>
          <w:bCs/>
          <w:sz w:val="21"/>
          <w:szCs w:val="21"/>
        </w:rPr>
        <w:t>支撑能力，实现业务高效智慧化运营服务</w:t>
      </w:r>
      <w:r>
        <w:rPr>
          <w:rFonts w:ascii="华文细黑" w:hAnsi="华文细黑" w:cs="华文细黑" w:eastAsia="华文细黑" w:hint="default"/>
          <w:b/>
          <w:bCs/>
          <w:w w:val="99"/>
          <w:sz w:val="21"/>
          <w:szCs w:val="21"/>
        </w:rPr>
        <w:t> </w:t>
      </w:r>
      <w:r>
        <w:rPr>
          <w:rFonts w:ascii="华文细黑" w:hAnsi="华文细黑" w:cs="华文细黑" w:eastAsia="华文细黑" w:hint="default"/>
          <w:spacing w:val="-2"/>
          <w:sz w:val="21"/>
          <w:szCs w:val="21"/>
        </w:rPr>
        <w:t>公司多年来注重科技人才培养及</w:t>
      </w:r>
      <w:r>
        <w:rPr>
          <w:rFonts w:ascii="华文细黑" w:hAnsi="华文细黑" w:cs="华文细黑" w:eastAsia="华文细黑" w:hint="default"/>
          <w:spacing w:val="-2"/>
          <w:sz w:val="21"/>
          <w:szCs w:val="21"/>
        </w:rPr>
        <w:t>IT</w:t>
      </w:r>
      <w:r>
        <w:rPr>
          <w:rFonts w:ascii="华文细黑" w:hAnsi="华文细黑" w:cs="华文细黑" w:eastAsia="华文细黑" w:hint="default"/>
          <w:spacing w:val="-2"/>
          <w:sz w:val="21"/>
          <w:szCs w:val="21"/>
        </w:rPr>
        <w:t>研发能力建设，确保</w:t>
      </w:r>
      <w:r>
        <w:rPr>
          <w:rFonts w:ascii="华文细黑" w:hAnsi="华文细黑" w:cs="华文细黑" w:eastAsia="华文细黑" w:hint="default"/>
          <w:spacing w:val="-2"/>
          <w:sz w:val="21"/>
          <w:szCs w:val="21"/>
        </w:rPr>
        <w:t>IT</w:t>
      </w:r>
      <w:r>
        <w:rPr>
          <w:rFonts w:ascii="华文细黑" w:hAnsi="华文细黑" w:cs="华文细黑" w:eastAsia="华文细黑" w:hint="default"/>
          <w:spacing w:val="-2"/>
          <w:sz w:val="21"/>
          <w:szCs w:val="21"/>
        </w:rPr>
        <w:t>支撑行业领先，助力分销、零售、和金融及供</w:t>
      </w:r>
    </w:p>
    <w:p>
      <w:pPr>
        <w:pStyle w:val="BodyText"/>
        <w:spacing w:line="379" w:lineRule="auto" w:before="40"/>
        <w:ind w:left="234" w:right="1131"/>
        <w:jc w:val="both"/>
      </w:pPr>
      <w:r>
        <w:rPr>
          <w:spacing w:val="-1"/>
        </w:rPr>
        <w:t>应链等业务的发展。在行业内，公司率先发布了基于移动互联网、人工智能、大数据和云计算的爱施德分</w:t>
      </w:r>
      <w:r>
        <w:rPr>
          <w:spacing w:val="-34"/>
        </w:rPr>
        <w:t> </w:t>
      </w:r>
      <w:r>
        <w:rPr>
          <w:spacing w:val="-34"/>
        </w:rPr>
      </w:r>
      <w:r>
        <w:rPr>
          <w:spacing w:val="-3"/>
        </w:rPr>
        <w:t>销信息系统</w:t>
      </w:r>
      <w:r>
        <w:rPr>
          <w:rFonts w:ascii="华文细黑" w:hAnsi="华文细黑" w:cs="华文细黑" w:eastAsia="华文细黑" w:hint="default"/>
          <w:spacing w:val="-3"/>
        </w:rPr>
        <w:t>4.0</w:t>
      </w:r>
      <w:r>
        <w:rPr>
          <w:spacing w:val="-3"/>
        </w:rPr>
        <w:t>，实现了信息流、物流、资金流的端到端可视化管理，实现了智能化配送和结算，实现了供</w:t>
      </w:r>
      <w:r>
        <w:rPr>
          <w:spacing w:val="-15"/>
        </w:rPr>
        <w:t> </w:t>
      </w:r>
      <w:r>
        <w:rPr>
          <w:spacing w:val="-15"/>
        </w:rPr>
      </w:r>
      <w:r>
        <w:rPr>
          <w:spacing w:val="-1"/>
        </w:rPr>
        <w:t>应链的高效协同、数据赋能和风险控制。在此基础上，零售及服务云平台、金融服务云平台和终端营销云</w:t>
      </w:r>
      <w:r>
        <w:rPr>
          <w:spacing w:val="-34"/>
        </w:rPr>
        <w:t> </w:t>
      </w:r>
      <w:r>
        <w:rPr>
          <w:spacing w:val="-34"/>
        </w:rPr>
      </w:r>
      <w:r>
        <w:rPr/>
        <w:t>平台先后上线，组成了一张</w:t>
      </w:r>
      <w:r>
        <w:rPr>
          <w:rFonts w:ascii="华文细黑" w:hAnsi="华文细黑" w:cs="华文细黑" w:eastAsia="华文细黑" w:hint="default"/>
        </w:rPr>
        <w:t>IT</w:t>
      </w:r>
      <w:r>
        <w:rPr/>
        <w:t>技术与产业深度融合的爱施德大数据平台</w:t>
      </w:r>
      <w:r>
        <w:rPr>
          <w:spacing w:val="4"/>
        </w:rPr>
        <w:t> </w:t>
      </w:r>
      <w:r>
        <w:rPr/>
        <w:t>，如下图所示：</w:t>
      </w:r>
    </w:p>
    <w:p>
      <w:pPr>
        <w:spacing w:after="0" w:line="379" w:lineRule="auto"/>
        <w:jc w:val="both"/>
        <w:sectPr>
          <w:pgSz w:w="11910" w:h="16840"/>
          <w:pgMar w:header="917" w:footer="1019" w:top="1100" w:bottom="1200" w:left="900" w:right="0"/>
        </w:sectPr>
      </w:pPr>
    </w:p>
    <w:p>
      <w:pPr>
        <w:spacing w:line="240" w:lineRule="auto" w:before="0"/>
        <w:rPr>
          <w:rFonts w:ascii="华文细黑" w:hAnsi="华文细黑" w:cs="华文细黑" w:eastAsia="华文细黑" w:hint="default"/>
          <w:sz w:val="20"/>
          <w:szCs w:val="20"/>
        </w:rPr>
      </w:pPr>
    </w:p>
    <w:p>
      <w:pPr>
        <w:spacing w:line="240" w:lineRule="auto" w:before="5"/>
        <w:rPr>
          <w:rFonts w:ascii="华文细黑" w:hAnsi="华文细黑" w:cs="华文细黑" w:eastAsia="华文细黑" w:hint="default"/>
          <w:sz w:val="13"/>
          <w:szCs w:val="13"/>
        </w:rPr>
      </w:pPr>
    </w:p>
    <w:p>
      <w:pPr>
        <w:spacing w:line="5361" w:lineRule="exact"/>
        <w:ind w:left="1034" w:right="0" w:firstLine="0"/>
        <w:rPr>
          <w:rFonts w:ascii="华文细黑" w:hAnsi="华文细黑" w:cs="华文细黑" w:eastAsia="华文细黑" w:hint="default"/>
          <w:sz w:val="20"/>
          <w:szCs w:val="20"/>
        </w:rPr>
      </w:pPr>
      <w:r>
        <w:rPr>
          <w:rFonts w:ascii="华文细黑" w:hAnsi="华文细黑" w:cs="华文细黑" w:eastAsia="华文细黑" w:hint="default"/>
          <w:position w:val="-106"/>
          <w:sz w:val="20"/>
          <w:szCs w:val="20"/>
        </w:rPr>
        <w:drawing>
          <wp:inline distT="0" distB="0" distL="0" distR="0">
            <wp:extent cx="5022483" cy="3404425"/>
            <wp:effectExtent l="0" t="0" r="0" b="0"/>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3" cstate="print"/>
                    <a:stretch>
                      <a:fillRect/>
                    </a:stretch>
                  </pic:blipFill>
                  <pic:spPr>
                    <a:xfrm>
                      <a:off x="0" y="0"/>
                      <a:ext cx="5022483" cy="3404425"/>
                    </a:xfrm>
                    <a:prstGeom prst="rect">
                      <a:avLst/>
                    </a:prstGeom>
                  </pic:spPr>
                </pic:pic>
              </a:graphicData>
            </a:graphic>
          </wp:inline>
        </w:drawing>
      </w:r>
      <w:r>
        <w:rPr>
          <w:rFonts w:ascii="华文细黑" w:hAnsi="华文细黑" w:cs="华文细黑" w:eastAsia="华文细黑" w:hint="default"/>
          <w:position w:val="-106"/>
          <w:sz w:val="20"/>
          <w:szCs w:val="20"/>
        </w:rPr>
      </w:r>
    </w:p>
    <w:p>
      <w:pPr>
        <w:spacing w:line="240" w:lineRule="auto" w:before="3"/>
        <w:rPr>
          <w:rFonts w:ascii="华文细黑" w:hAnsi="华文细黑" w:cs="华文细黑" w:eastAsia="华文细黑" w:hint="default"/>
          <w:sz w:val="11"/>
          <w:szCs w:val="11"/>
        </w:rPr>
      </w:pPr>
    </w:p>
    <w:p>
      <w:pPr>
        <w:spacing w:line="379" w:lineRule="auto" w:before="10"/>
        <w:ind w:left="574" w:right="1116" w:firstLine="0"/>
        <w:jc w:val="left"/>
        <w:rPr>
          <w:rFonts w:ascii="华文细黑" w:hAnsi="华文细黑" w:cs="华文细黑" w:eastAsia="华文细黑" w:hint="default"/>
          <w:sz w:val="21"/>
          <w:szCs w:val="21"/>
        </w:rPr>
      </w:pPr>
      <w:bookmarkStart w:name="4、不断实施机制创新，为公司持续发展提供强有力保障" w:id="36"/>
      <w:bookmarkEnd w:id="36"/>
      <w:r>
        <w:rPr/>
      </w:r>
      <w:r>
        <w:rPr>
          <w:rFonts w:ascii="华文细黑" w:hAnsi="华文细黑" w:cs="华文细黑" w:eastAsia="华文细黑" w:hint="default"/>
          <w:b/>
          <w:bCs/>
          <w:sz w:val="21"/>
          <w:szCs w:val="21"/>
        </w:rPr>
        <w:t>4</w:t>
      </w:r>
      <w:r>
        <w:rPr>
          <w:rFonts w:ascii="华文细黑" w:hAnsi="华文细黑" w:cs="华文细黑" w:eastAsia="华文细黑" w:hint="default"/>
          <w:b/>
          <w:bCs/>
          <w:sz w:val="21"/>
          <w:szCs w:val="21"/>
        </w:rPr>
        <w:t>、不断实施机制创新，为公司持续发展提供强有力保障</w:t>
      </w:r>
      <w:r>
        <w:rPr>
          <w:rFonts w:ascii="华文细黑" w:hAnsi="华文细黑" w:cs="华文细黑" w:eastAsia="华文细黑" w:hint="default"/>
          <w:b/>
          <w:bCs/>
          <w:w w:val="99"/>
          <w:sz w:val="21"/>
          <w:szCs w:val="21"/>
        </w:rPr>
        <w:t> </w:t>
      </w:r>
      <w:r>
        <w:rPr>
          <w:rFonts w:ascii="华文细黑" w:hAnsi="华文细黑" w:cs="华文细黑" w:eastAsia="华文细黑" w:hint="default"/>
          <w:spacing w:val="-1"/>
          <w:sz w:val="21"/>
          <w:szCs w:val="21"/>
        </w:rPr>
        <w:t>公司持续推进和完善合伙人机制、项目跟投机制和价值创造考核体系，将事业合伙人、责任共担和收</w:t>
      </w:r>
    </w:p>
    <w:p>
      <w:pPr>
        <w:pStyle w:val="BodyText"/>
        <w:spacing w:line="379" w:lineRule="auto" w:before="40"/>
        <w:ind w:left="154" w:right="1023"/>
        <w:jc w:val="left"/>
      </w:pPr>
      <w:r>
        <w:rPr/>
        <w:t>益共享的理念贯彻到核心团队；坚定实施分销团队网格化运营，充分应用</w:t>
      </w:r>
      <w:r>
        <w:rPr>
          <w:rFonts w:ascii="华文细黑" w:hAnsi="华文细黑" w:cs="华文细黑" w:eastAsia="华文细黑" w:hint="default"/>
        </w:rPr>
        <w:t>SFA</w:t>
      </w:r>
      <w:r>
        <w:rPr/>
        <w:t>和云签章等信息化工具，坚 </w:t>
      </w:r>
      <w:r>
        <w:rPr>
          <w:spacing w:val="-3"/>
        </w:rPr>
        <w:t>持信息化赋能和效率提升；不断深化组织变革和人员优化提高效率，秉持“集团做轻，产业做强”的原则，</w:t>
      </w:r>
      <w:r>
        <w:rPr>
          <w:spacing w:val="-42"/>
        </w:rPr>
        <w:t> </w:t>
      </w:r>
      <w:r>
        <w:rPr>
          <w:spacing w:val="-42"/>
        </w:rPr>
      </w:r>
      <w:r>
        <w:rPr/>
        <w:t>推进职能支撑平台化，后端职责前移，持续聚焦业务发展。在“以创业创新为核心的奋斗者精神”和“以</w:t>
      </w:r>
      <w:r>
        <w:rPr/>
        <w:t> 价值创造为核心的实干家精神”的鼓舞下，爱施德人更加拼搏更具凝聚力，成为公司持续发展的核心竞争 力。</w:t>
      </w:r>
    </w:p>
    <w:p>
      <w:pPr>
        <w:spacing w:after="0" w:line="379" w:lineRule="auto"/>
        <w:jc w:val="left"/>
        <w:sectPr>
          <w:pgSz w:w="11910" w:h="16840"/>
          <w:pgMar w:header="917" w:footer="1019" w:top="1100" w:bottom="1200" w:left="980" w:right="0"/>
        </w:sect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1"/>
        <w:rPr>
          <w:rFonts w:ascii="华文细黑" w:hAnsi="华文细黑" w:cs="华文细黑" w:eastAsia="华文细黑" w:hint="default"/>
          <w:sz w:val="17"/>
          <w:szCs w:val="17"/>
        </w:rPr>
      </w:pPr>
    </w:p>
    <w:p>
      <w:pPr>
        <w:pStyle w:val="Heading1"/>
        <w:spacing w:line="416" w:lineRule="exact"/>
        <w:ind w:left="2970" w:right="1217"/>
        <w:jc w:val="left"/>
        <w:rPr>
          <w:b w:val="0"/>
          <w:bCs w:val="0"/>
        </w:rPr>
      </w:pPr>
      <w:bookmarkStart w:name="第四节 经营情况讨论与分析" w:id="37"/>
      <w:bookmarkEnd w:id="37"/>
      <w:r>
        <w:rPr>
          <w:b w:val="0"/>
          <w:bCs w:val="0"/>
        </w:rPr>
      </w:r>
      <w:bookmarkStart w:name="_bookmark2" w:id="38"/>
      <w:bookmarkEnd w:id="38"/>
      <w:r>
        <w:rPr>
          <w:b w:val="0"/>
          <w:bCs w:val="0"/>
        </w:rPr>
      </w:r>
      <w:r>
        <w:rPr/>
        <w:t>第四节</w:t>
      </w:r>
      <w:r>
        <w:rPr>
          <w:spacing w:val="80"/>
        </w:rPr>
        <w:t> </w:t>
      </w:r>
      <w:r>
        <w:rPr/>
        <w:t>经营情况讨论与分析</w:t>
      </w:r>
      <w:r>
        <w:rPr>
          <w:b w:val="0"/>
          <w:bCs w:val="0"/>
        </w:rPr>
      </w:r>
    </w:p>
    <w:p>
      <w:pPr>
        <w:spacing w:line="240" w:lineRule="auto" w:before="0"/>
        <w:rPr>
          <w:rFonts w:ascii="华文细黑" w:hAnsi="华文细黑" w:cs="华文细黑" w:eastAsia="华文细黑" w:hint="default"/>
          <w:b/>
          <w:bCs/>
          <w:sz w:val="20"/>
          <w:szCs w:val="20"/>
        </w:rPr>
      </w:pPr>
    </w:p>
    <w:p>
      <w:pPr>
        <w:spacing w:line="240" w:lineRule="auto" w:before="4"/>
        <w:rPr>
          <w:rFonts w:ascii="华文细黑" w:hAnsi="华文细黑" w:cs="华文细黑" w:eastAsia="华文细黑" w:hint="default"/>
          <w:b/>
          <w:bCs/>
          <w:sz w:val="23"/>
          <w:szCs w:val="23"/>
        </w:rPr>
      </w:pPr>
    </w:p>
    <w:p>
      <w:pPr>
        <w:pStyle w:val="Heading2"/>
        <w:spacing w:line="396" w:lineRule="exact"/>
        <w:ind w:left="154" w:right="1217"/>
        <w:jc w:val="left"/>
        <w:rPr>
          <w:b w:val="0"/>
          <w:bCs w:val="0"/>
        </w:rPr>
      </w:pPr>
      <w:bookmarkStart w:name="一、概述" w:id="39"/>
      <w:bookmarkEnd w:id="39"/>
      <w:r>
        <w:rPr>
          <w:b w:val="0"/>
          <w:bCs w:val="0"/>
        </w:rPr>
      </w:r>
      <w:r>
        <w:rPr/>
        <w:t>一、概述</w:t>
      </w:r>
      <w:r>
        <w:rPr>
          <w:b w:val="0"/>
          <w:bCs w:val="0"/>
        </w:rPr>
      </w:r>
    </w:p>
    <w:p>
      <w:pPr>
        <w:spacing w:line="240" w:lineRule="auto" w:before="7"/>
        <w:rPr>
          <w:rFonts w:ascii="华文细黑" w:hAnsi="华文细黑" w:cs="华文细黑" w:eastAsia="华文细黑" w:hint="default"/>
          <w:b/>
          <w:bCs/>
          <w:sz w:val="35"/>
          <w:szCs w:val="35"/>
        </w:rPr>
      </w:pPr>
    </w:p>
    <w:p>
      <w:pPr>
        <w:pStyle w:val="BodyText"/>
        <w:spacing w:line="379" w:lineRule="auto"/>
        <w:ind w:left="154" w:right="1130" w:firstLine="420"/>
        <w:jc w:val="both"/>
      </w:pPr>
      <w:r>
        <w:rPr/>
        <w:t>报告期内，公司实现营业收入 </w:t>
      </w:r>
      <w:r>
        <w:rPr>
          <w:rFonts w:ascii="华文细黑" w:hAnsi="华文细黑" w:cs="华文细黑" w:eastAsia="华文细黑" w:hint="default"/>
        </w:rPr>
        <w:t>5,698,379.20 </w:t>
      </w:r>
      <w:r>
        <w:rPr/>
        <w:t>万元，较上年同期增长</w:t>
      </w:r>
      <w:r>
        <w:rPr>
          <w:spacing w:val="23"/>
        </w:rPr>
        <w:t> </w:t>
      </w:r>
      <w:r>
        <w:rPr>
          <w:rFonts w:ascii="华文细黑" w:hAnsi="华文细黑" w:cs="华文细黑" w:eastAsia="华文细黑" w:hint="default"/>
        </w:rPr>
        <w:t>0.44%</w:t>
      </w:r>
      <w:r>
        <w:rPr/>
        <w:t>，公司实现主营业务收入 </w:t>
      </w:r>
      <w:r>
        <w:rPr>
          <w:rFonts w:ascii="华文细黑" w:hAnsi="华文细黑" w:cs="华文细黑" w:eastAsia="华文细黑" w:hint="default"/>
          <w:spacing w:val="-1"/>
        </w:rPr>
        <w:t>5,691,596.06</w:t>
      </w:r>
      <w:r>
        <w:rPr>
          <w:rFonts w:ascii="华文细黑" w:hAnsi="华文细黑" w:cs="华文细黑" w:eastAsia="华文细黑" w:hint="default"/>
          <w:spacing w:val="14"/>
        </w:rPr>
        <w:t> </w:t>
      </w:r>
      <w:r>
        <w:rPr>
          <w:spacing w:val="-9"/>
        </w:rPr>
        <w:t>万元，较上年同期增长</w:t>
      </w:r>
      <w:r>
        <w:rPr>
          <w:spacing w:val="14"/>
        </w:rPr>
        <w:t> </w:t>
      </w:r>
      <w:r>
        <w:rPr>
          <w:rFonts w:ascii="华文细黑" w:hAnsi="华文细黑" w:cs="华文细黑" w:eastAsia="华文细黑" w:hint="default"/>
          <w:spacing w:val="-4"/>
        </w:rPr>
        <w:t>0.43%</w:t>
      </w:r>
      <w:r>
        <w:rPr>
          <w:spacing w:val="-4"/>
        </w:rPr>
        <w:t>；归属于上市公司股东的扣除非经常性损益的净利润</w:t>
      </w:r>
      <w:r>
        <w:rPr>
          <w:spacing w:val="14"/>
        </w:rPr>
        <w:t> </w:t>
      </w:r>
      <w:r>
        <w:rPr>
          <w:rFonts w:ascii="华文细黑" w:hAnsi="华文细黑" w:cs="华文细黑" w:eastAsia="华文细黑" w:hint="default"/>
          <w:spacing w:val="-1"/>
        </w:rPr>
        <w:t>18,805.98</w:t>
      </w:r>
      <w:r>
        <w:rPr>
          <w:rFonts w:ascii="华文细黑" w:hAnsi="华文细黑" w:cs="华文细黑" w:eastAsia="华文细黑" w:hint="default"/>
          <w:spacing w:val="-49"/>
        </w:rPr>
        <w:t> </w:t>
      </w:r>
      <w:r>
        <w:rPr>
          <w:rFonts w:ascii="华文细黑" w:hAnsi="华文细黑" w:cs="华文细黑" w:eastAsia="华文细黑" w:hint="default"/>
          <w:spacing w:val="-49"/>
        </w:rPr>
      </w:r>
      <w:r>
        <w:rPr>
          <w:spacing w:val="-1"/>
        </w:rPr>
        <w:t>万元。在经济下行、经营环境不利的情况下，仍保证了主营业务的稳健持续发展和行业领先地位。公司连</w:t>
      </w:r>
      <w:r>
        <w:rPr>
          <w:spacing w:val="-34"/>
        </w:rPr>
        <w:t> </w:t>
      </w:r>
      <w:r>
        <w:rPr>
          <w:spacing w:val="-34"/>
        </w:rPr>
      </w:r>
      <w:r>
        <w:rPr/>
        <w:t>续荣登“财富中国企业 </w:t>
      </w:r>
      <w:r>
        <w:rPr>
          <w:rFonts w:ascii="华文细黑" w:hAnsi="华文细黑" w:cs="华文细黑" w:eastAsia="华文细黑" w:hint="default"/>
        </w:rPr>
        <w:t>500 </w:t>
      </w:r>
      <w:r>
        <w:rPr/>
        <w:t>强”榜单，排名 </w:t>
      </w:r>
      <w:r>
        <w:rPr>
          <w:rFonts w:ascii="华文细黑" w:hAnsi="华文细黑" w:cs="华文细黑" w:eastAsia="华文细黑" w:hint="default"/>
        </w:rPr>
        <w:t>141 </w:t>
      </w:r>
      <w:r>
        <w:rPr/>
        <w:t>位；“中国民营企业 </w:t>
      </w:r>
      <w:r>
        <w:rPr>
          <w:rFonts w:ascii="华文细黑" w:hAnsi="华文细黑" w:cs="华文细黑" w:eastAsia="华文细黑" w:hint="default"/>
        </w:rPr>
        <w:t>500 </w:t>
      </w:r>
      <w:r>
        <w:rPr/>
        <w:t>强”榜单，排名第 </w:t>
      </w:r>
      <w:r>
        <w:rPr>
          <w:rFonts w:ascii="华文细黑" w:hAnsi="华文细黑" w:cs="华文细黑" w:eastAsia="华文细黑" w:hint="default"/>
        </w:rPr>
        <w:t>104</w:t>
      </w:r>
      <w:r>
        <w:rPr>
          <w:rFonts w:ascii="华文细黑" w:hAnsi="华文细黑" w:cs="华文细黑" w:eastAsia="华文细黑" w:hint="default"/>
          <w:spacing w:val="47"/>
        </w:rPr>
        <w:t> </w:t>
      </w:r>
      <w:r>
        <w:rPr/>
        <w:t>位，公 司的社会价值和经济实力获到高度认可。</w:t>
      </w:r>
    </w:p>
    <w:p>
      <w:pPr>
        <w:pStyle w:val="BodyText"/>
        <w:spacing w:line="379" w:lineRule="auto" w:before="49"/>
        <w:ind w:left="154" w:right="1131" w:firstLine="420"/>
        <w:jc w:val="both"/>
      </w:pPr>
      <w:r>
        <w:rPr/>
        <w:t>报告期内，归属上市公司股东的净利润为</w:t>
      </w:r>
      <w:r>
        <w:rPr>
          <w:rFonts w:ascii="华文细黑" w:hAnsi="华文细黑" w:cs="华文细黑" w:eastAsia="华文细黑" w:hint="default"/>
        </w:rPr>
        <w:t>-9,272.01</w:t>
      </w:r>
      <w:r>
        <w:rPr>
          <w:rFonts w:ascii="华文细黑" w:hAnsi="华文细黑" w:cs="华文细黑" w:eastAsia="华文细黑" w:hint="default"/>
          <w:spacing w:val="-28"/>
        </w:rPr>
        <w:t> </w:t>
      </w:r>
      <w:r>
        <w:rPr>
          <w:spacing w:val="-4"/>
        </w:rPr>
        <w:t>万元，亏损的主要原因是由于公司持有的港股“中</w:t>
      </w:r>
      <w:r>
        <w:rPr/>
        <w:t> 新控股”及其他可供出售金融资产发生减值。</w:t>
      </w:r>
    </w:p>
    <w:p>
      <w:pPr>
        <w:spacing w:line="240" w:lineRule="auto" w:before="14"/>
        <w:rPr>
          <w:rFonts w:ascii="华文细黑" w:hAnsi="华文细黑" w:cs="华文细黑" w:eastAsia="华文细黑" w:hint="default"/>
          <w:sz w:val="23"/>
          <w:szCs w:val="23"/>
        </w:rPr>
      </w:pPr>
    </w:p>
    <w:p>
      <w:pPr>
        <w:pStyle w:val="Heading2"/>
        <w:spacing w:line="240" w:lineRule="auto"/>
        <w:ind w:left="154" w:right="1217"/>
        <w:jc w:val="left"/>
        <w:rPr>
          <w:b w:val="0"/>
          <w:bCs w:val="0"/>
        </w:rPr>
      </w:pPr>
      <w:bookmarkStart w:name="二、经营情况分析" w:id="40"/>
      <w:bookmarkEnd w:id="40"/>
      <w:r>
        <w:rPr>
          <w:b w:val="0"/>
          <w:bCs w:val="0"/>
        </w:rPr>
      </w:r>
      <w:r>
        <w:rPr/>
        <w:t>二、经营情况分析</w:t>
      </w:r>
      <w:r>
        <w:rPr>
          <w:b w:val="0"/>
          <w:bCs w:val="0"/>
        </w:rPr>
      </w:r>
    </w:p>
    <w:p>
      <w:pPr>
        <w:spacing w:line="240" w:lineRule="auto" w:before="8"/>
        <w:rPr>
          <w:rFonts w:ascii="华文细黑" w:hAnsi="华文细黑" w:cs="华文细黑" w:eastAsia="华文细黑" w:hint="default"/>
          <w:b/>
          <w:bCs/>
          <w:sz w:val="35"/>
          <w:szCs w:val="35"/>
        </w:rPr>
      </w:pPr>
    </w:p>
    <w:p>
      <w:pPr>
        <w:spacing w:line="386" w:lineRule="auto" w:before="0"/>
        <w:ind w:left="574" w:right="1117" w:firstLine="0"/>
        <w:jc w:val="left"/>
        <w:rPr>
          <w:rFonts w:ascii="华文细黑" w:hAnsi="华文细黑" w:cs="华文细黑" w:eastAsia="华文细黑" w:hint="default"/>
          <w:sz w:val="21"/>
          <w:szCs w:val="21"/>
        </w:rPr>
      </w:pPr>
      <w:bookmarkStart w:name="1、智能终端分销业务继续保持规模行业领先" w:id="41"/>
      <w:bookmarkEnd w:id="41"/>
      <w:r>
        <w:rPr/>
      </w:r>
      <w:r>
        <w:rPr>
          <w:rFonts w:ascii="华文细黑" w:hAnsi="华文细黑" w:cs="华文细黑" w:eastAsia="华文细黑" w:hint="default"/>
          <w:b/>
          <w:bCs/>
          <w:sz w:val="21"/>
          <w:szCs w:val="21"/>
        </w:rPr>
        <w:t>1</w:t>
      </w:r>
      <w:r>
        <w:rPr>
          <w:rFonts w:ascii="华文细黑" w:hAnsi="华文细黑" w:cs="华文细黑" w:eastAsia="华文细黑" w:hint="default"/>
          <w:b/>
          <w:bCs/>
          <w:sz w:val="21"/>
          <w:szCs w:val="21"/>
        </w:rPr>
        <w:t>、智能终端分销业务继续保持规模行业领先</w:t>
      </w:r>
      <w:r>
        <w:rPr>
          <w:rFonts w:ascii="华文细黑" w:hAnsi="华文细黑" w:cs="华文细黑" w:eastAsia="华文细黑" w:hint="default"/>
          <w:b/>
          <w:bCs/>
          <w:w w:val="99"/>
          <w:sz w:val="21"/>
          <w:szCs w:val="21"/>
        </w:rPr>
        <w:t> </w:t>
      </w:r>
      <w:r>
        <w:rPr>
          <w:rFonts w:ascii="华文细黑" w:hAnsi="华文细黑" w:cs="华文细黑" w:eastAsia="华文细黑" w:hint="default"/>
          <w:b/>
          <w:bCs/>
          <w:spacing w:val="-7"/>
          <w:sz w:val="21"/>
          <w:szCs w:val="21"/>
        </w:rPr>
        <w:t>业务发展方面：</w:t>
      </w:r>
      <w:r>
        <w:rPr>
          <w:rFonts w:ascii="华文细黑" w:hAnsi="华文细黑" w:cs="华文细黑" w:eastAsia="华文细黑" w:hint="default"/>
          <w:spacing w:val="-7"/>
          <w:sz w:val="21"/>
          <w:szCs w:val="21"/>
        </w:rPr>
        <w:t>作为公司核心产业，智能终端分销业务继续稳步发展，实现主营业务收入</w:t>
      </w:r>
      <w:r>
        <w:rPr>
          <w:rFonts w:ascii="华文细黑" w:hAnsi="华文细黑" w:cs="华文细黑" w:eastAsia="华文细黑" w:hint="default"/>
          <w:spacing w:val="22"/>
          <w:sz w:val="21"/>
          <w:szCs w:val="21"/>
        </w:rPr>
        <w:t> </w:t>
      </w:r>
      <w:r>
        <w:rPr>
          <w:rFonts w:ascii="华文细黑" w:hAnsi="华文细黑" w:cs="华文细黑" w:eastAsia="华文细黑" w:hint="default"/>
          <w:sz w:val="21"/>
          <w:szCs w:val="21"/>
        </w:rPr>
        <w:t>4,646,319.85</w:t>
      </w:r>
    </w:p>
    <w:p>
      <w:pPr>
        <w:pStyle w:val="BodyText"/>
        <w:spacing w:line="386" w:lineRule="auto" w:before="34"/>
        <w:ind w:left="574" w:right="1116" w:hanging="420"/>
        <w:jc w:val="left"/>
      </w:pPr>
      <w:r>
        <w:rPr/>
        <w:t>万元，较上年有所提升，进一步夯实公司在行业的领先地位。 </w:t>
      </w:r>
      <w:r>
        <w:rPr>
          <w:rFonts w:ascii="华文细黑" w:hAnsi="华文细黑" w:cs="华文细黑" w:eastAsia="华文细黑" w:hint="default"/>
          <w:b/>
          <w:bCs/>
          <w:spacing w:val="-1"/>
        </w:rPr>
        <w:t>组织效能提升：</w:t>
      </w:r>
      <w:r>
        <w:rPr>
          <w:spacing w:val="-1"/>
        </w:rPr>
        <w:t>平台化运营和网格化管理双管齐下，通过合理划分业务网格、简化管理层级、落实经</w:t>
      </w:r>
    </w:p>
    <w:p>
      <w:pPr>
        <w:pStyle w:val="BodyText"/>
        <w:spacing w:line="379" w:lineRule="auto" w:before="33"/>
        <w:ind w:left="154" w:right="1023"/>
        <w:jc w:val="left"/>
      </w:pPr>
      <w:r>
        <w:rPr/>
        <w:t>营责任、匹配营销资源、建立以价值创造为导向的考核激励机制，形成精细化营销管理模式，加大客户覆 </w:t>
      </w:r>
      <w:r>
        <w:rPr>
          <w:spacing w:val="-3"/>
        </w:rPr>
        <w:t>盖、开拓新市场、提高工作效率及运营能力，整体费用率、库存周转率、应收账款周转率均达成年度目标。</w:t>
      </w:r>
    </w:p>
    <w:p>
      <w:pPr>
        <w:pStyle w:val="BodyText"/>
        <w:spacing w:line="379" w:lineRule="auto" w:before="49"/>
        <w:ind w:left="154" w:right="1130" w:firstLine="420"/>
        <w:jc w:val="both"/>
      </w:pPr>
      <w:r>
        <w:rPr>
          <w:rFonts w:ascii="华文细黑" w:hAnsi="华文细黑" w:cs="华文细黑" w:eastAsia="华文细黑" w:hint="default"/>
          <w:b/>
          <w:bCs/>
        </w:rPr>
        <w:t>分销 </w:t>
      </w:r>
      <w:r>
        <w:rPr>
          <w:rFonts w:ascii="华文细黑" w:hAnsi="华文细黑" w:cs="华文细黑" w:eastAsia="华文细黑" w:hint="default"/>
          <w:b/>
          <w:bCs/>
        </w:rPr>
        <w:t>IT</w:t>
      </w:r>
      <w:r>
        <w:rPr>
          <w:rFonts w:ascii="华文细黑" w:hAnsi="华文细黑" w:cs="华文细黑" w:eastAsia="华文细黑" w:hint="default"/>
          <w:b/>
          <w:bCs/>
          <w:spacing w:val="36"/>
        </w:rPr>
        <w:t> </w:t>
      </w:r>
      <w:r>
        <w:rPr>
          <w:rFonts w:ascii="华文细黑" w:hAnsi="华文细黑" w:cs="华文细黑" w:eastAsia="华文细黑" w:hint="default"/>
          <w:b/>
          <w:bCs/>
        </w:rPr>
        <w:t>支撑方面：</w:t>
      </w:r>
      <w:r>
        <w:rPr/>
        <w:t>公司发布了基于移动互联网、人工智能、大数据和云计算的爱施德分销信息系统 </w:t>
      </w:r>
      <w:r>
        <w:rPr>
          <w:rFonts w:ascii="华文细黑" w:hAnsi="华文细黑" w:cs="华文细黑" w:eastAsia="华文细黑" w:hint="default"/>
          <w:spacing w:val="-3"/>
        </w:rPr>
        <w:t>4.0</w:t>
      </w:r>
      <w:r>
        <w:rPr>
          <w:spacing w:val="-3"/>
        </w:rPr>
        <w:t>，实现了端到端可视化管理，实现了智能化配送及结算能力的提升，实现了供应链的高效协同、数据分</w:t>
      </w:r>
      <w:r>
        <w:rPr>
          <w:spacing w:val="-14"/>
        </w:rPr>
        <w:t> </w:t>
      </w:r>
      <w:r>
        <w:rPr>
          <w:spacing w:val="-14"/>
        </w:rPr>
      </w:r>
      <w:r>
        <w:rPr/>
        <w:t>析和风险控制。</w:t>
      </w:r>
    </w:p>
    <w:p>
      <w:pPr>
        <w:pStyle w:val="Heading5"/>
        <w:spacing w:line="240" w:lineRule="auto" w:before="49"/>
        <w:ind w:left="574" w:right="1217"/>
        <w:jc w:val="left"/>
        <w:rPr>
          <w:b w:val="0"/>
          <w:bCs w:val="0"/>
        </w:rPr>
      </w:pPr>
      <w:bookmarkStart w:name="2、金融及供应链服务业务实现创新发展" w:id="42"/>
      <w:bookmarkEnd w:id="42"/>
      <w:r>
        <w:rPr>
          <w:b w:val="0"/>
          <w:bCs w:val="0"/>
        </w:rPr>
      </w:r>
      <w:r>
        <w:rPr>
          <w:rFonts w:ascii="华文细黑" w:hAnsi="华文细黑" w:cs="华文细黑" w:eastAsia="华文细黑" w:hint="default"/>
        </w:rPr>
        <w:t>2</w:t>
      </w:r>
      <w:r>
        <w:rPr/>
        <w:t>、金融及供应链服务业务实现创新发展</w:t>
      </w:r>
      <w:r>
        <w:rPr>
          <w:b w:val="0"/>
          <w:bCs w:val="0"/>
        </w:rPr>
      </w:r>
    </w:p>
    <w:p>
      <w:pPr>
        <w:pStyle w:val="BodyText"/>
        <w:spacing w:line="379" w:lineRule="auto" w:before="180"/>
        <w:ind w:left="154" w:right="1009" w:firstLine="420"/>
        <w:jc w:val="left"/>
      </w:pPr>
      <w:r>
        <w:rPr>
          <w:rFonts w:ascii="华文细黑" w:hAnsi="华文细黑" w:cs="华文细黑" w:eastAsia="华文细黑" w:hint="default"/>
          <w:b/>
          <w:bCs/>
        </w:rPr>
        <w:t>供应链业务发展方面：</w:t>
      </w:r>
      <w:r>
        <w:rPr>
          <w:rFonts w:ascii="华文细黑" w:hAnsi="华文细黑" w:cs="华文细黑" w:eastAsia="华文细黑" w:hint="default"/>
          <w:b/>
          <w:bCs/>
          <w:spacing w:val="28"/>
        </w:rPr>
        <w:t> </w:t>
      </w:r>
      <w:r>
        <w:rPr/>
        <w:t>作为国内领先的智能终端供应链服务商，公司精于智能终端行业供应链管理， 及对上下游客户的运营和资信状况的理解，快速构建了横跨海内外的闭环高效的智能终端供应链管理和风 险控制系统。通过产融结合方式，充分发挥行业核心企业的优势，快速、精准地响应上下游客户的资金需 求，为其提供差异化、高效的金融服务，得到海内外行业客户的信赖。</w:t>
      </w:r>
    </w:p>
    <w:p>
      <w:pPr>
        <w:spacing w:after="0" w:line="379" w:lineRule="auto"/>
        <w:jc w:val="left"/>
        <w:sectPr>
          <w:pgSz w:w="11910" w:h="16840"/>
          <w:pgMar w:header="917" w:footer="1019" w:top="1100" w:bottom="1200" w:left="980" w:right="0"/>
        </w:sectPr>
      </w:pPr>
    </w:p>
    <w:p>
      <w:pPr>
        <w:spacing w:line="240" w:lineRule="auto" w:before="7"/>
        <w:rPr>
          <w:rFonts w:ascii="华文细黑" w:hAnsi="华文细黑" w:cs="华文细黑" w:eastAsia="华文细黑" w:hint="default"/>
          <w:sz w:val="26"/>
          <w:szCs w:val="26"/>
        </w:rPr>
      </w:pPr>
    </w:p>
    <w:p>
      <w:pPr>
        <w:pStyle w:val="BodyText"/>
        <w:spacing w:line="379" w:lineRule="auto" w:before="10"/>
        <w:ind w:left="154" w:right="1023" w:firstLine="420"/>
        <w:jc w:val="left"/>
      </w:pPr>
      <w:r>
        <w:rPr>
          <w:rFonts w:ascii="华文细黑" w:hAnsi="华文细黑" w:cs="华文细黑" w:eastAsia="华文细黑" w:hint="default"/>
          <w:b/>
          <w:bCs/>
        </w:rPr>
        <w:t>科技金融方面：</w:t>
      </w:r>
      <w:r>
        <w:rPr/>
        <w:t>公司持续打造金融科技能力，不断完善风控和征信系统，并为中小微企业在风控、反 </w:t>
      </w:r>
      <w:r>
        <w:rPr>
          <w:spacing w:val="-3"/>
        </w:rPr>
        <w:t>欺诈等方面提供信息和技术共享，为合作伙伴打造一个安全、便捷、健康的资源环境。自主研发产品包括：</w:t>
      </w:r>
      <w:r>
        <w:rPr>
          <w:spacing w:val="-43"/>
        </w:rPr>
        <w:t> </w:t>
      </w:r>
      <w:r>
        <w:rPr>
          <w:spacing w:val="-43"/>
        </w:rPr>
      </w:r>
      <w:r>
        <w:rPr/>
        <w:t>泰坦盾、奥丁源力、友学分期等，共申报或获得了 </w:t>
      </w:r>
      <w:r>
        <w:rPr>
          <w:rFonts w:ascii="华文细黑" w:hAnsi="华文细黑" w:cs="华文细黑" w:eastAsia="华文细黑" w:hint="default"/>
        </w:rPr>
        <w:t>48</w:t>
      </w:r>
      <w:r>
        <w:rPr>
          <w:rFonts w:ascii="华文细黑" w:hAnsi="华文细黑" w:cs="华文细黑" w:eastAsia="华文细黑" w:hint="default"/>
          <w:spacing w:val="7"/>
        </w:rPr>
        <w:t> </w:t>
      </w:r>
      <w:r>
        <w:rPr/>
        <w:t>项计算机软件著作权。公司融合深度学习、计算机 视觉、云计算、大数据、物联网等前沿科技，推出“优宝云仓”和“友趣云店”两个服务手机零售行业的 智慧零售金融解决方案。</w:t>
      </w:r>
    </w:p>
    <w:p>
      <w:pPr>
        <w:spacing w:line="386" w:lineRule="auto" w:before="49"/>
        <w:ind w:left="574" w:right="1116" w:firstLine="0"/>
        <w:jc w:val="left"/>
        <w:rPr>
          <w:rFonts w:ascii="华文细黑" w:hAnsi="华文细黑" w:cs="华文细黑" w:eastAsia="华文细黑" w:hint="default"/>
          <w:sz w:val="21"/>
          <w:szCs w:val="21"/>
        </w:rPr>
      </w:pPr>
      <w:bookmarkStart w:name="3、通信服务业务的盈利能力和智慧连接能力不断提升" w:id="43"/>
      <w:bookmarkEnd w:id="43"/>
      <w:r>
        <w:rPr/>
      </w:r>
      <w:r>
        <w:rPr>
          <w:rFonts w:ascii="华文细黑" w:hAnsi="华文细黑" w:cs="华文细黑" w:eastAsia="华文细黑" w:hint="default"/>
          <w:b/>
          <w:bCs/>
          <w:sz w:val="21"/>
          <w:szCs w:val="21"/>
        </w:rPr>
        <w:t>3</w:t>
      </w:r>
      <w:r>
        <w:rPr>
          <w:rFonts w:ascii="华文细黑" w:hAnsi="华文细黑" w:cs="华文细黑" w:eastAsia="华文细黑" w:hint="default"/>
          <w:b/>
          <w:bCs/>
          <w:sz w:val="21"/>
          <w:szCs w:val="21"/>
        </w:rPr>
        <w:t>、通信服务业务的盈利能力和智慧连接能力不断提升</w:t>
      </w:r>
      <w:r>
        <w:rPr>
          <w:rFonts w:ascii="华文细黑" w:hAnsi="华文细黑" w:cs="华文细黑" w:eastAsia="华文细黑" w:hint="default"/>
          <w:b/>
          <w:bCs/>
          <w:w w:val="99"/>
          <w:sz w:val="21"/>
          <w:szCs w:val="21"/>
        </w:rPr>
        <w:t> </w:t>
      </w:r>
      <w:r>
        <w:rPr>
          <w:rFonts w:ascii="华文细黑" w:hAnsi="华文细黑" w:cs="华文细黑" w:eastAsia="华文细黑" w:hint="default"/>
          <w:b/>
          <w:bCs/>
          <w:spacing w:val="-1"/>
          <w:sz w:val="21"/>
          <w:szCs w:val="21"/>
        </w:rPr>
        <w:t>移动转售业务方面：</w:t>
      </w:r>
      <w:r>
        <w:rPr>
          <w:rFonts w:ascii="华文细黑" w:hAnsi="华文细黑" w:cs="华文细黑" w:eastAsia="华文细黑" w:hint="default"/>
          <w:spacing w:val="-1"/>
          <w:sz w:val="21"/>
          <w:szCs w:val="21"/>
        </w:rPr>
        <w:t>报告期内，公司率先获得中国移动、中国联通和中国电信三网移动转售业务正式</w:t>
      </w:r>
    </w:p>
    <w:p>
      <w:pPr>
        <w:pStyle w:val="BodyText"/>
        <w:spacing w:line="379" w:lineRule="auto" w:before="33"/>
        <w:ind w:left="154" w:right="1130"/>
        <w:jc w:val="both"/>
      </w:pPr>
      <w:r>
        <w:rPr>
          <w:spacing w:val="-1"/>
        </w:rPr>
        <w:t>商用牌照，并获得“国家高新技术企业”证书，充分展示并进一步巩固了行业领先地位。移动转售业务继</w:t>
      </w:r>
      <w:r>
        <w:rPr>
          <w:spacing w:val="-31"/>
        </w:rPr>
        <w:t> </w:t>
      </w:r>
      <w:r>
        <w:rPr>
          <w:spacing w:val="-31"/>
        </w:rPr>
      </w:r>
      <w:r>
        <w:rPr>
          <w:spacing w:val="-1"/>
        </w:rPr>
        <w:t>续坚持“轻资产、低成本、高协同、高效率”的发展原则，坚持自主研发、坚持业务与模式创新、不断提</w:t>
      </w:r>
      <w:r>
        <w:rPr>
          <w:spacing w:val="-32"/>
        </w:rPr>
        <w:t> </w:t>
      </w:r>
      <w:r>
        <w:rPr>
          <w:spacing w:val="-32"/>
        </w:rPr>
      </w:r>
      <w:r>
        <w:rPr/>
        <w:t>升运营能力和服务效率，公司盈利能力和技术创新能力的行业领先。</w:t>
      </w:r>
    </w:p>
    <w:p>
      <w:pPr>
        <w:pStyle w:val="BodyText"/>
        <w:spacing w:line="379" w:lineRule="auto" w:before="48"/>
        <w:ind w:left="154" w:right="1110" w:firstLine="420"/>
        <w:jc w:val="both"/>
      </w:pPr>
      <w:r>
        <w:rPr>
          <w:rFonts w:ascii="华文细黑" w:hAnsi="华文细黑" w:cs="华文细黑" w:eastAsia="华文细黑" w:hint="default"/>
          <w:b/>
          <w:bCs/>
          <w:spacing w:val="-1"/>
        </w:rPr>
        <w:t>物联网业务方面：</w:t>
      </w:r>
      <w:r>
        <w:rPr>
          <w:spacing w:val="-1"/>
        </w:rPr>
        <w:t>在万物互联的时代背景下，公司以移动转售业务为基础顺利向物联网业务延伸，实</w:t>
      </w:r>
      <w:r>
        <w:rPr/>
        <w:t> 现了物联网业务板块的盈利和规模不断扩大。在连接管理云平台、</w:t>
      </w:r>
      <w:r>
        <w:rPr>
          <w:rFonts w:ascii="华文细黑" w:hAnsi="华文细黑" w:cs="华文细黑" w:eastAsia="华文细黑" w:hint="default"/>
        </w:rPr>
        <w:t>MVNE </w:t>
      </w:r>
      <w:r>
        <w:rPr/>
        <w:t>能力开放云平台、</w:t>
      </w:r>
      <w:r>
        <w:rPr>
          <w:rFonts w:ascii="华文细黑" w:hAnsi="华文细黑" w:cs="华文细黑" w:eastAsia="华文细黑" w:hint="default"/>
        </w:rPr>
        <w:t>eSIM</w:t>
      </w:r>
      <w:r>
        <w:rPr>
          <w:rFonts w:ascii="华文细黑" w:hAnsi="华文细黑" w:cs="华文细黑" w:eastAsia="华文细黑" w:hint="default"/>
          <w:spacing w:val="41"/>
        </w:rPr>
        <w:t> </w:t>
      </w:r>
      <w:r>
        <w:rPr/>
        <w:t>全球智 </w:t>
      </w:r>
      <w:r>
        <w:rPr>
          <w:spacing w:val="-1"/>
        </w:rPr>
        <w:t>能化云平台的基础上，公司又成功上线工业物联网云平台，并中标北京联通设备管理平台项目，标志着物</w:t>
      </w:r>
      <w:r>
        <w:rPr>
          <w:spacing w:val="-31"/>
        </w:rPr>
        <w:t> </w:t>
      </w:r>
      <w:r>
        <w:rPr>
          <w:spacing w:val="-31"/>
        </w:rPr>
      </w:r>
      <w:r>
        <w:rPr/>
        <w:t>联网平台能力初显。同时，公司与合作伙伴共同开发的物联网终端设备已广泛应用于车联网、智能穿戴、 智能家居和智慧城市等领域，为客户提供专业、高效、安全、便捷的物联网技术解决方案。</w:t>
      </w:r>
    </w:p>
    <w:p>
      <w:pPr>
        <w:pStyle w:val="BodyText"/>
        <w:spacing w:line="379" w:lineRule="auto" w:before="49"/>
        <w:ind w:left="154" w:right="1011" w:firstLine="420"/>
        <w:jc w:val="left"/>
      </w:pPr>
      <w:r>
        <w:rPr>
          <w:rFonts w:ascii="华文细黑" w:hAnsi="华文细黑" w:cs="华文细黑" w:eastAsia="华文细黑" w:hint="default"/>
          <w:b/>
          <w:bCs/>
        </w:rPr>
        <w:t>技术能力对外输出方面：</w:t>
      </w:r>
      <w:r>
        <w:rPr/>
        <w:t>公司的 </w:t>
      </w:r>
      <w:r>
        <w:rPr>
          <w:rFonts w:ascii="华文细黑" w:hAnsi="华文细黑" w:cs="华文细黑" w:eastAsia="华文细黑" w:hint="default"/>
        </w:rPr>
        <w:t>MVNE</w:t>
      </w:r>
      <w:r>
        <w:rPr>
          <w:rFonts w:ascii="华文细黑" w:hAnsi="华文细黑" w:cs="华文细黑" w:eastAsia="华文细黑" w:hint="default"/>
          <w:spacing w:val="-5"/>
        </w:rPr>
        <w:t> </w:t>
      </w:r>
      <w:r>
        <w:rPr/>
        <w:t>能力开放云平台是一个开放的虚拟运营商支撑系统解决方案， 支持多租户和数据分离，支持三网转售制式，使用云化计算资源，实现二次计费和信控，并具有丰富的对 </w:t>
      </w:r>
      <w:r>
        <w:rPr>
          <w:spacing w:val="-3"/>
        </w:rPr>
        <w:t>外接口和模块扩充能力。通过这个低投入、高效能和高扩展性的平台，公司能够有效整合行业资源和优势，</w:t>
      </w:r>
      <w:r>
        <w:rPr>
          <w:spacing w:val="-38"/>
        </w:rPr>
        <w:t> </w:t>
      </w:r>
      <w:r>
        <w:rPr>
          <w:spacing w:val="-38"/>
        </w:rPr>
      </w:r>
      <w:r>
        <w:rPr/>
        <w:t>支持客户深度定制化的集成需求，实现了运营服务和 </w:t>
      </w:r>
      <w:r>
        <w:rPr>
          <w:rFonts w:ascii="华文细黑" w:hAnsi="华文细黑" w:cs="华文细黑" w:eastAsia="华文细黑" w:hint="default"/>
        </w:rPr>
        <w:t>IT</w:t>
      </w:r>
      <w:r>
        <w:rPr>
          <w:rFonts w:ascii="华文细黑" w:hAnsi="华文细黑" w:cs="华文细黑" w:eastAsia="华文细黑" w:hint="default"/>
          <w:spacing w:val="-28"/>
        </w:rPr>
        <w:t> </w:t>
      </w:r>
      <w:r>
        <w:rPr/>
        <w:t>支撑能力的对外输出，开创了行业先河，实现了行 业创新。</w:t>
      </w:r>
    </w:p>
    <w:p>
      <w:pPr>
        <w:spacing w:line="386" w:lineRule="auto" w:before="51"/>
        <w:ind w:left="574" w:right="0" w:firstLine="0"/>
        <w:jc w:val="left"/>
        <w:rPr>
          <w:rFonts w:ascii="华文细黑" w:hAnsi="华文细黑" w:cs="华文细黑" w:eastAsia="华文细黑" w:hint="default"/>
          <w:sz w:val="21"/>
          <w:szCs w:val="21"/>
        </w:rPr>
      </w:pPr>
      <w:bookmarkStart w:name="4、智慧零售业务实现新布局和新突破" w:id="44"/>
      <w:bookmarkEnd w:id="44"/>
      <w:r>
        <w:rPr/>
      </w:r>
      <w:r>
        <w:rPr>
          <w:rFonts w:ascii="华文细黑" w:hAnsi="华文细黑" w:cs="华文细黑" w:eastAsia="华文细黑" w:hint="default"/>
          <w:b/>
          <w:bCs/>
          <w:sz w:val="21"/>
          <w:szCs w:val="21"/>
        </w:rPr>
        <w:t>4</w:t>
      </w:r>
      <w:r>
        <w:rPr>
          <w:rFonts w:ascii="华文细黑" w:hAnsi="华文细黑" w:cs="华文细黑" w:eastAsia="华文细黑" w:hint="default"/>
          <w:b/>
          <w:bCs/>
          <w:sz w:val="21"/>
          <w:szCs w:val="21"/>
        </w:rPr>
        <w:t>、智慧零售业务实现新布局和新突破</w:t>
      </w:r>
      <w:r>
        <w:rPr>
          <w:rFonts w:ascii="华文细黑" w:hAnsi="华文细黑" w:cs="华文细黑" w:eastAsia="华文细黑" w:hint="default"/>
          <w:b/>
          <w:bCs/>
          <w:w w:val="99"/>
          <w:sz w:val="21"/>
          <w:szCs w:val="21"/>
        </w:rPr>
        <w:t> </w:t>
      </w:r>
      <w:r>
        <w:rPr>
          <w:rFonts w:ascii="华文细黑" w:hAnsi="华文细黑" w:cs="华文细黑" w:eastAsia="华文细黑" w:hint="default"/>
          <w:b/>
          <w:bCs/>
          <w:spacing w:val="-13"/>
          <w:w w:val="99"/>
          <w:sz w:val="21"/>
          <w:szCs w:val="21"/>
        </w:rPr>
        <w:t>新零售布局方面：</w:t>
      </w:r>
      <w:r>
        <w:rPr>
          <w:rFonts w:ascii="华文细黑" w:hAnsi="华文细黑" w:cs="华文细黑" w:eastAsia="华文细黑" w:hint="default"/>
          <w:spacing w:val="-13"/>
          <w:w w:val="99"/>
          <w:sz w:val="21"/>
          <w:szCs w:val="21"/>
        </w:rPr>
        <w:t>公司智慧零售平台建设初见成效，形成了“酷动（</w:t>
      </w:r>
      <w:r>
        <w:rPr>
          <w:rFonts w:ascii="华文细黑" w:hAnsi="华文细黑" w:cs="华文细黑" w:eastAsia="华文细黑" w:hint="default"/>
          <w:spacing w:val="-13"/>
          <w:w w:val="99"/>
          <w:sz w:val="21"/>
          <w:szCs w:val="21"/>
        </w:rPr>
        <w:t>Coodoo</w:t>
      </w:r>
      <w:r>
        <w:rPr>
          <w:rFonts w:ascii="华文细黑" w:hAnsi="华文细黑" w:cs="华文细黑" w:eastAsia="华文细黑" w:hint="default"/>
          <w:spacing w:val="-13"/>
          <w:w w:val="99"/>
          <w:sz w:val="21"/>
          <w:szCs w:val="21"/>
        </w:rPr>
        <w:t>）”、“由你购（</w:t>
      </w:r>
      <w:r>
        <w:rPr>
          <w:rFonts w:ascii="华文细黑" w:hAnsi="华文细黑" w:cs="华文细黑" w:eastAsia="华文细黑" w:hint="default"/>
          <w:spacing w:val="-13"/>
          <w:w w:val="99"/>
          <w:sz w:val="21"/>
          <w:szCs w:val="21"/>
        </w:rPr>
        <w:t>YNG</w:t>
      </w:r>
      <w:r>
        <w:rPr>
          <w:rFonts w:ascii="华文细黑" w:hAnsi="华文细黑" w:cs="华文细黑" w:eastAsia="华文细黑" w:hint="default"/>
          <w:spacing w:val="-13"/>
          <w:w w:val="99"/>
          <w:sz w:val="21"/>
          <w:szCs w:val="21"/>
        </w:rPr>
        <w:t>）”、</w:t>
      </w:r>
    </w:p>
    <w:p>
      <w:pPr>
        <w:pStyle w:val="BodyText"/>
        <w:spacing w:line="379" w:lineRule="auto" w:before="33"/>
        <w:ind w:left="154" w:right="1129"/>
        <w:jc w:val="both"/>
      </w:pPr>
      <w:r>
        <w:rPr>
          <w:spacing w:val="-3"/>
        </w:rPr>
        <w:t>“一号机”和“爱保科技”四大零售品牌并驾齐驱之势，融合线上线下，贯穿售前售后，为</w:t>
      </w:r>
      <w:r>
        <w:rPr>
          <w:spacing w:val="16"/>
        </w:rPr>
        <w:t> </w:t>
      </w:r>
      <w:r>
        <w:rPr>
          <w:rFonts w:ascii="华文细黑" w:hAnsi="华文细黑" w:cs="华文细黑" w:eastAsia="华文细黑" w:hint="default"/>
        </w:rPr>
        <w:t>C</w:t>
      </w:r>
      <w:r>
        <w:rPr>
          <w:rFonts w:ascii="华文细黑" w:hAnsi="华文细黑" w:cs="华文细黑" w:eastAsia="华文细黑" w:hint="default"/>
          <w:spacing w:val="12"/>
        </w:rPr>
        <w:t> </w:t>
      </w:r>
      <w:r>
        <w:rPr/>
        <w:t>端客户提供</w:t>
      </w:r>
      <w:r>
        <w:rPr>
          <w:spacing w:val="-50"/>
        </w:rPr>
        <w:t> </w:t>
      </w:r>
      <w:r>
        <w:rPr/>
        <w:t>高效的新零售服务和全新体验。</w:t>
      </w:r>
    </w:p>
    <w:p>
      <w:pPr>
        <w:pStyle w:val="Heading5"/>
        <w:spacing w:line="240" w:lineRule="auto" w:before="49"/>
        <w:ind w:left="574" w:right="1217"/>
        <w:jc w:val="left"/>
        <w:rPr>
          <w:b w:val="0"/>
          <w:bCs w:val="0"/>
        </w:rPr>
      </w:pPr>
      <w:r>
        <w:rPr/>
        <w:t>新零售品牌发展方面：</w:t>
      </w:r>
      <w:r>
        <w:rPr>
          <w:b w:val="0"/>
          <w:bCs w:val="0"/>
        </w:rPr>
      </w:r>
    </w:p>
    <w:p>
      <w:pPr>
        <w:spacing w:line="240" w:lineRule="auto" w:before="12"/>
        <w:rPr>
          <w:rFonts w:ascii="华文细黑" w:hAnsi="华文细黑" w:cs="华文细黑" w:eastAsia="华文细黑" w:hint="default"/>
          <w:b/>
          <w:bCs/>
          <w:sz w:val="12"/>
          <w:szCs w:val="12"/>
        </w:rPr>
      </w:pPr>
    </w:p>
    <w:p>
      <w:pPr>
        <w:pStyle w:val="BodyText"/>
        <w:spacing w:line="240" w:lineRule="auto"/>
        <w:ind w:left="574" w:right="0"/>
        <w:jc w:val="left"/>
        <w:rPr>
          <w:rFonts w:ascii="华文细黑" w:hAnsi="华文细黑" w:cs="华文细黑" w:eastAsia="华文细黑" w:hint="default"/>
        </w:rPr>
      </w:pPr>
      <w:r>
        <w:rPr/>
        <w:t>“酷动（</w:t>
      </w:r>
      <w:r>
        <w:rPr>
          <w:rFonts w:ascii="华文细黑" w:hAnsi="华文细黑" w:cs="华文细黑" w:eastAsia="华文细黑" w:hint="default"/>
        </w:rPr>
        <w:t>Coodoo</w:t>
      </w:r>
      <w:r>
        <w:rPr/>
        <w:t>）”是于  </w:t>
      </w:r>
      <w:r>
        <w:rPr>
          <w:rFonts w:ascii="华文细黑" w:hAnsi="华文细黑" w:cs="华文细黑" w:eastAsia="华文细黑" w:hint="default"/>
        </w:rPr>
        <w:t>2006  </w:t>
      </w:r>
      <w:r>
        <w:rPr/>
        <w:t>年成立的中国最大的苹果授权优质经销商（</w:t>
      </w:r>
      <w:r>
        <w:rPr>
          <w:rFonts w:ascii="华文细黑" w:hAnsi="华文细黑" w:cs="华文细黑" w:eastAsia="华文细黑" w:hint="default"/>
        </w:rPr>
        <w:t>APR</w:t>
      </w:r>
      <w:r>
        <w:rPr/>
        <w:t>），已在全国</w:t>
      </w:r>
      <w:r>
        <w:rPr>
          <w:spacing w:val="50"/>
        </w:rPr>
        <w:t> </w:t>
      </w:r>
      <w:r>
        <w:rPr>
          <w:rFonts w:ascii="华文细黑" w:hAnsi="华文细黑" w:cs="华文细黑" w:eastAsia="华文细黑" w:hint="default"/>
        </w:rPr>
        <w:t>15</w:t>
      </w:r>
    </w:p>
    <w:p>
      <w:pPr>
        <w:pStyle w:val="BodyText"/>
        <w:spacing w:line="379" w:lineRule="auto" w:before="171"/>
        <w:ind w:left="154" w:right="1132"/>
        <w:jc w:val="both"/>
      </w:pPr>
      <w:r>
        <w:rPr/>
        <w:t>个省 </w:t>
      </w:r>
      <w:r>
        <w:rPr>
          <w:rFonts w:ascii="华文细黑" w:hAnsi="华文细黑" w:cs="华文细黑" w:eastAsia="华文细黑" w:hint="default"/>
        </w:rPr>
        <w:t>28 </w:t>
      </w:r>
      <w:r>
        <w:rPr/>
        <w:t>个市高档商业中心建立了近 </w:t>
      </w:r>
      <w:r>
        <w:rPr>
          <w:rFonts w:ascii="华文细黑" w:hAnsi="华文细黑" w:cs="华文细黑" w:eastAsia="华文细黑" w:hint="default"/>
        </w:rPr>
        <w:t>100</w:t>
      </w:r>
      <w:r>
        <w:rPr>
          <w:rFonts w:ascii="华文细黑" w:hAnsi="华文细黑" w:cs="华文细黑" w:eastAsia="华文细黑" w:hint="default"/>
          <w:spacing w:val="24"/>
        </w:rPr>
        <w:t> </w:t>
      </w:r>
      <w:r>
        <w:rPr/>
        <w:t>家苹果零售自营门店和维修站。以苹果产品为核心，以实体门店 </w:t>
      </w:r>
      <w:r>
        <w:rPr>
          <w:spacing w:val="-2"/>
        </w:rPr>
        <w:t>为基础，“酷动（</w:t>
      </w:r>
      <w:r>
        <w:rPr>
          <w:rFonts w:ascii="华文细黑" w:hAnsi="华文细黑" w:cs="华文细黑" w:eastAsia="华文细黑" w:hint="default"/>
          <w:spacing w:val="-2"/>
        </w:rPr>
        <w:t>Coodoo</w:t>
      </w:r>
      <w:r>
        <w:rPr>
          <w:spacing w:val="-2"/>
        </w:rPr>
        <w:t>）”不断提升线上运营能力，已实现了包含线上流量获取、门店体验式服务和</w:t>
      </w:r>
      <w:r>
        <w:rPr>
          <w:spacing w:val="-10"/>
        </w:rPr>
        <w:t> </w:t>
      </w:r>
      <w:r>
        <w:rPr>
          <w:spacing w:val="-10"/>
        </w:rPr>
      </w:r>
      <w:r>
        <w:rPr/>
        <w:t>离店客户运营在内的一整套智慧门店解决方案。</w:t>
      </w:r>
    </w:p>
    <w:p>
      <w:pPr>
        <w:spacing w:after="0" w:line="379" w:lineRule="auto"/>
        <w:jc w:val="both"/>
        <w:sectPr>
          <w:pgSz w:w="11910" w:h="16840"/>
          <w:pgMar w:header="917" w:footer="1019" w:top="1100" w:bottom="1200" w:left="980" w:right="0"/>
        </w:sectPr>
      </w:pPr>
    </w:p>
    <w:p>
      <w:pPr>
        <w:spacing w:line="240" w:lineRule="auto" w:before="7"/>
        <w:rPr>
          <w:rFonts w:ascii="华文细黑" w:hAnsi="华文细黑" w:cs="华文细黑" w:eastAsia="华文细黑" w:hint="default"/>
          <w:sz w:val="26"/>
          <w:szCs w:val="26"/>
        </w:rPr>
      </w:pPr>
    </w:p>
    <w:p>
      <w:pPr>
        <w:pStyle w:val="BodyText"/>
        <w:spacing w:line="379" w:lineRule="auto" w:before="10"/>
        <w:ind w:left="154" w:right="1130" w:firstLine="420"/>
        <w:jc w:val="both"/>
      </w:pPr>
      <w:r>
        <w:rPr>
          <w:spacing w:val="-2"/>
        </w:rPr>
        <w:t>“由你购（</w:t>
      </w:r>
      <w:r>
        <w:rPr>
          <w:rFonts w:ascii="华文细黑" w:hAnsi="华文细黑" w:cs="华文细黑" w:eastAsia="华文细黑" w:hint="default"/>
          <w:spacing w:val="-2"/>
        </w:rPr>
        <w:t>YNG</w:t>
      </w:r>
      <w:r>
        <w:rPr>
          <w:spacing w:val="-2"/>
        </w:rPr>
        <w:t>）”是聚焦手机及智能数码产品的线上线下一体化的新零售平台，即满足用户线上便</w:t>
      </w:r>
      <w:r>
        <w:rPr/>
        <w:t> </w:t>
      </w:r>
      <w:r>
        <w:rPr>
          <w:spacing w:val="-1"/>
        </w:rPr>
        <w:t>捷透明的体验，又提供线下面对面周到的服务。通过每个单店覆盖一定区域范围和多店协同形成区域网格</w:t>
      </w:r>
      <w:r>
        <w:rPr>
          <w:spacing w:val="-28"/>
        </w:rPr>
        <w:t> </w:t>
      </w:r>
      <w:r>
        <w:rPr>
          <w:spacing w:val="-28"/>
        </w:rPr>
      </w:r>
      <w:r>
        <w:rPr/>
        <w:t>的模式，为用户构建线上线下一体化、品质化的专业服务。</w:t>
      </w:r>
    </w:p>
    <w:p>
      <w:pPr>
        <w:pStyle w:val="BodyText"/>
        <w:spacing w:line="379" w:lineRule="auto" w:before="49"/>
        <w:ind w:left="154" w:right="1132" w:firstLine="420"/>
        <w:jc w:val="both"/>
      </w:pPr>
      <w:r>
        <w:rPr/>
        <w:t>“一号机”是一站式泛智能终端新零售</w:t>
      </w:r>
      <w:r>
        <w:rPr>
          <w:rFonts w:ascii="华文细黑" w:hAnsi="华文细黑" w:cs="华文细黑" w:eastAsia="华文细黑" w:hint="default"/>
        </w:rPr>
        <w:t>+</w:t>
      </w:r>
      <w:r>
        <w:rPr/>
        <w:t>新分销服务平台，也是公司从 </w:t>
      </w:r>
      <w:r>
        <w:rPr>
          <w:rFonts w:ascii="华文细黑" w:hAnsi="华文细黑" w:cs="华文细黑" w:eastAsia="华文细黑" w:hint="default"/>
        </w:rPr>
        <w:t>B </w:t>
      </w:r>
      <w:r>
        <w:rPr/>
        <w:t>端向 </w:t>
      </w:r>
      <w:r>
        <w:rPr>
          <w:rFonts w:ascii="华文细黑" w:hAnsi="华文细黑" w:cs="华文细黑" w:eastAsia="华文细黑" w:hint="default"/>
        </w:rPr>
        <w:t>C</w:t>
      </w:r>
      <w:r>
        <w:rPr>
          <w:rFonts w:ascii="华文细黑" w:hAnsi="华文细黑" w:cs="华文细黑" w:eastAsia="华文细黑" w:hint="default"/>
          <w:spacing w:val="-23"/>
        </w:rPr>
        <w:t> </w:t>
      </w:r>
      <w:r>
        <w:rPr/>
        <w:t>端垂直渗透的战略性 </w:t>
      </w:r>
      <w:r>
        <w:rPr>
          <w:spacing w:val="-1"/>
        </w:rPr>
        <w:t>新零售品牌，为零售门店提供场景升级、人员升级、商品升级和顾客运营升级在内的新零售升级服务，从</w:t>
      </w:r>
      <w:r>
        <w:rPr>
          <w:spacing w:val="-33"/>
        </w:rPr>
        <w:t> </w:t>
      </w:r>
      <w:r>
        <w:rPr>
          <w:spacing w:val="-33"/>
        </w:rPr>
      </w:r>
      <w:r>
        <w:rPr/>
        <w:t>而覆盖更多 </w:t>
      </w:r>
      <w:r>
        <w:rPr>
          <w:rFonts w:ascii="华文细黑" w:hAnsi="华文细黑" w:cs="华文细黑" w:eastAsia="华文细黑" w:hint="default"/>
        </w:rPr>
        <w:t>B </w:t>
      </w:r>
      <w:r>
        <w:rPr/>
        <w:t>端，连接更多 </w:t>
      </w:r>
      <w:r>
        <w:rPr>
          <w:rFonts w:ascii="华文细黑" w:hAnsi="华文细黑" w:cs="华文细黑" w:eastAsia="华文细黑" w:hint="default"/>
        </w:rPr>
        <w:t>C</w:t>
      </w:r>
      <w:r>
        <w:rPr>
          <w:rFonts w:ascii="华文细黑" w:hAnsi="华文细黑" w:cs="华文细黑" w:eastAsia="华文细黑" w:hint="default"/>
          <w:spacing w:val="-2"/>
        </w:rPr>
        <w:t> </w:t>
      </w:r>
      <w:r>
        <w:rPr/>
        <w:t>端，实现更大的网络价值。</w:t>
      </w:r>
    </w:p>
    <w:p>
      <w:pPr>
        <w:pStyle w:val="BodyText"/>
        <w:spacing w:line="379" w:lineRule="auto" w:before="49"/>
        <w:ind w:left="154" w:right="1130" w:firstLine="420"/>
        <w:jc w:val="both"/>
      </w:pPr>
      <w:r>
        <w:rPr>
          <w:spacing w:val="-1"/>
        </w:rPr>
        <w:t>“爱保科技”作为手机保障服务的运营主体，通过大数据分析挖掘出碎屏保、电池保、数据保等十余</w:t>
      </w:r>
      <w:r>
        <w:rPr/>
        <w:t> </w:t>
      </w:r>
      <w:r>
        <w:rPr>
          <w:spacing w:val="-1"/>
        </w:rPr>
        <w:t>种手机创新产品，与国际化保险公司深度合作，不断优化保障供给结构，满足手机用户日益增长的多元化</w:t>
      </w:r>
      <w:r>
        <w:rPr>
          <w:spacing w:val="-31"/>
        </w:rPr>
        <w:t> </w:t>
      </w:r>
      <w:r>
        <w:rPr>
          <w:spacing w:val="-31"/>
        </w:rPr>
      </w:r>
      <w:r>
        <w:rPr/>
        <w:t>保障需求。报告期内，爱保科技的合作维修网点发展至 </w:t>
      </w:r>
      <w:r>
        <w:rPr>
          <w:rFonts w:ascii="华文细黑" w:hAnsi="华文细黑" w:cs="华文细黑" w:eastAsia="华文细黑" w:hint="default"/>
        </w:rPr>
        <w:t>2000 </w:t>
      </w:r>
      <w:r>
        <w:rPr>
          <w:spacing w:val="-4"/>
        </w:rPr>
        <w:t>多个，覆盖全国 </w:t>
      </w:r>
      <w:r>
        <w:rPr>
          <w:rFonts w:ascii="华文细黑" w:hAnsi="华文细黑" w:cs="华文细黑" w:eastAsia="华文细黑" w:hint="default"/>
        </w:rPr>
        <w:t>32</w:t>
      </w:r>
      <w:r>
        <w:rPr>
          <w:rFonts w:ascii="华文细黑" w:hAnsi="华文细黑" w:cs="华文细黑" w:eastAsia="华文细黑" w:hint="default"/>
          <w:spacing w:val="-28"/>
        </w:rPr>
        <w:t> </w:t>
      </w:r>
      <w:r>
        <w:rPr>
          <w:spacing w:val="-3"/>
        </w:rPr>
        <w:t>个省级区域，为公司新零</w:t>
      </w:r>
      <w:r>
        <w:rPr/>
        <w:t> 售板块织成一张售后保障网。爱保科技全资子公司北京威丰科技有限公司获得</w:t>
      </w:r>
      <w:r>
        <w:rPr>
          <w:spacing w:val="22"/>
        </w:rPr>
        <w:t> </w:t>
      </w:r>
      <w:r>
        <w:rPr/>
        <w:t>“国家高新技术企业”证</w:t>
      </w:r>
      <w:r>
        <w:rPr>
          <w:spacing w:val="-48"/>
        </w:rPr>
        <w:t> </w:t>
      </w:r>
      <w:r>
        <w:rPr>
          <w:spacing w:val="-48"/>
        </w:rPr>
      </w:r>
      <w:r>
        <w:rPr/>
        <w:t>书。</w:t>
      </w:r>
    </w:p>
    <w:p>
      <w:pPr>
        <w:spacing w:line="240" w:lineRule="auto" w:before="2"/>
        <w:rPr>
          <w:rFonts w:ascii="华文细黑" w:hAnsi="华文细黑" w:cs="华文细黑" w:eastAsia="华文细黑" w:hint="default"/>
          <w:sz w:val="6"/>
          <w:szCs w:val="6"/>
        </w:rPr>
      </w:pPr>
    </w:p>
    <w:p>
      <w:pPr>
        <w:spacing w:line="5493" w:lineRule="exact"/>
        <w:ind w:left="2204" w:right="0" w:firstLine="0"/>
        <w:rPr>
          <w:rFonts w:ascii="华文细黑" w:hAnsi="华文细黑" w:cs="华文细黑" w:eastAsia="华文细黑" w:hint="default"/>
          <w:sz w:val="20"/>
          <w:szCs w:val="20"/>
        </w:rPr>
      </w:pPr>
      <w:r>
        <w:rPr>
          <w:rFonts w:ascii="华文细黑" w:hAnsi="华文细黑" w:cs="华文细黑" w:eastAsia="华文细黑" w:hint="default"/>
          <w:position w:val="-109"/>
          <w:sz w:val="20"/>
          <w:szCs w:val="20"/>
        </w:rPr>
        <w:drawing>
          <wp:inline distT="0" distB="0" distL="0" distR="0">
            <wp:extent cx="3513176" cy="3488436"/>
            <wp:effectExtent l="0" t="0" r="0" b="0"/>
            <wp:docPr id="7" name="image11.png" descr=""/>
            <wp:cNvGraphicFramePr>
              <a:graphicFrameLocks noChangeAspect="1"/>
            </wp:cNvGraphicFramePr>
            <a:graphic>
              <a:graphicData uri="http://schemas.openxmlformats.org/drawingml/2006/picture">
                <pic:pic>
                  <pic:nvPicPr>
                    <pic:cNvPr id="8" name="image11.png"/>
                    <pic:cNvPicPr/>
                  </pic:nvPicPr>
                  <pic:blipFill>
                    <a:blip r:embed="rId24" cstate="print"/>
                    <a:stretch>
                      <a:fillRect/>
                    </a:stretch>
                  </pic:blipFill>
                  <pic:spPr>
                    <a:xfrm>
                      <a:off x="0" y="0"/>
                      <a:ext cx="3513176" cy="3488436"/>
                    </a:xfrm>
                    <a:prstGeom prst="rect">
                      <a:avLst/>
                    </a:prstGeom>
                  </pic:spPr>
                </pic:pic>
              </a:graphicData>
            </a:graphic>
          </wp:inline>
        </w:drawing>
      </w:r>
      <w:r>
        <w:rPr>
          <w:rFonts w:ascii="华文细黑" w:hAnsi="华文细黑" w:cs="华文细黑" w:eastAsia="华文细黑" w:hint="default"/>
          <w:position w:val="-109"/>
          <w:sz w:val="20"/>
          <w:szCs w:val="20"/>
        </w:rPr>
      </w:r>
    </w:p>
    <w:p>
      <w:pPr>
        <w:pStyle w:val="BodyText"/>
        <w:spacing w:line="379" w:lineRule="auto" w:before="155"/>
        <w:ind w:left="154" w:right="1023" w:firstLine="420"/>
        <w:jc w:val="left"/>
      </w:pPr>
      <w:r>
        <w:rPr>
          <w:rFonts w:ascii="华文细黑" w:hAnsi="华文细黑" w:cs="华文细黑" w:eastAsia="华文细黑" w:hint="default"/>
          <w:b/>
          <w:bCs/>
        </w:rPr>
        <w:t>新零售 </w:t>
      </w:r>
      <w:r>
        <w:rPr>
          <w:rFonts w:ascii="华文细黑" w:hAnsi="华文细黑" w:cs="华文细黑" w:eastAsia="华文细黑" w:hint="default"/>
          <w:b/>
          <w:bCs/>
        </w:rPr>
        <w:t>IT</w:t>
      </w:r>
      <w:r>
        <w:rPr>
          <w:rFonts w:ascii="华文细黑" w:hAnsi="华文细黑" w:cs="华文细黑" w:eastAsia="华文细黑" w:hint="default"/>
          <w:b/>
          <w:bCs/>
          <w:spacing w:val="-29"/>
        </w:rPr>
        <w:t> </w:t>
      </w:r>
      <w:r>
        <w:rPr>
          <w:rFonts w:ascii="华文细黑" w:hAnsi="华文细黑" w:cs="华文细黑" w:eastAsia="华文细黑" w:hint="default"/>
          <w:b/>
          <w:bCs/>
        </w:rPr>
        <w:t>支撑方面：</w:t>
      </w:r>
      <w:r>
        <w:rPr/>
        <w:t>基于公司新零售布局，打通了线上线下的智慧零售，并实现了公司对门店和客户 的全方面赋能，即：包括手机、配件、智能终端、号卡在内的产品赋能；集消费分期、手机保险、手机回 </w:t>
      </w:r>
      <w:r>
        <w:rPr>
          <w:spacing w:val="-3"/>
        </w:rPr>
        <w:t>收、手机租赁、生活服务为一体的业务赋能；涵盖了店员培训、形象设计、电子货柜、金融服务、店小蜜、</w:t>
      </w:r>
      <w:r>
        <w:rPr>
          <w:spacing w:val="-45"/>
        </w:rPr>
        <w:t> </w:t>
      </w:r>
      <w:r>
        <w:rPr>
          <w:spacing w:val="-45"/>
        </w:rPr>
      </w:r>
      <w:r>
        <w:rPr/>
        <w:t>云 </w:t>
      </w:r>
      <w:r>
        <w:rPr>
          <w:rFonts w:ascii="华文细黑" w:hAnsi="华文细黑" w:cs="华文细黑" w:eastAsia="华文细黑" w:hint="default"/>
        </w:rPr>
        <w:t>ERP </w:t>
      </w:r>
      <w:r>
        <w:rPr/>
        <w:t>和云 </w:t>
      </w:r>
      <w:r>
        <w:rPr>
          <w:rFonts w:ascii="华文细黑" w:hAnsi="华文细黑" w:cs="华文细黑" w:eastAsia="华文细黑" w:hint="default"/>
        </w:rPr>
        <w:t>POS </w:t>
      </w:r>
      <w:r>
        <w:rPr/>
        <w:t>的运营赋能；整合了店之翼、会员运营、积分系统和线上用户的用户赋能。</w:t>
      </w:r>
    </w:p>
    <w:p>
      <w:pPr>
        <w:spacing w:after="0" w:line="379" w:lineRule="auto"/>
        <w:jc w:val="left"/>
        <w:sectPr>
          <w:pgSz w:w="11910" w:h="16840"/>
          <w:pgMar w:header="917" w:footer="1019" w:top="1100" w:bottom="1200" w:left="980" w:right="0"/>
        </w:sectPr>
      </w:pPr>
    </w:p>
    <w:p>
      <w:pPr>
        <w:spacing w:line="240" w:lineRule="auto" w:before="2"/>
        <w:rPr>
          <w:rFonts w:ascii="华文细黑" w:hAnsi="华文细黑" w:cs="华文细黑" w:eastAsia="华文细黑" w:hint="default"/>
          <w:sz w:val="29"/>
          <w:szCs w:val="29"/>
        </w:rPr>
      </w:pPr>
    </w:p>
    <w:p>
      <w:pPr>
        <w:pStyle w:val="Heading2"/>
        <w:spacing w:line="396" w:lineRule="exact"/>
        <w:ind w:left="214" w:right="5292"/>
        <w:jc w:val="left"/>
        <w:rPr>
          <w:b w:val="0"/>
          <w:bCs w:val="0"/>
        </w:rPr>
      </w:pPr>
      <w:bookmarkStart w:name="二、主营业务分析" w:id="45"/>
      <w:bookmarkEnd w:id="45"/>
      <w:r>
        <w:rPr>
          <w:b w:val="0"/>
          <w:bCs w:val="0"/>
        </w:rPr>
      </w:r>
      <w:r>
        <w:rPr/>
        <w:t>二、主营业务分析</w:t>
      </w:r>
      <w:r>
        <w:rPr>
          <w:b w:val="0"/>
          <w:bCs w:val="0"/>
        </w:rPr>
      </w:r>
    </w:p>
    <w:p>
      <w:pPr>
        <w:spacing w:line="240" w:lineRule="auto" w:before="0"/>
        <w:rPr>
          <w:rFonts w:ascii="华文细黑" w:hAnsi="华文细黑" w:cs="华文细黑" w:eastAsia="华文细黑" w:hint="default"/>
          <w:b/>
          <w:bCs/>
          <w:sz w:val="30"/>
          <w:szCs w:val="30"/>
        </w:rPr>
      </w:pPr>
    </w:p>
    <w:p>
      <w:pPr>
        <w:spacing w:line="494" w:lineRule="auto" w:before="0"/>
        <w:ind w:left="214" w:right="5292" w:firstLine="0"/>
        <w:jc w:val="left"/>
        <w:rPr>
          <w:rFonts w:ascii="华文细黑" w:hAnsi="华文细黑" w:cs="华文细黑" w:eastAsia="华文细黑" w:hint="default"/>
          <w:sz w:val="21"/>
          <w:szCs w:val="21"/>
        </w:rPr>
      </w:pPr>
      <w:bookmarkStart w:name="1、概述" w:id="46"/>
      <w:bookmarkEnd w:id="46"/>
      <w:r>
        <w:rPr/>
      </w:r>
      <w:r>
        <w:rPr>
          <w:rFonts w:ascii="华文细黑" w:hAnsi="华文细黑" w:cs="华文细黑" w:eastAsia="华文细黑" w:hint="default"/>
          <w:b/>
          <w:bCs/>
          <w:sz w:val="21"/>
          <w:szCs w:val="21"/>
        </w:rPr>
        <w:t>1</w:t>
      </w:r>
      <w:r>
        <w:rPr>
          <w:rFonts w:ascii="华文细黑" w:hAnsi="华文细黑" w:cs="华文细黑" w:eastAsia="华文细黑" w:hint="default"/>
          <w:b/>
          <w:bCs/>
          <w:sz w:val="21"/>
          <w:szCs w:val="21"/>
        </w:rPr>
        <w:t>、概述</w:t>
      </w:r>
      <w:r>
        <w:rPr>
          <w:rFonts w:ascii="华文细黑" w:hAnsi="华文细黑" w:cs="华文细黑" w:eastAsia="华文细黑" w:hint="default"/>
          <w:b/>
          <w:bCs/>
          <w:w w:val="99"/>
          <w:sz w:val="21"/>
          <w:szCs w:val="21"/>
        </w:rPr>
        <w:t> </w:t>
      </w:r>
      <w:r>
        <w:rPr>
          <w:rFonts w:ascii="华文细黑" w:hAnsi="华文细黑" w:cs="华文细黑" w:eastAsia="华文细黑" w:hint="default"/>
          <w:sz w:val="21"/>
          <w:szCs w:val="21"/>
        </w:rPr>
        <w:t>参见“经营情况讨论与分析”中的“一、概述”相关内容。 </w:t>
      </w:r>
      <w:bookmarkStart w:name="2、收入与成本" w:id="47"/>
      <w:bookmarkEnd w:id="47"/>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、收入与成本</w:t>
      </w:r>
      <w:r>
        <w:rPr>
          <w:rFonts w:ascii="华文细黑" w:hAnsi="华文细黑" w:cs="华文细黑" w:eastAsia="华文细黑" w:hint="default"/>
          <w:sz w:val="21"/>
          <w:szCs w:val="21"/>
        </w:rPr>
      </w:r>
    </w:p>
    <w:p>
      <w:pPr>
        <w:pStyle w:val="Heading5"/>
        <w:spacing w:line="240" w:lineRule="auto" w:before="77"/>
        <w:ind w:left="214" w:right="5292"/>
        <w:jc w:val="left"/>
        <w:rPr>
          <w:b w:val="0"/>
          <w:bCs w:val="0"/>
        </w:rPr>
      </w:pPr>
      <w:bookmarkStart w:name="（1）营业收入构成" w:id="48"/>
      <w:bookmarkEnd w:id="48"/>
      <w:r>
        <w:rPr>
          <w:b w:val="0"/>
          <w:bCs w:val="0"/>
        </w:rPr>
      </w:r>
      <w:r>
        <w:rPr/>
        <w:t>（</w:t>
      </w:r>
      <w:r>
        <w:rPr>
          <w:rFonts w:ascii="华文细黑" w:hAnsi="华文细黑" w:cs="华文细黑" w:eastAsia="华文细黑" w:hint="default"/>
        </w:rPr>
        <w:t>1</w:t>
      </w:r>
      <w:r>
        <w:rPr/>
        <w:t>）营业收入构成</w:t>
      </w:r>
      <w:r>
        <w:rPr>
          <w:b w:val="0"/>
          <w:bCs w:val="0"/>
        </w:rPr>
      </w:r>
    </w:p>
    <w:p>
      <w:pPr>
        <w:spacing w:line="240" w:lineRule="auto" w:before="9"/>
        <w:rPr>
          <w:rFonts w:ascii="华文细黑" w:hAnsi="华文细黑" w:cs="华文细黑" w:eastAsia="华文细黑" w:hint="default"/>
          <w:b/>
          <w:bCs/>
          <w:sz w:val="22"/>
          <w:szCs w:val="22"/>
        </w:rPr>
      </w:pPr>
    </w:p>
    <w:p>
      <w:pPr>
        <w:spacing w:before="23"/>
        <w:ind w:left="0" w:right="1130" w:firstLine="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单位：元</w:t>
      </w:r>
    </w:p>
    <w:p>
      <w:pPr>
        <w:spacing w:line="240" w:lineRule="auto" w:before="13"/>
        <w:rPr>
          <w:rFonts w:ascii="华文细黑" w:hAnsi="华文细黑" w:cs="华文细黑" w:eastAsia="华文细黑" w:hint="default"/>
          <w:sz w:val="6"/>
          <w:szCs w:val="6"/>
        </w:rPr>
      </w:pPr>
    </w:p>
    <w:tbl>
      <w:tblPr>
        <w:tblW w:w="0" w:type="auto"/>
        <w:jc w:val="left"/>
        <w:tblInd w:w="101" w:type="dxa"/>
        <w:tblLayout w:type="fixed"/>
        <w:tblCellMar>
          <w:top w:w="0" w:type="dxa"/>
          <w:left w:w="0" w:type="dxa"/>
          <w:bottom w:w="0" w:type="dxa"/>
          <w:right w:w="0" w:type="dxa"/>
        </w:tblCellMar>
        <w:tblLook w:val="01E0"/>
      </w:tblPr>
      <w:tblGrid>
        <w:gridCol w:w="1810"/>
        <w:gridCol w:w="992"/>
        <w:gridCol w:w="2145"/>
        <w:gridCol w:w="1188"/>
        <w:gridCol w:w="1713"/>
        <w:gridCol w:w="1043"/>
        <w:gridCol w:w="965"/>
      </w:tblGrid>
      <w:tr>
        <w:trPr>
          <w:trHeight w:val="402" w:hRule="exact"/>
        </w:trPr>
        <w:tc>
          <w:tcPr>
            <w:tcW w:w="181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2"/>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分类</w:t>
            </w:r>
          </w:p>
        </w:tc>
        <w:tc>
          <w:tcPr>
            <w:tcW w:w="99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2"/>
              <w:ind w:left="31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项目</w:t>
            </w:r>
          </w:p>
        </w:tc>
        <w:tc>
          <w:tcPr>
            <w:tcW w:w="3333"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2756"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2017</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965"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2"/>
              <w:ind w:left="11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同比增减</w:t>
            </w:r>
          </w:p>
        </w:tc>
      </w:tr>
      <w:tr>
        <w:trPr>
          <w:trHeight w:val="714" w:hRule="exact"/>
        </w:trPr>
        <w:tc>
          <w:tcPr>
            <w:tcW w:w="1810" w:type="dxa"/>
            <w:vMerge/>
            <w:tcBorders>
              <w:left w:val="single" w:sz="4" w:space="0" w:color="FFC000"/>
              <w:bottom w:val="single" w:sz="4" w:space="0" w:color="FFC000"/>
              <w:right w:val="single" w:sz="4" w:space="0" w:color="FFC000"/>
            </w:tcBorders>
            <w:shd w:val="clear" w:color="auto" w:fill="FFF8E6"/>
          </w:tcPr>
          <w:p>
            <w:pPr/>
          </w:p>
        </w:tc>
        <w:tc>
          <w:tcPr>
            <w:tcW w:w="992" w:type="dxa"/>
            <w:vMerge/>
            <w:tcBorders>
              <w:left w:val="single" w:sz="4" w:space="0" w:color="FFC000"/>
              <w:bottom w:val="single" w:sz="4" w:space="0" w:color="FFC000"/>
              <w:right w:val="single" w:sz="4" w:space="0" w:color="FFC000"/>
            </w:tcBorders>
            <w:shd w:val="clear" w:color="auto" w:fill="FFF8E6"/>
          </w:tcPr>
          <w:p>
            <w:pPr/>
          </w:p>
        </w:tc>
        <w:tc>
          <w:tcPr>
            <w:tcW w:w="21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118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409" w:right="137" w:hanging="27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占营业收入 比重</w:t>
            </w:r>
          </w:p>
        </w:tc>
        <w:tc>
          <w:tcPr>
            <w:tcW w:w="171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104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245" w:right="155" w:hanging="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占营业收 入比重</w:t>
            </w:r>
          </w:p>
        </w:tc>
        <w:tc>
          <w:tcPr>
            <w:tcW w:w="965" w:type="dxa"/>
            <w:vMerge/>
            <w:tcBorders>
              <w:left w:val="single" w:sz="4" w:space="0" w:color="FFC000"/>
              <w:bottom w:val="single" w:sz="4" w:space="0" w:color="FFC000"/>
              <w:right w:val="single" w:sz="4" w:space="0" w:color="FFC000"/>
            </w:tcBorders>
            <w:shd w:val="clear" w:color="auto" w:fill="FFF8E6"/>
          </w:tcPr>
          <w:p>
            <w:pPr/>
          </w:p>
        </w:tc>
      </w:tr>
      <w:tr>
        <w:trPr>
          <w:trHeight w:val="402" w:hRule="exact"/>
        </w:trPr>
        <w:tc>
          <w:tcPr>
            <w:tcW w:w="18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营业收入合计</w:t>
            </w:r>
          </w:p>
        </w:tc>
        <w:tc>
          <w:tcPr>
            <w:tcW w:w="992"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1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56,983,791,975.82</w:t>
            </w:r>
          </w:p>
        </w:tc>
        <w:tc>
          <w:tcPr>
            <w:tcW w:w="11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pacing w:val="-1"/>
                <w:w w:val="95"/>
                <w:sz w:val="18"/>
              </w:rPr>
              <w:t>100%</w:t>
            </w:r>
            <w:r>
              <w:rPr>
                <w:rFonts w:ascii="华文细黑"/>
                <w:w w:val="95"/>
                <w:sz w:val="18"/>
              </w:rPr>
            </w:r>
          </w:p>
        </w:tc>
        <w:tc>
          <w:tcPr>
            <w:tcW w:w="171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56,735,870,506.54</w:t>
            </w:r>
          </w:p>
        </w:tc>
        <w:tc>
          <w:tcPr>
            <w:tcW w:w="10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pacing w:val="-1"/>
                <w:w w:val="95"/>
                <w:sz w:val="18"/>
              </w:rPr>
              <w:t>100%</w:t>
            </w:r>
            <w:r>
              <w:rPr>
                <w:rFonts w:ascii="华文细黑"/>
                <w:w w:val="95"/>
                <w:sz w:val="18"/>
              </w:rPr>
            </w:r>
          </w:p>
        </w:tc>
        <w:tc>
          <w:tcPr>
            <w:tcW w:w="96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0.44%</w:t>
            </w:r>
          </w:p>
        </w:tc>
      </w:tr>
      <w:tr>
        <w:trPr>
          <w:trHeight w:val="402" w:hRule="exact"/>
        </w:trPr>
        <w:tc>
          <w:tcPr>
            <w:tcW w:w="9856" w:type="dxa"/>
            <w:gridSpan w:val="7"/>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分行业</w:t>
            </w:r>
          </w:p>
        </w:tc>
      </w:tr>
      <w:tr>
        <w:trPr>
          <w:trHeight w:val="402" w:hRule="exact"/>
        </w:trPr>
        <w:tc>
          <w:tcPr>
            <w:tcW w:w="18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智能终端分销业务</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56"/>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主营业务</w:t>
            </w:r>
          </w:p>
        </w:tc>
        <w:tc>
          <w:tcPr>
            <w:tcW w:w="21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46,463,198,486.02</w:t>
            </w:r>
          </w:p>
        </w:tc>
        <w:tc>
          <w:tcPr>
            <w:tcW w:w="11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81.54%</w:t>
            </w:r>
          </w:p>
        </w:tc>
        <w:tc>
          <w:tcPr>
            <w:tcW w:w="171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46,149,110,142.88</w:t>
            </w:r>
          </w:p>
        </w:tc>
        <w:tc>
          <w:tcPr>
            <w:tcW w:w="10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81.34%</w:t>
            </w:r>
          </w:p>
        </w:tc>
        <w:tc>
          <w:tcPr>
            <w:tcW w:w="96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0.68%</w:t>
            </w:r>
          </w:p>
        </w:tc>
      </w:tr>
      <w:tr>
        <w:trPr>
          <w:trHeight w:val="714" w:hRule="exact"/>
        </w:trPr>
        <w:tc>
          <w:tcPr>
            <w:tcW w:w="18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255"/>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金融及供应链服务 业务</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56"/>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主营业务</w:t>
            </w:r>
          </w:p>
        </w:tc>
        <w:tc>
          <w:tcPr>
            <w:tcW w:w="21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7,841,658,652.50</w:t>
            </w:r>
          </w:p>
        </w:tc>
        <w:tc>
          <w:tcPr>
            <w:tcW w:w="11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0"/>
              <w:jc w:val="right"/>
              <w:rPr>
                <w:rFonts w:ascii="华文细黑" w:hAnsi="华文细黑" w:cs="华文细黑" w:eastAsia="华文细黑" w:hint="default"/>
                <w:sz w:val="18"/>
                <w:szCs w:val="18"/>
              </w:rPr>
            </w:pPr>
            <w:r>
              <w:rPr>
                <w:rFonts w:ascii="华文细黑"/>
                <w:sz w:val="18"/>
              </w:rPr>
              <w:t>13.76%</w:t>
            </w:r>
          </w:p>
        </w:tc>
        <w:tc>
          <w:tcPr>
            <w:tcW w:w="171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0"/>
              <w:jc w:val="right"/>
              <w:rPr>
                <w:rFonts w:ascii="华文细黑" w:hAnsi="华文细黑" w:cs="华文细黑" w:eastAsia="华文细黑" w:hint="default"/>
                <w:sz w:val="18"/>
                <w:szCs w:val="18"/>
              </w:rPr>
            </w:pPr>
            <w:r>
              <w:rPr>
                <w:rFonts w:ascii="华文细黑"/>
                <w:spacing w:val="-1"/>
                <w:sz w:val="18"/>
              </w:rPr>
              <w:t>8,424,444,878.95</w:t>
            </w:r>
          </w:p>
        </w:tc>
        <w:tc>
          <w:tcPr>
            <w:tcW w:w="10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14.85%</w:t>
            </w:r>
          </w:p>
        </w:tc>
        <w:tc>
          <w:tcPr>
            <w:tcW w:w="96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-6.92%</w:t>
            </w:r>
          </w:p>
        </w:tc>
      </w:tr>
      <w:tr>
        <w:trPr>
          <w:trHeight w:val="402" w:hRule="exact"/>
        </w:trPr>
        <w:tc>
          <w:tcPr>
            <w:tcW w:w="18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智慧零售业务</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56"/>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主营业务</w:t>
            </w:r>
          </w:p>
        </w:tc>
        <w:tc>
          <w:tcPr>
            <w:tcW w:w="21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sz w:val="18"/>
              </w:rPr>
              <w:t>2,417,759,595.66</w:t>
            </w:r>
          </w:p>
        </w:tc>
        <w:tc>
          <w:tcPr>
            <w:tcW w:w="11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4.24%</w:t>
            </w:r>
          </w:p>
        </w:tc>
        <w:tc>
          <w:tcPr>
            <w:tcW w:w="171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pacing w:val="-1"/>
                <w:sz w:val="18"/>
              </w:rPr>
              <w:t>1,866,922,871.62</w:t>
            </w:r>
          </w:p>
        </w:tc>
        <w:tc>
          <w:tcPr>
            <w:tcW w:w="10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3.29%</w:t>
            </w:r>
          </w:p>
        </w:tc>
        <w:tc>
          <w:tcPr>
            <w:tcW w:w="96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29.51%</w:t>
            </w:r>
          </w:p>
        </w:tc>
      </w:tr>
      <w:tr>
        <w:trPr>
          <w:trHeight w:val="402" w:hRule="exact"/>
        </w:trPr>
        <w:tc>
          <w:tcPr>
            <w:tcW w:w="18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通信服务业务</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56"/>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主营业务</w:t>
            </w:r>
          </w:p>
        </w:tc>
        <w:tc>
          <w:tcPr>
            <w:tcW w:w="21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193,343,883.78</w:t>
            </w:r>
          </w:p>
        </w:tc>
        <w:tc>
          <w:tcPr>
            <w:tcW w:w="11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0.34%</w:t>
            </w:r>
          </w:p>
        </w:tc>
        <w:tc>
          <w:tcPr>
            <w:tcW w:w="171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233,558,869.18</w:t>
            </w:r>
          </w:p>
        </w:tc>
        <w:tc>
          <w:tcPr>
            <w:tcW w:w="10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0.41%</w:t>
            </w:r>
          </w:p>
        </w:tc>
        <w:tc>
          <w:tcPr>
            <w:tcW w:w="96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-17.22%</w:t>
            </w:r>
          </w:p>
        </w:tc>
      </w:tr>
      <w:tr>
        <w:trPr>
          <w:trHeight w:val="402" w:hRule="exact"/>
        </w:trPr>
        <w:tc>
          <w:tcPr>
            <w:tcW w:w="18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其他行业</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56"/>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主营业务</w:t>
            </w:r>
          </w:p>
        </w:tc>
        <w:tc>
          <w:tcPr>
            <w:tcW w:w="2145" w:type="dxa"/>
            <w:tcBorders>
              <w:top w:val="single" w:sz="4" w:space="0" w:color="FFC000"/>
              <w:left w:val="single" w:sz="4" w:space="0" w:color="FFC000"/>
              <w:bottom w:val="single" w:sz="4" w:space="0" w:color="FFC000"/>
              <w:right w:val="single" w:sz="4" w:space="0" w:color="FFC000"/>
            </w:tcBorders>
          </w:tcPr>
          <w:p>
            <w:pPr/>
          </w:p>
        </w:tc>
        <w:tc>
          <w:tcPr>
            <w:tcW w:w="1188" w:type="dxa"/>
            <w:tcBorders>
              <w:top w:val="single" w:sz="4" w:space="0" w:color="FFC000"/>
              <w:left w:val="single" w:sz="4" w:space="0" w:color="FFC000"/>
              <w:bottom w:val="single" w:sz="4" w:space="0" w:color="FFC000"/>
              <w:right w:val="single" w:sz="4" w:space="0" w:color="FFC000"/>
            </w:tcBorders>
          </w:tcPr>
          <w:p>
            <w:pPr/>
          </w:p>
        </w:tc>
        <w:tc>
          <w:tcPr>
            <w:tcW w:w="171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99"/>
              <w:jc w:val="right"/>
              <w:rPr>
                <w:rFonts w:ascii="华文细黑" w:hAnsi="华文细黑" w:cs="华文细黑" w:eastAsia="华文细黑" w:hint="default"/>
                <w:sz w:val="18"/>
                <w:szCs w:val="18"/>
              </w:rPr>
            </w:pPr>
            <w:r>
              <w:rPr>
                <w:rFonts w:ascii="华文细黑"/>
                <w:sz w:val="18"/>
              </w:rPr>
              <w:t>1,051,635.31</w:t>
            </w:r>
          </w:p>
        </w:tc>
        <w:tc>
          <w:tcPr>
            <w:tcW w:w="10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0.00%</w:t>
            </w:r>
          </w:p>
        </w:tc>
        <w:tc>
          <w:tcPr>
            <w:tcW w:w="96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-100.00%</w:t>
            </w:r>
          </w:p>
        </w:tc>
      </w:tr>
      <w:tr>
        <w:trPr>
          <w:trHeight w:val="402" w:hRule="exact"/>
        </w:trPr>
        <w:tc>
          <w:tcPr>
            <w:tcW w:w="18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其他业务收支</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56"/>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其他业务</w:t>
            </w:r>
          </w:p>
        </w:tc>
        <w:tc>
          <w:tcPr>
            <w:tcW w:w="21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67,831,357.86</w:t>
            </w:r>
          </w:p>
        </w:tc>
        <w:tc>
          <w:tcPr>
            <w:tcW w:w="11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0.12%</w:t>
            </w:r>
          </w:p>
        </w:tc>
        <w:tc>
          <w:tcPr>
            <w:tcW w:w="171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60,782,108.60</w:t>
            </w:r>
          </w:p>
        </w:tc>
        <w:tc>
          <w:tcPr>
            <w:tcW w:w="10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0.11%</w:t>
            </w:r>
          </w:p>
        </w:tc>
        <w:tc>
          <w:tcPr>
            <w:tcW w:w="96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11.60%</w:t>
            </w:r>
          </w:p>
        </w:tc>
      </w:tr>
      <w:tr>
        <w:trPr>
          <w:trHeight w:val="402" w:hRule="exact"/>
        </w:trPr>
        <w:tc>
          <w:tcPr>
            <w:tcW w:w="9856" w:type="dxa"/>
            <w:gridSpan w:val="7"/>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分产品</w:t>
            </w:r>
          </w:p>
        </w:tc>
      </w:tr>
      <w:tr>
        <w:trPr>
          <w:trHeight w:val="402" w:hRule="exact"/>
        </w:trPr>
        <w:tc>
          <w:tcPr>
            <w:tcW w:w="18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移动通信产品销售</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56"/>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主营业务</w:t>
            </w:r>
          </w:p>
        </w:tc>
        <w:tc>
          <w:tcPr>
            <w:tcW w:w="21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50,688,570,262.61</w:t>
            </w:r>
          </w:p>
        </w:tc>
        <w:tc>
          <w:tcPr>
            <w:tcW w:w="11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88.95%</w:t>
            </w:r>
          </w:p>
        </w:tc>
        <w:tc>
          <w:tcPr>
            <w:tcW w:w="171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51,262,014,339.31</w:t>
            </w:r>
          </w:p>
        </w:tc>
        <w:tc>
          <w:tcPr>
            <w:tcW w:w="10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90.35%</w:t>
            </w:r>
          </w:p>
        </w:tc>
        <w:tc>
          <w:tcPr>
            <w:tcW w:w="96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-1.12%</w:t>
            </w:r>
          </w:p>
        </w:tc>
      </w:tr>
      <w:tr>
        <w:trPr>
          <w:trHeight w:val="402" w:hRule="exact"/>
        </w:trPr>
        <w:tc>
          <w:tcPr>
            <w:tcW w:w="18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数码产品销售</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56"/>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主营业务</w:t>
            </w:r>
          </w:p>
        </w:tc>
        <w:tc>
          <w:tcPr>
            <w:tcW w:w="21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sz w:val="18"/>
              </w:rPr>
              <w:t>2,217,070,341.94</w:t>
            </w:r>
          </w:p>
        </w:tc>
        <w:tc>
          <w:tcPr>
            <w:tcW w:w="11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3.89%</w:t>
            </w:r>
          </w:p>
        </w:tc>
        <w:tc>
          <w:tcPr>
            <w:tcW w:w="171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pacing w:val="-1"/>
                <w:sz w:val="18"/>
              </w:rPr>
              <w:t>1,698,356,557.00</w:t>
            </w:r>
          </w:p>
        </w:tc>
        <w:tc>
          <w:tcPr>
            <w:tcW w:w="10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2.99%</w:t>
            </w:r>
          </w:p>
        </w:tc>
        <w:tc>
          <w:tcPr>
            <w:tcW w:w="96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30.54%</w:t>
            </w:r>
          </w:p>
        </w:tc>
      </w:tr>
      <w:tr>
        <w:trPr>
          <w:trHeight w:val="402" w:hRule="exact"/>
        </w:trPr>
        <w:tc>
          <w:tcPr>
            <w:tcW w:w="18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其他产品</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56"/>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主营业务</w:t>
            </w:r>
          </w:p>
        </w:tc>
        <w:tc>
          <w:tcPr>
            <w:tcW w:w="21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sz w:val="18"/>
              </w:rPr>
              <w:t>4,010,320,013.41</w:t>
            </w:r>
          </w:p>
        </w:tc>
        <w:tc>
          <w:tcPr>
            <w:tcW w:w="11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7.04%</w:t>
            </w:r>
          </w:p>
        </w:tc>
        <w:tc>
          <w:tcPr>
            <w:tcW w:w="171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pacing w:val="-1"/>
                <w:sz w:val="18"/>
              </w:rPr>
              <w:t>3,714,717,501.63</w:t>
            </w:r>
          </w:p>
        </w:tc>
        <w:tc>
          <w:tcPr>
            <w:tcW w:w="10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6.55%</w:t>
            </w:r>
          </w:p>
        </w:tc>
        <w:tc>
          <w:tcPr>
            <w:tcW w:w="96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7.96%</w:t>
            </w:r>
          </w:p>
        </w:tc>
      </w:tr>
      <w:tr>
        <w:trPr>
          <w:trHeight w:val="402" w:hRule="exact"/>
        </w:trPr>
        <w:tc>
          <w:tcPr>
            <w:tcW w:w="18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其他业务收入</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56"/>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其他业务</w:t>
            </w:r>
          </w:p>
        </w:tc>
        <w:tc>
          <w:tcPr>
            <w:tcW w:w="21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67,831,357.86</w:t>
            </w:r>
          </w:p>
        </w:tc>
        <w:tc>
          <w:tcPr>
            <w:tcW w:w="11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0.12%</w:t>
            </w:r>
          </w:p>
        </w:tc>
        <w:tc>
          <w:tcPr>
            <w:tcW w:w="171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60,782,108.60</w:t>
            </w:r>
          </w:p>
        </w:tc>
        <w:tc>
          <w:tcPr>
            <w:tcW w:w="10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0.11%</w:t>
            </w:r>
          </w:p>
        </w:tc>
        <w:tc>
          <w:tcPr>
            <w:tcW w:w="96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11.60%</w:t>
            </w:r>
          </w:p>
        </w:tc>
      </w:tr>
      <w:tr>
        <w:trPr>
          <w:trHeight w:val="402" w:hRule="exact"/>
        </w:trPr>
        <w:tc>
          <w:tcPr>
            <w:tcW w:w="9856" w:type="dxa"/>
            <w:gridSpan w:val="7"/>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分地区</w:t>
            </w:r>
          </w:p>
        </w:tc>
      </w:tr>
      <w:tr>
        <w:trPr>
          <w:trHeight w:val="402" w:hRule="exact"/>
        </w:trPr>
        <w:tc>
          <w:tcPr>
            <w:tcW w:w="18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华东地区</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56"/>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营业收入</w:t>
            </w:r>
          </w:p>
        </w:tc>
        <w:tc>
          <w:tcPr>
            <w:tcW w:w="21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sz w:val="18"/>
              </w:rPr>
              <w:t>8,819,119,292.99</w:t>
            </w:r>
          </w:p>
        </w:tc>
        <w:tc>
          <w:tcPr>
            <w:tcW w:w="11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15.48%</w:t>
            </w:r>
          </w:p>
        </w:tc>
        <w:tc>
          <w:tcPr>
            <w:tcW w:w="171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pacing w:val="-1"/>
                <w:sz w:val="18"/>
              </w:rPr>
              <w:t>7,333,452,611.55</w:t>
            </w:r>
          </w:p>
        </w:tc>
        <w:tc>
          <w:tcPr>
            <w:tcW w:w="10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12.93%</w:t>
            </w:r>
          </w:p>
        </w:tc>
        <w:tc>
          <w:tcPr>
            <w:tcW w:w="96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20.26%</w:t>
            </w:r>
          </w:p>
        </w:tc>
      </w:tr>
      <w:tr>
        <w:trPr>
          <w:trHeight w:val="402" w:hRule="exact"/>
        </w:trPr>
        <w:tc>
          <w:tcPr>
            <w:tcW w:w="18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华南地区</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56"/>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营业收入</w:t>
            </w:r>
          </w:p>
        </w:tc>
        <w:tc>
          <w:tcPr>
            <w:tcW w:w="21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31,905,369,958.73</w:t>
            </w:r>
          </w:p>
        </w:tc>
        <w:tc>
          <w:tcPr>
            <w:tcW w:w="11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55.99%</w:t>
            </w:r>
          </w:p>
        </w:tc>
        <w:tc>
          <w:tcPr>
            <w:tcW w:w="171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32,682,342,601.63</w:t>
            </w:r>
          </w:p>
        </w:tc>
        <w:tc>
          <w:tcPr>
            <w:tcW w:w="10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57.60%</w:t>
            </w:r>
          </w:p>
        </w:tc>
        <w:tc>
          <w:tcPr>
            <w:tcW w:w="96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-2.38%</w:t>
            </w:r>
          </w:p>
        </w:tc>
      </w:tr>
      <w:tr>
        <w:trPr>
          <w:trHeight w:val="402" w:hRule="exact"/>
        </w:trPr>
        <w:tc>
          <w:tcPr>
            <w:tcW w:w="18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华西地区</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56"/>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营业收入</w:t>
            </w:r>
          </w:p>
        </w:tc>
        <w:tc>
          <w:tcPr>
            <w:tcW w:w="21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sz w:val="18"/>
              </w:rPr>
              <w:t>5,687,854,273.53</w:t>
            </w:r>
          </w:p>
        </w:tc>
        <w:tc>
          <w:tcPr>
            <w:tcW w:w="11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9.98%</w:t>
            </w:r>
          </w:p>
        </w:tc>
        <w:tc>
          <w:tcPr>
            <w:tcW w:w="171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pacing w:val="-1"/>
                <w:sz w:val="18"/>
              </w:rPr>
              <w:t>5,598,562,557.96</w:t>
            </w:r>
          </w:p>
        </w:tc>
        <w:tc>
          <w:tcPr>
            <w:tcW w:w="10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9.87%</w:t>
            </w:r>
          </w:p>
        </w:tc>
        <w:tc>
          <w:tcPr>
            <w:tcW w:w="96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1.59%</w:t>
            </w:r>
          </w:p>
        </w:tc>
      </w:tr>
      <w:tr>
        <w:trPr>
          <w:trHeight w:val="402" w:hRule="exact"/>
        </w:trPr>
        <w:tc>
          <w:tcPr>
            <w:tcW w:w="18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华北东北地区</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56"/>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营业收入</w:t>
            </w:r>
          </w:p>
        </w:tc>
        <w:tc>
          <w:tcPr>
            <w:tcW w:w="21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10,571,448,450.57</w:t>
            </w:r>
          </w:p>
        </w:tc>
        <w:tc>
          <w:tcPr>
            <w:tcW w:w="11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18.55%</w:t>
            </w:r>
          </w:p>
        </w:tc>
        <w:tc>
          <w:tcPr>
            <w:tcW w:w="171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11,121,512,735.40</w:t>
            </w:r>
          </w:p>
        </w:tc>
        <w:tc>
          <w:tcPr>
            <w:tcW w:w="10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19.60%</w:t>
            </w:r>
          </w:p>
        </w:tc>
        <w:tc>
          <w:tcPr>
            <w:tcW w:w="96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-4.95%</w:t>
            </w:r>
          </w:p>
        </w:tc>
      </w:tr>
    </w:tbl>
    <w:p>
      <w:pPr>
        <w:spacing w:before="40"/>
        <w:ind w:left="214" w:right="0" w:firstLine="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注：各分类营业收入均按照抵消后的数据列示，行业和产品按项目分为主营业务和其他业务。</w:t>
      </w:r>
    </w:p>
    <w:p>
      <w:pPr>
        <w:spacing w:after="0"/>
        <w:jc w:val="left"/>
        <w:rPr>
          <w:rFonts w:ascii="华文细黑" w:hAnsi="华文细黑" w:cs="华文细黑" w:eastAsia="华文细黑" w:hint="default"/>
          <w:sz w:val="18"/>
          <w:szCs w:val="18"/>
        </w:rPr>
        <w:sectPr>
          <w:pgSz w:w="11910" w:h="16840"/>
          <w:pgMar w:header="917" w:footer="1019" w:top="1100" w:bottom="1200" w:left="920" w:right="0"/>
        </w:sectPr>
      </w:pPr>
    </w:p>
    <w:p>
      <w:pPr>
        <w:spacing w:line="240" w:lineRule="auto" w:before="13"/>
        <w:rPr>
          <w:rFonts w:ascii="华文细黑" w:hAnsi="华文细黑" w:cs="华文细黑" w:eastAsia="华文细黑" w:hint="default"/>
          <w:sz w:val="20"/>
          <w:szCs w:val="20"/>
        </w:rPr>
      </w:pPr>
    </w:p>
    <w:p>
      <w:pPr>
        <w:pStyle w:val="Heading5"/>
        <w:spacing w:line="240" w:lineRule="auto"/>
        <w:ind w:right="1023"/>
        <w:jc w:val="left"/>
        <w:rPr>
          <w:b w:val="0"/>
          <w:bCs w:val="0"/>
        </w:rPr>
      </w:pPr>
      <w:bookmarkStart w:name="（2）占公司营业收入或营业利润10%以上的行业、产品或地区情况" w:id="49"/>
      <w:bookmarkEnd w:id="49"/>
      <w:r>
        <w:rPr>
          <w:b w:val="0"/>
          <w:bCs w:val="0"/>
        </w:rPr>
      </w:r>
      <w:r>
        <w:rPr/>
        <w:t>（</w:t>
      </w:r>
      <w:r>
        <w:rPr>
          <w:rFonts w:ascii="华文细黑" w:hAnsi="华文细黑" w:cs="华文细黑" w:eastAsia="华文细黑" w:hint="default"/>
        </w:rPr>
        <w:t>2</w:t>
      </w:r>
      <w:r>
        <w:rPr/>
        <w:t>）占公司营业收入或营业利润</w:t>
      </w:r>
      <w:r>
        <w:rPr>
          <w:spacing w:val="-1"/>
        </w:rPr>
        <w:t> </w:t>
      </w:r>
      <w:r>
        <w:rPr>
          <w:rFonts w:ascii="华文细黑" w:hAnsi="华文细黑" w:cs="华文细黑" w:eastAsia="华文细黑" w:hint="default"/>
        </w:rPr>
        <w:t>10%</w:t>
      </w:r>
      <w:r>
        <w:rPr/>
        <w:t>以上的行业、产品或地区情况</w:t>
      </w:r>
      <w:r>
        <w:rPr>
          <w:b w:val="0"/>
          <w:bCs w:val="0"/>
        </w:rPr>
      </w:r>
    </w:p>
    <w:p>
      <w:pPr>
        <w:spacing w:line="240" w:lineRule="auto" w:before="11"/>
        <w:rPr>
          <w:rFonts w:ascii="华文细黑" w:hAnsi="华文细黑" w:cs="华文细黑" w:eastAsia="华文细黑" w:hint="default"/>
          <w:b/>
          <w:bCs/>
          <w:sz w:val="21"/>
          <w:szCs w:val="21"/>
        </w:rPr>
      </w:pPr>
    </w:p>
    <w:p>
      <w:pPr>
        <w:spacing w:after="0" w:line="240" w:lineRule="auto"/>
        <w:rPr>
          <w:rFonts w:ascii="华文细黑" w:hAnsi="华文细黑" w:cs="华文细黑" w:eastAsia="华文细黑" w:hint="default"/>
          <w:sz w:val="21"/>
          <w:szCs w:val="21"/>
        </w:rPr>
        <w:sectPr>
          <w:pgSz w:w="11910" w:h="16840"/>
          <w:pgMar w:header="917" w:footer="1019" w:top="1100" w:bottom="1200" w:left="900" w:right="0"/>
        </w:sectPr>
      </w:pPr>
    </w:p>
    <w:p>
      <w:pPr>
        <w:pStyle w:val="BodyText"/>
        <w:spacing w:line="285" w:lineRule="auto" w:before="10"/>
        <w:ind w:left="234" w:right="-20"/>
        <w:jc w:val="left"/>
      </w:pPr>
      <w:r>
        <w:rPr/>
        <w:t>√ 适用 □</w:t>
      </w:r>
      <w:r>
        <w:rPr>
          <w:spacing w:val="51"/>
        </w:rPr>
        <w:t> </w:t>
      </w:r>
      <w:r>
        <w:rPr/>
        <w:t>不适用</w:t>
      </w:r>
      <w:r>
        <w:rPr/>
        <w:t> 公司是否需要遵守特殊行业的披露要求 否</w:t>
      </w:r>
    </w:p>
    <w:p>
      <w:pPr>
        <w:spacing w:line="240" w:lineRule="auto" w:before="0"/>
        <w:rPr>
          <w:rFonts w:ascii="华文细黑" w:hAnsi="华文细黑" w:cs="华文细黑" w:eastAsia="华文细黑" w:hint="default"/>
          <w:sz w:val="18"/>
          <w:szCs w:val="18"/>
        </w:rPr>
      </w:pPr>
      <w:r>
        <w:rPr/>
        <w:br w:type="column"/>
      </w:r>
      <w:r>
        <w:rPr>
          <w:rFonts w:ascii="华文细黑"/>
          <w:sz w:val="18"/>
        </w:rPr>
      </w:r>
    </w:p>
    <w:p>
      <w:pPr>
        <w:spacing w:line="240" w:lineRule="auto" w:before="0"/>
        <w:rPr>
          <w:rFonts w:ascii="华文细黑" w:hAnsi="华文细黑" w:cs="华文细黑" w:eastAsia="华文细黑" w:hint="default"/>
          <w:sz w:val="18"/>
          <w:szCs w:val="18"/>
        </w:rPr>
      </w:pPr>
    </w:p>
    <w:p>
      <w:pPr>
        <w:spacing w:line="240" w:lineRule="auto" w:before="0"/>
        <w:rPr>
          <w:rFonts w:ascii="华文细黑" w:hAnsi="华文细黑" w:cs="华文细黑" w:eastAsia="华文细黑" w:hint="default"/>
          <w:sz w:val="18"/>
          <w:szCs w:val="18"/>
        </w:rPr>
      </w:pPr>
    </w:p>
    <w:p>
      <w:pPr>
        <w:spacing w:line="240" w:lineRule="auto" w:before="6"/>
        <w:rPr>
          <w:rFonts w:ascii="华文细黑" w:hAnsi="华文细黑" w:cs="华文细黑" w:eastAsia="华文细黑" w:hint="default"/>
          <w:sz w:val="23"/>
          <w:szCs w:val="23"/>
        </w:rPr>
      </w:pPr>
    </w:p>
    <w:p>
      <w:pPr>
        <w:spacing w:before="0"/>
        <w:ind w:left="233" w:right="0" w:firstLine="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单位：元</w:t>
      </w:r>
    </w:p>
    <w:p>
      <w:pPr>
        <w:spacing w:after="0"/>
        <w:jc w:val="left"/>
        <w:rPr>
          <w:rFonts w:ascii="华文细黑" w:hAnsi="华文细黑" w:cs="华文细黑" w:eastAsia="华文细黑" w:hint="default"/>
          <w:sz w:val="18"/>
          <w:szCs w:val="18"/>
        </w:rPr>
        <w:sectPr>
          <w:type w:val="continuous"/>
          <w:pgSz w:w="11910" w:h="16840"/>
          <w:pgMar w:top="240" w:bottom="0" w:left="900" w:right="0"/>
          <w:cols w:num="2" w:equalWidth="0">
            <w:col w:w="3805" w:space="5115"/>
            <w:col w:w="2090"/>
          </w:cols>
        </w:sectPr>
      </w:pPr>
    </w:p>
    <w:p>
      <w:pPr>
        <w:spacing w:line="240" w:lineRule="auto" w:before="13"/>
        <w:rPr>
          <w:rFonts w:ascii="华文细黑" w:hAnsi="华文细黑" w:cs="华文细黑" w:eastAsia="华文细黑" w:hint="default"/>
          <w:sz w:val="6"/>
          <w:szCs w:val="6"/>
        </w:rPr>
      </w:pPr>
    </w:p>
    <w:tbl>
      <w:tblPr>
        <w:tblW w:w="0" w:type="auto"/>
        <w:jc w:val="left"/>
        <w:tblInd w:w="121" w:type="dxa"/>
        <w:tblLayout w:type="fixed"/>
        <w:tblCellMar>
          <w:top w:w="0" w:type="dxa"/>
          <w:left w:w="0" w:type="dxa"/>
          <w:bottom w:w="0" w:type="dxa"/>
          <w:right w:w="0" w:type="dxa"/>
        </w:tblCellMar>
        <w:tblLook w:val="01E0"/>
      </w:tblPr>
      <w:tblGrid>
        <w:gridCol w:w="1640"/>
        <w:gridCol w:w="991"/>
        <w:gridCol w:w="1713"/>
        <w:gridCol w:w="1714"/>
        <w:gridCol w:w="706"/>
        <w:gridCol w:w="1071"/>
        <w:gridCol w:w="1090"/>
        <w:gridCol w:w="932"/>
      </w:tblGrid>
      <w:tr>
        <w:trPr>
          <w:trHeight w:val="1338" w:hRule="exact"/>
        </w:trPr>
        <w:tc>
          <w:tcPr>
            <w:tcW w:w="16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0"/>
              <w:ind w:right="0"/>
              <w:jc w:val="left"/>
              <w:rPr>
                <w:rFonts w:ascii="华文细黑" w:hAnsi="华文细黑" w:cs="华文细黑" w:eastAsia="华文细黑" w:hint="default"/>
                <w:sz w:val="18"/>
                <w:szCs w:val="18"/>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分类</w:t>
            </w:r>
          </w:p>
        </w:tc>
        <w:tc>
          <w:tcPr>
            <w:tcW w:w="99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0"/>
              <w:ind w:right="0"/>
              <w:jc w:val="left"/>
              <w:rPr>
                <w:rFonts w:ascii="华文细黑" w:hAnsi="华文细黑" w:cs="华文细黑" w:eastAsia="华文细黑" w:hint="default"/>
                <w:sz w:val="18"/>
                <w:szCs w:val="18"/>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项目</w:t>
            </w:r>
          </w:p>
        </w:tc>
        <w:tc>
          <w:tcPr>
            <w:tcW w:w="171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0"/>
              <w:ind w:right="0"/>
              <w:jc w:val="left"/>
              <w:rPr>
                <w:rFonts w:ascii="华文细黑" w:hAnsi="华文细黑" w:cs="华文细黑" w:eastAsia="华文细黑" w:hint="default"/>
                <w:sz w:val="18"/>
                <w:szCs w:val="18"/>
              </w:rPr>
            </w:pPr>
          </w:p>
          <w:p>
            <w:pPr>
              <w:pStyle w:val="TableParagraph"/>
              <w:spacing w:line="240" w:lineRule="auto"/>
              <w:ind w:left="49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营业收入</w:t>
            </w:r>
          </w:p>
        </w:tc>
        <w:tc>
          <w:tcPr>
            <w:tcW w:w="171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0"/>
              <w:ind w:right="0"/>
              <w:jc w:val="left"/>
              <w:rPr>
                <w:rFonts w:ascii="华文细黑" w:hAnsi="华文细黑" w:cs="华文细黑" w:eastAsia="华文细黑" w:hint="default"/>
                <w:sz w:val="18"/>
                <w:szCs w:val="18"/>
              </w:rPr>
            </w:pPr>
          </w:p>
          <w:p>
            <w:pPr>
              <w:pStyle w:val="TableParagraph"/>
              <w:spacing w:line="240" w:lineRule="auto"/>
              <w:ind w:left="49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营业成本</w:t>
            </w:r>
          </w:p>
        </w:tc>
        <w:tc>
          <w:tcPr>
            <w:tcW w:w="70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
              <w:ind w:right="0"/>
              <w:jc w:val="left"/>
              <w:rPr>
                <w:rFonts w:ascii="华文细黑" w:hAnsi="华文细黑" w:cs="华文细黑" w:eastAsia="华文细黑" w:hint="default"/>
                <w:sz w:val="24"/>
                <w:szCs w:val="24"/>
              </w:rPr>
            </w:pPr>
          </w:p>
          <w:p>
            <w:pPr>
              <w:pStyle w:val="TableParagraph"/>
              <w:spacing w:line="295" w:lineRule="auto"/>
              <w:ind w:left="257" w:right="167" w:hanging="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毛利 率</w:t>
            </w:r>
          </w:p>
        </w:tc>
        <w:tc>
          <w:tcPr>
            <w:tcW w:w="107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170" w:right="168"/>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营业收入 比上年同 期增减</w:t>
            </w:r>
          </w:p>
        </w:tc>
        <w:tc>
          <w:tcPr>
            <w:tcW w:w="10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179" w:right="17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营业成本 比上年同 期增减</w:t>
            </w:r>
          </w:p>
        </w:tc>
        <w:tc>
          <w:tcPr>
            <w:tcW w:w="93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90" w:right="19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毛利率 比上年 同期增 减</w:t>
            </w:r>
          </w:p>
        </w:tc>
      </w:tr>
      <w:tr>
        <w:trPr>
          <w:trHeight w:val="401" w:hRule="exact"/>
        </w:trPr>
        <w:tc>
          <w:tcPr>
            <w:tcW w:w="9856" w:type="dxa"/>
            <w:gridSpan w:val="8"/>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分行业</w:t>
            </w:r>
          </w:p>
        </w:tc>
      </w:tr>
      <w:tr>
        <w:trPr>
          <w:trHeight w:val="714" w:hRule="exact"/>
        </w:trPr>
        <w:tc>
          <w:tcPr>
            <w:tcW w:w="16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1"/>
              <w:ind w:left="103" w:right="26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智能终端分销业 务</w:t>
            </w:r>
          </w:p>
        </w:tc>
        <w:tc>
          <w:tcPr>
            <w:tcW w:w="9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53"/>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主营业务</w:t>
            </w:r>
          </w:p>
        </w:tc>
        <w:tc>
          <w:tcPr>
            <w:tcW w:w="171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0"/>
              <w:jc w:val="right"/>
              <w:rPr>
                <w:rFonts w:ascii="华文细黑" w:hAnsi="华文细黑" w:cs="华文细黑" w:eastAsia="华文细黑" w:hint="default"/>
                <w:sz w:val="18"/>
                <w:szCs w:val="18"/>
              </w:rPr>
            </w:pPr>
            <w:r>
              <w:rPr>
                <w:rFonts w:ascii="华文细黑"/>
                <w:sz w:val="18"/>
              </w:rPr>
              <w:t>46,463,198,486.02</w:t>
            </w:r>
          </w:p>
        </w:tc>
        <w:tc>
          <w:tcPr>
            <w:tcW w:w="17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45,354,877,286.59</w:t>
            </w:r>
          </w:p>
        </w:tc>
        <w:tc>
          <w:tcPr>
            <w:tcW w:w="7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left="1" w:right="0"/>
              <w:jc w:val="center"/>
              <w:rPr>
                <w:rFonts w:ascii="华文细黑" w:hAnsi="华文细黑" w:cs="华文细黑" w:eastAsia="华文细黑" w:hint="default"/>
                <w:sz w:val="18"/>
                <w:szCs w:val="18"/>
              </w:rPr>
            </w:pPr>
            <w:r>
              <w:rPr>
                <w:rFonts w:ascii="华文细黑"/>
                <w:sz w:val="18"/>
              </w:rPr>
              <w:t>2.39%</w:t>
            </w:r>
          </w:p>
        </w:tc>
        <w:tc>
          <w:tcPr>
            <w:tcW w:w="1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0.68%</w:t>
            </w:r>
          </w:p>
        </w:tc>
        <w:tc>
          <w:tcPr>
            <w:tcW w:w="10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0.92%</w:t>
            </w:r>
          </w:p>
        </w:tc>
        <w:tc>
          <w:tcPr>
            <w:tcW w:w="93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-0.23%</w:t>
            </w:r>
          </w:p>
        </w:tc>
      </w:tr>
      <w:tr>
        <w:trPr>
          <w:trHeight w:val="715" w:hRule="exact"/>
        </w:trPr>
        <w:tc>
          <w:tcPr>
            <w:tcW w:w="16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1"/>
              <w:ind w:left="103" w:right="26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金融及供应链服 务业务</w:t>
            </w:r>
          </w:p>
        </w:tc>
        <w:tc>
          <w:tcPr>
            <w:tcW w:w="9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53"/>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主营业务</w:t>
            </w:r>
          </w:p>
        </w:tc>
        <w:tc>
          <w:tcPr>
            <w:tcW w:w="171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0"/>
              <w:jc w:val="right"/>
              <w:rPr>
                <w:rFonts w:ascii="华文细黑" w:hAnsi="华文细黑" w:cs="华文细黑" w:eastAsia="华文细黑" w:hint="default"/>
                <w:sz w:val="18"/>
                <w:szCs w:val="18"/>
              </w:rPr>
            </w:pPr>
            <w:r>
              <w:rPr>
                <w:rFonts w:ascii="华文细黑"/>
                <w:spacing w:val="-1"/>
                <w:sz w:val="18"/>
              </w:rPr>
              <w:t>7,841,658,652.50</w:t>
            </w:r>
          </w:p>
        </w:tc>
        <w:tc>
          <w:tcPr>
            <w:tcW w:w="17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7,547,007,412.23</w:t>
            </w:r>
          </w:p>
        </w:tc>
        <w:tc>
          <w:tcPr>
            <w:tcW w:w="7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left="1" w:right="0"/>
              <w:jc w:val="center"/>
              <w:rPr>
                <w:rFonts w:ascii="华文细黑" w:hAnsi="华文细黑" w:cs="华文细黑" w:eastAsia="华文细黑" w:hint="default"/>
                <w:sz w:val="18"/>
                <w:szCs w:val="18"/>
              </w:rPr>
            </w:pPr>
            <w:r>
              <w:rPr>
                <w:rFonts w:ascii="华文细黑"/>
                <w:sz w:val="18"/>
              </w:rPr>
              <w:t>3.76%</w:t>
            </w:r>
          </w:p>
        </w:tc>
        <w:tc>
          <w:tcPr>
            <w:tcW w:w="1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-6.92%</w:t>
            </w:r>
          </w:p>
        </w:tc>
        <w:tc>
          <w:tcPr>
            <w:tcW w:w="10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-8.33%</w:t>
            </w:r>
          </w:p>
        </w:tc>
        <w:tc>
          <w:tcPr>
            <w:tcW w:w="93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1.48%</w:t>
            </w:r>
          </w:p>
        </w:tc>
      </w:tr>
      <w:tr>
        <w:trPr>
          <w:trHeight w:val="401" w:hRule="exact"/>
        </w:trPr>
        <w:tc>
          <w:tcPr>
            <w:tcW w:w="9856" w:type="dxa"/>
            <w:gridSpan w:val="8"/>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分产品</w:t>
            </w:r>
          </w:p>
        </w:tc>
      </w:tr>
      <w:tr>
        <w:trPr>
          <w:trHeight w:val="715" w:hRule="exact"/>
        </w:trPr>
        <w:tc>
          <w:tcPr>
            <w:tcW w:w="16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1"/>
              <w:ind w:left="103" w:right="26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移动通信产品销 售</w:t>
            </w:r>
          </w:p>
        </w:tc>
        <w:tc>
          <w:tcPr>
            <w:tcW w:w="9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53"/>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主营业务</w:t>
            </w:r>
          </w:p>
        </w:tc>
        <w:tc>
          <w:tcPr>
            <w:tcW w:w="171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0"/>
              <w:jc w:val="right"/>
              <w:rPr>
                <w:rFonts w:ascii="华文细黑" w:hAnsi="华文细黑" w:cs="华文细黑" w:eastAsia="华文细黑" w:hint="default"/>
                <w:sz w:val="18"/>
                <w:szCs w:val="18"/>
              </w:rPr>
            </w:pPr>
            <w:r>
              <w:rPr>
                <w:rFonts w:ascii="华文细黑"/>
                <w:sz w:val="18"/>
              </w:rPr>
              <w:t>50,688,570,262.61</w:t>
            </w:r>
          </w:p>
        </w:tc>
        <w:tc>
          <w:tcPr>
            <w:tcW w:w="17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49,554,227,878.36</w:t>
            </w:r>
          </w:p>
        </w:tc>
        <w:tc>
          <w:tcPr>
            <w:tcW w:w="7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left="1" w:right="0"/>
              <w:jc w:val="center"/>
              <w:rPr>
                <w:rFonts w:ascii="华文细黑" w:hAnsi="华文细黑" w:cs="华文细黑" w:eastAsia="华文细黑" w:hint="default"/>
                <w:sz w:val="18"/>
                <w:szCs w:val="18"/>
              </w:rPr>
            </w:pPr>
            <w:r>
              <w:rPr>
                <w:rFonts w:ascii="华文细黑"/>
                <w:sz w:val="18"/>
              </w:rPr>
              <w:t>2.24%</w:t>
            </w:r>
          </w:p>
        </w:tc>
        <w:tc>
          <w:tcPr>
            <w:tcW w:w="1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-1.12%</w:t>
            </w:r>
          </w:p>
        </w:tc>
        <w:tc>
          <w:tcPr>
            <w:tcW w:w="10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-0.87%</w:t>
            </w:r>
          </w:p>
        </w:tc>
        <w:tc>
          <w:tcPr>
            <w:tcW w:w="93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-0.25%</w:t>
            </w:r>
          </w:p>
        </w:tc>
      </w:tr>
      <w:tr>
        <w:trPr>
          <w:trHeight w:val="401" w:hRule="exact"/>
        </w:trPr>
        <w:tc>
          <w:tcPr>
            <w:tcW w:w="9856" w:type="dxa"/>
            <w:gridSpan w:val="8"/>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分地区</w:t>
            </w:r>
          </w:p>
        </w:tc>
      </w:tr>
      <w:tr>
        <w:trPr>
          <w:trHeight w:val="402" w:hRule="exact"/>
        </w:trPr>
        <w:tc>
          <w:tcPr>
            <w:tcW w:w="16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华东地区</w:t>
            </w:r>
          </w:p>
        </w:tc>
        <w:tc>
          <w:tcPr>
            <w:tcW w:w="9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53"/>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营业收入</w:t>
            </w:r>
          </w:p>
        </w:tc>
        <w:tc>
          <w:tcPr>
            <w:tcW w:w="171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spacing w:val="-1"/>
                <w:sz w:val="18"/>
              </w:rPr>
              <w:t>8,819,119,292.99</w:t>
            </w:r>
          </w:p>
        </w:tc>
        <w:tc>
          <w:tcPr>
            <w:tcW w:w="17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pacing w:val="-1"/>
                <w:sz w:val="18"/>
              </w:rPr>
              <w:t>8,506,692,931.42</w:t>
            </w:r>
          </w:p>
        </w:tc>
        <w:tc>
          <w:tcPr>
            <w:tcW w:w="7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 w:right="0"/>
              <w:jc w:val="center"/>
              <w:rPr>
                <w:rFonts w:ascii="华文细黑" w:hAnsi="华文细黑" w:cs="华文细黑" w:eastAsia="华文细黑" w:hint="default"/>
                <w:sz w:val="18"/>
                <w:szCs w:val="18"/>
              </w:rPr>
            </w:pPr>
            <w:r>
              <w:rPr>
                <w:rFonts w:ascii="华文细黑"/>
                <w:sz w:val="18"/>
              </w:rPr>
              <w:t>3.54%</w:t>
            </w:r>
          </w:p>
        </w:tc>
        <w:tc>
          <w:tcPr>
            <w:tcW w:w="1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sz w:val="18"/>
              </w:rPr>
              <w:t>20.26%</w:t>
            </w:r>
          </w:p>
        </w:tc>
        <w:tc>
          <w:tcPr>
            <w:tcW w:w="10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sz w:val="18"/>
              </w:rPr>
              <w:t>19.38%</w:t>
            </w:r>
          </w:p>
        </w:tc>
        <w:tc>
          <w:tcPr>
            <w:tcW w:w="93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0.71%</w:t>
            </w:r>
          </w:p>
        </w:tc>
      </w:tr>
      <w:tr>
        <w:trPr>
          <w:trHeight w:val="402" w:hRule="exact"/>
        </w:trPr>
        <w:tc>
          <w:tcPr>
            <w:tcW w:w="16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华南地区</w:t>
            </w:r>
          </w:p>
        </w:tc>
        <w:tc>
          <w:tcPr>
            <w:tcW w:w="9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53"/>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营业收入</w:t>
            </w:r>
          </w:p>
        </w:tc>
        <w:tc>
          <w:tcPr>
            <w:tcW w:w="171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sz w:val="18"/>
              </w:rPr>
              <w:t>31,905,369,958.73</w:t>
            </w:r>
          </w:p>
        </w:tc>
        <w:tc>
          <w:tcPr>
            <w:tcW w:w="17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31,085,398,738.25</w:t>
            </w:r>
          </w:p>
        </w:tc>
        <w:tc>
          <w:tcPr>
            <w:tcW w:w="7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 w:right="0"/>
              <w:jc w:val="center"/>
              <w:rPr>
                <w:rFonts w:ascii="华文细黑" w:hAnsi="华文细黑" w:cs="华文细黑" w:eastAsia="华文细黑" w:hint="default"/>
                <w:sz w:val="18"/>
                <w:szCs w:val="18"/>
              </w:rPr>
            </w:pPr>
            <w:r>
              <w:rPr>
                <w:rFonts w:ascii="华文细黑"/>
                <w:sz w:val="18"/>
              </w:rPr>
              <w:t>2.57%</w:t>
            </w:r>
          </w:p>
        </w:tc>
        <w:tc>
          <w:tcPr>
            <w:tcW w:w="1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-2.38%</w:t>
            </w:r>
          </w:p>
        </w:tc>
        <w:tc>
          <w:tcPr>
            <w:tcW w:w="10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-2.13%</w:t>
            </w:r>
          </w:p>
        </w:tc>
        <w:tc>
          <w:tcPr>
            <w:tcW w:w="93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-0.24%</w:t>
            </w:r>
          </w:p>
        </w:tc>
      </w:tr>
      <w:tr>
        <w:trPr>
          <w:trHeight w:val="402" w:hRule="exact"/>
        </w:trPr>
        <w:tc>
          <w:tcPr>
            <w:tcW w:w="16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华西地区</w:t>
            </w:r>
          </w:p>
        </w:tc>
        <w:tc>
          <w:tcPr>
            <w:tcW w:w="9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53"/>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营业收入</w:t>
            </w:r>
          </w:p>
        </w:tc>
        <w:tc>
          <w:tcPr>
            <w:tcW w:w="171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spacing w:val="-1"/>
                <w:sz w:val="18"/>
              </w:rPr>
              <w:t>5,687,854,273.53</w:t>
            </w:r>
          </w:p>
        </w:tc>
        <w:tc>
          <w:tcPr>
            <w:tcW w:w="17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pacing w:val="-1"/>
                <w:sz w:val="18"/>
              </w:rPr>
              <w:t>5,474,405,828.63</w:t>
            </w:r>
          </w:p>
        </w:tc>
        <w:tc>
          <w:tcPr>
            <w:tcW w:w="7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 w:right="0"/>
              <w:jc w:val="center"/>
              <w:rPr>
                <w:rFonts w:ascii="华文细黑" w:hAnsi="华文细黑" w:cs="华文细黑" w:eastAsia="华文细黑" w:hint="default"/>
                <w:sz w:val="18"/>
                <w:szCs w:val="18"/>
              </w:rPr>
            </w:pPr>
            <w:r>
              <w:rPr>
                <w:rFonts w:ascii="华文细黑"/>
                <w:sz w:val="18"/>
              </w:rPr>
              <w:t>3.75%</w:t>
            </w:r>
          </w:p>
        </w:tc>
        <w:tc>
          <w:tcPr>
            <w:tcW w:w="1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1.59%</w:t>
            </w:r>
          </w:p>
        </w:tc>
        <w:tc>
          <w:tcPr>
            <w:tcW w:w="10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1.54%</w:t>
            </w:r>
          </w:p>
        </w:tc>
        <w:tc>
          <w:tcPr>
            <w:tcW w:w="93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0.05%</w:t>
            </w:r>
          </w:p>
        </w:tc>
      </w:tr>
      <w:tr>
        <w:trPr>
          <w:trHeight w:val="403" w:hRule="exact"/>
        </w:trPr>
        <w:tc>
          <w:tcPr>
            <w:tcW w:w="16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华北东北地区</w:t>
            </w:r>
          </w:p>
        </w:tc>
        <w:tc>
          <w:tcPr>
            <w:tcW w:w="9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53"/>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营业收入</w:t>
            </w:r>
          </w:p>
        </w:tc>
        <w:tc>
          <w:tcPr>
            <w:tcW w:w="171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sz w:val="18"/>
              </w:rPr>
              <w:t>10,571,448,450.57</w:t>
            </w:r>
          </w:p>
        </w:tc>
        <w:tc>
          <w:tcPr>
            <w:tcW w:w="17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10,250,099,540.88</w:t>
            </w:r>
          </w:p>
        </w:tc>
        <w:tc>
          <w:tcPr>
            <w:tcW w:w="7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 w:right="0"/>
              <w:jc w:val="center"/>
              <w:rPr>
                <w:rFonts w:ascii="华文细黑" w:hAnsi="华文细黑" w:cs="华文细黑" w:eastAsia="华文细黑" w:hint="default"/>
                <w:sz w:val="18"/>
                <w:szCs w:val="18"/>
              </w:rPr>
            </w:pPr>
            <w:r>
              <w:rPr>
                <w:rFonts w:ascii="华文细黑"/>
                <w:sz w:val="18"/>
              </w:rPr>
              <w:t>3.04%</w:t>
            </w:r>
          </w:p>
        </w:tc>
        <w:tc>
          <w:tcPr>
            <w:tcW w:w="1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-4.95%</w:t>
            </w:r>
          </w:p>
        </w:tc>
        <w:tc>
          <w:tcPr>
            <w:tcW w:w="10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-4.93%</w:t>
            </w:r>
          </w:p>
        </w:tc>
        <w:tc>
          <w:tcPr>
            <w:tcW w:w="93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-0.02%</w:t>
            </w:r>
          </w:p>
        </w:tc>
      </w:tr>
    </w:tbl>
    <w:p>
      <w:pPr>
        <w:pStyle w:val="BodyText"/>
        <w:spacing w:line="252" w:lineRule="auto" w:before="13"/>
        <w:ind w:left="234" w:right="1114"/>
        <w:jc w:val="left"/>
      </w:pPr>
      <w:r>
        <w:rPr/>
        <w:t>公司主营业务数据统计口径在报告期发生调整的情况下，公司最近 </w:t>
      </w:r>
      <w:r>
        <w:rPr>
          <w:rFonts w:ascii="华文细黑" w:hAnsi="华文细黑" w:cs="华文细黑" w:eastAsia="华文细黑" w:hint="default"/>
        </w:rPr>
        <w:t>1</w:t>
      </w:r>
      <w:r>
        <w:rPr>
          <w:rFonts w:ascii="华文细黑" w:hAnsi="华文细黑" w:cs="华文细黑" w:eastAsia="华文细黑" w:hint="default"/>
          <w:spacing w:val="-33"/>
        </w:rPr>
        <w:t> </w:t>
      </w:r>
      <w:r>
        <w:rPr/>
        <w:t>年按报告期末口径调整后的主营业务 数据</w:t>
      </w:r>
    </w:p>
    <w:p>
      <w:pPr>
        <w:pStyle w:val="BodyText"/>
        <w:spacing w:line="240" w:lineRule="auto" w:before="43"/>
        <w:ind w:left="234" w:right="1023"/>
        <w:jc w:val="left"/>
      </w:pPr>
      <w:r>
        <w:rPr/>
        <w:t>□  适用  √</w:t>
      </w:r>
      <w:r>
        <w:rPr>
          <w:spacing w:val="51"/>
        </w:rPr>
        <w:t> </w:t>
      </w:r>
      <w:r>
        <w:rPr/>
        <w:t>不适用</w:t>
      </w:r>
    </w:p>
    <w:p>
      <w:pPr>
        <w:spacing w:line="240" w:lineRule="auto" w:before="5"/>
        <w:rPr>
          <w:rFonts w:ascii="华文细黑" w:hAnsi="华文细黑" w:cs="华文细黑" w:eastAsia="华文细黑" w:hint="default"/>
          <w:sz w:val="22"/>
          <w:szCs w:val="22"/>
        </w:rPr>
      </w:pPr>
    </w:p>
    <w:p>
      <w:pPr>
        <w:pStyle w:val="Heading5"/>
        <w:spacing w:line="240" w:lineRule="auto" w:before="0"/>
        <w:ind w:right="1023"/>
        <w:jc w:val="left"/>
        <w:rPr>
          <w:b w:val="0"/>
          <w:bCs w:val="0"/>
        </w:rPr>
      </w:pPr>
      <w:bookmarkStart w:name="（3）公司实物销售收入是否大于劳务收入" w:id="50"/>
      <w:bookmarkEnd w:id="50"/>
      <w:r>
        <w:rPr>
          <w:b w:val="0"/>
          <w:bCs w:val="0"/>
        </w:rPr>
      </w:r>
      <w:r>
        <w:rPr/>
        <w:t>（</w:t>
      </w:r>
      <w:r>
        <w:rPr>
          <w:rFonts w:ascii="华文细黑" w:hAnsi="华文细黑" w:cs="华文细黑" w:eastAsia="华文细黑" w:hint="default"/>
        </w:rPr>
        <w:t>3</w:t>
      </w:r>
      <w:r>
        <w:rPr/>
        <w:t>）公司实物销售收入是否大于劳务收入</w:t>
      </w:r>
      <w:r>
        <w:rPr>
          <w:b w:val="0"/>
          <w:bCs w:val="0"/>
        </w:rPr>
      </w:r>
    </w:p>
    <w:p>
      <w:pPr>
        <w:spacing w:line="240" w:lineRule="auto" w:before="6"/>
        <w:rPr>
          <w:rFonts w:ascii="华文细黑" w:hAnsi="华文细黑" w:cs="华文细黑" w:eastAsia="华文细黑" w:hint="default"/>
          <w:b/>
          <w:bCs/>
          <w:sz w:val="22"/>
          <w:szCs w:val="22"/>
        </w:rPr>
      </w:pPr>
    </w:p>
    <w:p>
      <w:pPr>
        <w:pStyle w:val="BodyText"/>
        <w:spacing w:line="240" w:lineRule="auto"/>
        <w:ind w:left="234" w:right="1023"/>
        <w:jc w:val="left"/>
      </w:pPr>
      <w:r>
        <w:rPr/>
        <w:t>√  是  □  否</w:t>
      </w:r>
    </w:p>
    <w:p>
      <w:pPr>
        <w:spacing w:line="240" w:lineRule="auto" w:before="12"/>
        <w:rPr>
          <w:rFonts w:ascii="华文细黑" w:hAnsi="华文细黑" w:cs="华文细黑" w:eastAsia="华文细黑" w:hint="default"/>
          <w:sz w:val="5"/>
          <w:szCs w:val="5"/>
        </w:rPr>
      </w:pPr>
    </w:p>
    <w:tbl>
      <w:tblPr>
        <w:tblW w:w="0" w:type="auto"/>
        <w:jc w:val="left"/>
        <w:tblInd w:w="117" w:type="dxa"/>
        <w:tblLayout w:type="fixed"/>
        <w:tblCellMar>
          <w:top w:w="0" w:type="dxa"/>
          <w:left w:w="0" w:type="dxa"/>
          <w:bottom w:w="0" w:type="dxa"/>
          <w:right w:w="0" w:type="dxa"/>
        </w:tblCellMar>
        <w:tblLook w:val="01E0"/>
      </w:tblPr>
      <w:tblGrid>
        <w:gridCol w:w="1596"/>
        <w:gridCol w:w="1594"/>
        <w:gridCol w:w="1594"/>
        <w:gridCol w:w="1595"/>
        <w:gridCol w:w="1594"/>
        <w:gridCol w:w="1594"/>
      </w:tblGrid>
      <w:tr>
        <w:trPr>
          <w:trHeight w:val="402" w:hRule="exact"/>
        </w:trPr>
        <w:tc>
          <w:tcPr>
            <w:tcW w:w="15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43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行业分类</w:t>
            </w:r>
          </w:p>
        </w:tc>
        <w:tc>
          <w:tcPr>
            <w:tcW w:w="159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项目</w:t>
            </w:r>
          </w:p>
        </w:tc>
        <w:tc>
          <w:tcPr>
            <w:tcW w:w="159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单位</w:t>
            </w:r>
          </w:p>
        </w:tc>
        <w:tc>
          <w:tcPr>
            <w:tcW w:w="15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47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159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47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2017</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159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43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同比增减</w:t>
            </w:r>
          </w:p>
        </w:tc>
      </w:tr>
      <w:tr>
        <w:trPr>
          <w:trHeight w:val="402" w:hRule="exact"/>
        </w:trPr>
        <w:tc>
          <w:tcPr>
            <w:tcW w:w="1596"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4"/>
              <w:ind w:right="0"/>
              <w:jc w:val="left"/>
              <w:rPr>
                <w:rFonts w:ascii="华文细黑" w:hAnsi="华文细黑" w:cs="华文细黑" w:eastAsia="华文细黑" w:hint="default"/>
                <w:sz w:val="20"/>
                <w:szCs w:val="20"/>
              </w:rPr>
            </w:pPr>
          </w:p>
          <w:p>
            <w:pPr>
              <w:pStyle w:val="TableParagraph"/>
              <w:spacing w:line="295" w:lineRule="auto"/>
              <w:ind w:left="103" w:right="22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移动通信产品及 零售</w:t>
            </w:r>
          </w:p>
        </w:tc>
        <w:tc>
          <w:tcPr>
            <w:tcW w:w="15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销售量</w:t>
            </w:r>
          </w:p>
        </w:tc>
        <w:tc>
          <w:tcPr>
            <w:tcW w:w="15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台</w:t>
            </w:r>
          </w:p>
        </w:tc>
        <w:tc>
          <w:tcPr>
            <w:tcW w:w="159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w w:val="95"/>
                <w:sz w:val="18"/>
              </w:rPr>
              <w:t>24,019,628</w:t>
            </w:r>
          </w:p>
        </w:tc>
        <w:tc>
          <w:tcPr>
            <w:tcW w:w="15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w w:val="95"/>
                <w:sz w:val="18"/>
              </w:rPr>
              <w:t>27,307,461</w:t>
            </w:r>
          </w:p>
        </w:tc>
        <w:tc>
          <w:tcPr>
            <w:tcW w:w="15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-12.04%</w:t>
            </w:r>
          </w:p>
        </w:tc>
      </w:tr>
      <w:tr>
        <w:trPr>
          <w:trHeight w:val="402" w:hRule="exact"/>
        </w:trPr>
        <w:tc>
          <w:tcPr>
            <w:tcW w:w="1596" w:type="dxa"/>
            <w:vMerge/>
            <w:tcBorders>
              <w:left w:val="single" w:sz="4" w:space="0" w:color="FFC000"/>
              <w:right w:val="single" w:sz="4" w:space="0" w:color="FFC000"/>
            </w:tcBorders>
            <w:shd w:val="clear" w:color="auto" w:fill="FFF8E6"/>
          </w:tcPr>
          <w:p>
            <w:pPr/>
          </w:p>
        </w:tc>
        <w:tc>
          <w:tcPr>
            <w:tcW w:w="15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库存量</w:t>
            </w:r>
          </w:p>
        </w:tc>
        <w:tc>
          <w:tcPr>
            <w:tcW w:w="15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台</w:t>
            </w:r>
          </w:p>
        </w:tc>
        <w:tc>
          <w:tcPr>
            <w:tcW w:w="159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1,205,115</w:t>
            </w:r>
          </w:p>
        </w:tc>
        <w:tc>
          <w:tcPr>
            <w:tcW w:w="15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1,820,794</w:t>
            </w:r>
          </w:p>
        </w:tc>
        <w:tc>
          <w:tcPr>
            <w:tcW w:w="15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-33.81%</w:t>
            </w:r>
          </w:p>
        </w:tc>
      </w:tr>
      <w:tr>
        <w:trPr>
          <w:trHeight w:val="402" w:hRule="exact"/>
        </w:trPr>
        <w:tc>
          <w:tcPr>
            <w:tcW w:w="1596" w:type="dxa"/>
            <w:vMerge/>
            <w:tcBorders>
              <w:left w:val="single" w:sz="4" w:space="0" w:color="FFC000"/>
              <w:bottom w:val="single" w:sz="4" w:space="0" w:color="FFC000"/>
              <w:right w:val="single" w:sz="4" w:space="0" w:color="FFC000"/>
            </w:tcBorders>
            <w:shd w:val="clear" w:color="auto" w:fill="FFF8E6"/>
          </w:tcPr>
          <w:p>
            <w:pPr/>
          </w:p>
        </w:tc>
        <w:tc>
          <w:tcPr>
            <w:tcW w:w="15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采购量</w:t>
            </w:r>
          </w:p>
        </w:tc>
        <w:tc>
          <w:tcPr>
            <w:tcW w:w="15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台</w:t>
            </w:r>
          </w:p>
        </w:tc>
        <w:tc>
          <w:tcPr>
            <w:tcW w:w="159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w w:val="95"/>
                <w:sz w:val="18"/>
              </w:rPr>
              <w:t>23,403,949</w:t>
            </w:r>
          </w:p>
        </w:tc>
        <w:tc>
          <w:tcPr>
            <w:tcW w:w="15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w w:val="95"/>
                <w:sz w:val="18"/>
              </w:rPr>
              <w:t>27,656,909</w:t>
            </w:r>
          </w:p>
        </w:tc>
        <w:tc>
          <w:tcPr>
            <w:tcW w:w="15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-15.38%</w:t>
            </w:r>
          </w:p>
        </w:tc>
      </w:tr>
    </w:tbl>
    <w:p>
      <w:pPr>
        <w:pStyle w:val="BodyText"/>
        <w:spacing w:line="240" w:lineRule="auto" w:before="13"/>
        <w:ind w:left="234" w:right="1023"/>
        <w:jc w:val="left"/>
      </w:pPr>
      <w:r>
        <w:rPr/>
        <w:t>相关数据同比发生变动 </w:t>
      </w:r>
      <w:r>
        <w:rPr>
          <w:rFonts w:ascii="华文细黑" w:hAnsi="华文细黑" w:cs="华文细黑" w:eastAsia="华文细黑" w:hint="default"/>
        </w:rPr>
        <w:t>30%</w:t>
      </w:r>
      <w:r>
        <w:rPr/>
        <w:t>以上的原因说明</w:t>
      </w:r>
    </w:p>
    <w:p>
      <w:pPr>
        <w:pStyle w:val="BodyText"/>
        <w:spacing w:line="283" w:lineRule="auto" w:before="56"/>
        <w:ind w:left="234" w:right="2716"/>
        <w:jc w:val="left"/>
      </w:pPr>
      <w:r>
        <w:rPr/>
        <w:t>√ 适用 □</w:t>
      </w:r>
      <w:r>
        <w:rPr>
          <w:spacing w:val="51"/>
        </w:rPr>
        <w:t> </w:t>
      </w:r>
      <w:r>
        <w:rPr/>
        <w:t>不适用</w:t>
      </w:r>
      <w:r>
        <w:rPr/>
        <w:t> 库存量较上年末减少</w:t>
      </w:r>
      <w:r>
        <w:rPr>
          <w:rFonts w:ascii="华文细黑" w:hAnsi="华文细黑" w:cs="华文细黑" w:eastAsia="华文细黑" w:hint="default"/>
        </w:rPr>
        <w:t>33.81%</w:t>
      </w:r>
      <w:r>
        <w:rPr/>
        <w:t>的主要原因系公司加速商品销售，从而降低了期末库存量。</w:t>
      </w:r>
    </w:p>
    <w:p>
      <w:pPr>
        <w:spacing w:after="0" w:line="283" w:lineRule="auto"/>
        <w:jc w:val="left"/>
        <w:sectPr>
          <w:type w:val="continuous"/>
          <w:pgSz w:w="11910" w:h="16840"/>
          <w:pgMar w:top="240" w:bottom="0" w:left="900" w:right="0"/>
        </w:sectPr>
      </w:pPr>
    </w:p>
    <w:p>
      <w:pPr>
        <w:spacing w:line="240" w:lineRule="auto" w:before="0"/>
        <w:rPr>
          <w:rFonts w:ascii="华文细黑" w:hAnsi="华文细黑" w:cs="华文细黑" w:eastAsia="华文细黑" w:hint="default"/>
          <w:sz w:val="21"/>
          <w:szCs w:val="21"/>
        </w:rPr>
      </w:pPr>
    </w:p>
    <w:p>
      <w:pPr>
        <w:pStyle w:val="Heading5"/>
        <w:spacing w:line="240" w:lineRule="auto"/>
        <w:ind w:right="1023"/>
        <w:jc w:val="left"/>
        <w:rPr>
          <w:b w:val="0"/>
          <w:bCs w:val="0"/>
        </w:rPr>
      </w:pPr>
      <w:bookmarkStart w:name="（4）公司已签订的重大销售合同截至本报告期的履行情况" w:id="51"/>
      <w:bookmarkEnd w:id="51"/>
      <w:r>
        <w:rPr>
          <w:b w:val="0"/>
          <w:bCs w:val="0"/>
        </w:rPr>
      </w:r>
      <w:r>
        <w:rPr/>
        <w:t>（</w:t>
      </w:r>
      <w:r>
        <w:rPr>
          <w:rFonts w:ascii="华文细黑" w:hAnsi="华文细黑" w:cs="华文细黑" w:eastAsia="华文细黑" w:hint="default"/>
        </w:rPr>
        <w:t>4</w:t>
      </w:r>
      <w:r>
        <w:rPr/>
        <w:t>）公司已签订的重大销售合同截至本报告期的履行情况</w:t>
      </w:r>
      <w:r>
        <w:rPr>
          <w:b w:val="0"/>
          <w:bCs w:val="0"/>
        </w:rPr>
      </w:r>
    </w:p>
    <w:p>
      <w:pPr>
        <w:spacing w:line="240" w:lineRule="auto" w:before="6"/>
        <w:rPr>
          <w:rFonts w:ascii="华文细黑" w:hAnsi="华文细黑" w:cs="华文细黑" w:eastAsia="华文细黑" w:hint="default"/>
          <w:b/>
          <w:bCs/>
          <w:sz w:val="22"/>
          <w:szCs w:val="22"/>
        </w:rPr>
      </w:pPr>
    </w:p>
    <w:p>
      <w:pPr>
        <w:pStyle w:val="BodyText"/>
        <w:spacing w:line="240" w:lineRule="auto"/>
        <w:ind w:left="234" w:right="1023"/>
        <w:jc w:val="left"/>
      </w:pPr>
      <w:r>
        <w:rPr/>
        <w:t>□  适用  √</w:t>
      </w:r>
      <w:r>
        <w:rPr>
          <w:spacing w:val="51"/>
        </w:rPr>
        <w:t> </w:t>
      </w:r>
      <w:r>
        <w:rPr/>
        <w:t>不适用</w:t>
      </w:r>
    </w:p>
    <w:p>
      <w:pPr>
        <w:spacing w:line="240" w:lineRule="auto" w:before="4"/>
        <w:rPr>
          <w:rFonts w:ascii="华文细黑" w:hAnsi="华文细黑" w:cs="华文细黑" w:eastAsia="华文细黑" w:hint="default"/>
          <w:sz w:val="22"/>
          <w:szCs w:val="22"/>
        </w:rPr>
      </w:pPr>
    </w:p>
    <w:p>
      <w:pPr>
        <w:pStyle w:val="Heading5"/>
        <w:spacing w:line="240" w:lineRule="auto" w:before="0"/>
        <w:ind w:right="1023"/>
        <w:jc w:val="left"/>
        <w:rPr>
          <w:b w:val="0"/>
          <w:bCs w:val="0"/>
        </w:rPr>
      </w:pPr>
      <w:bookmarkStart w:name="（5）营业成本构成" w:id="52"/>
      <w:bookmarkEnd w:id="52"/>
      <w:r>
        <w:rPr>
          <w:b w:val="0"/>
          <w:bCs w:val="0"/>
        </w:rPr>
      </w:r>
      <w:r>
        <w:rPr/>
        <w:t>（</w:t>
      </w:r>
      <w:r>
        <w:rPr>
          <w:rFonts w:ascii="华文细黑" w:hAnsi="华文细黑" w:cs="华文细黑" w:eastAsia="华文细黑" w:hint="default"/>
        </w:rPr>
        <w:t>5</w:t>
      </w:r>
      <w:r>
        <w:rPr/>
        <w:t>）营业成本构成</w:t>
      </w:r>
      <w:r>
        <w:rPr>
          <w:b w:val="0"/>
          <w:bCs w:val="0"/>
        </w:rPr>
      </w:r>
    </w:p>
    <w:p>
      <w:pPr>
        <w:spacing w:line="240" w:lineRule="auto" w:before="11"/>
        <w:rPr>
          <w:rFonts w:ascii="华文细黑" w:hAnsi="华文细黑" w:cs="华文细黑" w:eastAsia="华文细黑" w:hint="default"/>
          <w:b/>
          <w:bCs/>
          <w:sz w:val="21"/>
          <w:szCs w:val="21"/>
        </w:rPr>
      </w:pPr>
    </w:p>
    <w:p>
      <w:pPr>
        <w:spacing w:after="0" w:line="240" w:lineRule="auto"/>
        <w:rPr>
          <w:rFonts w:ascii="华文细黑" w:hAnsi="华文细黑" w:cs="华文细黑" w:eastAsia="华文细黑" w:hint="default"/>
          <w:sz w:val="21"/>
          <w:szCs w:val="21"/>
        </w:rPr>
        <w:sectPr>
          <w:pgSz w:w="11910" w:h="16840"/>
          <w:pgMar w:header="917" w:footer="1019" w:top="1100" w:bottom="1200" w:left="900" w:right="0"/>
        </w:sectPr>
      </w:pPr>
    </w:p>
    <w:p>
      <w:pPr>
        <w:pStyle w:val="BodyText"/>
        <w:spacing w:line="240" w:lineRule="auto" w:before="10"/>
        <w:ind w:left="234" w:right="-20"/>
        <w:jc w:val="left"/>
      </w:pPr>
      <w:r>
        <w:rPr/>
        <w:t>行业和产品分类</w:t>
      </w:r>
    </w:p>
    <w:p>
      <w:pPr>
        <w:spacing w:line="240" w:lineRule="auto" w:before="0"/>
        <w:rPr>
          <w:rFonts w:ascii="华文细黑" w:hAnsi="华文细黑" w:cs="华文细黑" w:eastAsia="华文细黑" w:hint="default"/>
          <w:sz w:val="18"/>
          <w:szCs w:val="18"/>
        </w:rPr>
      </w:pPr>
      <w:r>
        <w:rPr/>
        <w:br w:type="column"/>
      </w:r>
      <w:r>
        <w:rPr>
          <w:rFonts w:ascii="华文细黑"/>
          <w:sz w:val="18"/>
        </w:rPr>
      </w:r>
    </w:p>
    <w:p>
      <w:pPr>
        <w:spacing w:before="134"/>
        <w:ind w:left="233" w:right="0" w:firstLine="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单位：元</w:t>
      </w:r>
    </w:p>
    <w:p>
      <w:pPr>
        <w:spacing w:after="0"/>
        <w:jc w:val="left"/>
        <w:rPr>
          <w:rFonts w:ascii="华文细黑" w:hAnsi="华文细黑" w:cs="华文细黑" w:eastAsia="华文细黑" w:hint="default"/>
          <w:sz w:val="18"/>
          <w:szCs w:val="18"/>
        </w:rPr>
        <w:sectPr>
          <w:type w:val="continuous"/>
          <w:pgSz w:w="11910" w:h="16840"/>
          <w:pgMar w:top="240" w:bottom="0" w:left="900" w:right="0"/>
          <w:cols w:num="2" w:equalWidth="0">
            <w:col w:w="1705" w:space="7215"/>
            <w:col w:w="2090"/>
          </w:cols>
        </w:sectPr>
      </w:pPr>
    </w:p>
    <w:p>
      <w:pPr>
        <w:spacing w:line="240" w:lineRule="auto" w:before="13"/>
        <w:rPr>
          <w:rFonts w:ascii="华文细黑" w:hAnsi="华文细黑" w:cs="华文细黑" w:eastAsia="华文细黑" w:hint="default"/>
          <w:sz w:val="6"/>
          <w:szCs w:val="6"/>
        </w:rPr>
      </w:pPr>
    </w:p>
    <w:tbl>
      <w:tblPr>
        <w:tblW w:w="0" w:type="auto"/>
        <w:jc w:val="left"/>
        <w:tblInd w:w="117" w:type="dxa"/>
        <w:tblLayout w:type="fixed"/>
        <w:tblCellMar>
          <w:top w:w="0" w:type="dxa"/>
          <w:left w:w="0" w:type="dxa"/>
          <w:bottom w:w="0" w:type="dxa"/>
          <w:right w:w="0" w:type="dxa"/>
        </w:tblCellMar>
        <w:tblLook w:val="01E0"/>
      </w:tblPr>
      <w:tblGrid>
        <w:gridCol w:w="1678"/>
        <w:gridCol w:w="1126"/>
        <w:gridCol w:w="1980"/>
        <w:gridCol w:w="1064"/>
        <w:gridCol w:w="1770"/>
        <w:gridCol w:w="976"/>
        <w:gridCol w:w="978"/>
      </w:tblGrid>
      <w:tr>
        <w:trPr>
          <w:trHeight w:val="402" w:hRule="exact"/>
        </w:trPr>
        <w:tc>
          <w:tcPr>
            <w:tcW w:w="167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3"/>
              <w:ind w:left="47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行业分类</w:t>
            </w:r>
          </w:p>
        </w:tc>
        <w:tc>
          <w:tcPr>
            <w:tcW w:w="1126"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3"/>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项目</w:t>
            </w:r>
          </w:p>
        </w:tc>
        <w:tc>
          <w:tcPr>
            <w:tcW w:w="3045"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2746"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2017</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97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3"/>
              <w:ind w:left="1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同比增减</w:t>
            </w:r>
          </w:p>
        </w:tc>
      </w:tr>
      <w:tr>
        <w:trPr>
          <w:trHeight w:val="714" w:hRule="exact"/>
        </w:trPr>
        <w:tc>
          <w:tcPr>
            <w:tcW w:w="1678" w:type="dxa"/>
            <w:vMerge/>
            <w:tcBorders>
              <w:left w:val="single" w:sz="4" w:space="0" w:color="FFC000"/>
              <w:bottom w:val="single" w:sz="4" w:space="0" w:color="FFC000"/>
              <w:right w:val="single" w:sz="4" w:space="0" w:color="FFC000"/>
            </w:tcBorders>
            <w:shd w:val="clear" w:color="auto" w:fill="FFF8E6"/>
          </w:tcPr>
          <w:p>
            <w:pPr/>
          </w:p>
        </w:tc>
        <w:tc>
          <w:tcPr>
            <w:tcW w:w="1126" w:type="dxa"/>
            <w:vMerge/>
            <w:tcBorders>
              <w:left w:val="single" w:sz="4" w:space="0" w:color="FFC000"/>
              <w:bottom w:val="single" w:sz="4" w:space="0" w:color="FFC000"/>
              <w:right w:val="single" w:sz="4" w:space="0" w:color="FFC000"/>
            </w:tcBorders>
            <w:shd w:val="clear" w:color="auto" w:fill="FFF8E6"/>
          </w:tcPr>
          <w:p>
            <w:pPr/>
          </w:p>
        </w:tc>
        <w:tc>
          <w:tcPr>
            <w:tcW w:w="19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10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255" w:right="167" w:hanging="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占营业成 本比重</w:t>
            </w:r>
          </w:p>
        </w:tc>
        <w:tc>
          <w:tcPr>
            <w:tcW w:w="17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9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212" w:right="121" w:hanging="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占营业成 本比重</w:t>
            </w:r>
          </w:p>
        </w:tc>
        <w:tc>
          <w:tcPr>
            <w:tcW w:w="978" w:type="dxa"/>
            <w:vMerge/>
            <w:tcBorders>
              <w:left w:val="single" w:sz="4" w:space="0" w:color="FFC000"/>
              <w:bottom w:val="single" w:sz="4" w:space="0" w:color="FFC000"/>
              <w:right w:val="single" w:sz="4" w:space="0" w:color="FFC000"/>
            </w:tcBorders>
            <w:shd w:val="clear" w:color="auto" w:fill="FFF8E6"/>
          </w:tcPr>
          <w:p>
            <w:pPr/>
          </w:p>
        </w:tc>
      </w:tr>
      <w:tr>
        <w:trPr>
          <w:trHeight w:val="402" w:hRule="exact"/>
        </w:trPr>
        <w:tc>
          <w:tcPr>
            <w:tcW w:w="16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智能终端分销业务</w:t>
            </w:r>
          </w:p>
        </w:tc>
        <w:tc>
          <w:tcPr>
            <w:tcW w:w="11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主营业务</w:t>
            </w:r>
          </w:p>
        </w:tc>
        <w:tc>
          <w:tcPr>
            <w:tcW w:w="19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45,354,877,286.59</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82.00%</w:t>
            </w:r>
          </w:p>
        </w:tc>
        <w:tc>
          <w:tcPr>
            <w:tcW w:w="17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44,941,941,658.18</w:t>
            </w:r>
          </w:p>
        </w:tc>
        <w:tc>
          <w:tcPr>
            <w:tcW w:w="9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81.62%</w:t>
            </w:r>
          </w:p>
        </w:tc>
        <w:tc>
          <w:tcPr>
            <w:tcW w:w="97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0.92%</w:t>
            </w:r>
          </w:p>
        </w:tc>
      </w:tr>
      <w:tr>
        <w:trPr>
          <w:trHeight w:val="714" w:hRule="exact"/>
        </w:trPr>
        <w:tc>
          <w:tcPr>
            <w:tcW w:w="16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2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金融及供应链服务 业务</w:t>
            </w:r>
          </w:p>
        </w:tc>
        <w:tc>
          <w:tcPr>
            <w:tcW w:w="11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主营业务</w:t>
            </w:r>
          </w:p>
        </w:tc>
        <w:tc>
          <w:tcPr>
            <w:tcW w:w="19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pacing w:val="-1"/>
                <w:sz w:val="18"/>
              </w:rPr>
              <w:t>7,547,007,412.23</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13.64%</w:t>
            </w:r>
          </w:p>
        </w:tc>
        <w:tc>
          <w:tcPr>
            <w:tcW w:w="17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8,232,462,717.54</w:t>
            </w:r>
          </w:p>
        </w:tc>
        <w:tc>
          <w:tcPr>
            <w:tcW w:w="9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14.95%</w:t>
            </w:r>
          </w:p>
        </w:tc>
        <w:tc>
          <w:tcPr>
            <w:tcW w:w="97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-8.33%</w:t>
            </w:r>
          </w:p>
        </w:tc>
      </w:tr>
      <w:tr>
        <w:trPr>
          <w:trHeight w:val="402" w:hRule="exact"/>
        </w:trPr>
        <w:tc>
          <w:tcPr>
            <w:tcW w:w="16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智慧零售业务</w:t>
            </w:r>
          </w:p>
        </w:tc>
        <w:tc>
          <w:tcPr>
            <w:tcW w:w="11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主营业务</w:t>
            </w:r>
          </w:p>
        </w:tc>
        <w:tc>
          <w:tcPr>
            <w:tcW w:w="19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pacing w:val="-1"/>
                <w:sz w:val="18"/>
              </w:rPr>
              <w:t>2,259,236,903.71</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4.08%</w:t>
            </w:r>
          </w:p>
        </w:tc>
        <w:tc>
          <w:tcPr>
            <w:tcW w:w="17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sz w:val="18"/>
              </w:rPr>
              <w:t>1,690,154,903.13</w:t>
            </w:r>
          </w:p>
        </w:tc>
        <w:tc>
          <w:tcPr>
            <w:tcW w:w="9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3.07%</w:t>
            </w:r>
          </w:p>
        </w:tc>
        <w:tc>
          <w:tcPr>
            <w:tcW w:w="97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33.67%</w:t>
            </w:r>
          </w:p>
        </w:tc>
      </w:tr>
      <w:tr>
        <w:trPr>
          <w:trHeight w:val="402" w:hRule="exact"/>
        </w:trPr>
        <w:tc>
          <w:tcPr>
            <w:tcW w:w="16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通信服务业务</w:t>
            </w:r>
          </w:p>
        </w:tc>
        <w:tc>
          <w:tcPr>
            <w:tcW w:w="11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主营业务</w:t>
            </w:r>
          </w:p>
        </w:tc>
        <w:tc>
          <w:tcPr>
            <w:tcW w:w="19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139,043,766.68</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0.25%</w:t>
            </w:r>
          </w:p>
        </w:tc>
        <w:tc>
          <w:tcPr>
            <w:tcW w:w="17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177,034,989.82</w:t>
            </w:r>
          </w:p>
        </w:tc>
        <w:tc>
          <w:tcPr>
            <w:tcW w:w="9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0.32%</w:t>
            </w:r>
          </w:p>
        </w:tc>
        <w:tc>
          <w:tcPr>
            <w:tcW w:w="97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-21.46%</w:t>
            </w:r>
          </w:p>
        </w:tc>
      </w:tr>
      <w:tr>
        <w:trPr>
          <w:trHeight w:val="402" w:hRule="exact"/>
        </w:trPr>
        <w:tc>
          <w:tcPr>
            <w:tcW w:w="16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其他行业</w:t>
            </w:r>
          </w:p>
        </w:tc>
        <w:tc>
          <w:tcPr>
            <w:tcW w:w="11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主营业务</w:t>
            </w:r>
          </w:p>
        </w:tc>
        <w:tc>
          <w:tcPr>
            <w:tcW w:w="1980" w:type="dxa"/>
            <w:tcBorders>
              <w:top w:val="single" w:sz="4" w:space="0" w:color="FFC000"/>
              <w:left w:val="single" w:sz="4" w:space="0" w:color="FFC000"/>
              <w:bottom w:val="single" w:sz="4" w:space="0" w:color="FFC000"/>
              <w:right w:val="single" w:sz="4" w:space="0" w:color="FFC000"/>
            </w:tcBorders>
          </w:tcPr>
          <w:p>
            <w:pPr/>
          </w:p>
        </w:tc>
        <w:tc>
          <w:tcPr>
            <w:tcW w:w="1064" w:type="dxa"/>
            <w:tcBorders>
              <w:top w:val="single" w:sz="4" w:space="0" w:color="FFC000"/>
              <w:left w:val="single" w:sz="4" w:space="0" w:color="FFC000"/>
              <w:bottom w:val="single" w:sz="4" w:space="0" w:color="FFC000"/>
              <w:right w:val="single" w:sz="4" w:space="0" w:color="FFC000"/>
            </w:tcBorders>
          </w:tcPr>
          <w:p>
            <w:pPr/>
          </w:p>
        </w:tc>
        <w:tc>
          <w:tcPr>
            <w:tcW w:w="17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1,123,055.61</w:t>
            </w:r>
          </w:p>
        </w:tc>
        <w:tc>
          <w:tcPr>
            <w:tcW w:w="9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0.00%</w:t>
            </w:r>
          </w:p>
        </w:tc>
        <w:tc>
          <w:tcPr>
            <w:tcW w:w="97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-100.00%</w:t>
            </w:r>
          </w:p>
        </w:tc>
      </w:tr>
      <w:tr>
        <w:trPr>
          <w:trHeight w:val="402" w:hRule="exact"/>
        </w:trPr>
        <w:tc>
          <w:tcPr>
            <w:tcW w:w="16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其他业务收支</w:t>
            </w:r>
          </w:p>
        </w:tc>
        <w:tc>
          <w:tcPr>
            <w:tcW w:w="11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其他业务</w:t>
            </w:r>
          </w:p>
        </w:tc>
        <w:tc>
          <w:tcPr>
            <w:tcW w:w="19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16,431,669.97</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0.03%</w:t>
            </w:r>
          </w:p>
        </w:tc>
        <w:tc>
          <w:tcPr>
            <w:tcW w:w="17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18,911,811.42</w:t>
            </w:r>
          </w:p>
        </w:tc>
        <w:tc>
          <w:tcPr>
            <w:tcW w:w="9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0.04%</w:t>
            </w:r>
          </w:p>
        </w:tc>
        <w:tc>
          <w:tcPr>
            <w:tcW w:w="97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-13.11%</w:t>
            </w:r>
          </w:p>
        </w:tc>
      </w:tr>
    </w:tbl>
    <w:p>
      <w:pPr>
        <w:spacing w:before="40"/>
        <w:ind w:left="0" w:right="1130" w:firstLine="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单位：元</w:t>
      </w:r>
    </w:p>
    <w:p>
      <w:pPr>
        <w:spacing w:line="240" w:lineRule="auto" w:before="13"/>
        <w:rPr>
          <w:rFonts w:ascii="华文细黑" w:hAnsi="华文细黑" w:cs="华文细黑" w:eastAsia="华文细黑" w:hint="default"/>
          <w:sz w:val="6"/>
          <w:szCs w:val="6"/>
        </w:rPr>
      </w:pPr>
    </w:p>
    <w:tbl>
      <w:tblPr>
        <w:tblW w:w="0" w:type="auto"/>
        <w:jc w:val="left"/>
        <w:tblInd w:w="117" w:type="dxa"/>
        <w:tblLayout w:type="fixed"/>
        <w:tblCellMar>
          <w:top w:w="0" w:type="dxa"/>
          <w:left w:w="0" w:type="dxa"/>
          <w:bottom w:w="0" w:type="dxa"/>
          <w:right w:w="0" w:type="dxa"/>
        </w:tblCellMar>
        <w:tblLook w:val="01E0"/>
      </w:tblPr>
      <w:tblGrid>
        <w:gridCol w:w="1694"/>
        <w:gridCol w:w="1110"/>
        <w:gridCol w:w="1980"/>
        <w:gridCol w:w="1064"/>
        <w:gridCol w:w="1770"/>
        <w:gridCol w:w="960"/>
        <w:gridCol w:w="994"/>
      </w:tblGrid>
      <w:tr>
        <w:trPr>
          <w:trHeight w:val="402" w:hRule="exact"/>
        </w:trPr>
        <w:tc>
          <w:tcPr>
            <w:tcW w:w="1694"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4"/>
              <w:ind w:left="48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产品分类</w:t>
            </w:r>
          </w:p>
        </w:tc>
        <w:tc>
          <w:tcPr>
            <w:tcW w:w="111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项目</w:t>
            </w:r>
          </w:p>
        </w:tc>
        <w:tc>
          <w:tcPr>
            <w:tcW w:w="3045"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2730"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2017</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994"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4"/>
              <w:ind w:left="13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同比增减</w:t>
            </w:r>
          </w:p>
        </w:tc>
      </w:tr>
      <w:tr>
        <w:trPr>
          <w:trHeight w:val="714" w:hRule="exact"/>
        </w:trPr>
        <w:tc>
          <w:tcPr>
            <w:tcW w:w="1694" w:type="dxa"/>
            <w:vMerge/>
            <w:tcBorders>
              <w:left w:val="single" w:sz="4" w:space="0" w:color="FFC000"/>
              <w:bottom w:val="single" w:sz="4" w:space="0" w:color="FFC000"/>
              <w:right w:val="single" w:sz="4" w:space="0" w:color="FFC000"/>
            </w:tcBorders>
            <w:shd w:val="clear" w:color="auto" w:fill="FFF8E6"/>
          </w:tcPr>
          <w:p>
            <w:pPr/>
          </w:p>
        </w:tc>
        <w:tc>
          <w:tcPr>
            <w:tcW w:w="1110" w:type="dxa"/>
            <w:vMerge/>
            <w:tcBorders>
              <w:left w:val="single" w:sz="4" w:space="0" w:color="FFC000"/>
              <w:bottom w:val="single" w:sz="4" w:space="0" w:color="FFC000"/>
              <w:right w:val="single" w:sz="4" w:space="0" w:color="FFC000"/>
            </w:tcBorders>
            <w:shd w:val="clear" w:color="auto" w:fill="FFF8E6"/>
          </w:tcPr>
          <w:p>
            <w:pPr/>
          </w:p>
        </w:tc>
        <w:tc>
          <w:tcPr>
            <w:tcW w:w="19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10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255" w:right="167" w:hanging="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占营业成 本比重</w:t>
            </w:r>
          </w:p>
        </w:tc>
        <w:tc>
          <w:tcPr>
            <w:tcW w:w="17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9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205" w:right="113" w:hanging="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占营业成 本比重</w:t>
            </w:r>
          </w:p>
        </w:tc>
        <w:tc>
          <w:tcPr>
            <w:tcW w:w="994" w:type="dxa"/>
            <w:vMerge/>
            <w:tcBorders>
              <w:left w:val="single" w:sz="4" w:space="0" w:color="FFC000"/>
              <w:bottom w:val="single" w:sz="4" w:space="0" w:color="FFC000"/>
              <w:right w:val="single" w:sz="4" w:space="0" w:color="FFC000"/>
            </w:tcBorders>
            <w:shd w:val="clear" w:color="auto" w:fill="FFF8E6"/>
          </w:tcPr>
          <w:p>
            <w:pPr/>
          </w:p>
        </w:tc>
      </w:tr>
      <w:tr>
        <w:trPr>
          <w:trHeight w:val="402" w:hRule="exact"/>
        </w:trPr>
        <w:tc>
          <w:tcPr>
            <w:tcW w:w="169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移动通信产品销售</w:t>
            </w:r>
          </w:p>
        </w:tc>
        <w:tc>
          <w:tcPr>
            <w:tcW w:w="11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主营业务</w:t>
            </w:r>
          </w:p>
        </w:tc>
        <w:tc>
          <w:tcPr>
            <w:tcW w:w="19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49,554,227,878.36</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89.58%</w:t>
            </w:r>
          </w:p>
        </w:tc>
        <w:tc>
          <w:tcPr>
            <w:tcW w:w="17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49,987,219,712.33</w:t>
            </w:r>
          </w:p>
        </w:tc>
        <w:tc>
          <w:tcPr>
            <w:tcW w:w="9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90.78%</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-0.87%</w:t>
            </w:r>
          </w:p>
        </w:tc>
      </w:tr>
      <w:tr>
        <w:trPr>
          <w:trHeight w:val="402" w:hRule="exact"/>
        </w:trPr>
        <w:tc>
          <w:tcPr>
            <w:tcW w:w="169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数码产品销售</w:t>
            </w:r>
          </w:p>
        </w:tc>
        <w:tc>
          <w:tcPr>
            <w:tcW w:w="11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主营业务</w:t>
            </w:r>
          </w:p>
        </w:tc>
        <w:tc>
          <w:tcPr>
            <w:tcW w:w="19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pacing w:val="-1"/>
                <w:sz w:val="18"/>
              </w:rPr>
              <w:t>2,066,885,746.37</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3.74%</w:t>
            </w:r>
          </w:p>
        </w:tc>
        <w:tc>
          <w:tcPr>
            <w:tcW w:w="17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sz w:val="18"/>
              </w:rPr>
              <w:t>1,527,739,600.05</w:t>
            </w:r>
          </w:p>
        </w:tc>
        <w:tc>
          <w:tcPr>
            <w:tcW w:w="9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2.77%</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35.29%</w:t>
            </w:r>
          </w:p>
        </w:tc>
      </w:tr>
      <w:tr>
        <w:trPr>
          <w:trHeight w:val="402" w:hRule="exact"/>
        </w:trPr>
        <w:tc>
          <w:tcPr>
            <w:tcW w:w="169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其他产品</w:t>
            </w:r>
          </w:p>
        </w:tc>
        <w:tc>
          <w:tcPr>
            <w:tcW w:w="11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主营业务</w:t>
            </w:r>
          </w:p>
        </w:tc>
        <w:tc>
          <w:tcPr>
            <w:tcW w:w="19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pacing w:val="-1"/>
                <w:sz w:val="18"/>
              </w:rPr>
              <w:t>3,679,051,744.48</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6.65%</w:t>
            </w:r>
          </w:p>
        </w:tc>
        <w:tc>
          <w:tcPr>
            <w:tcW w:w="17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sz w:val="18"/>
              </w:rPr>
              <w:t>3,527,758,011.90</w:t>
            </w:r>
          </w:p>
        </w:tc>
        <w:tc>
          <w:tcPr>
            <w:tcW w:w="9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6.41%</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4.29%</w:t>
            </w:r>
          </w:p>
        </w:tc>
      </w:tr>
      <w:tr>
        <w:trPr>
          <w:trHeight w:val="402" w:hRule="exact"/>
        </w:trPr>
        <w:tc>
          <w:tcPr>
            <w:tcW w:w="169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其他业务支出</w:t>
            </w:r>
          </w:p>
        </w:tc>
        <w:tc>
          <w:tcPr>
            <w:tcW w:w="11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其他业务</w:t>
            </w:r>
          </w:p>
        </w:tc>
        <w:tc>
          <w:tcPr>
            <w:tcW w:w="19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16,431,669.97</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0.03%</w:t>
            </w:r>
          </w:p>
        </w:tc>
        <w:tc>
          <w:tcPr>
            <w:tcW w:w="17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18,911,811.42</w:t>
            </w:r>
          </w:p>
        </w:tc>
        <w:tc>
          <w:tcPr>
            <w:tcW w:w="9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0.04%</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-13.11%</w:t>
            </w:r>
          </w:p>
        </w:tc>
      </w:tr>
    </w:tbl>
    <w:p>
      <w:pPr>
        <w:spacing w:line="240" w:lineRule="auto" w:before="9"/>
        <w:rPr>
          <w:rFonts w:ascii="华文细黑" w:hAnsi="华文细黑" w:cs="华文细黑" w:eastAsia="华文细黑" w:hint="default"/>
          <w:sz w:val="18"/>
          <w:szCs w:val="18"/>
        </w:rPr>
      </w:pPr>
    </w:p>
    <w:p>
      <w:pPr>
        <w:pStyle w:val="Heading5"/>
        <w:spacing w:line="240" w:lineRule="auto"/>
        <w:ind w:right="1023"/>
        <w:jc w:val="left"/>
        <w:rPr>
          <w:b w:val="0"/>
          <w:bCs w:val="0"/>
        </w:rPr>
      </w:pPr>
      <w:bookmarkStart w:name="（6）报告期内合并范围是否发生变动" w:id="53"/>
      <w:bookmarkEnd w:id="53"/>
      <w:r>
        <w:rPr>
          <w:b w:val="0"/>
          <w:bCs w:val="0"/>
        </w:rPr>
      </w:r>
      <w:r>
        <w:rPr/>
        <w:t>（</w:t>
      </w:r>
      <w:r>
        <w:rPr>
          <w:rFonts w:ascii="华文细黑" w:hAnsi="华文细黑" w:cs="华文细黑" w:eastAsia="华文细黑" w:hint="default"/>
        </w:rPr>
        <w:t>6</w:t>
      </w:r>
      <w:r>
        <w:rPr/>
        <w:t>）报告期内合并范围是否发生变动</w:t>
      </w:r>
      <w:r>
        <w:rPr>
          <w:b w:val="0"/>
          <w:bCs w:val="0"/>
        </w:rPr>
      </w:r>
    </w:p>
    <w:p>
      <w:pPr>
        <w:spacing w:line="240" w:lineRule="auto" w:before="6"/>
        <w:rPr>
          <w:rFonts w:ascii="华文细黑" w:hAnsi="华文细黑" w:cs="华文细黑" w:eastAsia="华文细黑" w:hint="default"/>
          <w:b/>
          <w:bCs/>
          <w:sz w:val="22"/>
          <w:szCs w:val="22"/>
        </w:rPr>
      </w:pPr>
    </w:p>
    <w:p>
      <w:pPr>
        <w:pStyle w:val="BodyText"/>
        <w:spacing w:line="240" w:lineRule="auto"/>
        <w:ind w:left="234" w:right="1023"/>
        <w:jc w:val="left"/>
      </w:pPr>
      <w:r>
        <w:rPr/>
        <w:t>√  是  □  否</w:t>
      </w:r>
    </w:p>
    <w:p>
      <w:pPr>
        <w:spacing w:line="240" w:lineRule="auto" w:before="2"/>
        <w:rPr>
          <w:rFonts w:ascii="华文细黑" w:hAnsi="华文细黑" w:cs="华文细黑" w:eastAsia="华文细黑" w:hint="default"/>
          <w:sz w:val="15"/>
          <w:szCs w:val="15"/>
        </w:rPr>
      </w:pPr>
    </w:p>
    <w:p>
      <w:pPr>
        <w:pStyle w:val="BodyText"/>
        <w:spacing w:line="376" w:lineRule="auto"/>
        <w:ind w:left="234" w:right="1127" w:firstLine="482"/>
        <w:jc w:val="left"/>
      </w:pPr>
      <w:r>
        <w:rPr/>
        <w:t>本公司</w:t>
      </w:r>
      <w:r>
        <w:rPr>
          <w:rFonts w:ascii="华文细黑" w:hAnsi="华文细黑" w:cs="华文细黑" w:eastAsia="华文细黑" w:hint="default"/>
        </w:rPr>
        <w:t>2018</w:t>
      </w:r>
      <w:r>
        <w:rPr/>
        <w:t>年度纳入合并范围的子企业共</w:t>
      </w:r>
      <w:r>
        <w:rPr>
          <w:rFonts w:ascii="华文细黑" w:hAnsi="华文细黑" w:cs="华文细黑" w:eastAsia="华文细黑" w:hint="default"/>
        </w:rPr>
        <w:t>98</w:t>
      </w:r>
      <w:r>
        <w:rPr/>
        <w:t>户，本年度合并范围比上年度增加</w:t>
      </w:r>
      <w:r>
        <w:rPr>
          <w:rFonts w:ascii="华文细黑" w:hAnsi="华文细黑" w:cs="华文细黑" w:eastAsia="华文细黑" w:hint="default"/>
        </w:rPr>
        <w:t>10</w:t>
      </w:r>
      <w:r>
        <w:rPr/>
        <w:t>户，减少</w:t>
      </w:r>
      <w:r>
        <w:rPr>
          <w:rFonts w:ascii="华文细黑" w:hAnsi="华文细黑" w:cs="华文细黑" w:eastAsia="华文细黑" w:hint="default"/>
        </w:rPr>
        <w:t>11</w:t>
      </w:r>
      <w:r>
        <w:rPr/>
        <w:t>户，详 细见“第十一节  </w:t>
      </w:r>
      <w:r>
        <w:rPr>
          <w:spacing w:val="-1"/>
        </w:rPr>
        <w:t>财务报告</w:t>
      </w:r>
      <w:r>
        <w:rPr/>
        <w:t> </w:t>
      </w:r>
      <w:r>
        <w:rPr>
          <w:spacing w:val="5"/>
        </w:rPr>
        <w:t> </w:t>
      </w:r>
      <w:r>
        <w:rPr>
          <w:spacing w:val="-10"/>
        </w:rPr>
        <w:t>七、合并范围的变更”。</w:t>
      </w:r>
    </w:p>
    <w:p>
      <w:pPr>
        <w:spacing w:line="240" w:lineRule="auto" w:before="11"/>
        <w:rPr>
          <w:rFonts w:ascii="华文细黑" w:hAnsi="华文细黑" w:cs="华文细黑" w:eastAsia="华文细黑" w:hint="default"/>
          <w:sz w:val="18"/>
          <w:szCs w:val="18"/>
        </w:rPr>
      </w:pPr>
    </w:p>
    <w:p>
      <w:pPr>
        <w:pStyle w:val="Heading5"/>
        <w:spacing w:line="240" w:lineRule="auto" w:before="0"/>
        <w:ind w:right="1023"/>
        <w:jc w:val="left"/>
        <w:rPr>
          <w:b w:val="0"/>
          <w:bCs w:val="0"/>
        </w:rPr>
      </w:pPr>
      <w:bookmarkStart w:name="（7）公司报告期内业务、产品或服务发生重大变化或调整有关情况" w:id="54"/>
      <w:bookmarkEnd w:id="54"/>
      <w:r>
        <w:rPr>
          <w:b w:val="0"/>
          <w:bCs w:val="0"/>
        </w:rPr>
      </w:r>
      <w:r>
        <w:rPr/>
        <w:t>（</w:t>
      </w:r>
      <w:r>
        <w:rPr>
          <w:rFonts w:ascii="华文细黑" w:hAnsi="华文细黑" w:cs="华文细黑" w:eastAsia="华文细黑" w:hint="default"/>
        </w:rPr>
        <w:t>7</w:t>
      </w:r>
      <w:r>
        <w:rPr/>
        <w:t>）公司报告期内业务、产品或服务发生重大变化或调整有关情况</w:t>
      </w:r>
      <w:r>
        <w:rPr>
          <w:b w:val="0"/>
          <w:bCs w:val="0"/>
        </w:rPr>
      </w:r>
    </w:p>
    <w:p>
      <w:pPr>
        <w:spacing w:line="240" w:lineRule="auto" w:before="6"/>
        <w:rPr>
          <w:rFonts w:ascii="华文细黑" w:hAnsi="华文细黑" w:cs="华文细黑" w:eastAsia="华文细黑" w:hint="default"/>
          <w:b/>
          <w:bCs/>
          <w:sz w:val="22"/>
          <w:szCs w:val="22"/>
        </w:rPr>
      </w:pPr>
    </w:p>
    <w:p>
      <w:pPr>
        <w:pStyle w:val="BodyText"/>
        <w:spacing w:line="240" w:lineRule="auto"/>
        <w:ind w:left="234" w:right="1023"/>
        <w:jc w:val="left"/>
      </w:pPr>
      <w:r>
        <w:rPr/>
        <w:t>□  适用  √</w:t>
      </w:r>
      <w:r>
        <w:rPr>
          <w:spacing w:val="51"/>
        </w:rPr>
        <w:t> </w:t>
      </w:r>
      <w:r>
        <w:rPr/>
        <w:t>不适用</w:t>
      </w:r>
    </w:p>
    <w:p>
      <w:pPr>
        <w:spacing w:after="0" w:line="240" w:lineRule="auto"/>
        <w:jc w:val="left"/>
        <w:sectPr>
          <w:type w:val="continuous"/>
          <w:pgSz w:w="11910" w:h="16840"/>
          <w:pgMar w:top="240" w:bottom="0" w:left="900" w:right="0"/>
        </w:sectPr>
      </w:pPr>
    </w:p>
    <w:p>
      <w:pPr>
        <w:spacing w:line="240" w:lineRule="auto" w:before="13"/>
        <w:rPr>
          <w:rFonts w:ascii="华文细黑" w:hAnsi="华文细黑" w:cs="华文细黑" w:eastAsia="华文细黑" w:hint="default"/>
          <w:sz w:val="20"/>
          <w:szCs w:val="20"/>
        </w:rPr>
      </w:pPr>
    </w:p>
    <w:p>
      <w:pPr>
        <w:spacing w:line="496" w:lineRule="auto" w:before="10"/>
        <w:ind w:left="234" w:right="7272" w:firstLine="0"/>
        <w:jc w:val="left"/>
        <w:rPr>
          <w:rFonts w:ascii="华文细黑" w:hAnsi="华文细黑" w:cs="华文细黑" w:eastAsia="华文细黑" w:hint="default"/>
          <w:sz w:val="21"/>
          <w:szCs w:val="21"/>
        </w:rPr>
      </w:pPr>
      <w:r>
        <w:rPr/>
        <w:pict>
          <v:shape style="position:absolute;margin-left:50.880001pt;margin-top:50.101727pt;width:479.2pt;height:60.9pt;mso-position-horizontal-relative:page;mso-position-vertical-relative:paragraph;z-index:12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738"/>
                    <w:gridCol w:w="4830"/>
                  </w:tblGrid>
                  <w:tr>
                    <w:trPr>
                      <w:trHeight w:val="403" w:hRule="exact"/>
                    </w:trPr>
                    <w:tc>
                      <w:tcPr>
                        <w:tcW w:w="47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前五名客户合计销售金额（元）</w:t>
                        </w:r>
                      </w:p>
                    </w:tc>
                    <w:tc>
                      <w:tcPr>
                        <w:tcW w:w="48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12,034,548,224.11</w:t>
                        </w:r>
                      </w:p>
                    </w:tc>
                  </w:tr>
                  <w:tr>
                    <w:trPr>
                      <w:trHeight w:val="402" w:hRule="exact"/>
                    </w:trPr>
                    <w:tc>
                      <w:tcPr>
                        <w:tcW w:w="47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前五名客户合计销售金额占年度销售总额比例</w:t>
                        </w:r>
                      </w:p>
                    </w:tc>
                    <w:tc>
                      <w:tcPr>
                        <w:tcW w:w="48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w w:val="95"/>
                            <w:sz w:val="18"/>
                          </w:rPr>
                          <w:t>21.12%</w:t>
                        </w:r>
                      </w:p>
                    </w:tc>
                  </w:tr>
                  <w:tr>
                    <w:trPr>
                      <w:trHeight w:val="403" w:hRule="exact"/>
                    </w:trPr>
                    <w:tc>
                      <w:tcPr>
                        <w:tcW w:w="47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前五名客户销售额中关联方销售额占年度销售总额比例</w:t>
                        </w:r>
                      </w:p>
                    </w:tc>
                    <w:tc>
                      <w:tcPr>
                        <w:tcW w:w="48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0.00%</w:t>
                        </w:r>
                      </w:p>
                    </w:tc>
                  </w:tr>
                </w:tbl>
                <w:p>
                  <w:pPr/>
                </w:p>
              </w:txbxContent>
            </v:textbox>
            <w10:wrap type="none"/>
          </v:shape>
        </w:pict>
      </w:r>
      <w:bookmarkStart w:name="（8）主要销售客户和主要供应商情况" w:id="55"/>
      <w:bookmarkEnd w:id="55"/>
      <w:r>
        <w:rPr/>
      </w:r>
      <w:r>
        <w:rPr>
          <w:rFonts w:ascii="华文细黑" w:hAnsi="华文细黑" w:cs="华文细黑" w:eastAsia="华文细黑" w:hint="default"/>
          <w:b/>
          <w:bCs/>
          <w:sz w:val="21"/>
          <w:szCs w:val="21"/>
        </w:rPr>
        <w:t>（</w:t>
      </w:r>
      <w:r>
        <w:rPr>
          <w:rFonts w:ascii="华文细黑" w:hAnsi="华文细黑" w:cs="华文细黑" w:eastAsia="华文细黑" w:hint="default"/>
          <w:b/>
          <w:bCs/>
          <w:sz w:val="21"/>
          <w:szCs w:val="21"/>
        </w:rPr>
        <w:t>8</w:t>
      </w:r>
      <w:r>
        <w:rPr>
          <w:rFonts w:ascii="华文细黑" w:hAnsi="华文细黑" w:cs="华文细黑" w:eastAsia="华文细黑" w:hint="default"/>
          <w:b/>
          <w:bCs/>
          <w:sz w:val="21"/>
          <w:szCs w:val="21"/>
        </w:rPr>
        <w:t>）主要销售客户和主要供应商情况</w:t>
      </w:r>
      <w:r>
        <w:rPr>
          <w:rFonts w:ascii="华文细黑" w:hAnsi="华文细黑" w:cs="华文细黑" w:eastAsia="华文细黑" w:hint="default"/>
          <w:b/>
          <w:bCs/>
          <w:w w:val="99"/>
          <w:sz w:val="21"/>
          <w:szCs w:val="21"/>
        </w:rPr>
        <w:t> </w:t>
      </w:r>
      <w:r>
        <w:rPr>
          <w:rFonts w:ascii="华文细黑" w:hAnsi="华文细黑" w:cs="华文细黑" w:eastAsia="华文细黑" w:hint="default"/>
          <w:sz w:val="21"/>
          <w:szCs w:val="21"/>
        </w:rPr>
        <w:t>公司主要销售客户情况</w:t>
      </w: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15"/>
          <w:szCs w:val="15"/>
        </w:rPr>
      </w:pPr>
    </w:p>
    <w:p>
      <w:pPr>
        <w:pStyle w:val="BodyText"/>
        <w:spacing w:line="240" w:lineRule="auto" w:before="10"/>
        <w:ind w:left="234" w:right="1023"/>
        <w:jc w:val="left"/>
      </w:pPr>
      <w:r>
        <w:rPr/>
        <w:t>公司前 </w:t>
      </w:r>
      <w:r>
        <w:rPr>
          <w:rFonts w:ascii="华文细黑" w:hAnsi="华文细黑" w:cs="华文细黑" w:eastAsia="华文细黑" w:hint="default"/>
        </w:rPr>
        <w:t>5</w:t>
      </w:r>
      <w:r>
        <w:rPr>
          <w:rFonts w:ascii="华文细黑" w:hAnsi="华文细黑" w:cs="华文细黑" w:eastAsia="华文细黑" w:hint="default"/>
          <w:spacing w:val="-2"/>
        </w:rPr>
        <w:t> </w:t>
      </w:r>
      <w:r>
        <w:rPr/>
        <w:t>大客户资料</w:t>
      </w:r>
    </w:p>
    <w:p>
      <w:pPr>
        <w:spacing w:line="240" w:lineRule="auto" w:before="11"/>
        <w:rPr>
          <w:rFonts w:ascii="华文细黑" w:hAnsi="华文细黑" w:cs="华文细黑" w:eastAsia="华文细黑" w:hint="default"/>
          <w:sz w:val="5"/>
          <w:szCs w:val="5"/>
        </w:rPr>
      </w:pPr>
    </w:p>
    <w:tbl>
      <w:tblPr>
        <w:tblW w:w="0" w:type="auto"/>
        <w:jc w:val="left"/>
        <w:tblInd w:w="117" w:type="dxa"/>
        <w:tblLayout w:type="fixed"/>
        <w:tblCellMar>
          <w:top w:w="0" w:type="dxa"/>
          <w:left w:w="0" w:type="dxa"/>
          <w:bottom w:w="0" w:type="dxa"/>
          <w:right w:w="0" w:type="dxa"/>
        </w:tblCellMar>
        <w:tblLook w:val="01E0"/>
      </w:tblPr>
      <w:tblGrid>
        <w:gridCol w:w="802"/>
        <w:gridCol w:w="3936"/>
        <w:gridCol w:w="1770"/>
        <w:gridCol w:w="3060"/>
      </w:tblGrid>
      <w:tr>
        <w:trPr>
          <w:trHeight w:val="401" w:hRule="exact"/>
        </w:trPr>
        <w:tc>
          <w:tcPr>
            <w:tcW w:w="8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21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序号</w:t>
            </w:r>
          </w:p>
        </w:tc>
        <w:tc>
          <w:tcPr>
            <w:tcW w:w="39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客户名称</w:t>
            </w:r>
          </w:p>
        </w:tc>
        <w:tc>
          <w:tcPr>
            <w:tcW w:w="17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33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销售额（元）</w:t>
            </w:r>
          </w:p>
        </w:tc>
        <w:tc>
          <w:tcPr>
            <w:tcW w:w="30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71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占年度销售总额比例</w:t>
            </w:r>
          </w:p>
        </w:tc>
      </w:tr>
      <w:tr>
        <w:trPr>
          <w:trHeight w:val="402" w:hRule="exact"/>
        </w:trPr>
        <w:tc>
          <w:tcPr>
            <w:tcW w:w="8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sz w:val="18"/>
              </w:rPr>
              <w:t>1</w:t>
            </w:r>
          </w:p>
        </w:tc>
        <w:tc>
          <w:tcPr>
            <w:tcW w:w="39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客户</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1</w:t>
            </w:r>
          </w:p>
        </w:tc>
        <w:tc>
          <w:tcPr>
            <w:tcW w:w="17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pacing w:val="-1"/>
                <w:sz w:val="18"/>
              </w:rPr>
              <w:t>4,926,688,437.32</w:t>
            </w:r>
          </w:p>
        </w:tc>
        <w:tc>
          <w:tcPr>
            <w:tcW w:w="30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8.65%</w:t>
            </w:r>
          </w:p>
        </w:tc>
      </w:tr>
      <w:tr>
        <w:trPr>
          <w:trHeight w:val="402" w:hRule="exact"/>
        </w:trPr>
        <w:tc>
          <w:tcPr>
            <w:tcW w:w="8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sz w:val="18"/>
              </w:rPr>
              <w:t>2</w:t>
            </w:r>
          </w:p>
        </w:tc>
        <w:tc>
          <w:tcPr>
            <w:tcW w:w="39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客户</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2</w:t>
            </w:r>
          </w:p>
        </w:tc>
        <w:tc>
          <w:tcPr>
            <w:tcW w:w="17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pacing w:val="-1"/>
                <w:sz w:val="18"/>
              </w:rPr>
              <w:t>3,449,249,019.26</w:t>
            </w:r>
          </w:p>
        </w:tc>
        <w:tc>
          <w:tcPr>
            <w:tcW w:w="30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6.05%</w:t>
            </w:r>
          </w:p>
        </w:tc>
      </w:tr>
      <w:tr>
        <w:trPr>
          <w:trHeight w:val="402" w:hRule="exact"/>
        </w:trPr>
        <w:tc>
          <w:tcPr>
            <w:tcW w:w="8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sz w:val="18"/>
              </w:rPr>
              <w:t>3</w:t>
            </w:r>
          </w:p>
        </w:tc>
        <w:tc>
          <w:tcPr>
            <w:tcW w:w="39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客户</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3</w:t>
            </w:r>
          </w:p>
        </w:tc>
        <w:tc>
          <w:tcPr>
            <w:tcW w:w="17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pacing w:val="-1"/>
                <w:sz w:val="18"/>
              </w:rPr>
              <w:t>1,496,981,718.33</w:t>
            </w:r>
          </w:p>
        </w:tc>
        <w:tc>
          <w:tcPr>
            <w:tcW w:w="30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2.63%</w:t>
            </w:r>
          </w:p>
        </w:tc>
      </w:tr>
      <w:tr>
        <w:trPr>
          <w:trHeight w:val="402" w:hRule="exact"/>
        </w:trPr>
        <w:tc>
          <w:tcPr>
            <w:tcW w:w="8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sz w:val="18"/>
              </w:rPr>
              <w:t>4</w:t>
            </w:r>
          </w:p>
        </w:tc>
        <w:tc>
          <w:tcPr>
            <w:tcW w:w="39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客户</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4</w:t>
            </w:r>
          </w:p>
        </w:tc>
        <w:tc>
          <w:tcPr>
            <w:tcW w:w="17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pacing w:val="-1"/>
                <w:sz w:val="18"/>
              </w:rPr>
              <w:t>1,129,883,613.39</w:t>
            </w:r>
          </w:p>
        </w:tc>
        <w:tc>
          <w:tcPr>
            <w:tcW w:w="30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1.98%</w:t>
            </w:r>
          </w:p>
        </w:tc>
      </w:tr>
      <w:tr>
        <w:trPr>
          <w:trHeight w:val="402" w:hRule="exact"/>
        </w:trPr>
        <w:tc>
          <w:tcPr>
            <w:tcW w:w="8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sz w:val="18"/>
              </w:rPr>
              <w:t>5</w:t>
            </w:r>
          </w:p>
        </w:tc>
        <w:tc>
          <w:tcPr>
            <w:tcW w:w="39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客户</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5</w:t>
            </w:r>
          </w:p>
        </w:tc>
        <w:tc>
          <w:tcPr>
            <w:tcW w:w="17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pacing w:val="-1"/>
                <w:sz w:val="18"/>
              </w:rPr>
              <w:t>1,031,745,435.81</w:t>
            </w:r>
          </w:p>
        </w:tc>
        <w:tc>
          <w:tcPr>
            <w:tcW w:w="30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1.81%</w:t>
            </w:r>
          </w:p>
        </w:tc>
      </w:tr>
      <w:tr>
        <w:trPr>
          <w:trHeight w:val="403" w:hRule="exact"/>
        </w:trPr>
        <w:tc>
          <w:tcPr>
            <w:tcW w:w="8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合计</w:t>
            </w:r>
          </w:p>
        </w:tc>
        <w:tc>
          <w:tcPr>
            <w:tcW w:w="39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sz w:val="18"/>
              </w:rPr>
              <w:t>--</w:t>
            </w:r>
          </w:p>
        </w:tc>
        <w:tc>
          <w:tcPr>
            <w:tcW w:w="17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12,034,548,224.11</w:t>
            </w:r>
          </w:p>
        </w:tc>
        <w:tc>
          <w:tcPr>
            <w:tcW w:w="30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w w:val="95"/>
                <w:sz w:val="18"/>
              </w:rPr>
              <w:t>21.12%</w:t>
            </w:r>
          </w:p>
        </w:tc>
      </w:tr>
    </w:tbl>
    <w:p>
      <w:pPr>
        <w:pStyle w:val="BodyText"/>
        <w:spacing w:line="379" w:lineRule="auto" w:before="50"/>
        <w:ind w:left="234" w:right="1118"/>
        <w:jc w:val="left"/>
      </w:pPr>
      <w:r>
        <w:rPr>
          <w:spacing w:val="-3"/>
        </w:rPr>
        <w:t>主要客户其他情况说明：“客户 </w:t>
      </w:r>
      <w:r>
        <w:rPr>
          <w:rFonts w:ascii="华文细黑" w:hAnsi="华文细黑" w:cs="华文细黑" w:eastAsia="华文细黑" w:hint="default"/>
          <w:spacing w:val="-4"/>
        </w:rPr>
        <w:t>1</w:t>
      </w:r>
      <w:r>
        <w:rPr>
          <w:spacing w:val="-4"/>
        </w:rPr>
        <w:t>”与应收账款的“第二名”为同一个客户，“客户</w:t>
      </w:r>
      <w:r>
        <w:rPr>
          <w:spacing w:val="23"/>
        </w:rPr>
        <w:t> </w:t>
      </w:r>
      <w:r>
        <w:rPr>
          <w:rFonts w:ascii="华文细黑" w:hAnsi="华文细黑" w:cs="华文细黑" w:eastAsia="华文细黑" w:hint="default"/>
          <w:spacing w:val="-4"/>
        </w:rPr>
        <w:t>2</w:t>
      </w:r>
      <w:r>
        <w:rPr>
          <w:spacing w:val="-4"/>
        </w:rPr>
        <w:t>”与应收账款的“第</w:t>
      </w:r>
      <w:r>
        <w:rPr/>
        <w:t> 四名”为同一个客户。</w:t>
      </w:r>
    </w:p>
    <w:p>
      <w:pPr>
        <w:pStyle w:val="BodyText"/>
        <w:spacing w:line="410" w:lineRule="auto" w:before="81"/>
        <w:ind w:left="655" w:right="1232" w:hanging="422"/>
        <w:jc w:val="left"/>
        <w:rPr>
          <w:rFonts w:ascii="华文细黑" w:hAnsi="华文细黑" w:cs="华文细黑" w:eastAsia="华文细黑" w:hint="default"/>
        </w:rPr>
      </w:pPr>
      <w:r>
        <w:rPr/>
        <w:t>√ 适用 □</w:t>
      </w:r>
      <w:r>
        <w:rPr>
          <w:spacing w:val="51"/>
        </w:rPr>
        <w:t> </w:t>
      </w:r>
      <w:r>
        <w:rPr/>
        <w:t>不适用</w:t>
      </w:r>
      <w:r>
        <w:rPr/>
        <w:t> 公司前五名客户与公司不存在关联关系，公司董事、监事、高级管理人员、核心技术人员、持股</w:t>
      </w:r>
      <w:r>
        <w:rPr>
          <w:rFonts w:ascii="华文细黑" w:hAnsi="华文细黑" w:cs="华文细黑" w:eastAsia="华文细黑" w:hint="default"/>
        </w:rPr>
        <w:t>5%</w:t>
      </w:r>
    </w:p>
    <w:p>
      <w:pPr>
        <w:pStyle w:val="BodyText"/>
        <w:spacing w:line="348" w:lineRule="auto" w:before="10"/>
        <w:ind w:left="234" w:right="3822"/>
        <w:jc w:val="left"/>
      </w:pPr>
      <w:r>
        <w:rPr/>
        <w:t>以上股东、实际控制人和其他关联方在主要客户中不直接或间接拥有权益。 公司主要供应商情况</w:t>
      </w:r>
    </w:p>
    <w:tbl>
      <w:tblPr>
        <w:tblW w:w="0" w:type="auto"/>
        <w:jc w:val="left"/>
        <w:tblInd w:w="117" w:type="dxa"/>
        <w:tblLayout w:type="fixed"/>
        <w:tblCellMar>
          <w:top w:w="0" w:type="dxa"/>
          <w:left w:w="0" w:type="dxa"/>
          <w:bottom w:w="0" w:type="dxa"/>
          <w:right w:w="0" w:type="dxa"/>
        </w:tblCellMar>
        <w:tblLook w:val="01E0"/>
      </w:tblPr>
      <w:tblGrid>
        <w:gridCol w:w="4738"/>
        <w:gridCol w:w="4830"/>
      </w:tblGrid>
      <w:tr>
        <w:trPr>
          <w:trHeight w:val="402" w:hRule="exact"/>
        </w:trPr>
        <w:tc>
          <w:tcPr>
            <w:tcW w:w="47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前五名供应商合计采购金额（元）</w:t>
            </w:r>
          </w:p>
        </w:tc>
        <w:tc>
          <w:tcPr>
            <w:tcW w:w="48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20"/>
              <w:ind w:right="101"/>
              <w:jc w:val="right"/>
              <w:rPr>
                <w:rFonts w:ascii="华文细黑" w:hAnsi="华文细黑" w:cs="华文细黑" w:eastAsia="华文细黑" w:hint="default"/>
                <w:sz w:val="18"/>
                <w:szCs w:val="18"/>
              </w:rPr>
            </w:pPr>
            <w:r>
              <w:rPr>
                <w:rFonts w:ascii="华文细黑"/>
                <w:sz w:val="18"/>
              </w:rPr>
              <w:t>46,886,675,621.59</w:t>
            </w:r>
          </w:p>
        </w:tc>
      </w:tr>
      <w:tr>
        <w:trPr>
          <w:trHeight w:val="402" w:hRule="exact"/>
        </w:trPr>
        <w:tc>
          <w:tcPr>
            <w:tcW w:w="47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前五名供应商合计采购金额占年度采购总额比例</w:t>
            </w:r>
          </w:p>
        </w:tc>
        <w:tc>
          <w:tcPr>
            <w:tcW w:w="48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20"/>
              <w:ind w:right="100"/>
              <w:jc w:val="right"/>
              <w:rPr>
                <w:rFonts w:ascii="华文细黑" w:hAnsi="华文细黑" w:cs="华文细黑" w:eastAsia="华文细黑" w:hint="default"/>
                <w:sz w:val="18"/>
                <w:szCs w:val="18"/>
              </w:rPr>
            </w:pPr>
            <w:r>
              <w:rPr>
                <w:rFonts w:ascii="华文细黑"/>
                <w:w w:val="95"/>
                <w:sz w:val="18"/>
              </w:rPr>
              <w:t>87.13%</w:t>
            </w:r>
          </w:p>
        </w:tc>
      </w:tr>
      <w:tr>
        <w:trPr>
          <w:trHeight w:val="402" w:hRule="exact"/>
        </w:trPr>
        <w:tc>
          <w:tcPr>
            <w:tcW w:w="47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前五名供应商采购额中关联方采购额占年度采购总额比例</w:t>
            </w:r>
          </w:p>
        </w:tc>
        <w:tc>
          <w:tcPr>
            <w:tcW w:w="48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20"/>
              <w:ind w:right="101"/>
              <w:jc w:val="right"/>
              <w:rPr>
                <w:rFonts w:ascii="华文细黑" w:hAnsi="华文细黑" w:cs="华文细黑" w:eastAsia="华文细黑" w:hint="default"/>
                <w:sz w:val="18"/>
                <w:szCs w:val="18"/>
              </w:rPr>
            </w:pPr>
            <w:r>
              <w:rPr>
                <w:rFonts w:ascii="华文细黑"/>
                <w:sz w:val="18"/>
              </w:rPr>
              <w:t>0.00%</w:t>
            </w:r>
          </w:p>
        </w:tc>
      </w:tr>
    </w:tbl>
    <w:p>
      <w:pPr>
        <w:pStyle w:val="BodyText"/>
        <w:spacing w:line="290" w:lineRule="exact"/>
        <w:ind w:left="234" w:right="1023"/>
        <w:jc w:val="left"/>
      </w:pPr>
      <w:r>
        <w:rPr/>
        <w:t>公司前 </w:t>
      </w:r>
      <w:r>
        <w:rPr>
          <w:rFonts w:ascii="华文细黑" w:hAnsi="华文细黑" w:cs="华文细黑" w:eastAsia="华文细黑" w:hint="default"/>
        </w:rPr>
        <w:t>5</w:t>
      </w:r>
      <w:r>
        <w:rPr>
          <w:rFonts w:ascii="华文细黑" w:hAnsi="华文细黑" w:cs="华文细黑" w:eastAsia="华文细黑" w:hint="default"/>
          <w:spacing w:val="-2"/>
        </w:rPr>
        <w:t> </w:t>
      </w:r>
      <w:r>
        <w:rPr/>
        <w:t>名供应商资料</w:t>
      </w:r>
    </w:p>
    <w:p>
      <w:pPr>
        <w:spacing w:line="240" w:lineRule="auto" w:before="12"/>
        <w:rPr>
          <w:rFonts w:ascii="华文细黑" w:hAnsi="华文细黑" w:cs="华文细黑" w:eastAsia="华文细黑" w:hint="default"/>
          <w:sz w:val="5"/>
          <w:szCs w:val="5"/>
        </w:rPr>
      </w:pPr>
    </w:p>
    <w:tbl>
      <w:tblPr>
        <w:tblW w:w="0" w:type="auto"/>
        <w:jc w:val="left"/>
        <w:tblInd w:w="117" w:type="dxa"/>
        <w:tblLayout w:type="fixed"/>
        <w:tblCellMar>
          <w:top w:w="0" w:type="dxa"/>
          <w:left w:w="0" w:type="dxa"/>
          <w:bottom w:w="0" w:type="dxa"/>
          <w:right w:w="0" w:type="dxa"/>
        </w:tblCellMar>
        <w:tblLook w:val="01E0"/>
      </w:tblPr>
      <w:tblGrid>
        <w:gridCol w:w="935"/>
        <w:gridCol w:w="3819"/>
        <w:gridCol w:w="1754"/>
        <w:gridCol w:w="3060"/>
      </w:tblGrid>
      <w:tr>
        <w:trPr>
          <w:trHeight w:val="402" w:hRule="exact"/>
        </w:trPr>
        <w:tc>
          <w:tcPr>
            <w:tcW w:w="93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28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序号</w:t>
            </w:r>
          </w:p>
        </w:tc>
        <w:tc>
          <w:tcPr>
            <w:tcW w:w="381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供应商名称</w:t>
            </w:r>
          </w:p>
        </w:tc>
        <w:tc>
          <w:tcPr>
            <w:tcW w:w="17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33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采购额（元）</w:t>
            </w:r>
          </w:p>
        </w:tc>
        <w:tc>
          <w:tcPr>
            <w:tcW w:w="30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71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占年度采购总额比例</w:t>
            </w:r>
          </w:p>
        </w:tc>
      </w:tr>
      <w:tr>
        <w:trPr>
          <w:trHeight w:val="402" w:hRule="exact"/>
        </w:trPr>
        <w:tc>
          <w:tcPr>
            <w:tcW w:w="93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1</w:t>
            </w:r>
          </w:p>
        </w:tc>
        <w:tc>
          <w:tcPr>
            <w:tcW w:w="38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供应商</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1</w:t>
            </w:r>
          </w:p>
        </w:tc>
        <w:tc>
          <w:tcPr>
            <w:tcW w:w="175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27,467,427,389.00</w:t>
            </w:r>
          </w:p>
        </w:tc>
        <w:tc>
          <w:tcPr>
            <w:tcW w:w="30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w w:val="95"/>
                <w:sz w:val="18"/>
              </w:rPr>
              <w:t>51.04%</w:t>
            </w:r>
          </w:p>
        </w:tc>
      </w:tr>
      <w:tr>
        <w:trPr>
          <w:trHeight w:val="402" w:hRule="exact"/>
        </w:trPr>
        <w:tc>
          <w:tcPr>
            <w:tcW w:w="93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w:t>
            </w:r>
          </w:p>
        </w:tc>
        <w:tc>
          <w:tcPr>
            <w:tcW w:w="38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供应商</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2</w:t>
            </w:r>
          </w:p>
        </w:tc>
        <w:tc>
          <w:tcPr>
            <w:tcW w:w="175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16,618,076,233.29</w:t>
            </w:r>
          </w:p>
        </w:tc>
        <w:tc>
          <w:tcPr>
            <w:tcW w:w="30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w w:val="95"/>
                <w:sz w:val="18"/>
              </w:rPr>
              <w:t>30.88%</w:t>
            </w:r>
          </w:p>
        </w:tc>
      </w:tr>
      <w:tr>
        <w:trPr>
          <w:trHeight w:val="402" w:hRule="exact"/>
        </w:trPr>
        <w:tc>
          <w:tcPr>
            <w:tcW w:w="93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3</w:t>
            </w:r>
          </w:p>
        </w:tc>
        <w:tc>
          <w:tcPr>
            <w:tcW w:w="38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供应商</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3</w:t>
            </w:r>
          </w:p>
        </w:tc>
        <w:tc>
          <w:tcPr>
            <w:tcW w:w="175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pacing w:val="-1"/>
                <w:sz w:val="18"/>
              </w:rPr>
              <w:t>1,260,080,278.49</w:t>
            </w:r>
          </w:p>
        </w:tc>
        <w:tc>
          <w:tcPr>
            <w:tcW w:w="30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2.34%</w:t>
            </w:r>
          </w:p>
        </w:tc>
      </w:tr>
      <w:tr>
        <w:trPr>
          <w:trHeight w:val="402" w:hRule="exact"/>
        </w:trPr>
        <w:tc>
          <w:tcPr>
            <w:tcW w:w="93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4</w:t>
            </w:r>
          </w:p>
        </w:tc>
        <w:tc>
          <w:tcPr>
            <w:tcW w:w="38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供应商</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4</w:t>
            </w:r>
          </w:p>
        </w:tc>
        <w:tc>
          <w:tcPr>
            <w:tcW w:w="175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pacing w:val="-1"/>
                <w:sz w:val="18"/>
              </w:rPr>
              <w:t>1,080,675,195.47</w:t>
            </w:r>
          </w:p>
        </w:tc>
        <w:tc>
          <w:tcPr>
            <w:tcW w:w="30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2.01%</w:t>
            </w:r>
          </w:p>
        </w:tc>
      </w:tr>
      <w:tr>
        <w:trPr>
          <w:trHeight w:val="402" w:hRule="exact"/>
        </w:trPr>
        <w:tc>
          <w:tcPr>
            <w:tcW w:w="93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5</w:t>
            </w:r>
          </w:p>
        </w:tc>
        <w:tc>
          <w:tcPr>
            <w:tcW w:w="38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供应商</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5</w:t>
            </w:r>
          </w:p>
        </w:tc>
        <w:tc>
          <w:tcPr>
            <w:tcW w:w="175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460,416,525.34</w:t>
            </w:r>
          </w:p>
        </w:tc>
        <w:tc>
          <w:tcPr>
            <w:tcW w:w="30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0.86%</w:t>
            </w:r>
          </w:p>
        </w:tc>
      </w:tr>
      <w:tr>
        <w:trPr>
          <w:trHeight w:val="402" w:hRule="exact"/>
        </w:trPr>
        <w:tc>
          <w:tcPr>
            <w:tcW w:w="93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合计</w:t>
            </w:r>
          </w:p>
        </w:tc>
        <w:tc>
          <w:tcPr>
            <w:tcW w:w="38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sz w:val="18"/>
              </w:rPr>
              <w:t>--</w:t>
            </w:r>
          </w:p>
        </w:tc>
        <w:tc>
          <w:tcPr>
            <w:tcW w:w="175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46,886,675,621.59</w:t>
            </w:r>
          </w:p>
        </w:tc>
        <w:tc>
          <w:tcPr>
            <w:tcW w:w="30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w w:val="95"/>
                <w:sz w:val="18"/>
              </w:rPr>
              <w:t>87.13%</w:t>
            </w:r>
          </w:p>
        </w:tc>
      </w:tr>
    </w:tbl>
    <w:p>
      <w:pPr>
        <w:spacing w:line="240" w:lineRule="auto" w:before="13"/>
        <w:rPr>
          <w:rFonts w:ascii="华文细黑" w:hAnsi="华文细黑" w:cs="华文细黑" w:eastAsia="华文细黑" w:hint="default"/>
          <w:sz w:val="13"/>
          <w:szCs w:val="13"/>
        </w:rPr>
      </w:pPr>
    </w:p>
    <w:p>
      <w:pPr>
        <w:pStyle w:val="BodyText"/>
        <w:spacing w:line="379" w:lineRule="auto" w:before="10"/>
        <w:ind w:left="234" w:right="1123"/>
        <w:jc w:val="left"/>
      </w:pPr>
      <w:r>
        <w:rPr>
          <w:spacing w:val="-8"/>
        </w:rPr>
        <w:t>主要供应商其他情况说明：“供应商</w:t>
      </w:r>
      <w:r>
        <w:rPr/>
        <w:t> </w:t>
      </w:r>
      <w:r>
        <w:rPr>
          <w:rFonts w:ascii="华文细黑" w:hAnsi="华文细黑" w:cs="华文细黑" w:eastAsia="华文细黑" w:hint="default"/>
          <w:spacing w:val="-34"/>
        </w:rPr>
        <w:t>1</w:t>
      </w:r>
      <w:r>
        <w:rPr>
          <w:spacing w:val="-34"/>
        </w:rPr>
        <w:t>”、“供应商</w:t>
      </w:r>
      <w:r>
        <w:rPr/>
        <w:t> </w:t>
      </w:r>
      <w:r>
        <w:rPr>
          <w:rFonts w:ascii="华文细黑" w:hAnsi="华文细黑" w:cs="华文细黑" w:eastAsia="华文细黑" w:hint="default"/>
          <w:spacing w:val="-34"/>
        </w:rPr>
        <w:t>2</w:t>
      </w:r>
      <w:r>
        <w:rPr>
          <w:spacing w:val="-34"/>
        </w:rPr>
        <w:t>”、“供应商</w:t>
      </w:r>
      <w:r>
        <w:rPr/>
        <w:t> </w:t>
      </w:r>
      <w:r>
        <w:rPr>
          <w:rFonts w:ascii="华文细黑" w:hAnsi="华文细黑" w:cs="华文细黑" w:eastAsia="华文细黑" w:hint="default"/>
          <w:spacing w:val="-4"/>
        </w:rPr>
        <w:t>3</w:t>
      </w:r>
      <w:r>
        <w:rPr>
          <w:spacing w:val="-4"/>
        </w:rPr>
        <w:t>”与上年披露的“供应商</w:t>
      </w:r>
      <w:r>
        <w:rPr/>
        <w:t> </w:t>
      </w:r>
      <w:r>
        <w:rPr>
          <w:rFonts w:ascii="华文细黑" w:hAnsi="华文细黑" w:cs="华文细黑" w:eastAsia="华文细黑" w:hint="default"/>
          <w:spacing w:val="-34"/>
        </w:rPr>
        <w:t>1</w:t>
      </w:r>
      <w:r>
        <w:rPr>
          <w:spacing w:val="-34"/>
        </w:rPr>
        <w:t>”、“供应商</w:t>
      </w:r>
      <w:r>
        <w:rPr>
          <w:spacing w:val="15"/>
        </w:rPr>
        <w:t> </w:t>
      </w:r>
      <w:r>
        <w:rPr>
          <w:rFonts w:ascii="华文细黑" w:hAnsi="华文细黑" w:cs="华文细黑" w:eastAsia="华文细黑" w:hint="default"/>
          <w:spacing w:val="-70"/>
        </w:rPr>
        <w:t>2</w:t>
      </w:r>
      <w:r>
        <w:rPr>
          <w:spacing w:val="-70"/>
        </w:rPr>
        <w:t>”、</w:t>
      </w:r>
      <w:r>
        <w:rPr>
          <w:spacing w:val="-105"/>
        </w:rPr>
        <w:t> </w:t>
      </w:r>
      <w:r>
        <w:rPr/>
        <w:t>“供应商 </w:t>
      </w:r>
      <w:r>
        <w:rPr>
          <w:rFonts w:ascii="华文细黑" w:hAnsi="华文细黑" w:cs="华文细黑" w:eastAsia="华文细黑" w:hint="default"/>
        </w:rPr>
        <w:t>3</w:t>
      </w:r>
      <w:r>
        <w:rPr/>
        <w:t>”名称和顺序相同。</w:t>
      </w:r>
    </w:p>
    <w:p>
      <w:pPr>
        <w:spacing w:after="0" w:line="379" w:lineRule="auto"/>
        <w:jc w:val="left"/>
        <w:sectPr>
          <w:pgSz w:w="11910" w:h="16840"/>
          <w:pgMar w:header="917" w:footer="1019" w:top="1100" w:bottom="1200" w:left="900" w:right="0"/>
        </w:sectPr>
      </w:pPr>
    </w:p>
    <w:p>
      <w:pPr>
        <w:spacing w:line="240" w:lineRule="auto" w:before="0"/>
        <w:rPr>
          <w:rFonts w:ascii="华文细黑" w:hAnsi="华文细黑" w:cs="华文细黑" w:eastAsia="华文细黑" w:hint="default"/>
          <w:sz w:val="21"/>
          <w:szCs w:val="21"/>
        </w:rPr>
      </w:pPr>
    </w:p>
    <w:p>
      <w:pPr>
        <w:pStyle w:val="BodyText"/>
        <w:spacing w:line="345" w:lineRule="auto" w:before="10"/>
        <w:ind w:left="655" w:right="1023" w:hanging="422"/>
        <w:jc w:val="left"/>
        <w:rPr>
          <w:rFonts w:ascii="华文细黑" w:hAnsi="华文细黑" w:cs="华文细黑" w:eastAsia="华文细黑" w:hint="default"/>
        </w:rPr>
      </w:pPr>
      <w:r>
        <w:rPr/>
        <w:t>√ 适用 □</w:t>
      </w:r>
      <w:r>
        <w:rPr>
          <w:spacing w:val="51"/>
        </w:rPr>
        <w:t> </w:t>
      </w:r>
      <w:r>
        <w:rPr/>
        <w:t>不适用</w:t>
      </w:r>
      <w:r>
        <w:rPr/>
        <w:t> </w:t>
      </w:r>
      <w:r>
        <w:rPr>
          <w:spacing w:val="-3"/>
        </w:rPr>
        <w:t>公司前五名供应商与公司不存在关联关系，公司董事、监事、高级管理人员、核心技术人员、持股</w:t>
      </w:r>
      <w:r>
        <w:rPr>
          <w:rFonts w:ascii="华文细黑" w:hAnsi="华文细黑" w:cs="华文细黑" w:eastAsia="华文细黑" w:hint="default"/>
          <w:spacing w:val="-3"/>
        </w:rPr>
        <w:t>5%</w:t>
      </w:r>
    </w:p>
    <w:p>
      <w:pPr>
        <w:pStyle w:val="BodyText"/>
        <w:spacing w:line="559" w:lineRule="auto" w:before="71"/>
        <w:ind w:left="234" w:right="3612"/>
        <w:jc w:val="left"/>
        <w:rPr>
          <w:rFonts w:ascii="华文细黑" w:hAnsi="华文细黑" w:cs="华文细黑" w:eastAsia="华文细黑" w:hint="default"/>
        </w:rPr>
      </w:pPr>
      <w:r>
        <w:rPr/>
        <w:t>以上股东、实际控制人和其他关联方在主要供应商中不直接或间接拥有权益。 </w:t>
      </w:r>
      <w:bookmarkStart w:name="3、费用" w:id="56"/>
      <w:bookmarkEnd w:id="56"/>
      <w:r>
        <w:rPr/>
      </w:r>
      <w:r>
        <w:rPr>
          <w:rFonts w:ascii="华文细黑" w:hAnsi="华文细黑" w:cs="华文细黑" w:eastAsia="华文细黑" w:hint="default"/>
          <w:b/>
          <w:bCs/>
        </w:rPr>
        <w:t>3</w:t>
      </w:r>
      <w:r>
        <w:rPr>
          <w:rFonts w:ascii="华文细黑" w:hAnsi="华文细黑" w:cs="华文细黑" w:eastAsia="华文细黑" w:hint="default"/>
          <w:b/>
          <w:bCs/>
        </w:rPr>
        <w:t>、费用</w:t>
      </w:r>
      <w:r>
        <w:rPr>
          <w:rFonts w:ascii="华文细黑" w:hAnsi="华文细黑" w:cs="华文细黑" w:eastAsia="华文细黑" w:hint="default"/>
        </w:rPr>
      </w:r>
    </w:p>
    <w:p>
      <w:pPr>
        <w:spacing w:before="42"/>
        <w:ind w:left="0" w:right="1130" w:firstLine="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单位：元</w:t>
      </w:r>
    </w:p>
    <w:p>
      <w:pPr>
        <w:spacing w:line="240" w:lineRule="auto" w:before="13"/>
        <w:rPr>
          <w:rFonts w:ascii="华文细黑" w:hAnsi="华文细黑" w:cs="华文细黑" w:eastAsia="华文细黑" w:hint="default"/>
          <w:sz w:val="6"/>
          <w:szCs w:val="6"/>
        </w:rPr>
      </w:pPr>
    </w:p>
    <w:tbl>
      <w:tblPr>
        <w:tblW w:w="0" w:type="auto"/>
        <w:jc w:val="left"/>
        <w:tblInd w:w="117" w:type="dxa"/>
        <w:tblLayout w:type="fixed"/>
        <w:tblCellMar>
          <w:top w:w="0" w:type="dxa"/>
          <w:left w:w="0" w:type="dxa"/>
          <w:bottom w:w="0" w:type="dxa"/>
          <w:right w:w="0" w:type="dxa"/>
        </w:tblCellMar>
        <w:tblLook w:val="01E0"/>
      </w:tblPr>
      <w:tblGrid>
        <w:gridCol w:w="1916"/>
        <w:gridCol w:w="1637"/>
        <w:gridCol w:w="1637"/>
        <w:gridCol w:w="1460"/>
        <w:gridCol w:w="2919"/>
      </w:tblGrid>
      <w:tr>
        <w:trPr>
          <w:trHeight w:val="402" w:hRule="exact"/>
        </w:trPr>
        <w:tc>
          <w:tcPr>
            <w:tcW w:w="1916"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63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50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163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5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2017</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14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36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同比增减</w:t>
            </w:r>
          </w:p>
        </w:tc>
        <w:tc>
          <w:tcPr>
            <w:tcW w:w="291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91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重大变动说明</w:t>
            </w:r>
          </w:p>
        </w:tc>
      </w:tr>
      <w:tr>
        <w:trPr>
          <w:trHeight w:val="402" w:hRule="exact"/>
        </w:trPr>
        <w:tc>
          <w:tcPr>
            <w:tcW w:w="19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销售费用</w:t>
            </w:r>
          </w:p>
        </w:tc>
        <w:tc>
          <w:tcPr>
            <w:tcW w:w="163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729,338,057.25</w:t>
            </w:r>
          </w:p>
        </w:tc>
        <w:tc>
          <w:tcPr>
            <w:tcW w:w="163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673,133,124.23</w:t>
            </w:r>
          </w:p>
        </w:tc>
        <w:tc>
          <w:tcPr>
            <w:tcW w:w="14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99"/>
              <w:jc w:val="right"/>
              <w:rPr>
                <w:rFonts w:ascii="华文细黑" w:hAnsi="华文细黑" w:cs="华文细黑" w:eastAsia="华文细黑" w:hint="default"/>
                <w:sz w:val="18"/>
                <w:szCs w:val="18"/>
              </w:rPr>
            </w:pPr>
            <w:r>
              <w:rPr>
                <w:rFonts w:ascii="华文细黑"/>
                <w:sz w:val="18"/>
              </w:rPr>
              <w:t>8.35%</w:t>
            </w:r>
          </w:p>
        </w:tc>
        <w:tc>
          <w:tcPr>
            <w:tcW w:w="2919"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19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管理费用</w:t>
            </w:r>
          </w:p>
        </w:tc>
        <w:tc>
          <w:tcPr>
            <w:tcW w:w="163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220,777,637.63</w:t>
            </w:r>
          </w:p>
        </w:tc>
        <w:tc>
          <w:tcPr>
            <w:tcW w:w="163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200,693,568.02</w:t>
            </w:r>
          </w:p>
        </w:tc>
        <w:tc>
          <w:tcPr>
            <w:tcW w:w="14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99"/>
              <w:jc w:val="right"/>
              <w:rPr>
                <w:rFonts w:ascii="华文细黑" w:hAnsi="华文细黑" w:cs="华文细黑" w:eastAsia="华文细黑" w:hint="default"/>
                <w:sz w:val="18"/>
                <w:szCs w:val="18"/>
              </w:rPr>
            </w:pPr>
            <w:r>
              <w:rPr>
                <w:rFonts w:ascii="华文细黑"/>
                <w:w w:val="95"/>
                <w:sz w:val="18"/>
              </w:rPr>
              <w:t>10.01%</w:t>
            </w:r>
          </w:p>
        </w:tc>
        <w:tc>
          <w:tcPr>
            <w:tcW w:w="2919"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19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财务费用</w:t>
            </w:r>
          </w:p>
        </w:tc>
        <w:tc>
          <w:tcPr>
            <w:tcW w:w="163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240,881,973.35</w:t>
            </w:r>
          </w:p>
        </w:tc>
        <w:tc>
          <w:tcPr>
            <w:tcW w:w="163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190,240,301.71</w:t>
            </w:r>
          </w:p>
        </w:tc>
        <w:tc>
          <w:tcPr>
            <w:tcW w:w="14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99"/>
              <w:jc w:val="right"/>
              <w:rPr>
                <w:rFonts w:ascii="华文细黑" w:hAnsi="华文细黑" w:cs="华文细黑" w:eastAsia="华文细黑" w:hint="default"/>
                <w:sz w:val="18"/>
                <w:szCs w:val="18"/>
              </w:rPr>
            </w:pPr>
            <w:r>
              <w:rPr>
                <w:rFonts w:ascii="华文细黑"/>
                <w:w w:val="95"/>
                <w:sz w:val="18"/>
              </w:rPr>
              <w:t>26.62%</w:t>
            </w:r>
          </w:p>
        </w:tc>
        <w:tc>
          <w:tcPr>
            <w:tcW w:w="29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融资环境变化，融资成本上升</w:t>
            </w:r>
          </w:p>
        </w:tc>
      </w:tr>
      <w:tr>
        <w:trPr>
          <w:trHeight w:val="402" w:hRule="exact"/>
        </w:trPr>
        <w:tc>
          <w:tcPr>
            <w:tcW w:w="19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研发费用</w:t>
            </w:r>
          </w:p>
        </w:tc>
        <w:tc>
          <w:tcPr>
            <w:tcW w:w="163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12,317,419.50</w:t>
            </w:r>
          </w:p>
        </w:tc>
        <w:tc>
          <w:tcPr>
            <w:tcW w:w="163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9,565,794.08</w:t>
            </w:r>
          </w:p>
        </w:tc>
        <w:tc>
          <w:tcPr>
            <w:tcW w:w="14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99"/>
              <w:jc w:val="right"/>
              <w:rPr>
                <w:rFonts w:ascii="华文细黑" w:hAnsi="华文细黑" w:cs="华文细黑" w:eastAsia="华文细黑" w:hint="default"/>
                <w:sz w:val="18"/>
                <w:szCs w:val="18"/>
              </w:rPr>
            </w:pPr>
            <w:r>
              <w:rPr>
                <w:rFonts w:ascii="华文细黑"/>
                <w:w w:val="95"/>
                <w:sz w:val="18"/>
              </w:rPr>
              <w:t>28.77%</w:t>
            </w:r>
          </w:p>
        </w:tc>
        <w:tc>
          <w:tcPr>
            <w:tcW w:w="29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研发投入增加</w:t>
            </w:r>
          </w:p>
        </w:tc>
      </w:tr>
    </w:tbl>
    <w:p>
      <w:pPr>
        <w:spacing w:line="240" w:lineRule="auto" w:before="9"/>
        <w:rPr>
          <w:rFonts w:ascii="华文细黑" w:hAnsi="华文细黑" w:cs="华文细黑" w:eastAsia="华文细黑" w:hint="default"/>
          <w:sz w:val="18"/>
          <w:szCs w:val="18"/>
        </w:rPr>
      </w:pPr>
    </w:p>
    <w:p>
      <w:pPr>
        <w:pStyle w:val="Heading5"/>
        <w:spacing w:line="240" w:lineRule="auto"/>
        <w:ind w:right="1023"/>
        <w:jc w:val="left"/>
        <w:rPr>
          <w:b w:val="0"/>
          <w:bCs w:val="0"/>
        </w:rPr>
      </w:pPr>
      <w:bookmarkStart w:name="4、研发投入" w:id="57"/>
      <w:bookmarkEnd w:id="57"/>
      <w:r>
        <w:rPr>
          <w:b w:val="0"/>
          <w:bCs w:val="0"/>
        </w:rPr>
      </w:r>
      <w:r>
        <w:rPr>
          <w:rFonts w:ascii="华文细黑" w:hAnsi="华文细黑" w:cs="华文细黑" w:eastAsia="华文细黑" w:hint="default"/>
        </w:rPr>
        <w:t>4</w:t>
      </w:r>
      <w:r>
        <w:rPr/>
        <w:t>、研发投入</w:t>
      </w:r>
      <w:r>
        <w:rPr>
          <w:b w:val="0"/>
          <w:bCs w:val="0"/>
        </w:rPr>
      </w:r>
    </w:p>
    <w:p>
      <w:pPr>
        <w:spacing w:line="240" w:lineRule="auto" w:before="13"/>
        <w:rPr>
          <w:rFonts w:ascii="华文细黑" w:hAnsi="华文细黑" w:cs="华文细黑" w:eastAsia="华文细黑" w:hint="default"/>
          <w:b/>
          <w:bCs/>
          <w:sz w:val="27"/>
          <w:szCs w:val="27"/>
        </w:rPr>
      </w:pPr>
    </w:p>
    <w:p>
      <w:pPr>
        <w:pStyle w:val="BodyText"/>
        <w:spacing w:line="393" w:lineRule="auto"/>
        <w:ind w:left="234" w:right="1023"/>
        <w:jc w:val="left"/>
      </w:pPr>
      <w:r>
        <w:rPr/>
        <w:t>√ 适用 □</w:t>
      </w:r>
      <w:r>
        <w:rPr>
          <w:spacing w:val="51"/>
        </w:rPr>
        <w:t> </w:t>
      </w:r>
      <w:r>
        <w:rPr/>
        <w:t>不适用</w:t>
      </w:r>
      <w:r>
        <w:rPr/>
        <w:t> </w:t>
      </w:r>
      <w:r>
        <w:rPr>
          <w:spacing w:val="-1"/>
        </w:rPr>
        <w:t>报告期内，公司研发投入主要是虚拟运营商移动转售业务自主研发所产生的研发费用，研发费用占收入比</w:t>
      </w:r>
      <w:r>
        <w:rPr>
          <w:spacing w:val="-28"/>
        </w:rPr>
        <w:t> </w:t>
      </w:r>
      <w:r>
        <w:rPr>
          <w:spacing w:val="-28"/>
        </w:rPr>
      </w:r>
      <w:r>
        <w:rPr/>
        <w:t>例</w:t>
      </w:r>
      <w:r>
        <w:rPr>
          <w:rFonts w:ascii="华文细黑" w:hAnsi="华文细黑" w:cs="华文细黑" w:eastAsia="华文细黑" w:hint="default"/>
        </w:rPr>
        <w:t>0.02%</w:t>
      </w:r>
      <w:r>
        <w:rPr/>
        <w:t>，无资本化研发支出。</w:t>
      </w:r>
    </w:p>
    <w:p>
      <w:pPr>
        <w:spacing w:line="240" w:lineRule="auto" w:before="4"/>
        <w:rPr>
          <w:rFonts w:ascii="华文细黑" w:hAnsi="华文细黑" w:cs="华文细黑" w:eastAsia="华文细黑" w:hint="default"/>
          <w:sz w:val="24"/>
          <w:szCs w:val="24"/>
        </w:rPr>
      </w:pPr>
    </w:p>
    <w:p>
      <w:pPr>
        <w:pStyle w:val="BodyText"/>
        <w:spacing w:line="240" w:lineRule="auto"/>
        <w:ind w:left="234" w:right="1023"/>
        <w:jc w:val="left"/>
      </w:pPr>
      <w:r>
        <w:rPr/>
        <w:t>公司研发投入情况</w:t>
      </w:r>
    </w:p>
    <w:p>
      <w:pPr>
        <w:spacing w:line="240" w:lineRule="auto" w:before="11"/>
        <w:rPr>
          <w:rFonts w:ascii="华文细黑" w:hAnsi="华文细黑" w:cs="华文细黑" w:eastAsia="华文细黑" w:hint="default"/>
          <w:sz w:val="5"/>
          <w:szCs w:val="5"/>
        </w:rPr>
      </w:pPr>
    </w:p>
    <w:tbl>
      <w:tblPr>
        <w:tblW w:w="0" w:type="auto"/>
        <w:jc w:val="left"/>
        <w:tblInd w:w="117" w:type="dxa"/>
        <w:tblLayout w:type="fixed"/>
        <w:tblCellMar>
          <w:top w:w="0" w:type="dxa"/>
          <w:left w:w="0" w:type="dxa"/>
          <w:bottom w:w="0" w:type="dxa"/>
          <w:right w:w="0" w:type="dxa"/>
        </w:tblCellMar>
        <w:tblLook w:val="01E0"/>
      </w:tblPr>
      <w:tblGrid>
        <w:gridCol w:w="3568"/>
        <w:gridCol w:w="2146"/>
        <w:gridCol w:w="2040"/>
        <w:gridCol w:w="1814"/>
      </w:tblGrid>
      <w:tr>
        <w:trPr>
          <w:trHeight w:val="401" w:hRule="exact"/>
        </w:trPr>
        <w:tc>
          <w:tcPr>
            <w:tcW w:w="3568"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14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20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2017</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181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54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变动比例</w:t>
            </w:r>
          </w:p>
        </w:tc>
      </w:tr>
      <w:tr>
        <w:trPr>
          <w:trHeight w:val="402" w:hRule="exact"/>
        </w:trPr>
        <w:tc>
          <w:tcPr>
            <w:tcW w:w="35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研发人员数量（人）</w:t>
            </w:r>
          </w:p>
        </w:tc>
        <w:tc>
          <w:tcPr>
            <w:tcW w:w="21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pacing w:val="-1"/>
                <w:w w:val="95"/>
                <w:sz w:val="18"/>
              </w:rPr>
              <w:t>32</w:t>
            </w:r>
            <w:r>
              <w:rPr>
                <w:rFonts w:ascii="华文细黑"/>
                <w:w w:val="95"/>
                <w:sz w:val="18"/>
              </w:rPr>
            </w:r>
          </w:p>
        </w:tc>
        <w:tc>
          <w:tcPr>
            <w:tcW w:w="20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pacing w:val="-1"/>
                <w:w w:val="95"/>
                <w:sz w:val="18"/>
              </w:rPr>
              <w:t>26</w:t>
            </w:r>
            <w:r>
              <w:rPr>
                <w:rFonts w:ascii="华文细黑"/>
                <w:w w:val="95"/>
                <w:sz w:val="18"/>
              </w:rPr>
            </w:r>
          </w:p>
        </w:tc>
        <w:tc>
          <w:tcPr>
            <w:tcW w:w="18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w w:val="95"/>
                <w:sz w:val="18"/>
              </w:rPr>
              <w:t>23.08%</w:t>
            </w:r>
          </w:p>
        </w:tc>
      </w:tr>
      <w:tr>
        <w:trPr>
          <w:trHeight w:val="402" w:hRule="exact"/>
        </w:trPr>
        <w:tc>
          <w:tcPr>
            <w:tcW w:w="35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研发人员数量占比</w:t>
            </w:r>
          </w:p>
        </w:tc>
        <w:tc>
          <w:tcPr>
            <w:tcW w:w="21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1.21%</w:t>
            </w:r>
          </w:p>
        </w:tc>
        <w:tc>
          <w:tcPr>
            <w:tcW w:w="20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0.90%</w:t>
            </w:r>
          </w:p>
        </w:tc>
        <w:tc>
          <w:tcPr>
            <w:tcW w:w="18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0.31%</w:t>
            </w:r>
          </w:p>
        </w:tc>
      </w:tr>
      <w:tr>
        <w:trPr>
          <w:trHeight w:val="402" w:hRule="exact"/>
        </w:trPr>
        <w:tc>
          <w:tcPr>
            <w:tcW w:w="35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研发投入金额（元）</w:t>
            </w:r>
          </w:p>
        </w:tc>
        <w:tc>
          <w:tcPr>
            <w:tcW w:w="21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12,317,419.50</w:t>
            </w:r>
          </w:p>
        </w:tc>
        <w:tc>
          <w:tcPr>
            <w:tcW w:w="20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9,565,794.08</w:t>
            </w:r>
          </w:p>
        </w:tc>
        <w:tc>
          <w:tcPr>
            <w:tcW w:w="18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w w:val="95"/>
                <w:sz w:val="18"/>
              </w:rPr>
              <w:t>28.77%</w:t>
            </w:r>
          </w:p>
        </w:tc>
      </w:tr>
      <w:tr>
        <w:trPr>
          <w:trHeight w:val="402" w:hRule="exact"/>
        </w:trPr>
        <w:tc>
          <w:tcPr>
            <w:tcW w:w="35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研发投入占营业收入比例</w:t>
            </w:r>
          </w:p>
        </w:tc>
        <w:tc>
          <w:tcPr>
            <w:tcW w:w="21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0.02%</w:t>
            </w:r>
          </w:p>
        </w:tc>
        <w:tc>
          <w:tcPr>
            <w:tcW w:w="20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0.02%</w:t>
            </w:r>
          </w:p>
        </w:tc>
        <w:tc>
          <w:tcPr>
            <w:tcW w:w="18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0.00%</w:t>
            </w:r>
          </w:p>
        </w:tc>
      </w:tr>
      <w:tr>
        <w:trPr>
          <w:trHeight w:val="402" w:hRule="exact"/>
        </w:trPr>
        <w:tc>
          <w:tcPr>
            <w:tcW w:w="35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研发投入资本化的金额（元）</w:t>
            </w:r>
          </w:p>
        </w:tc>
        <w:tc>
          <w:tcPr>
            <w:tcW w:w="21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0.00</w:t>
            </w:r>
          </w:p>
        </w:tc>
        <w:tc>
          <w:tcPr>
            <w:tcW w:w="20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0.00</w:t>
            </w:r>
          </w:p>
        </w:tc>
        <w:tc>
          <w:tcPr>
            <w:tcW w:w="18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0.00%</w:t>
            </w:r>
          </w:p>
        </w:tc>
      </w:tr>
      <w:tr>
        <w:trPr>
          <w:trHeight w:val="403" w:hRule="exact"/>
        </w:trPr>
        <w:tc>
          <w:tcPr>
            <w:tcW w:w="35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资本化研发投入占研发投入的比例</w:t>
            </w:r>
          </w:p>
        </w:tc>
        <w:tc>
          <w:tcPr>
            <w:tcW w:w="21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0.00%</w:t>
            </w:r>
          </w:p>
        </w:tc>
        <w:tc>
          <w:tcPr>
            <w:tcW w:w="20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0.00%</w:t>
            </w:r>
          </w:p>
        </w:tc>
        <w:tc>
          <w:tcPr>
            <w:tcW w:w="18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0.00%</w:t>
            </w:r>
          </w:p>
        </w:tc>
      </w:tr>
    </w:tbl>
    <w:p>
      <w:pPr>
        <w:spacing w:line="240" w:lineRule="auto" w:before="11"/>
        <w:rPr>
          <w:rFonts w:ascii="华文细黑" w:hAnsi="华文细黑" w:cs="华文细黑" w:eastAsia="华文细黑" w:hint="default"/>
          <w:sz w:val="5"/>
          <w:szCs w:val="5"/>
        </w:rPr>
      </w:pPr>
    </w:p>
    <w:p>
      <w:pPr>
        <w:pStyle w:val="BodyText"/>
        <w:spacing w:line="240" w:lineRule="auto" w:before="10"/>
        <w:ind w:left="234" w:right="1023"/>
        <w:jc w:val="left"/>
      </w:pPr>
      <w:r>
        <w:rPr/>
        <w:t>研发投入总额占营业收入的比重较上年发生显著变化的原因</w:t>
      </w:r>
    </w:p>
    <w:p>
      <w:pPr>
        <w:spacing w:line="240" w:lineRule="auto" w:before="13"/>
        <w:rPr>
          <w:rFonts w:ascii="华文细黑" w:hAnsi="华文细黑" w:cs="华文细黑" w:eastAsia="华文细黑" w:hint="default"/>
          <w:sz w:val="14"/>
          <w:szCs w:val="14"/>
        </w:rPr>
      </w:pPr>
    </w:p>
    <w:p>
      <w:pPr>
        <w:pStyle w:val="BodyText"/>
        <w:spacing w:line="412" w:lineRule="auto"/>
        <w:ind w:left="234" w:right="6132"/>
        <w:jc w:val="left"/>
      </w:pPr>
      <w:r>
        <w:rPr/>
        <w:t>□ 适用 √</w:t>
      </w:r>
      <w:r>
        <w:rPr>
          <w:spacing w:val="51"/>
        </w:rPr>
        <w:t> </w:t>
      </w:r>
      <w:r>
        <w:rPr/>
        <w:t>不适用</w:t>
      </w:r>
      <w:r>
        <w:rPr/>
        <w:t> 研发投入资本化率大幅变动的原因及其合理性说明</w:t>
      </w:r>
    </w:p>
    <w:p>
      <w:pPr>
        <w:pStyle w:val="BodyText"/>
        <w:spacing w:line="240" w:lineRule="auto" w:before="48"/>
        <w:ind w:left="234" w:right="1023"/>
        <w:jc w:val="left"/>
      </w:pPr>
      <w:r>
        <w:rPr/>
        <w:t>□  适用  √</w:t>
      </w:r>
      <w:r>
        <w:rPr>
          <w:spacing w:val="51"/>
        </w:rPr>
        <w:t> </w:t>
      </w:r>
      <w:r>
        <w:rPr/>
        <w:t>不适用</w:t>
      </w:r>
    </w:p>
    <w:p>
      <w:pPr>
        <w:spacing w:after="0" w:line="240" w:lineRule="auto"/>
        <w:jc w:val="left"/>
        <w:sectPr>
          <w:pgSz w:w="11910" w:h="16840"/>
          <w:pgMar w:header="917" w:footer="1019" w:top="1100" w:bottom="1200" w:left="900" w:right="0"/>
        </w:sectPr>
      </w:pPr>
    </w:p>
    <w:p>
      <w:pPr>
        <w:spacing w:line="240" w:lineRule="auto" w:before="0"/>
        <w:rPr>
          <w:rFonts w:ascii="华文细黑" w:hAnsi="华文细黑" w:cs="华文细黑" w:eastAsia="华文细黑" w:hint="default"/>
          <w:sz w:val="20"/>
          <w:szCs w:val="20"/>
        </w:rPr>
      </w:pPr>
    </w:p>
    <w:p>
      <w:pPr>
        <w:spacing w:line="240" w:lineRule="auto" w:before="5"/>
        <w:rPr>
          <w:rFonts w:ascii="华文细黑" w:hAnsi="华文细黑" w:cs="华文细黑" w:eastAsia="华文细黑" w:hint="default"/>
          <w:sz w:val="19"/>
          <w:szCs w:val="19"/>
        </w:rPr>
      </w:pPr>
    </w:p>
    <w:p>
      <w:pPr>
        <w:pStyle w:val="Heading5"/>
        <w:spacing w:line="240" w:lineRule="auto"/>
        <w:ind w:right="1023"/>
        <w:jc w:val="left"/>
        <w:rPr>
          <w:b w:val="0"/>
          <w:bCs w:val="0"/>
        </w:rPr>
      </w:pPr>
      <w:bookmarkStart w:name="5、现金流" w:id="58"/>
      <w:bookmarkEnd w:id="58"/>
      <w:r>
        <w:rPr>
          <w:b w:val="0"/>
          <w:bCs w:val="0"/>
        </w:rPr>
      </w:r>
      <w:r>
        <w:rPr>
          <w:rFonts w:ascii="华文细黑" w:hAnsi="华文细黑" w:cs="华文细黑" w:eastAsia="华文细黑" w:hint="default"/>
        </w:rPr>
        <w:t>5</w:t>
      </w:r>
      <w:r>
        <w:rPr/>
        <w:t>、现金流</w:t>
      </w:r>
      <w:r>
        <w:rPr>
          <w:b w:val="0"/>
          <w:bCs w:val="0"/>
        </w:rPr>
      </w:r>
    </w:p>
    <w:p>
      <w:pPr>
        <w:spacing w:line="240" w:lineRule="auto" w:before="11"/>
        <w:rPr>
          <w:rFonts w:ascii="华文细黑" w:hAnsi="华文细黑" w:cs="华文细黑" w:eastAsia="华文细黑" w:hint="default"/>
          <w:b/>
          <w:bCs/>
          <w:sz w:val="22"/>
          <w:szCs w:val="22"/>
        </w:rPr>
      </w:pPr>
    </w:p>
    <w:p>
      <w:pPr>
        <w:spacing w:before="23"/>
        <w:ind w:left="0" w:right="1130" w:firstLine="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单位：元</w:t>
      </w:r>
    </w:p>
    <w:p>
      <w:pPr>
        <w:spacing w:line="240" w:lineRule="auto" w:before="12"/>
        <w:rPr>
          <w:rFonts w:ascii="华文细黑" w:hAnsi="华文细黑" w:cs="华文细黑" w:eastAsia="华文细黑" w:hint="default"/>
          <w:sz w:val="6"/>
          <w:szCs w:val="6"/>
        </w:rPr>
      </w:pPr>
    </w:p>
    <w:tbl>
      <w:tblPr>
        <w:tblW w:w="0" w:type="auto"/>
        <w:jc w:val="left"/>
        <w:tblInd w:w="117" w:type="dxa"/>
        <w:tblLayout w:type="fixed"/>
        <w:tblCellMar>
          <w:top w:w="0" w:type="dxa"/>
          <w:left w:w="0" w:type="dxa"/>
          <w:bottom w:w="0" w:type="dxa"/>
          <w:right w:w="0" w:type="dxa"/>
        </w:tblCellMar>
        <w:tblLook w:val="01E0"/>
      </w:tblPr>
      <w:tblGrid>
        <w:gridCol w:w="3568"/>
        <w:gridCol w:w="2146"/>
        <w:gridCol w:w="2040"/>
        <w:gridCol w:w="1814"/>
      </w:tblGrid>
      <w:tr>
        <w:trPr>
          <w:trHeight w:val="402" w:hRule="exact"/>
        </w:trPr>
        <w:tc>
          <w:tcPr>
            <w:tcW w:w="35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项目</w:t>
            </w:r>
          </w:p>
        </w:tc>
        <w:tc>
          <w:tcPr>
            <w:tcW w:w="214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20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2017</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181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54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同比增减</w:t>
            </w:r>
          </w:p>
        </w:tc>
      </w:tr>
      <w:tr>
        <w:trPr>
          <w:trHeight w:val="402" w:hRule="exact"/>
        </w:trPr>
        <w:tc>
          <w:tcPr>
            <w:tcW w:w="35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经营活动现金流入小计</w:t>
            </w:r>
          </w:p>
        </w:tc>
        <w:tc>
          <w:tcPr>
            <w:tcW w:w="21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70,819,490,147.00</w:t>
            </w:r>
          </w:p>
        </w:tc>
        <w:tc>
          <w:tcPr>
            <w:tcW w:w="20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70,620,456,439.74</w:t>
            </w:r>
          </w:p>
        </w:tc>
        <w:tc>
          <w:tcPr>
            <w:tcW w:w="18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0.28%</w:t>
            </w:r>
          </w:p>
        </w:tc>
      </w:tr>
      <w:tr>
        <w:trPr>
          <w:trHeight w:val="402" w:hRule="exact"/>
        </w:trPr>
        <w:tc>
          <w:tcPr>
            <w:tcW w:w="35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经营活动现金流出小计</w:t>
            </w:r>
          </w:p>
        </w:tc>
        <w:tc>
          <w:tcPr>
            <w:tcW w:w="21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70,327,241,407.09</w:t>
            </w:r>
          </w:p>
        </w:tc>
        <w:tc>
          <w:tcPr>
            <w:tcW w:w="20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72,163,247,351.02</w:t>
            </w:r>
          </w:p>
        </w:tc>
        <w:tc>
          <w:tcPr>
            <w:tcW w:w="18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-2.54%</w:t>
            </w:r>
          </w:p>
        </w:tc>
      </w:tr>
      <w:tr>
        <w:trPr>
          <w:trHeight w:val="402" w:hRule="exact"/>
        </w:trPr>
        <w:tc>
          <w:tcPr>
            <w:tcW w:w="35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经营活动产生的现金流量净额</w:t>
            </w:r>
          </w:p>
        </w:tc>
        <w:tc>
          <w:tcPr>
            <w:tcW w:w="21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492,248,739.91</w:t>
            </w:r>
          </w:p>
        </w:tc>
        <w:tc>
          <w:tcPr>
            <w:tcW w:w="20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3"/>
              <w:jc w:val="right"/>
              <w:rPr>
                <w:rFonts w:ascii="华文细黑" w:hAnsi="华文细黑" w:cs="华文细黑" w:eastAsia="华文细黑" w:hint="default"/>
                <w:sz w:val="18"/>
                <w:szCs w:val="18"/>
              </w:rPr>
            </w:pPr>
            <w:r>
              <w:rPr>
                <w:rFonts w:ascii="华文细黑"/>
                <w:spacing w:val="-1"/>
                <w:sz w:val="18"/>
              </w:rPr>
              <w:t>-1,542,790,911.28</w:t>
            </w:r>
          </w:p>
        </w:tc>
        <w:tc>
          <w:tcPr>
            <w:tcW w:w="18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pacing w:val="-1"/>
                <w:sz w:val="18"/>
              </w:rPr>
              <w:t>131.91%</w:t>
            </w:r>
          </w:p>
        </w:tc>
      </w:tr>
      <w:tr>
        <w:trPr>
          <w:trHeight w:val="402" w:hRule="exact"/>
        </w:trPr>
        <w:tc>
          <w:tcPr>
            <w:tcW w:w="35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投资活动现金流入小计</w:t>
            </w:r>
          </w:p>
        </w:tc>
        <w:tc>
          <w:tcPr>
            <w:tcW w:w="21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16,144,826,498.75</w:t>
            </w:r>
          </w:p>
        </w:tc>
        <w:tc>
          <w:tcPr>
            <w:tcW w:w="20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14,238,876,368.36</w:t>
            </w:r>
          </w:p>
        </w:tc>
        <w:tc>
          <w:tcPr>
            <w:tcW w:w="18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w w:val="95"/>
                <w:sz w:val="18"/>
              </w:rPr>
              <w:t>13.39%</w:t>
            </w:r>
          </w:p>
        </w:tc>
      </w:tr>
      <w:tr>
        <w:trPr>
          <w:trHeight w:val="402" w:hRule="exact"/>
        </w:trPr>
        <w:tc>
          <w:tcPr>
            <w:tcW w:w="35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投资活动现金流出小计</w:t>
            </w:r>
          </w:p>
        </w:tc>
        <w:tc>
          <w:tcPr>
            <w:tcW w:w="21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15,999,152,166.22</w:t>
            </w:r>
          </w:p>
        </w:tc>
        <w:tc>
          <w:tcPr>
            <w:tcW w:w="20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14,290,926,953.58</w:t>
            </w:r>
          </w:p>
        </w:tc>
        <w:tc>
          <w:tcPr>
            <w:tcW w:w="18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w w:val="95"/>
                <w:sz w:val="18"/>
              </w:rPr>
              <w:t>11.95%</w:t>
            </w:r>
          </w:p>
        </w:tc>
      </w:tr>
      <w:tr>
        <w:trPr>
          <w:trHeight w:val="402" w:hRule="exact"/>
        </w:trPr>
        <w:tc>
          <w:tcPr>
            <w:tcW w:w="35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投资活动产生的现金流量净额</w:t>
            </w:r>
          </w:p>
        </w:tc>
        <w:tc>
          <w:tcPr>
            <w:tcW w:w="21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145,674,332.53</w:t>
            </w:r>
          </w:p>
        </w:tc>
        <w:tc>
          <w:tcPr>
            <w:tcW w:w="20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-52,050,585.22</w:t>
            </w:r>
          </w:p>
        </w:tc>
        <w:tc>
          <w:tcPr>
            <w:tcW w:w="18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379.87%</w:t>
            </w:r>
          </w:p>
        </w:tc>
      </w:tr>
      <w:tr>
        <w:trPr>
          <w:trHeight w:val="402" w:hRule="exact"/>
        </w:trPr>
        <w:tc>
          <w:tcPr>
            <w:tcW w:w="35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筹资活动现金流入小计</w:t>
            </w:r>
          </w:p>
        </w:tc>
        <w:tc>
          <w:tcPr>
            <w:tcW w:w="21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pacing w:val="-1"/>
                <w:sz w:val="18"/>
              </w:rPr>
              <w:t>8,022,099,120.49</w:t>
            </w:r>
          </w:p>
        </w:tc>
        <w:tc>
          <w:tcPr>
            <w:tcW w:w="20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11,533,595,454.04</w:t>
            </w:r>
          </w:p>
        </w:tc>
        <w:tc>
          <w:tcPr>
            <w:tcW w:w="18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-30.45%</w:t>
            </w:r>
          </w:p>
        </w:tc>
      </w:tr>
      <w:tr>
        <w:trPr>
          <w:trHeight w:val="402" w:hRule="exact"/>
        </w:trPr>
        <w:tc>
          <w:tcPr>
            <w:tcW w:w="35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筹资活动现金流出小计</w:t>
            </w:r>
          </w:p>
        </w:tc>
        <w:tc>
          <w:tcPr>
            <w:tcW w:w="21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pacing w:val="-1"/>
                <w:sz w:val="18"/>
              </w:rPr>
              <w:t>8,547,298,143.89</w:t>
            </w:r>
          </w:p>
        </w:tc>
        <w:tc>
          <w:tcPr>
            <w:tcW w:w="20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pacing w:val="-1"/>
                <w:sz w:val="18"/>
              </w:rPr>
              <w:t>9,408,981,316.75</w:t>
            </w:r>
          </w:p>
        </w:tc>
        <w:tc>
          <w:tcPr>
            <w:tcW w:w="18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-9.16%</w:t>
            </w:r>
          </w:p>
        </w:tc>
      </w:tr>
      <w:tr>
        <w:trPr>
          <w:trHeight w:val="402" w:hRule="exact"/>
        </w:trPr>
        <w:tc>
          <w:tcPr>
            <w:tcW w:w="35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筹资活动产生的现金流量净额</w:t>
            </w:r>
          </w:p>
        </w:tc>
        <w:tc>
          <w:tcPr>
            <w:tcW w:w="21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pacing w:val="-1"/>
                <w:sz w:val="18"/>
              </w:rPr>
              <w:t>-525,199,023.40</w:t>
            </w:r>
          </w:p>
        </w:tc>
        <w:tc>
          <w:tcPr>
            <w:tcW w:w="20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pacing w:val="-1"/>
                <w:sz w:val="18"/>
              </w:rPr>
              <w:t>2,124,614,137.29</w:t>
            </w:r>
          </w:p>
        </w:tc>
        <w:tc>
          <w:tcPr>
            <w:tcW w:w="18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-124.72%</w:t>
            </w:r>
          </w:p>
        </w:tc>
      </w:tr>
      <w:tr>
        <w:trPr>
          <w:trHeight w:val="402" w:hRule="exact"/>
        </w:trPr>
        <w:tc>
          <w:tcPr>
            <w:tcW w:w="35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现金及现金等价物净增加额</w:t>
            </w:r>
          </w:p>
        </w:tc>
        <w:tc>
          <w:tcPr>
            <w:tcW w:w="21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113,977,878.41</w:t>
            </w:r>
          </w:p>
        </w:tc>
        <w:tc>
          <w:tcPr>
            <w:tcW w:w="20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527,009,134.02</w:t>
            </w:r>
          </w:p>
        </w:tc>
        <w:tc>
          <w:tcPr>
            <w:tcW w:w="18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-78.37%</w:t>
            </w:r>
          </w:p>
        </w:tc>
      </w:tr>
    </w:tbl>
    <w:p>
      <w:pPr>
        <w:spacing w:line="240" w:lineRule="auto" w:before="11"/>
        <w:rPr>
          <w:rFonts w:ascii="华文细黑" w:hAnsi="华文细黑" w:cs="华文细黑" w:eastAsia="华文细黑" w:hint="default"/>
          <w:sz w:val="5"/>
          <w:szCs w:val="5"/>
        </w:rPr>
      </w:pPr>
    </w:p>
    <w:p>
      <w:pPr>
        <w:pStyle w:val="BodyText"/>
        <w:spacing w:line="240" w:lineRule="auto" w:before="10"/>
        <w:ind w:left="234" w:right="1023"/>
        <w:jc w:val="left"/>
      </w:pPr>
      <w:r>
        <w:rPr/>
        <w:t>相关数据同比发生重大变动的主要影响因素说明</w:t>
      </w:r>
    </w:p>
    <w:p>
      <w:pPr>
        <w:spacing w:line="240" w:lineRule="auto" w:before="0"/>
        <w:rPr>
          <w:rFonts w:ascii="华文细黑" w:hAnsi="华文细黑" w:cs="华文细黑" w:eastAsia="华文细黑" w:hint="default"/>
          <w:sz w:val="15"/>
          <w:szCs w:val="15"/>
        </w:rPr>
      </w:pPr>
    </w:p>
    <w:p>
      <w:pPr>
        <w:pStyle w:val="BodyText"/>
        <w:spacing w:line="393" w:lineRule="auto"/>
        <w:ind w:left="234" w:right="1186"/>
        <w:jc w:val="left"/>
      </w:pPr>
      <w:r>
        <w:rPr/>
        <w:t>√ 适用 □</w:t>
      </w:r>
      <w:r>
        <w:rPr>
          <w:spacing w:val="51"/>
        </w:rPr>
        <w:t> </w:t>
      </w:r>
      <w:r>
        <w:rPr/>
        <w:t>不适用</w:t>
      </w:r>
      <w:r>
        <w:rPr/>
        <w:t> </w:t>
      </w:r>
      <w:r>
        <w:rPr>
          <w:rFonts w:ascii="华文细黑" w:hAnsi="华文细黑" w:cs="华文细黑" w:eastAsia="华文细黑" w:hint="default"/>
        </w:rPr>
        <w:t>1</w:t>
      </w:r>
      <w:r>
        <w:rPr/>
        <w:t>、经营活动产生的现金流量净额变动的主要原因系爱施德小贷贷款收回、分销业务预付款和存货占用资 金减少所致；</w:t>
      </w:r>
    </w:p>
    <w:p>
      <w:pPr>
        <w:pStyle w:val="BodyText"/>
        <w:spacing w:line="240" w:lineRule="auto" w:before="26"/>
        <w:ind w:left="234" w:right="1023"/>
        <w:jc w:val="left"/>
      </w:pPr>
      <w:r>
        <w:rPr>
          <w:rFonts w:ascii="华文细黑" w:hAnsi="华文细黑" w:cs="华文细黑" w:eastAsia="华文细黑" w:hint="default"/>
        </w:rPr>
        <w:t>2</w:t>
      </w:r>
      <w:r>
        <w:rPr/>
        <w:t>、投资活动产生的现金流量净额变动的主要原因系公司将临时闲置资金购买理财所致；</w:t>
      </w:r>
    </w:p>
    <w:p>
      <w:pPr>
        <w:pStyle w:val="BodyText"/>
        <w:spacing w:line="412" w:lineRule="auto" w:before="171"/>
        <w:ind w:left="234" w:right="3192"/>
        <w:jc w:val="left"/>
      </w:pPr>
      <w:r>
        <w:rPr>
          <w:rFonts w:ascii="华文细黑" w:hAnsi="华文细黑" w:cs="华文细黑" w:eastAsia="华文细黑" w:hint="default"/>
        </w:rPr>
        <w:t>3</w:t>
      </w:r>
      <w:r>
        <w:rPr/>
        <w:t>、筹资活动产生的现金净流量本期变动的原因主要系融资保证金增加。 报告期内公司经营活动产生的现金净流量与本年度净利润存在重大差异的原因说明</w:t>
      </w:r>
    </w:p>
    <w:p>
      <w:pPr>
        <w:pStyle w:val="BodyText"/>
        <w:spacing w:line="410" w:lineRule="auto" w:before="49"/>
        <w:ind w:left="654" w:right="1108" w:hanging="420"/>
        <w:jc w:val="left"/>
      </w:pPr>
      <w:r>
        <w:rPr/>
        <w:t>√ 适用 □</w:t>
      </w:r>
      <w:r>
        <w:rPr>
          <w:spacing w:val="51"/>
        </w:rPr>
        <w:t> </w:t>
      </w:r>
      <w:r>
        <w:rPr/>
        <w:t>不适用</w:t>
      </w:r>
      <w:r>
        <w:rPr/>
        <w:t> 报告期内公司经营活动产生的现金净流量是</w:t>
      </w:r>
      <w:r>
        <w:rPr>
          <w:rFonts w:ascii="华文细黑" w:hAnsi="华文细黑" w:cs="华文细黑" w:eastAsia="华文细黑" w:hint="default"/>
        </w:rPr>
        <w:t>492,248,739.91</w:t>
      </w:r>
      <w:r>
        <w:rPr/>
        <w:t>元，主要原因系系爱施德小贷贷款收回、</w:t>
      </w:r>
    </w:p>
    <w:p>
      <w:pPr>
        <w:pStyle w:val="BodyText"/>
        <w:spacing w:line="379" w:lineRule="auto" w:before="10"/>
        <w:ind w:left="234" w:right="1109"/>
        <w:jc w:val="both"/>
      </w:pPr>
      <w:r>
        <w:rPr/>
        <w:t>分销业务预付款和存货占用资金减少所致；本年度净利润是</w:t>
      </w:r>
      <w:r>
        <w:rPr>
          <w:rFonts w:ascii="华文细黑" w:hAnsi="华文细黑" w:cs="华文细黑" w:eastAsia="华文细黑" w:hint="default"/>
        </w:rPr>
        <w:t>-69,894,655.85</w:t>
      </w:r>
      <w:r>
        <w:rPr/>
        <w:t>元，主要系公司对持有的港股 </w:t>
      </w:r>
      <w:r>
        <w:rPr>
          <w:spacing w:val="-1"/>
        </w:rPr>
        <w:t>“中新控股”及其它可供出售金融资产计提了较大的减值准备所致，而计提减值准备不会影响现金流，也</w:t>
      </w:r>
      <w:r>
        <w:rPr>
          <w:spacing w:val="-31"/>
        </w:rPr>
        <w:t> </w:t>
      </w:r>
      <w:r>
        <w:rPr>
          <w:spacing w:val="-31"/>
        </w:rPr>
      </w:r>
      <w:r>
        <w:rPr/>
        <w:t>不在经营活动现金流量范畴内，从而致使公司经营活动产生的现金净流量与本年度净利润存在重大差异。</w:t>
      </w:r>
    </w:p>
    <w:p>
      <w:pPr>
        <w:spacing w:after="0" w:line="379" w:lineRule="auto"/>
        <w:jc w:val="both"/>
        <w:sectPr>
          <w:pgSz w:w="11910" w:h="16840"/>
          <w:pgMar w:header="917" w:footer="1019" w:top="1100" w:bottom="1200" w:left="900" w:right="0"/>
        </w:sectPr>
      </w:pPr>
    </w:p>
    <w:p>
      <w:pPr>
        <w:spacing w:line="240" w:lineRule="auto" w:before="2"/>
        <w:rPr>
          <w:rFonts w:ascii="华文细黑" w:hAnsi="华文细黑" w:cs="华文细黑" w:eastAsia="华文细黑" w:hint="default"/>
          <w:sz w:val="29"/>
          <w:szCs w:val="29"/>
        </w:rPr>
      </w:pPr>
    </w:p>
    <w:p>
      <w:pPr>
        <w:pStyle w:val="Heading2"/>
        <w:spacing w:line="396" w:lineRule="exact"/>
        <w:ind w:left="534" w:right="0"/>
        <w:jc w:val="left"/>
        <w:rPr>
          <w:b w:val="0"/>
          <w:bCs w:val="0"/>
        </w:rPr>
      </w:pPr>
      <w:bookmarkStart w:name="三、非主营业务分析" w:id="59"/>
      <w:bookmarkEnd w:id="59"/>
      <w:r>
        <w:rPr>
          <w:b w:val="0"/>
          <w:bCs w:val="0"/>
        </w:rPr>
      </w:r>
      <w:r>
        <w:rPr/>
        <w:t>三、非主营业务分析</w:t>
      </w:r>
      <w:r>
        <w:rPr>
          <w:b w:val="0"/>
          <w:bCs w:val="0"/>
        </w:rPr>
      </w:r>
    </w:p>
    <w:p>
      <w:pPr>
        <w:spacing w:line="240" w:lineRule="auto" w:before="4"/>
        <w:rPr>
          <w:rFonts w:ascii="华文细黑" w:hAnsi="华文细黑" w:cs="华文细黑" w:eastAsia="华文细黑" w:hint="default"/>
          <w:b/>
          <w:bCs/>
          <w:sz w:val="29"/>
          <w:szCs w:val="29"/>
        </w:rPr>
      </w:pPr>
    </w:p>
    <w:p>
      <w:pPr>
        <w:spacing w:after="0" w:line="240" w:lineRule="auto"/>
        <w:rPr>
          <w:rFonts w:ascii="华文细黑" w:hAnsi="华文细黑" w:cs="华文细黑" w:eastAsia="华文细黑" w:hint="default"/>
          <w:sz w:val="29"/>
          <w:szCs w:val="29"/>
        </w:rPr>
        <w:sectPr>
          <w:pgSz w:w="11910" w:h="16840"/>
          <w:pgMar w:header="917" w:footer="1019" w:top="1100" w:bottom="1200" w:left="600" w:right="0"/>
        </w:sectPr>
      </w:pPr>
    </w:p>
    <w:p>
      <w:pPr>
        <w:pStyle w:val="BodyText"/>
        <w:spacing w:line="240" w:lineRule="auto" w:before="10"/>
        <w:ind w:left="534" w:right="-19"/>
        <w:jc w:val="left"/>
      </w:pPr>
      <w:r>
        <w:rPr/>
        <w:t>√  适用  □</w:t>
      </w:r>
      <w:r>
        <w:rPr>
          <w:spacing w:val="51"/>
        </w:rPr>
        <w:t> </w:t>
      </w:r>
      <w:r>
        <w:rPr/>
        <w:t>不适用</w:t>
      </w:r>
    </w:p>
    <w:p>
      <w:pPr>
        <w:spacing w:line="240" w:lineRule="auto" w:before="0"/>
        <w:rPr>
          <w:rFonts w:ascii="华文细黑" w:hAnsi="华文细黑" w:cs="华文细黑" w:eastAsia="华文细黑" w:hint="default"/>
          <w:sz w:val="18"/>
          <w:szCs w:val="18"/>
        </w:rPr>
      </w:pPr>
      <w:r>
        <w:rPr/>
        <w:br w:type="column"/>
      </w:r>
      <w:r>
        <w:rPr>
          <w:rFonts w:ascii="华文细黑"/>
          <w:sz w:val="18"/>
        </w:rPr>
      </w:r>
    </w:p>
    <w:p>
      <w:pPr>
        <w:spacing w:before="134"/>
        <w:ind w:left="533" w:right="0" w:firstLine="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单位：元</w:t>
      </w:r>
    </w:p>
    <w:p>
      <w:pPr>
        <w:spacing w:after="0"/>
        <w:jc w:val="left"/>
        <w:rPr>
          <w:rFonts w:ascii="华文细黑" w:hAnsi="华文细黑" w:cs="华文细黑" w:eastAsia="华文细黑" w:hint="default"/>
          <w:sz w:val="18"/>
          <w:szCs w:val="18"/>
        </w:rPr>
        <w:sectPr>
          <w:type w:val="continuous"/>
          <w:pgSz w:w="11910" w:h="16840"/>
          <w:pgMar w:top="240" w:bottom="0" w:left="600" w:right="0"/>
          <w:cols w:num="2" w:equalWidth="0">
            <w:col w:w="2319" w:space="6600"/>
            <w:col w:w="2391"/>
          </w:cols>
        </w:sectPr>
      </w:pPr>
    </w:p>
    <w:p>
      <w:pPr>
        <w:spacing w:line="240" w:lineRule="auto" w:before="13"/>
        <w:rPr>
          <w:rFonts w:ascii="华文细黑" w:hAnsi="华文细黑" w:cs="华文细黑" w:eastAsia="华文细黑" w:hint="default"/>
          <w:sz w:val="6"/>
          <w:szCs w:val="6"/>
        </w:rPr>
      </w:pPr>
    </w:p>
    <w:tbl>
      <w:tblPr>
        <w:tblW w:w="0" w:type="auto"/>
        <w:jc w:val="left"/>
        <w:tblInd w:w="417" w:type="dxa"/>
        <w:tblLayout w:type="fixed"/>
        <w:tblCellMar>
          <w:top w:w="0" w:type="dxa"/>
          <w:left w:w="0" w:type="dxa"/>
          <w:bottom w:w="0" w:type="dxa"/>
          <w:right w:w="0" w:type="dxa"/>
        </w:tblCellMar>
        <w:tblLook w:val="01E0"/>
      </w:tblPr>
      <w:tblGrid>
        <w:gridCol w:w="1678"/>
        <w:gridCol w:w="1680"/>
        <w:gridCol w:w="1576"/>
        <w:gridCol w:w="2940"/>
        <w:gridCol w:w="1696"/>
      </w:tblGrid>
      <w:tr>
        <w:trPr>
          <w:trHeight w:val="402" w:hRule="exact"/>
        </w:trPr>
        <w:tc>
          <w:tcPr>
            <w:tcW w:w="1678"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6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15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5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占利润总额比例</w:t>
            </w:r>
          </w:p>
        </w:tc>
        <w:tc>
          <w:tcPr>
            <w:tcW w:w="29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9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形成原因说明</w:t>
            </w:r>
          </w:p>
        </w:tc>
        <w:tc>
          <w:tcPr>
            <w:tcW w:w="16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2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是否具有可持续性</w:t>
            </w:r>
          </w:p>
        </w:tc>
      </w:tr>
      <w:tr>
        <w:trPr>
          <w:trHeight w:val="402" w:hRule="exact"/>
        </w:trPr>
        <w:tc>
          <w:tcPr>
            <w:tcW w:w="16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投资收益</w:t>
            </w:r>
          </w:p>
        </w:tc>
        <w:tc>
          <w:tcPr>
            <w:tcW w:w="1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56,565,486.41</w:t>
            </w:r>
          </w:p>
        </w:tc>
        <w:tc>
          <w:tcPr>
            <w:tcW w:w="15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-219.33%</w:t>
            </w:r>
          </w:p>
        </w:tc>
        <w:tc>
          <w:tcPr>
            <w:tcW w:w="29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主要系理财收益</w:t>
            </w:r>
          </w:p>
        </w:tc>
        <w:tc>
          <w:tcPr>
            <w:tcW w:w="16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02" w:hRule="exact"/>
        </w:trPr>
        <w:tc>
          <w:tcPr>
            <w:tcW w:w="16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公允价值变动损益</w:t>
            </w:r>
          </w:p>
        </w:tc>
        <w:tc>
          <w:tcPr>
            <w:tcW w:w="1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w w:val="95"/>
                <w:sz w:val="18"/>
              </w:rPr>
              <w:t>-6,204,660.75</w:t>
            </w:r>
          </w:p>
        </w:tc>
        <w:tc>
          <w:tcPr>
            <w:tcW w:w="15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w w:val="95"/>
                <w:sz w:val="18"/>
              </w:rPr>
              <w:t>24.06%</w:t>
            </w:r>
          </w:p>
        </w:tc>
        <w:tc>
          <w:tcPr>
            <w:tcW w:w="29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系本期出售神州数码股票所致</w:t>
            </w:r>
          </w:p>
        </w:tc>
        <w:tc>
          <w:tcPr>
            <w:tcW w:w="16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02" w:hRule="exact"/>
        </w:trPr>
        <w:tc>
          <w:tcPr>
            <w:tcW w:w="16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资产减值</w:t>
            </w:r>
          </w:p>
        </w:tc>
        <w:tc>
          <w:tcPr>
            <w:tcW w:w="1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535,125,813.20</w:t>
            </w:r>
          </w:p>
        </w:tc>
        <w:tc>
          <w:tcPr>
            <w:tcW w:w="15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-2,074.96%</w:t>
            </w:r>
          </w:p>
        </w:tc>
        <w:tc>
          <w:tcPr>
            <w:tcW w:w="29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主要系可供出售金融资产减值损失</w:t>
            </w:r>
          </w:p>
        </w:tc>
        <w:tc>
          <w:tcPr>
            <w:tcW w:w="16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02" w:hRule="exact"/>
        </w:trPr>
        <w:tc>
          <w:tcPr>
            <w:tcW w:w="16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营业外收入</w:t>
            </w:r>
          </w:p>
        </w:tc>
        <w:tc>
          <w:tcPr>
            <w:tcW w:w="1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32,918,069.49</w:t>
            </w:r>
          </w:p>
        </w:tc>
        <w:tc>
          <w:tcPr>
            <w:tcW w:w="15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-127.64%</w:t>
            </w:r>
          </w:p>
        </w:tc>
        <w:tc>
          <w:tcPr>
            <w:tcW w:w="29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主要系政府补助</w:t>
            </w:r>
          </w:p>
        </w:tc>
        <w:tc>
          <w:tcPr>
            <w:tcW w:w="16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02" w:hRule="exact"/>
        </w:trPr>
        <w:tc>
          <w:tcPr>
            <w:tcW w:w="16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营业外支出</w:t>
            </w:r>
          </w:p>
        </w:tc>
        <w:tc>
          <w:tcPr>
            <w:tcW w:w="1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w w:val="95"/>
                <w:sz w:val="18"/>
              </w:rPr>
              <w:t>738,694.40</w:t>
            </w:r>
          </w:p>
        </w:tc>
        <w:tc>
          <w:tcPr>
            <w:tcW w:w="15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-2.86%</w:t>
            </w:r>
          </w:p>
        </w:tc>
        <w:tc>
          <w:tcPr>
            <w:tcW w:w="2940" w:type="dxa"/>
            <w:tcBorders>
              <w:top w:val="single" w:sz="4" w:space="0" w:color="FFC000"/>
              <w:left w:val="single" w:sz="4" w:space="0" w:color="FFC000"/>
              <w:bottom w:val="single" w:sz="4" w:space="0" w:color="FFC000"/>
              <w:right w:val="single" w:sz="4" w:space="0" w:color="FFC000"/>
            </w:tcBorders>
          </w:tcPr>
          <w:p>
            <w:pPr/>
          </w:p>
        </w:tc>
        <w:tc>
          <w:tcPr>
            <w:tcW w:w="16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02" w:hRule="exact"/>
        </w:trPr>
        <w:tc>
          <w:tcPr>
            <w:tcW w:w="16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其他收益</w:t>
            </w:r>
          </w:p>
        </w:tc>
        <w:tc>
          <w:tcPr>
            <w:tcW w:w="1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5,094,474.88</w:t>
            </w:r>
          </w:p>
        </w:tc>
        <w:tc>
          <w:tcPr>
            <w:tcW w:w="15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-19.75%</w:t>
            </w:r>
          </w:p>
        </w:tc>
        <w:tc>
          <w:tcPr>
            <w:tcW w:w="29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系政府补助</w:t>
            </w:r>
          </w:p>
        </w:tc>
        <w:tc>
          <w:tcPr>
            <w:tcW w:w="16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bl>
    <w:p>
      <w:pPr>
        <w:spacing w:line="240" w:lineRule="auto" w:before="11"/>
        <w:rPr>
          <w:rFonts w:ascii="华文细黑" w:hAnsi="华文细黑" w:cs="华文细黑" w:eastAsia="华文细黑" w:hint="default"/>
          <w:sz w:val="26"/>
          <w:szCs w:val="26"/>
        </w:rPr>
      </w:pPr>
    </w:p>
    <w:p>
      <w:pPr>
        <w:pStyle w:val="Heading2"/>
        <w:spacing w:line="396" w:lineRule="exact"/>
        <w:ind w:left="534" w:right="0"/>
        <w:jc w:val="left"/>
        <w:rPr>
          <w:b w:val="0"/>
          <w:bCs w:val="0"/>
        </w:rPr>
      </w:pPr>
      <w:bookmarkStart w:name="四、资产及负债状况分析" w:id="60"/>
      <w:bookmarkEnd w:id="60"/>
      <w:r>
        <w:rPr>
          <w:b w:val="0"/>
          <w:bCs w:val="0"/>
        </w:rPr>
      </w:r>
      <w:r>
        <w:rPr/>
        <w:t>四、资产及负债状况分析</w:t>
      </w:r>
      <w:r>
        <w:rPr>
          <w:b w:val="0"/>
          <w:bCs w:val="0"/>
        </w:rPr>
      </w:r>
    </w:p>
    <w:p>
      <w:pPr>
        <w:spacing w:line="240" w:lineRule="auto" w:before="0"/>
        <w:rPr>
          <w:rFonts w:ascii="华文细黑" w:hAnsi="华文细黑" w:cs="华文细黑" w:eastAsia="华文细黑" w:hint="default"/>
          <w:b/>
          <w:bCs/>
          <w:sz w:val="30"/>
          <w:szCs w:val="30"/>
        </w:rPr>
      </w:pPr>
    </w:p>
    <w:p>
      <w:pPr>
        <w:pStyle w:val="Heading5"/>
        <w:spacing w:line="240" w:lineRule="auto" w:before="0"/>
        <w:ind w:left="534" w:right="0"/>
        <w:jc w:val="left"/>
        <w:rPr>
          <w:b w:val="0"/>
          <w:bCs w:val="0"/>
        </w:rPr>
      </w:pPr>
      <w:bookmarkStart w:name="1、资产构成重大变动情况" w:id="61"/>
      <w:bookmarkEnd w:id="61"/>
      <w:r>
        <w:rPr>
          <w:b w:val="0"/>
          <w:bCs w:val="0"/>
        </w:rPr>
      </w:r>
      <w:r>
        <w:rPr>
          <w:rFonts w:ascii="华文细黑" w:hAnsi="华文细黑" w:cs="华文细黑" w:eastAsia="华文细黑" w:hint="default"/>
        </w:rPr>
        <w:t>1</w:t>
      </w:r>
      <w:r>
        <w:rPr/>
        <w:t>、资产构成重大变动情况</w:t>
      </w:r>
      <w:r>
        <w:rPr>
          <w:b w:val="0"/>
          <w:bCs w:val="0"/>
        </w:rPr>
      </w:r>
    </w:p>
    <w:p>
      <w:pPr>
        <w:spacing w:line="240" w:lineRule="auto" w:before="9"/>
        <w:rPr>
          <w:rFonts w:ascii="华文细黑" w:hAnsi="华文细黑" w:cs="华文细黑" w:eastAsia="华文细黑" w:hint="default"/>
          <w:b/>
          <w:bCs/>
          <w:sz w:val="22"/>
          <w:szCs w:val="22"/>
        </w:rPr>
      </w:pPr>
    </w:p>
    <w:p>
      <w:pPr>
        <w:spacing w:before="23"/>
        <w:ind w:left="0" w:right="1130" w:firstLine="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单位：元</w:t>
      </w:r>
    </w:p>
    <w:p>
      <w:pPr>
        <w:spacing w:line="240" w:lineRule="auto" w:before="12"/>
        <w:rPr>
          <w:rFonts w:ascii="华文细黑" w:hAnsi="华文细黑" w:cs="华文细黑" w:eastAsia="华文细黑" w:hint="default"/>
          <w:sz w:val="6"/>
          <w:szCs w:val="6"/>
        </w:rPr>
      </w:pPr>
    </w:p>
    <w:tbl>
      <w:tblPr>
        <w:tblW w:w="0" w:type="auto"/>
        <w:jc w:val="left"/>
        <w:tblInd w:w="103" w:type="dxa"/>
        <w:tblLayout w:type="fixed"/>
        <w:tblCellMar>
          <w:top w:w="0" w:type="dxa"/>
          <w:left w:w="0" w:type="dxa"/>
          <w:bottom w:w="0" w:type="dxa"/>
          <w:right w:w="0" w:type="dxa"/>
        </w:tblCellMar>
        <w:tblLook w:val="01E0"/>
      </w:tblPr>
      <w:tblGrid>
        <w:gridCol w:w="1702"/>
        <w:gridCol w:w="1702"/>
        <w:gridCol w:w="851"/>
        <w:gridCol w:w="1702"/>
        <w:gridCol w:w="850"/>
        <w:gridCol w:w="851"/>
        <w:gridCol w:w="2227"/>
      </w:tblGrid>
      <w:tr>
        <w:trPr>
          <w:trHeight w:val="403" w:hRule="exact"/>
        </w:trPr>
        <w:tc>
          <w:tcPr>
            <w:tcW w:w="1702" w:type="dxa"/>
            <w:vMerge w:val="restart"/>
            <w:tcBorders>
              <w:top w:val="single" w:sz="4" w:space="0" w:color="FFC000"/>
              <w:left w:val="single" w:sz="4" w:space="0" w:color="FFC000"/>
              <w:right w:val="single" w:sz="4" w:space="0" w:color="FFC000"/>
            </w:tcBorders>
            <w:shd w:val="clear" w:color="auto" w:fill="FFF8E6"/>
          </w:tcPr>
          <w:p>
            <w:pPr/>
          </w:p>
        </w:tc>
        <w:tc>
          <w:tcPr>
            <w:tcW w:w="2553"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年末</w:t>
            </w:r>
          </w:p>
        </w:tc>
        <w:tc>
          <w:tcPr>
            <w:tcW w:w="2551"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2017</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年末</w:t>
            </w:r>
          </w:p>
        </w:tc>
        <w:tc>
          <w:tcPr>
            <w:tcW w:w="851"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2"/>
              <w:ind w:right="0"/>
              <w:jc w:val="left"/>
              <w:rPr>
                <w:rFonts w:ascii="华文细黑" w:hAnsi="华文细黑" w:cs="华文细黑" w:eastAsia="华文细黑" w:hint="default"/>
                <w:sz w:val="17"/>
                <w:szCs w:val="17"/>
              </w:rPr>
            </w:pPr>
          </w:p>
          <w:p>
            <w:pPr>
              <w:pStyle w:val="TableParagraph"/>
              <w:spacing w:line="295" w:lineRule="auto"/>
              <w:ind w:left="329" w:right="149"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比重增 减</w:t>
            </w:r>
          </w:p>
        </w:tc>
        <w:tc>
          <w:tcPr>
            <w:tcW w:w="2227"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4"/>
              <w:ind w:left="56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重大变动说明</w:t>
            </w:r>
          </w:p>
        </w:tc>
      </w:tr>
      <w:tr>
        <w:trPr>
          <w:trHeight w:val="713" w:hRule="exact"/>
        </w:trPr>
        <w:tc>
          <w:tcPr>
            <w:tcW w:w="1702" w:type="dxa"/>
            <w:vMerge/>
            <w:tcBorders>
              <w:left w:val="single" w:sz="4" w:space="0" w:color="FFC000"/>
              <w:bottom w:val="single" w:sz="4" w:space="0" w:color="FFC000"/>
              <w:right w:val="single" w:sz="4" w:space="0" w:color="FFC000"/>
            </w:tcBorders>
            <w:shd w:val="clear" w:color="auto" w:fill="FFF8E6"/>
          </w:tcPr>
          <w:p>
            <w:pPr/>
          </w:p>
        </w:tc>
        <w:tc>
          <w:tcPr>
            <w:tcW w:w="17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8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50" w:right="14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占总资 产比例</w:t>
            </w:r>
          </w:p>
        </w:tc>
        <w:tc>
          <w:tcPr>
            <w:tcW w:w="17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85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48" w:right="14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占总资 产比例</w:t>
            </w:r>
          </w:p>
        </w:tc>
        <w:tc>
          <w:tcPr>
            <w:tcW w:w="851" w:type="dxa"/>
            <w:vMerge/>
            <w:tcBorders>
              <w:left w:val="single" w:sz="4" w:space="0" w:color="FFC000"/>
              <w:bottom w:val="single" w:sz="4" w:space="0" w:color="FFC000"/>
              <w:right w:val="single" w:sz="4" w:space="0" w:color="FFC000"/>
            </w:tcBorders>
            <w:shd w:val="clear" w:color="auto" w:fill="FFF8E6"/>
          </w:tcPr>
          <w:p>
            <w:pPr/>
          </w:p>
        </w:tc>
        <w:tc>
          <w:tcPr>
            <w:tcW w:w="2227" w:type="dxa"/>
            <w:vMerge/>
            <w:tcBorders>
              <w:left w:val="single" w:sz="4" w:space="0" w:color="FFC000"/>
              <w:bottom w:val="single" w:sz="4" w:space="0" w:color="FFC000"/>
              <w:right w:val="single" w:sz="4" w:space="0" w:color="FFC000"/>
            </w:tcBorders>
            <w:shd w:val="clear" w:color="auto" w:fill="FFF8E6"/>
          </w:tcPr>
          <w:p>
            <w:pPr/>
          </w:p>
        </w:tc>
      </w:tr>
      <w:tr>
        <w:trPr>
          <w:trHeight w:val="1026" w:hRule="exact"/>
        </w:trPr>
        <w:tc>
          <w:tcPr>
            <w:tcW w:w="17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3,237,345,929.00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31.59%</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2,108,692,671.89</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16.90%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left="47" w:right="0"/>
              <w:jc w:val="center"/>
              <w:rPr>
                <w:rFonts w:ascii="华文细黑" w:hAnsi="华文细黑" w:cs="华文细黑" w:eastAsia="华文细黑" w:hint="default"/>
                <w:sz w:val="18"/>
                <w:szCs w:val="18"/>
              </w:rPr>
            </w:pPr>
            <w:r>
              <w:rPr>
                <w:rFonts w:ascii="华文细黑"/>
                <w:sz w:val="18"/>
              </w:rPr>
              <w:t>14.69%</w:t>
            </w:r>
          </w:p>
        </w:tc>
        <w:tc>
          <w:tcPr>
            <w:tcW w:w="2227"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132"/>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主要系公司开立的保函、 银行承兑汇票增加，相应 的保证金增加所致</w:t>
            </w:r>
          </w:p>
        </w:tc>
      </w:tr>
      <w:tr>
        <w:trPr>
          <w:trHeight w:val="714" w:hRule="exact"/>
        </w:trPr>
        <w:tc>
          <w:tcPr>
            <w:tcW w:w="17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应收账款</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1,584,363,693.49</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15.46%</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1,296,889,502.25</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10.39%</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left="146" w:right="0"/>
              <w:jc w:val="center"/>
              <w:rPr>
                <w:rFonts w:ascii="华文细黑" w:hAnsi="华文细黑" w:cs="华文细黑" w:eastAsia="华文细黑" w:hint="default"/>
                <w:sz w:val="18"/>
                <w:szCs w:val="18"/>
              </w:rPr>
            </w:pPr>
            <w:r>
              <w:rPr>
                <w:rFonts w:ascii="华文细黑"/>
                <w:sz w:val="18"/>
              </w:rPr>
              <w:t>5.07%</w:t>
            </w:r>
          </w:p>
        </w:tc>
        <w:tc>
          <w:tcPr>
            <w:tcW w:w="2227"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13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主要系对大客户赊销额度 增加</w:t>
            </w:r>
          </w:p>
        </w:tc>
      </w:tr>
      <w:tr>
        <w:trPr>
          <w:trHeight w:val="714" w:hRule="exact"/>
        </w:trPr>
        <w:tc>
          <w:tcPr>
            <w:tcW w:w="17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存货</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2,355,193,580.31</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22.98%</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3,937,640,208.30</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31.55%</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left="86" w:right="0"/>
              <w:jc w:val="center"/>
              <w:rPr>
                <w:rFonts w:ascii="华文细黑" w:hAnsi="华文细黑" w:cs="华文细黑" w:eastAsia="华文细黑" w:hint="default"/>
                <w:sz w:val="18"/>
                <w:szCs w:val="18"/>
              </w:rPr>
            </w:pPr>
            <w:r>
              <w:rPr>
                <w:rFonts w:ascii="华文细黑"/>
                <w:sz w:val="18"/>
              </w:rPr>
              <w:t>-8.57%</w:t>
            </w:r>
          </w:p>
        </w:tc>
        <w:tc>
          <w:tcPr>
            <w:tcW w:w="2227"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13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主要系加速产品销售，降 低库存商品</w:t>
            </w:r>
          </w:p>
        </w:tc>
      </w:tr>
      <w:tr>
        <w:trPr>
          <w:trHeight w:val="402" w:hRule="exact"/>
        </w:trPr>
        <w:tc>
          <w:tcPr>
            <w:tcW w:w="17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长期股权投资</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32,738,065.61</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0.32%</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30,331,713.93</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0.24%</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46" w:right="0"/>
              <w:jc w:val="center"/>
              <w:rPr>
                <w:rFonts w:ascii="华文细黑" w:hAnsi="华文细黑" w:cs="华文细黑" w:eastAsia="华文细黑" w:hint="default"/>
                <w:sz w:val="18"/>
                <w:szCs w:val="18"/>
              </w:rPr>
            </w:pPr>
            <w:r>
              <w:rPr>
                <w:rFonts w:ascii="华文细黑"/>
                <w:sz w:val="18"/>
              </w:rPr>
              <w:t>0.08%</w:t>
            </w:r>
          </w:p>
        </w:tc>
        <w:tc>
          <w:tcPr>
            <w:tcW w:w="2227"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17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固定资产</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15,782,914.57</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0.15%</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16,357,271.85</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0.13%</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46" w:right="0"/>
              <w:jc w:val="center"/>
              <w:rPr>
                <w:rFonts w:ascii="华文细黑" w:hAnsi="华文细黑" w:cs="华文细黑" w:eastAsia="华文细黑" w:hint="default"/>
                <w:sz w:val="18"/>
                <w:szCs w:val="18"/>
              </w:rPr>
            </w:pPr>
            <w:r>
              <w:rPr>
                <w:rFonts w:ascii="华文细黑"/>
                <w:sz w:val="18"/>
              </w:rPr>
              <w:t>0.02%</w:t>
            </w:r>
          </w:p>
        </w:tc>
        <w:tc>
          <w:tcPr>
            <w:tcW w:w="2227"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17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在建工程</w:t>
            </w:r>
          </w:p>
        </w:tc>
        <w:tc>
          <w:tcPr>
            <w:tcW w:w="170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99"/>
              <w:jc w:val="right"/>
              <w:rPr>
                <w:rFonts w:ascii="华文细黑" w:hAnsi="华文细黑" w:cs="华文细黑" w:eastAsia="华文细黑" w:hint="default"/>
                <w:sz w:val="18"/>
                <w:szCs w:val="18"/>
              </w:rPr>
            </w:pPr>
            <w:r>
              <w:rPr>
                <w:rFonts w:ascii="华文细黑"/>
                <w:sz w:val="18"/>
              </w:rPr>
              <w:t>2,562,743.79</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0.02%</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86" w:right="0"/>
              <w:jc w:val="center"/>
              <w:rPr>
                <w:rFonts w:ascii="华文细黑" w:hAnsi="华文细黑" w:cs="华文细黑" w:eastAsia="华文细黑" w:hint="default"/>
                <w:sz w:val="18"/>
                <w:szCs w:val="18"/>
              </w:rPr>
            </w:pPr>
            <w:r>
              <w:rPr>
                <w:rFonts w:ascii="华文细黑"/>
                <w:sz w:val="18"/>
              </w:rPr>
              <w:t>-0.02%</w:t>
            </w:r>
          </w:p>
        </w:tc>
        <w:tc>
          <w:tcPr>
            <w:tcW w:w="2227" w:type="dxa"/>
            <w:tcBorders>
              <w:top w:val="single" w:sz="4" w:space="0" w:color="FFC000"/>
              <w:left w:val="single" w:sz="4" w:space="0" w:color="FFC000"/>
              <w:bottom w:val="single" w:sz="4" w:space="0" w:color="FFC000"/>
              <w:right w:val="single" w:sz="4" w:space="0" w:color="FFC000"/>
            </w:tcBorders>
          </w:tcPr>
          <w:p>
            <w:pPr/>
          </w:p>
        </w:tc>
      </w:tr>
      <w:tr>
        <w:trPr>
          <w:trHeight w:val="714" w:hRule="exact"/>
        </w:trPr>
        <w:tc>
          <w:tcPr>
            <w:tcW w:w="17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发放贷款及垫款</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919,312,251.62</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8.97%</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1,146,184,426.23</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9.18%</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left="86" w:right="0"/>
              <w:jc w:val="center"/>
              <w:rPr>
                <w:rFonts w:ascii="华文细黑" w:hAnsi="华文细黑" w:cs="华文细黑" w:eastAsia="华文细黑" w:hint="default"/>
                <w:sz w:val="18"/>
                <w:szCs w:val="18"/>
              </w:rPr>
            </w:pPr>
            <w:r>
              <w:rPr>
                <w:rFonts w:ascii="华文细黑"/>
                <w:sz w:val="18"/>
              </w:rPr>
              <w:t>-0.21%</w:t>
            </w:r>
          </w:p>
        </w:tc>
        <w:tc>
          <w:tcPr>
            <w:tcW w:w="2227"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13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主要系爱施德小贷发放贷 款减少</w:t>
            </w:r>
          </w:p>
        </w:tc>
      </w:tr>
      <w:tr>
        <w:trPr>
          <w:trHeight w:val="1026" w:hRule="exact"/>
        </w:trPr>
        <w:tc>
          <w:tcPr>
            <w:tcW w:w="17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华文细黑" w:hAnsi="华文细黑" w:cs="华文细黑" w:eastAsia="华文细黑" w:hint="default"/>
                <w:sz w:val="25"/>
                <w:szCs w:val="25"/>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可供出售金融资产</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25"/>
                <w:szCs w:val="25"/>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216,660,954.98</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25"/>
                <w:szCs w:val="25"/>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2.11%</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25"/>
                <w:szCs w:val="25"/>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838,364,981.27</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25"/>
                <w:szCs w:val="25"/>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6.72%</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25"/>
                <w:szCs w:val="25"/>
              </w:rPr>
            </w:pPr>
          </w:p>
          <w:p>
            <w:pPr>
              <w:pStyle w:val="TableParagraph"/>
              <w:spacing w:line="240" w:lineRule="auto"/>
              <w:ind w:left="86" w:right="0"/>
              <w:jc w:val="center"/>
              <w:rPr>
                <w:rFonts w:ascii="华文细黑" w:hAnsi="华文细黑" w:cs="华文细黑" w:eastAsia="华文细黑" w:hint="default"/>
                <w:sz w:val="18"/>
                <w:szCs w:val="18"/>
              </w:rPr>
            </w:pPr>
            <w:r>
              <w:rPr>
                <w:rFonts w:ascii="华文细黑"/>
                <w:sz w:val="18"/>
              </w:rPr>
              <w:t>-4.61%</w:t>
            </w:r>
          </w:p>
        </w:tc>
        <w:tc>
          <w:tcPr>
            <w:tcW w:w="2227"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132"/>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主要系对公司投资的中新 控股股票、电商互联及暴 风魔镜计提了减值准备</w:t>
            </w:r>
          </w:p>
        </w:tc>
      </w:tr>
      <w:tr>
        <w:trPr>
          <w:trHeight w:val="715" w:hRule="exact"/>
        </w:trPr>
        <w:tc>
          <w:tcPr>
            <w:tcW w:w="17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预付款项</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575,808,804.89</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5.62%</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1,758,668,802.33</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14.09%</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left="86" w:right="0"/>
              <w:jc w:val="center"/>
              <w:rPr>
                <w:rFonts w:ascii="华文细黑" w:hAnsi="华文细黑" w:cs="华文细黑" w:eastAsia="华文细黑" w:hint="default"/>
                <w:sz w:val="18"/>
                <w:szCs w:val="18"/>
              </w:rPr>
            </w:pPr>
            <w:r>
              <w:rPr>
                <w:rFonts w:ascii="华文细黑"/>
                <w:sz w:val="18"/>
              </w:rPr>
              <w:t>-8.47%</w:t>
            </w:r>
          </w:p>
        </w:tc>
        <w:tc>
          <w:tcPr>
            <w:tcW w:w="2227"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13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主要系期末无新品上市预 付厂家货款减少</w:t>
            </w:r>
          </w:p>
        </w:tc>
      </w:tr>
    </w:tbl>
    <w:p>
      <w:pPr>
        <w:spacing w:after="0" w:line="295" w:lineRule="auto"/>
        <w:jc w:val="left"/>
        <w:rPr>
          <w:rFonts w:ascii="华文细黑" w:hAnsi="华文细黑" w:cs="华文细黑" w:eastAsia="华文细黑" w:hint="default"/>
          <w:sz w:val="18"/>
          <w:szCs w:val="18"/>
        </w:rPr>
        <w:sectPr>
          <w:type w:val="continuous"/>
          <w:pgSz w:w="11910" w:h="16840"/>
          <w:pgMar w:top="240" w:bottom="0" w:left="600" w:right="0"/>
        </w:sectPr>
      </w:pPr>
    </w:p>
    <w:p>
      <w:pPr>
        <w:spacing w:line="240" w:lineRule="auto" w:before="8"/>
        <w:rPr>
          <w:rFonts w:ascii="华文细黑" w:hAnsi="华文细黑" w:cs="华文细黑" w:eastAsia="华文细黑" w:hint="default"/>
          <w:sz w:val="23"/>
          <w:szCs w:val="23"/>
        </w:rPr>
      </w:pPr>
    </w:p>
    <w:tbl>
      <w:tblPr>
        <w:tblW w:w="0" w:type="auto"/>
        <w:jc w:val="left"/>
        <w:tblInd w:w="303" w:type="dxa"/>
        <w:tblLayout w:type="fixed"/>
        <w:tblCellMar>
          <w:top w:w="0" w:type="dxa"/>
          <w:left w:w="0" w:type="dxa"/>
          <w:bottom w:w="0" w:type="dxa"/>
          <w:right w:w="0" w:type="dxa"/>
        </w:tblCellMar>
        <w:tblLook w:val="01E0"/>
      </w:tblPr>
      <w:tblGrid>
        <w:gridCol w:w="1702"/>
        <w:gridCol w:w="1702"/>
        <w:gridCol w:w="851"/>
        <w:gridCol w:w="1702"/>
        <w:gridCol w:w="850"/>
        <w:gridCol w:w="851"/>
        <w:gridCol w:w="2227"/>
      </w:tblGrid>
      <w:tr>
        <w:trPr>
          <w:trHeight w:val="402" w:hRule="exact"/>
        </w:trPr>
        <w:tc>
          <w:tcPr>
            <w:tcW w:w="17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应收票据</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309,101,965.50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3.02%</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282,638,903.96</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2.26%</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0.76%</w:t>
            </w:r>
          </w:p>
        </w:tc>
        <w:tc>
          <w:tcPr>
            <w:tcW w:w="2227" w:type="dxa"/>
            <w:tcBorders>
              <w:top w:val="single" w:sz="4" w:space="0" w:color="FFC000"/>
              <w:left w:val="single" w:sz="4" w:space="0" w:color="FFC000"/>
              <w:bottom w:val="single" w:sz="4" w:space="0" w:color="FFC000"/>
              <w:right w:val="single" w:sz="4" w:space="0" w:color="FFC000"/>
            </w:tcBorders>
          </w:tcPr>
          <w:p>
            <w:pPr/>
          </w:p>
        </w:tc>
      </w:tr>
      <w:tr>
        <w:trPr>
          <w:trHeight w:val="1026" w:hRule="exact"/>
        </w:trPr>
        <w:tc>
          <w:tcPr>
            <w:tcW w:w="17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47"/>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以公允价值计量且 其变动计入当期损 益的金融资产</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217,968,239.73</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2.13%</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23,621,500.80</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0.19%</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1.94%</w:t>
            </w:r>
          </w:p>
        </w:tc>
        <w:tc>
          <w:tcPr>
            <w:tcW w:w="22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结构性存款增加</w:t>
            </w:r>
          </w:p>
        </w:tc>
      </w:tr>
    </w:tbl>
    <w:p>
      <w:pPr>
        <w:spacing w:line="240" w:lineRule="auto" w:before="9"/>
        <w:rPr>
          <w:rFonts w:ascii="华文细黑" w:hAnsi="华文细黑" w:cs="华文细黑" w:eastAsia="华文细黑" w:hint="default"/>
          <w:sz w:val="18"/>
          <w:szCs w:val="18"/>
        </w:rPr>
      </w:pPr>
    </w:p>
    <w:p>
      <w:pPr>
        <w:pStyle w:val="Heading5"/>
        <w:spacing w:line="240" w:lineRule="auto"/>
        <w:ind w:left="734" w:right="0"/>
        <w:jc w:val="left"/>
        <w:rPr>
          <w:b w:val="0"/>
          <w:bCs w:val="0"/>
        </w:rPr>
      </w:pPr>
      <w:bookmarkStart w:name="2、以公允价值计量的资产和负债" w:id="62"/>
      <w:bookmarkEnd w:id="62"/>
      <w:r>
        <w:rPr>
          <w:b w:val="0"/>
          <w:bCs w:val="0"/>
        </w:rPr>
      </w:r>
      <w:r>
        <w:rPr>
          <w:rFonts w:ascii="华文细黑" w:hAnsi="华文细黑" w:cs="华文细黑" w:eastAsia="华文细黑" w:hint="default"/>
        </w:rPr>
        <w:t>2</w:t>
      </w:r>
      <w:r>
        <w:rPr/>
        <w:t>、以公允价值计量的资产和负债</w:t>
      </w:r>
      <w:r>
        <w:rPr>
          <w:b w:val="0"/>
          <w:bCs w:val="0"/>
        </w:rPr>
      </w:r>
    </w:p>
    <w:p>
      <w:pPr>
        <w:spacing w:line="240" w:lineRule="auto" w:before="10"/>
        <w:rPr>
          <w:rFonts w:ascii="华文细黑" w:hAnsi="华文细黑" w:cs="华文细黑" w:eastAsia="华文细黑" w:hint="default"/>
          <w:b/>
          <w:bCs/>
          <w:sz w:val="21"/>
          <w:szCs w:val="21"/>
        </w:rPr>
      </w:pPr>
    </w:p>
    <w:p>
      <w:pPr>
        <w:spacing w:after="0" w:line="240" w:lineRule="auto"/>
        <w:rPr>
          <w:rFonts w:ascii="华文细黑" w:hAnsi="华文细黑" w:cs="华文细黑" w:eastAsia="华文细黑" w:hint="default"/>
          <w:sz w:val="21"/>
          <w:szCs w:val="21"/>
        </w:rPr>
        <w:sectPr>
          <w:pgSz w:w="11910" w:h="16840"/>
          <w:pgMar w:header="917" w:footer="1019" w:top="1100" w:bottom="1200" w:left="400" w:right="0"/>
        </w:sectPr>
      </w:pPr>
    </w:p>
    <w:p>
      <w:pPr>
        <w:pStyle w:val="BodyText"/>
        <w:spacing w:line="240" w:lineRule="auto" w:before="10"/>
        <w:ind w:left="734" w:right="-19"/>
        <w:jc w:val="left"/>
      </w:pPr>
      <w:r>
        <w:rPr/>
        <w:t>√  适用  □</w:t>
      </w:r>
      <w:r>
        <w:rPr>
          <w:spacing w:val="51"/>
        </w:rPr>
        <w:t> </w:t>
      </w:r>
      <w:r>
        <w:rPr/>
        <w:t>不适用</w:t>
      </w:r>
    </w:p>
    <w:p>
      <w:pPr>
        <w:spacing w:line="240" w:lineRule="auto" w:before="0"/>
        <w:rPr>
          <w:rFonts w:ascii="华文细黑" w:hAnsi="华文细黑" w:cs="华文细黑" w:eastAsia="华文细黑" w:hint="default"/>
          <w:sz w:val="18"/>
          <w:szCs w:val="18"/>
        </w:rPr>
      </w:pPr>
      <w:r>
        <w:rPr/>
        <w:br w:type="column"/>
      </w:r>
      <w:r>
        <w:rPr>
          <w:rFonts w:ascii="华文细黑"/>
          <w:sz w:val="18"/>
        </w:rPr>
      </w:r>
    </w:p>
    <w:p>
      <w:pPr>
        <w:spacing w:before="135"/>
        <w:ind w:left="733" w:right="0" w:firstLine="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单位：元</w:t>
      </w:r>
    </w:p>
    <w:p>
      <w:pPr>
        <w:spacing w:after="0"/>
        <w:jc w:val="left"/>
        <w:rPr>
          <w:rFonts w:ascii="华文细黑" w:hAnsi="华文细黑" w:cs="华文细黑" w:eastAsia="华文细黑" w:hint="default"/>
          <w:sz w:val="18"/>
          <w:szCs w:val="18"/>
        </w:rPr>
        <w:sectPr>
          <w:type w:val="continuous"/>
          <w:pgSz w:w="11910" w:h="16840"/>
          <w:pgMar w:top="240" w:bottom="0" w:left="400" w:right="0"/>
          <w:cols w:num="2" w:equalWidth="0">
            <w:col w:w="2519" w:space="6400"/>
            <w:col w:w="2591"/>
          </w:cols>
        </w:sectPr>
      </w:pPr>
    </w:p>
    <w:p>
      <w:pPr>
        <w:spacing w:line="240" w:lineRule="auto" w:before="12"/>
        <w:rPr>
          <w:rFonts w:ascii="华文细黑" w:hAnsi="华文细黑" w:cs="华文细黑" w:eastAsia="华文细黑" w:hint="default"/>
          <w:sz w:val="6"/>
          <w:szCs w:val="6"/>
        </w:rPr>
      </w:pPr>
    </w:p>
    <w:tbl>
      <w:tblPr>
        <w:tblW w:w="0" w:type="auto"/>
        <w:jc w:val="left"/>
        <w:tblInd w:w="113" w:type="dxa"/>
        <w:tblLayout w:type="fixed"/>
        <w:tblCellMar>
          <w:top w:w="0" w:type="dxa"/>
          <w:left w:w="0" w:type="dxa"/>
          <w:bottom w:w="0" w:type="dxa"/>
          <w:right w:w="0" w:type="dxa"/>
        </w:tblCellMar>
        <w:tblLook w:val="01E0"/>
      </w:tblPr>
      <w:tblGrid>
        <w:gridCol w:w="1467"/>
        <w:gridCol w:w="1417"/>
        <w:gridCol w:w="1418"/>
        <w:gridCol w:w="1247"/>
        <w:gridCol w:w="1351"/>
        <w:gridCol w:w="1418"/>
        <w:gridCol w:w="1282"/>
        <w:gridCol w:w="1270"/>
      </w:tblGrid>
      <w:tr>
        <w:trPr>
          <w:trHeight w:val="1026" w:hRule="exact"/>
        </w:trPr>
        <w:tc>
          <w:tcPr>
            <w:tcW w:w="14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项目</w:t>
            </w:r>
          </w:p>
        </w:tc>
        <w:tc>
          <w:tcPr>
            <w:tcW w:w="14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期初数</w:t>
            </w:r>
          </w:p>
        </w:tc>
        <w:tc>
          <w:tcPr>
            <w:tcW w:w="141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344" w:right="162"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本期公允价值 变动损益</w:t>
            </w:r>
          </w:p>
        </w:tc>
        <w:tc>
          <w:tcPr>
            <w:tcW w:w="12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68" w:right="167"/>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计入权益的 累计公允价 值变动</w:t>
            </w:r>
          </w:p>
        </w:tc>
        <w:tc>
          <w:tcPr>
            <w:tcW w:w="13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580" w:right="128" w:hanging="45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本期计提的减 值</w:t>
            </w:r>
          </w:p>
        </w:tc>
        <w:tc>
          <w:tcPr>
            <w:tcW w:w="141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left="16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本期购买金额</w:t>
            </w:r>
          </w:p>
        </w:tc>
        <w:tc>
          <w:tcPr>
            <w:tcW w:w="128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545" w:right="185" w:hanging="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本期出售金 额</w:t>
            </w:r>
          </w:p>
        </w:tc>
        <w:tc>
          <w:tcPr>
            <w:tcW w:w="12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期末数</w:t>
            </w:r>
          </w:p>
        </w:tc>
      </w:tr>
      <w:tr>
        <w:trPr>
          <w:trHeight w:val="402" w:hRule="exact"/>
        </w:trPr>
        <w:tc>
          <w:tcPr>
            <w:tcW w:w="14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金融资产</w:t>
            </w:r>
          </w:p>
        </w:tc>
        <w:tc>
          <w:tcPr>
            <w:tcW w:w="9403" w:type="dxa"/>
            <w:gridSpan w:val="7"/>
            <w:tcBorders>
              <w:top w:val="single" w:sz="4" w:space="0" w:color="FFC000"/>
              <w:left w:val="single" w:sz="4" w:space="0" w:color="FFC000"/>
              <w:bottom w:val="single" w:sz="4" w:space="0" w:color="FFC000"/>
              <w:right w:val="single" w:sz="4" w:space="0" w:color="FFC000"/>
            </w:tcBorders>
          </w:tcPr>
          <w:p>
            <w:pPr/>
          </w:p>
        </w:tc>
      </w:tr>
      <w:tr>
        <w:trPr>
          <w:trHeight w:val="1650" w:hRule="exact"/>
        </w:trPr>
        <w:tc>
          <w:tcPr>
            <w:tcW w:w="14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9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以公允价值计 量且其变动计 入当期损益的 金融资产（不含 衍生金融资产）</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3"/>
              <w:ind w:right="0"/>
              <w:jc w:val="left"/>
              <w:rPr>
                <w:rFonts w:ascii="华文细黑" w:hAnsi="华文细黑" w:cs="华文细黑" w:eastAsia="华文细黑" w:hint="default"/>
                <w:sz w:val="16"/>
                <w:szCs w:val="16"/>
              </w:rPr>
            </w:pPr>
          </w:p>
          <w:p>
            <w:pPr>
              <w:pStyle w:val="TableParagraph"/>
              <w:spacing w:line="240" w:lineRule="auto"/>
              <w:ind w:left="183" w:right="0"/>
              <w:jc w:val="center"/>
              <w:rPr>
                <w:rFonts w:ascii="华文细黑" w:hAnsi="华文细黑" w:cs="华文细黑" w:eastAsia="华文细黑" w:hint="default"/>
                <w:sz w:val="16"/>
                <w:szCs w:val="16"/>
              </w:rPr>
            </w:pPr>
            <w:r>
              <w:rPr>
                <w:rFonts w:ascii="华文细黑"/>
                <w:sz w:val="16"/>
              </w:rPr>
              <w:t>23,621,500.80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3"/>
              <w:ind w:right="0"/>
              <w:jc w:val="left"/>
              <w:rPr>
                <w:rFonts w:ascii="华文细黑" w:hAnsi="华文细黑" w:cs="华文细黑" w:eastAsia="华文细黑" w:hint="default"/>
                <w:sz w:val="16"/>
                <w:szCs w:val="16"/>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-14,172,900.48</w:t>
            </w:r>
          </w:p>
        </w:tc>
        <w:tc>
          <w:tcPr>
            <w:tcW w:w="1247" w:type="dxa"/>
            <w:tcBorders>
              <w:top w:val="single" w:sz="4" w:space="0" w:color="FFC000"/>
              <w:left w:val="single" w:sz="4" w:space="0" w:color="FFC000"/>
              <w:bottom w:val="single" w:sz="4" w:space="0" w:color="FFC000"/>
              <w:right w:val="single" w:sz="4" w:space="0" w:color="FFC000"/>
            </w:tcBorders>
          </w:tcPr>
          <w:p>
            <w:pPr/>
          </w:p>
        </w:tc>
        <w:tc>
          <w:tcPr>
            <w:tcW w:w="1351" w:type="dxa"/>
            <w:tcBorders>
              <w:top w:val="single" w:sz="4" w:space="0" w:color="FFC000"/>
              <w:left w:val="single" w:sz="4" w:space="0" w:color="FFC000"/>
              <w:bottom w:val="single" w:sz="4" w:space="0" w:color="FFC000"/>
              <w:right w:val="single" w:sz="4" w:space="0" w:color="FFC000"/>
            </w:tcBorders>
          </w:tcPr>
          <w:p>
            <w:pPr/>
          </w:p>
        </w:tc>
        <w:tc>
          <w:tcPr>
            <w:tcW w:w="1418" w:type="dxa"/>
            <w:tcBorders>
              <w:top w:val="single" w:sz="4" w:space="0" w:color="FFC000"/>
              <w:left w:val="single" w:sz="4" w:space="0" w:color="FFC000"/>
              <w:bottom w:val="single" w:sz="4" w:space="0" w:color="FFC000"/>
              <w:right w:val="single" w:sz="4" w:space="0" w:color="FFC000"/>
            </w:tcBorders>
          </w:tcPr>
          <w:p>
            <w:pPr/>
          </w:p>
        </w:tc>
        <w:tc>
          <w:tcPr>
            <w:tcW w:w="128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3"/>
              <w:ind w:right="0"/>
              <w:jc w:val="left"/>
              <w:rPr>
                <w:rFonts w:ascii="华文细黑" w:hAnsi="华文细黑" w:cs="华文细黑" w:eastAsia="华文细黑" w:hint="default"/>
                <w:sz w:val="16"/>
                <w:szCs w:val="16"/>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9,448,600.32</w:t>
            </w:r>
          </w:p>
        </w:tc>
        <w:tc>
          <w:tcPr>
            <w:tcW w:w="1270" w:type="dxa"/>
            <w:tcBorders>
              <w:top w:val="single" w:sz="4" w:space="0" w:color="FFC000"/>
              <w:left w:val="single" w:sz="4" w:space="0" w:color="FFC000"/>
              <w:bottom w:val="single" w:sz="4" w:space="0" w:color="FFC000"/>
              <w:right w:val="single" w:sz="4" w:space="0" w:color="FFC000"/>
            </w:tcBorders>
          </w:tcPr>
          <w:p>
            <w:pPr/>
          </w:p>
        </w:tc>
      </w:tr>
      <w:tr>
        <w:trPr>
          <w:trHeight w:val="714" w:hRule="exact"/>
        </w:trPr>
        <w:tc>
          <w:tcPr>
            <w:tcW w:w="14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2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w:t>
            </w:r>
            <w:r>
              <w:rPr>
                <w:rFonts w:ascii="华文细黑" w:hAnsi="华文细黑" w:cs="华文细黑" w:eastAsia="华文细黑" w:hint="default"/>
                <w:sz w:val="18"/>
                <w:szCs w:val="18"/>
              </w:rPr>
              <w:t>可供出售金融 资产</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left="94" w:right="0"/>
              <w:jc w:val="center"/>
              <w:rPr>
                <w:rFonts w:ascii="华文细黑" w:hAnsi="华文细黑" w:cs="华文细黑" w:eastAsia="华文细黑" w:hint="default"/>
                <w:sz w:val="16"/>
                <w:szCs w:val="16"/>
              </w:rPr>
            </w:pPr>
            <w:r>
              <w:rPr>
                <w:rFonts w:ascii="华文细黑"/>
                <w:sz w:val="16"/>
              </w:rPr>
              <w:t>412,102,961.27</w:t>
            </w:r>
          </w:p>
        </w:tc>
        <w:tc>
          <w:tcPr>
            <w:tcW w:w="1418" w:type="dxa"/>
            <w:tcBorders>
              <w:top w:val="single" w:sz="4" w:space="0" w:color="FFC000"/>
              <w:left w:val="single" w:sz="4" w:space="0" w:color="FFC000"/>
              <w:bottom w:val="single" w:sz="4" w:space="0" w:color="FFC000"/>
              <w:right w:val="single" w:sz="4" w:space="0" w:color="FFC000"/>
            </w:tcBorders>
          </w:tcPr>
          <w:p>
            <w:pPr/>
          </w:p>
        </w:tc>
        <w:tc>
          <w:tcPr>
            <w:tcW w:w="12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1,490,841.03</w:t>
            </w:r>
          </w:p>
        </w:tc>
        <w:tc>
          <w:tcPr>
            <w:tcW w:w="13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left="28" w:right="0"/>
              <w:jc w:val="center"/>
              <w:rPr>
                <w:rFonts w:ascii="华文细黑" w:hAnsi="华文细黑" w:cs="华文细黑" w:eastAsia="华文细黑" w:hint="default"/>
                <w:sz w:val="16"/>
                <w:szCs w:val="16"/>
              </w:rPr>
            </w:pPr>
            <w:r>
              <w:rPr>
                <w:rFonts w:ascii="华文细黑"/>
                <w:sz w:val="16"/>
              </w:rPr>
              <w:t>367,919,644.20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left="198" w:right="0"/>
              <w:jc w:val="left"/>
              <w:rPr>
                <w:rFonts w:ascii="华文细黑" w:hAnsi="华文细黑" w:cs="华文细黑" w:eastAsia="华文细黑" w:hint="default"/>
                <w:sz w:val="16"/>
                <w:szCs w:val="16"/>
              </w:rPr>
            </w:pPr>
            <w:r>
              <w:rPr>
                <w:rFonts w:ascii="华文细黑"/>
                <w:sz w:val="16"/>
              </w:rPr>
              <w:t>262,860,000.00</w:t>
            </w:r>
          </w:p>
        </w:tc>
        <w:tc>
          <w:tcPr>
            <w:tcW w:w="128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26,485,668.21</w:t>
            </w:r>
          </w:p>
        </w:tc>
        <w:tc>
          <w:tcPr>
            <w:tcW w:w="12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left="35" w:right="0"/>
              <w:jc w:val="center"/>
              <w:rPr>
                <w:rFonts w:ascii="华文细黑" w:hAnsi="华文细黑" w:cs="华文细黑" w:eastAsia="华文细黑" w:hint="default"/>
                <w:sz w:val="16"/>
                <w:szCs w:val="16"/>
              </w:rPr>
            </w:pPr>
            <w:r>
              <w:rPr>
                <w:rFonts w:ascii="华文细黑"/>
                <w:sz w:val="16"/>
              </w:rPr>
              <w:t>86,460,934.98</w:t>
            </w:r>
          </w:p>
        </w:tc>
      </w:tr>
      <w:tr>
        <w:trPr>
          <w:trHeight w:val="402" w:hRule="exact"/>
        </w:trPr>
        <w:tc>
          <w:tcPr>
            <w:tcW w:w="14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金融资产小计</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left="94" w:right="0"/>
              <w:jc w:val="center"/>
              <w:rPr>
                <w:rFonts w:ascii="华文细黑" w:hAnsi="华文细黑" w:cs="华文细黑" w:eastAsia="华文细黑" w:hint="default"/>
                <w:sz w:val="16"/>
                <w:szCs w:val="16"/>
              </w:rPr>
            </w:pPr>
            <w:r>
              <w:rPr>
                <w:rFonts w:ascii="华文细黑"/>
                <w:sz w:val="16"/>
              </w:rPr>
              <w:t>435,724,462.07</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100"/>
              <w:jc w:val="right"/>
              <w:rPr>
                <w:rFonts w:ascii="华文细黑" w:hAnsi="华文细黑" w:cs="华文细黑" w:eastAsia="华文细黑" w:hint="default"/>
                <w:sz w:val="16"/>
                <w:szCs w:val="16"/>
              </w:rPr>
            </w:pPr>
            <w:r>
              <w:rPr>
                <w:rFonts w:ascii="华文细黑"/>
                <w:spacing w:val="-1"/>
                <w:sz w:val="16"/>
              </w:rPr>
              <w:t>-14,172,900.48</w:t>
            </w:r>
          </w:p>
        </w:tc>
        <w:tc>
          <w:tcPr>
            <w:tcW w:w="12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100"/>
              <w:jc w:val="right"/>
              <w:rPr>
                <w:rFonts w:ascii="华文细黑" w:hAnsi="华文细黑" w:cs="华文细黑" w:eastAsia="华文细黑" w:hint="default"/>
                <w:sz w:val="16"/>
                <w:szCs w:val="16"/>
              </w:rPr>
            </w:pPr>
            <w:r>
              <w:rPr>
                <w:rFonts w:ascii="华文细黑"/>
                <w:spacing w:val="-1"/>
                <w:sz w:val="16"/>
              </w:rPr>
              <w:t>1,490,841.03</w:t>
            </w:r>
          </w:p>
        </w:tc>
        <w:tc>
          <w:tcPr>
            <w:tcW w:w="13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left="28" w:right="0"/>
              <w:jc w:val="center"/>
              <w:rPr>
                <w:rFonts w:ascii="华文细黑" w:hAnsi="华文细黑" w:cs="华文细黑" w:eastAsia="华文细黑" w:hint="default"/>
                <w:sz w:val="16"/>
                <w:szCs w:val="16"/>
              </w:rPr>
            </w:pPr>
            <w:r>
              <w:rPr>
                <w:rFonts w:ascii="华文细黑"/>
                <w:sz w:val="16"/>
              </w:rPr>
              <w:t>367,919,644.20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left="198" w:right="0"/>
              <w:jc w:val="left"/>
              <w:rPr>
                <w:rFonts w:ascii="华文细黑" w:hAnsi="华文细黑" w:cs="华文细黑" w:eastAsia="华文细黑" w:hint="default"/>
                <w:sz w:val="16"/>
                <w:szCs w:val="16"/>
              </w:rPr>
            </w:pPr>
            <w:r>
              <w:rPr>
                <w:rFonts w:ascii="华文细黑"/>
                <w:sz w:val="16"/>
              </w:rPr>
              <w:t>262,860,000.00</w:t>
            </w:r>
          </w:p>
        </w:tc>
        <w:tc>
          <w:tcPr>
            <w:tcW w:w="128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100"/>
              <w:jc w:val="right"/>
              <w:rPr>
                <w:rFonts w:ascii="华文细黑" w:hAnsi="华文细黑" w:cs="华文细黑" w:eastAsia="华文细黑" w:hint="default"/>
                <w:sz w:val="16"/>
                <w:szCs w:val="16"/>
              </w:rPr>
            </w:pPr>
            <w:r>
              <w:rPr>
                <w:rFonts w:ascii="华文细黑"/>
                <w:spacing w:val="-1"/>
                <w:sz w:val="16"/>
              </w:rPr>
              <w:t>35,934,268.53</w:t>
            </w:r>
          </w:p>
        </w:tc>
        <w:tc>
          <w:tcPr>
            <w:tcW w:w="12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left="35" w:right="0"/>
              <w:jc w:val="center"/>
              <w:rPr>
                <w:rFonts w:ascii="华文细黑" w:hAnsi="华文细黑" w:cs="华文细黑" w:eastAsia="华文细黑" w:hint="default"/>
                <w:sz w:val="16"/>
                <w:szCs w:val="16"/>
              </w:rPr>
            </w:pPr>
            <w:r>
              <w:rPr>
                <w:rFonts w:ascii="华文细黑"/>
                <w:sz w:val="16"/>
              </w:rPr>
              <w:t>86,460,934.98</w:t>
            </w:r>
          </w:p>
        </w:tc>
      </w:tr>
      <w:tr>
        <w:trPr>
          <w:trHeight w:val="402" w:hRule="exact"/>
        </w:trPr>
        <w:tc>
          <w:tcPr>
            <w:tcW w:w="14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上述合计</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left="94" w:right="0"/>
              <w:jc w:val="center"/>
              <w:rPr>
                <w:rFonts w:ascii="华文细黑" w:hAnsi="华文细黑" w:cs="华文细黑" w:eastAsia="华文细黑" w:hint="default"/>
                <w:sz w:val="16"/>
                <w:szCs w:val="16"/>
              </w:rPr>
            </w:pPr>
            <w:r>
              <w:rPr>
                <w:rFonts w:ascii="华文细黑"/>
                <w:sz w:val="16"/>
              </w:rPr>
              <w:t>435,724,462.07</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100"/>
              <w:jc w:val="right"/>
              <w:rPr>
                <w:rFonts w:ascii="华文细黑" w:hAnsi="华文细黑" w:cs="华文细黑" w:eastAsia="华文细黑" w:hint="default"/>
                <w:sz w:val="16"/>
                <w:szCs w:val="16"/>
              </w:rPr>
            </w:pPr>
            <w:r>
              <w:rPr>
                <w:rFonts w:ascii="华文细黑"/>
                <w:spacing w:val="-1"/>
                <w:sz w:val="16"/>
              </w:rPr>
              <w:t>-14,172,900.48</w:t>
            </w:r>
          </w:p>
        </w:tc>
        <w:tc>
          <w:tcPr>
            <w:tcW w:w="12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100"/>
              <w:jc w:val="right"/>
              <w:rPr>
                <w:rFonts w:ascii="华文细黑" w:hAnsi="华文细黑" w:cs="华文细黑" w:eastAsia="华文细黑" w:hint="default"/>
                <w:sz w:val="16"/>
                <w:szCs w:val="16"/>
              </w:rPr>
            </w:pPr>
            <w:r>
              <w:rPr>
                <w:rFonts w:ascii="华文细黑"/>
                <w:spacing w:val="-1"/>
                <w:sz w:val="16"/>
              </w:rPr>
              <w:t>1,490,841.03</w:t>
            </w:r>
          </w:p>
        </w:tc>
        <w:tc>
          <w:tcPr>
            <w:tcW w:w="13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left="28" w:right="0"/>
              <w:jc w:val="center"/>
              <w:rPr>
                <w:rFonts w:ascii="华文细黑" w:hAnsi="华文细黑" w:cs="华文细黑" w:eastAsia="华文细黑" w:hint="default"/>
                <w:sz w:val="16"/>
                <w:szCs w:val="16"/>
              </w:rPr>
            </w:pPr>
            <w:r>
              <w:rPr>
                <w:rFonts w:ascii="华文细黑"/>
                <w:sz w:val="16"/>
              </w:rPr>
              <w:t>367,919,644.20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left="198" w:right="0"/>
              <w:jc w:val="left"/>
              <w:rPr>
                <w:rFonts w:ascii="华文细黑" w:hAnsi="华文细黑" w:cs="华文细黑" w:eastAsia="华文细黑" w:hint="default"/>
                <w:sz w:val="16"/>
                <w:szCs w:val="16"/>
              </w:rPr>
            </w:pPr>
            <w:r>
              <w:rPr>
                <w:rFonts w:ascii="华文细黑"/>
                <w:sz w:val="16"/>
              </w:rPr>
              <w:t>262,860,000.00</w:t>
            </w:r>
          </w:p>
        </w:tc>
        <w:tc>
          <w:tcPr>
            <w:tcW w:w="128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100"/>
              <w:jc w:val="right"/>
              <w:rPr>
                <w:rFonts w:ascii="华文细黑" w:hAnsi="华文细黑" w:cs="华文细黑" w:eastAsia="华文细黑" w:hint="default"/>
                <w:sz w:val="16"/>
                <w:szCs w:val="16"/>
              </w:rPr>
            </w:pPr>
            <w:r>
              <w:rPr>
                <w:rFonts w:ascii="华文细黑"/>
                <w:spacing w:val="-1"/>
                <w:sz w:val="16"/>
              </w:rPr>
              <w:t>35,934,268.53</w:t>
            </w:r>
          </w:p>
        </w:tc>
        <w:tc>
          <w:tcPr>
            <w:tcW w:w="12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left="35" w:right="0"/>
              <w:jc w:val="center"/>
              <w:rPr>
                <w:rFonts w:ascii="华文细黑" w:hAnsi="华文细黑" w:cs="华文细黑" w:eastAsia="华文细黑" w:hint="default"/>
                <w:sz w:val="16"/>
                <w:szCs w:val="16"/>
              </w:rPr>
            </w:pPr>
            <w:r>
              <w:rPr>
                <w:rFonts w:ascii="华文细黑"/>
                <w:sz w:val="16"/>
              </w:rPr>
              <w:t>86,460,934.98</w:t>
            </w:r>
          </w:p>
        </w:tc>
      </w:tr>
      <w:tr>
        <w:trPr>
          <w:trHeight w:val="402" w:hRule="exact"/>
        </w:trPr>
        <w:tc>
          <w:tcPr>
            <w:tcW w:w="14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金融负债</w:t>
            </w:r>
          </w:p>
        </w:tc>
        <w:tc>
          <w:tcPr>
            <w:tcW w:w="1417" w:type="dxa"/>
            <w:tcBorders>
              <w:top w:val="single" w:sz="4" w:space="0" w:color="FFC000"/>
              <w:left w:val="single" w:sz="4" w:space="0" w:color="FFC000"/>
              <w:bottom w:val="single" w:sz="4" w:space="0" w:color="FFC000"/>
              <w:right w:val="single" w:sz="4" w:space="0" w:color="FFC000"/>
            </w:tcBorders>
          </w:tcPr>
          <w:p>
            <w:pPr/>
          </w:p>
        </w:tc>
        <w:tc>
          <w:tcPr>
            <w:tcW w:w="1418" w:type="dxa"/>
            <w:tcBorders>
              <w:top w:val="single" w:sz="4" w:space="0" w:color="FFC000"/>
              <w:left w:val="single" w:sz="4" w:space="0" w:color="FFC000"/>
              <w:bottom w:val="single" w:sz="4" w:space="0" w:color="FFC000"/>
              <w:right w:val="single" w:sz="4" w:space="0" w:color="FFC000"/>
            </w:tcBorders>
          </w:tcPr>
          <w:p>
            <w:pPr/>
          </w:p>
        </w:tc>
        <w:tc>
          <w:tcPr>
            <w:tcW w:w="1247" w:type="dxa"/>
            <w:tcBorders>
              <w:top w:val="single" w:sz="4" w:space="0" w:color="FFC000"/>
              <w:left w:val="single" w:sz="4" w:space="0" w:color="FFC000"/>
              <w:bottom w:val="single" w:sz="4" w:space="0" w:color="FFC000"/>
              <w:right w:val="single" w:sz="4" w:space="0" w:color="FFC000"/>
            </w:tcBorders>
          </w:tcPr>
          <w:p>
            <w:pPr/>
          </w:p>
        </w:tc>
        <w:tc>
          <w:tcPr>
            <w:tcW w:w="1351" w:type="dxa"/>
            <w:tcBorders>
              <w:top w:val="single" w:sz="4" w:space="0" w:color="FFC000"/>
              <w:left w:val="single" w:sz="4" w:space="0" w:color="FFC000"/>
              <w:bottom w:val="single" w:sz="4" w:space="0" w:color="FFC000"/>
              <w:right w:val="single" w:sz="4" w:space="0" w:color="FFC000"/>
            </w:tcBorders>
          </w:tcPr>
          <w:p>
            <w:pPr/>
          </w:p>
        </w:tc>
        <w:tc>
          <w:tcPr>
            <w:tcW w:w="1418" w:type="dxa"/>
            <w:tcBorders>
              <w:top w:val="single" w:sz="4" w:space="0" w:color="FFC000"/>
              <w:left w:val="single" w:sz="4" w:space="0" w:color="FFC000"/>
              <w:bottom w:val="single" w:sz="4" w:space="0" w:color="FFC000"/>
              <w:right w:val="single" w:sz="4" w:space="0" w:color="FFC000"/>
            </w:tcBorders>
          </w:tcPr>
          <w:p>
            <w:pPr/>
          </w:p>
        </w:tc>
        <w:tc>
          <w:tcPr>
            <w:tcW w:w="1282" w:type="dxa"/>
            <w:tcBorders>
              <w:top w:val="single" w:sz="4" w:space="0" w:color="FFC000"/>
              <w:left w:val="single" w:sz="4" w:space="0" w:color="FFC000"/>
              <w:bottom w:val="single" w:sz="4" w:space="0" w:color="FFC000"/>
              <w:right w:val="single" w:sz="4" w:space="0" w:color="FFC000"/>
            </w:tcBorders>
          </w:tcPr>
          <w:p>
            <w:pPr/>
          </w:p>
        </w:tc>
        <w:tc>
          <w:tcPr>
            <w:tcW w:w="1270" w:type="dxa"/>
            <w:tcBorders>
              <w:top w:val="single" w:sz="4" w:space="0" w:color="FFC000"/>
              <w:left w:val="single" w:sz="4" w:space="0" w:color="FFC000"/>
              <w:bottom w:val="single" w:sz="4" w:space="0" w:color="FFC000"/>
              <w:right w:val="single" w:sz="4" w:space="0" w:color="FFC000"/>
            </w:tcBorders>
          </w:tcPr>
          <w:p>
            <w:pPr/>
          </w:p>
        </w:tc>
      </w:tr>
    </w:tbl>
    <w:p>
      <w:pPr>
        <w:pStyle w:val="BodyText"/>
        <w:spacing w:line="240" w:lineRule="auto" w:before="13"/>
        <w:ind w:left="734" w:right="0"/>
        <w:jc w:val="left"/>
      </w:pPr>
      <w:r>
        <w:rPr/>
        <w:t>报告期内公司主要资产计量属性是否发生重大变化</w:t>
      </w:r>
    </w:p>
    <w:p>
      <w:pPr>
        <w:spacing w:line="494" w:lineRule="auto" w:before="56"/>
        <w:ind w:left="734" w:right="7272" w:firstLine="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 是 √ 否 </w:t>
      </w:r>
      <w:bookmarkStart w:name="3、截至报告期末的资产权利受限情况" w:id="63"/>
      <w:bookmarkEnd w:id="63"/>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3</w:t>
      </w:r>
      <w:r>
        <w:rPr>
          <w:rFonts w:ascii="华文细黑" w:hAnsi="华文细黑" w:cs="华文细黑" w:eastAsia="华文细黑" w:hint="default"/>
          <w:b/>
          <w:bCs/>
          <w:sz w:val="21"/>
          <w:szCs w:val="21"/>
        </w:rPr>
        <w:t>、截至报告期末的资产权利受限情况</w:t>
      </w:r>
      <w:r>
        <w:rPr>
          <w:rFonts w:ascii="华文细黑" w:hAnsi="华文细黑" w:cs="华文细黑" w:eastAsia="华文细黑" w:hint="default"/>
          <w:sz w:val="21"/>
          <w:szCs w:val="21"/>
        </w:rPr>
      </w:r>
    </w:p>
    <w:p>
      <w:pPr>
        <w:spacing w:line="240" w:lineRule="auto" w:before="1"/>
        <w:rPr>
          <w:rFonts w:ascii="华文细黑" w:hAnsi="华文细黑" w:cs="华文细黑" w:eastAsia="华文细黑" w:hint="default"/>
          <w:b/>
          <w:bCs/>
          <w:sz w:val="8"/>
          <w:szCs w:val="8"/>
        </w:rPr>
      </w:pPr>
    </w:p>
    <w:tbl>
      <w:tblPr>
        <w:tblW w:w="0" w:type="auto"/>
        <w:jc w:val="left"/>
        <w:tblInd w:w="837" w:type="dxa"/>
        <w:tblLayout w:type="fixed"/>
        <w:tblCellMar>
          <w:top w:w="0" w:type="dxa"/>
          <w:left w:w="0" w:type="dxa"/>
          <w:bottom w:w="0" w:type="dxa"/>
          <w:right w:w="0" w:type="dxa"/>
        </w:tblCellMar>
        <w:tblLook w:val="01E0"/>
      </w:tblPr>
      <w:tblGrid>
        <w:gridCol w:w="2653"/>
        <w:gridCol w:w="2769"/>
        <w:gridCol w:w="4002"/>
      </w:tblGrid>
      <w:tr>
        <w:trPr>
          <w:trHeight w:val="332" w:hRule="exact"/>
        </w:trPr>
        <w:tc>
          <w:tcPr>
            <w:tcW w:w="265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76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left="83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年末账面价值</w:t>
            </w:r>
          </w:p>
        </w:tc>
        <w:tc>
          <w:tcPr>
            <w:tcW w:w="40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受限原因</w:t>
            </w:r>
          </w:p>
        </w:tc>
      </w:tr>
      <w:tr>
        <w:trPr>
          <w:trHeight w:val="342" w:hRule="exact"/>
        </w:trPr>
        <w:tc>
          <w:tcPr>
            <w:tcW w:w="265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
              <w:ind w:left="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c>
          <w:tcPr>
            <w:tcW w:w="2769" w:type="dxa"/>
            <w:tcBorders>
              <w:top w:val="single" w:sz="8" w:space="0" w:color="FFC000"/>
              <w:left w:val="single" w:sz="6" w:space="0" w:color="FFC000"/>
              <w:bottom w:val="single" w:sz="4" w:space="0" w:color="FFC000"/>
              <w:right w:val="single" w:sz="4" w:space="0" w:color="FFC000"/>
            </w:tcBorders>
          </w:tcPr>
          <w:p>
            <w:pPr>
              <w:pStyle w:val="TableParagraph"/>
              <w:spacing w:line="240" w:lineRule="auto" w:before="4"/>
              <w:ind w:right="4"/>
              <w:jc w:val="right"/>
              <w:rPr>
                <w:rFonts w:ascii="华文细黑" w:hAnsi="华文细黑" w:cs="华文细黑" w:eastAsia="华文细黑" w:hint="default"/>
                <w:sz w:val="18"/>
                <w:szCs w:val="18"/>
              </w:rPr>
            </w:pPr>
            <w:r>
              <w:rPr>
                <w:rFonts w:ascii="华文细黑"/>
                <w:spacing w:val="-1"/>
                <w:sz w:val="18"/>
              </w:rPr>
              <w:t>1,626,123,378.70</w:t>
            </w:r>
          </w:p>
        </w:tc>
        <w:tc>
          <w:tcPr>
            <w:tcW w:w="4002" w:type="dxa"/>
            <w:tcBorders>
              <w:top w:val="single" w:sz="8" w:space="0" w:color="FFC000"/>
              <w:left w:val="single" w:sz="4" w:space="0" w:color="FFC000"/>
              <w:bottom w:val="single" w:sz="4" w:space="0" w:color="FFC000"/>
              <w:right w:val="single" w:sz="4" w:space="0" w:color="FFC000"/>
            </w:tcBorders>
          </w:tcPr>
          <w:p>
            <w:pPr>
              <w:pStyle w:val="TableParagraph"/>
              <w:spacing w:line="240" w:lineRule="auto" w:before="4"/>
              <w:ind w:left="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开具保函、银行承兑汇票、取得借款</w:t>
            </w:r>
          </w:p>
        </w:tc>
      </w:tr>
      <w:tr>
        <w:trPr>
          <w:trHeight w:val="654" w:hRule="exact"/>
        </w:trPr>
        <w:tc>
          <w:tcPr>
            <w:tcW w:w="265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10"/>
              <w:ind w:left="2" w:right="118"/>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公允价值计量且其变动计入当期 损益的金融资产</w:t>
            </w:r>
          </w:p>
        </w:tc>
        <w:tc>
          <w:tcPr>
            <w:tcW w:w="2769" w:type="dxa"/>
            <w:tcBorders>
              <w:top w:val="single" w:sz="4" w:space="0" w:color="FFC000"/>
              <w:left w:val="single" w:sz="6"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b/>
                <w:bCs/>
                <w:sz w:val="11"/>
                <w:szCs w:val="11"/>
              </w:rPr>
            </w:pPr>
          </w:p>
          <w:p>
            <w:pPr>
              <w:pStyle w:val="TableParagraph"/>
              <w:spacing w:line="240" w:lineRule="auto"/>
              <w:ind w:right="3"/>
              <w:jc w:val="right"/>
              <w:rPr>
                <w:rFonts w:ascii="华文细黑" w:hAnsi="华文细黑" w:cs="华文细黑" w:eastAsia="华文细黑" w:hint="default"/>
                <w:sz w:val="18"/>
                <w:szCs w:val="18"/>
              </w:rPr>
            </w:pPr>
            <w:r>
              <w:rPr>
                <w:rFonts w:ascii="华文细黑"/>
                <w:sz w:val="18"/>
              </w:rPr>
              <w:t>217,968,239.73</w:t>
            </w:r>
          </w:p>
        </w:tc>
        <w:tc>
          <w:tcPr>
            <w:tcW w:w="40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b/>
                <w:bCs/>
                <w:sz w:val="11"/>
                <w:szCs w:val="11"/>
              </w:rPr>
            </w:pPr>
          </w:p>
          <w:p>
            <w:pPr>
              <w:pStyle w:val="TableParagraph"/>
              <w:spacing w:line="240" w:lineRule="auto"/>
              <w:ind w:left="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开具银行承兑汇票</w:t>
            </w:r>
          </w:p>
        </w:tc>
      </w:tr>
      <w:tr>
        <w:trPr>
          <w:trHeight w:val="342" w:hRule="exact"/>
        </w:trPr>
        <w:tc>
          <w:tcPr>
            <w:tcW w:w="265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
              <w:ind w:left="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应收账款</w:t>
            </w:r>
          </w:p>
        </w:tc>
        <w:tc>
          <w:tcPr>
            <w:tcW w:w="2769" w:type="dxa"/>
            <w:tcBorders>
              <w:top w:val="single" w:sz="4" w:space="0" w:color="FFC000"/>
              <w:left w:val="single" w:sz="6" w:space="0" w:color="FFC000"/>
              <w:bottom w:val="single" w:sz="4" w:space="0" w:color="FFC000"/>
              <w:right w:val="single" w:sz="4" w:space="0" w:color="FFC000"/>
            </w:tcBorders>
          </w:tcPr>
          <w:p>
            <w:pPr>
              <w:pStyle w:val="TableParagraph"/>
              <w:spacing w:line="240" w:lineRule="auto" w:before="10"/>
              <w:ind w:right="9"/>
              <w:jc w:val="right"/>
              <w:rPr>
                <w:rFonts w:ascii="华文细黑" w:hAnsi="华文细黑" w:cs="华文细黑" w:eastAsia="华文细黑" w:hint="default"/>
                <w:sz w:val="18"/>
                <w:szCs w:val="18"/>
              </w:rPr>
            </w:pPr>
            <w:r>
              <w:rPr>
                <w:rFonts w:ascii="华文细黑"/>
                <w:sz w:val="18"/>
              </w:rPr>
              <w:t>20,649,193.84</w:t>
            </w:r>
          </w:p>
        </w:tc>
        <w:tc>
          <w:tcPr>
            <w:tcW w:w="40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0"/>
              <w:ind w:left="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应收账款保理融资</w:t>
            </w:r>
          </w:p>
        </w:tc>
      </w:tr>
      <w:tr>
        <w:trPr>
          <w:trHeight w:val="342" w:hRule="exact"/>
        </w:trPr>
        <w:tc>
          <w:tcPr>
            <w:tcW w:w="265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
              <w:ind w:left="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应收票据</w:t>
            </w:r>
          </w:p>
        </w:tc>
        <w:tc>
          <w:tcPr>
            <w:tcW w:w="2769" w:type="dxa"/>
            <w:tcBorders>
              <w:top w:val="single" w:sz="4" w:space="0" w:color="FFC000"/>
              <w:left w:val="single" w:sz="6" w:space="0" w:color="FFC000"/>
              <w:bottom w:val="single" w:sz="4" w:space="0" w:color="FFC000"/>
              <w:right w:val="single" w:sz="4" w:space="0" w:color="FFC000"/>
            </w:tcBorders>
          </w:tcPr>
          <w:p>
            <w:pPr>
              <w:pStyle w:val="TableParagraph"/>
              <w:spacing w:line="240" w:lineRule="auto" w:before="10"/>
              <w:ind w:right="3"/>
              <w:jc w:val="right"/>
              <w:rPr>
                <w:rFonts w:ascii="华文细黑" w:hAnsi="华文细黑" w:cs="华文细黑" w:eastAsia="华文细黑" w:hint="default"/>
                <w:sz w:val="18"/>
                <w:szCs w:val="18"/>
              </w:rPr>
            </w:pPr>
            <w:r>
              <w:rPr>
                <w:rFonts w:ascii="华文细黑"/>
                <w:sz w:val="18"/>
              </w:rPr>
              <w:t>134,630,000.00</w:t>
            </w:r>
          </w:p>
        </w:tc>
        <w:tc>
          <w:tcPr>
            <w:tcW w:w="40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0"/>
              <w:ind w:left="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质押取得贷款</w:t>
            </w:r>
          </w:p>
        </w:tc>
      </w:tr>
      <w:tr>
        <w:trPr>
          <w:trHeight w:val="342" w:hRule="exact"/>
        </w:trPr>
        <w:tc>
          <w:tcPr>
            <w:tcW w:w="265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628" w:val="left" w:leader="none"/>
              </w:tabs>
              <w:spacing w:line="240" w:lineRule="auto" w:before="10"/>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2769" w:type="dxa"/>
            <w:tcBorders>
              <w:top w:val="single" w:sz="4" w:space="0" w:color="FFC000"/>
              <w:left w:val="single" w:sz="6" w:space="0" w:color="FFC000"/>
              <w:bottom w:val="single" w:sz="4" w:space="0" w:color="FFC000"/>
              <w:right w:val="single" w:sz="4" w:space="0" w:color="FFC000"/>
            </w:tcBorders>
          </w:tcPr>
          <w:p>
            <w:pPr>
              <w:pStyle w:val="TableParagraph"/>
              <w:spacing w:line="240" w:lineRule="auto" w:before="10"/>
              <w:ind w:right="10"/>
              <w:jc w:val="right"/>
              <w:rPr>
                <w:rFonts w:ascii="华文细黑" w:hAnsi="华文细黑" w:cs="华文细黑" w:eastAsia="华文细黑" w:hint="default"/>
                <w:sz w:val="18"/>
                <w:szCs w:val="18"/>
              </w:rPr>
            </w:pPr>
            <w:r>
              <w:rPr>
                <w:rFonts w:ascii="华文细黑"/>
                <w:b/>
                <w:w w:val="95"/>
                <w:sz w:val="18"/>
              </w:rPr>
              <w:t>1,999,370,812.27</w:t>
            </w:r>
            <w:r>
              <w:rPr>
                <w:rFonts w:ascii="华文细黑"/>
                <w:sz w:val="18"/>
              </w:rPr>
            </w:r>
          </w:p>
        </w:tc>
        <w:tc>
          <w:tcPr>
            <w:tcW w:w="4002" w:type="dxa"/>
            <w:tcBorders>
              <w:top w:val="single" w:sz="4" w:space="0" w:color="FFC000"/>
              <w:left w:val="single" w:sz="4" w:space="0" w:color="FFC000"/>
              <w:bottom w:val="single" w:sz="4" w:space="0" w:color="FFC000"/>
              <w:right w:val="single" w:sz="4" w:space="0" w:color="FFC000"/>
            </w:tcBorders>
          </w:tcPr>
          <w:p>
            <w:pPr/>
          </w:p>
        </w:tc>
      </w:tr>
    </w:tbl>
    <w:p>
      <w:pPr>
        <w:spacing w:after="0"/>
        <w:sectPr>
          <w:type w:val="continuous"/>
          <w:pgSz w:w="11910" w:h="16840"/>
          <w:pgMar w:top="240" w:bottom="0" w:left="400" w:right="0"/>
        </w:sectPr>
      </w:pPr>
    </w:p>
    <w:p>
      <w:pPr>
        <w:spacing w:line="240" w:lineRule="auto" w:before="2"/>
        <w:rPr>
          <w:rFonts w:ascii="华文细黑" w:hAnsi="华文细黑" w:cs="华文细黑" w:eastAsia="华文细黑" w:hint="default"/>
          <w:b/>
          <w:bCs/>
          <w:sz w:val="29"/>
          <w:szCs w:val="29"/>
        </w:rPr>
      </w:pPr>
    </w:p>
    <w:p>
      <w:pPr>
        <w:pStyle w:val="Heading2"/>
        <w:spacing w:line="396" w:lineRule="exact"/>
        <w:ind w:left="674" w:right="6762"/>
        <w:jc w:val="left"/>
        <w:rPr>
          <w:b w:val="0"/>
          <w:bCs w:val="0"/>
        </w:rPr>
      </w:pPr>
      <w:bookmarkStart w:name="五、投资状况分析" w:id="64"/>
      <w:bookmarkEnd w:id="64"/>
      <w:r>
        <w:rPr>
          <w:b w:val="0"/>
          <w:bCs w:val="0"/>
        </w:rPr>
      </w:r>
      <w:r>
        <w:rPr/>
        <w:t>五、投资状况分析</w:t>
      </w:r>
      <w:r>
        <w:rPr>
          <w:b w:val="0"/>
          <w:bCs w:val="0"/>
        </w:rPr>
      </w:r>
    </w:p>
    <w:p>
      <w:pPr>
        <w:spacing w:line="240" w:lineRule="auto" w:before="0"/>
        <w:rPr>
          <w:rFonts w:ascii="华文细黑" w:hAnsi="华文细黑" w:cs="华文细黑" w:eastAsia="华文细黑" w:hint="default"/>
          <w:b/>
          <w:bCs/>
          <w:sz w:val="30"/>
          <w:szCs w:val="30"/>
        </w:rPr>
      </w:pPr>
    </w:p>
    <w:p>
      <w:pPr>
        <w:pStyle w:val="Heading5"/>
        <w:spacing w:line="240" w:lineRule="auto" w:before="0"/>
        <w:ind w:left="674" w:right="6762"/>
        <w:jc w:val="left"/>
        <w:rPr>
          <w:b w:val="0"/>
          <w:bCs w:val="0"/>
        </w:rPr>
      </w:pPr>
      <w:bookmarkStart w:name="1、总体情况" w:id="65"/>
      <w:bookmarkEnd w:id="65"/>
      <w:r>
        <w:rPr>
          <w:b w:val="0"/>
          <w:bCs w:val="0"/>
        </w:rPr>
      </w:r>
      <w:r>
        <w:rPr>
          <w:rFonts w:ascii="华文细黑" w:hAnsi="华文细黑" w:cs="华文细黑" w:eastAsia="华文细黑" w:hint="default"/>
        </w:rPr>
        <w:t>1</w:t>
      </w:r>
      <w:r>
        <w:rPr/>
        <w:t>、总体情况</w:t>
      </w:r>
      <w:r>
        <w:rPr>
          <w:b w:val="0"/>
          <w:bCs w:val="0"/>
        </w:rPr>
      </w:r>
    </w:p>
    <w:p>
      <w:pPr>
        <w:spacing w:line="240" w:lineRule="auto" w:before="6"/>
        <w:rPr>
          <w:rFonts w:ascii="华文细黑" w:hAnsi="华文细黑" w:cs="华文细黑" w:eastAsia="华文细黑" w:hint="default"/>
          <w:b/>
          <w:bCs/>
          <w:sz w:val="22"/>
          <w:szCs w:val="22"/>
        </w:rPr>
      </w:pPr>
    </w:p>
    <w:p>
      <w:pPr>
        <w:pStyle w:val="BodyText"/>
        <w:spacing w:line="240" w:lineRule="auto"/>
        <w:ind w:left="674" w:right="6762"/>
        <w:jc w:val="left"/>
      </w:pPr>
      <w:r>
        <w:rPr/>
        <w:t>√  适用  □</w:t>
      </w:r>
      <w:r>
        <w:rPr>
          <w:spacing w:val="51"/>
        </w:rPr>
        <w:t> </w:t>
      </w:r>
      <w:r>
        <w:rPr/>
        <w:t>不适用</w:t>
      </w:r>
    </w:p>
    <w:p>
      <w:pPr>
        <w:spacing w:line="240" w:lineRule="auto" w:before="11"/>
        <w:rPr>
          <w:rFonts w:ascii="华文细黑" w:hAnsi="华文细黑" w:cs="华文细黑" w:eastAsia="华文细黑" w:hint="default"/>
          <w:sz w:val="5"/>
          <w:szCs w:val="5"/>
        </w:rPr>
      </w:pPr>
    </w:p>
    <w:tbl>
      <w:tblPr>
        <w:tblW w:w="0" w:type="auto"/>
        <w:jc w:val="left"/>
        <w:tblInd w:w="557" w:type="dxa"/>
        <w:tblLayout w:type="fixed"/>
        <w:tblCellMar>
          <w:top w:w="0" w:type="dxa"/>
          <w:left w:w="0" w:type="dxa"/>
          <w:bottom w:w="0" w:type="dxa"/>
          <w:right w:w="0" w:type="dxa"/>
        </w:tblCellMar>
        <w:tblLook w:val="01E0"/>
      </w:tblPr>
      <w:tblGrid>
        <w:gridCol w:w="3188"/>
        <w:gridCol w:w="3191"/>
        <w:gridCol w:w="3191"/>
      </w:tblGrid>
      <w:tr>
        <w:trPr>
          <w:trHeight w:val="401" w:hRule="exact"/>
        </w:trPr>
        <w:tc>
          <w:tcPr>
            <w:tcW w:w="318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77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报告期投资额（元）</w:t>
            </w:r>
          </w:p>
        </w:tc>
        <w:tc>
          <w:tcPr>
            <w:tcW w:w="319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69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上年同期投资额（元）</w:t>
            </w:r>
          </w:p>
        </w:tc>
        <w:tc>
          <w:tcPr>
            <w:tcW w:w="319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变动幅度</w:t>
            </w:r>
          </w:p>
        </w:tc>
      </w:tr>
      <w:tr>
        <w:trPr>
          <w:trHeight w:val="403" w:hRule="exact"/>
        </w:trPr>
        <w:tc>
          <w:tcPr>
            <w:tcW w:w="31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2029" w:right="0"/>
              <w:jc w:val="left"/>
              <w:rPr>
                <w:rFonts w:ascii="华文细黑" w:hAnsi="华文细黑" w:cs="华文细黑" w:eastAsia="华文细黑" w:hint="default"/>
                <w:sz w:val="18"/>
                <w:szCs w:val="18"/>
              </w:rPr>
            </w:pPr>
            <w:r>
              <w:rPr>
                <w:rFonts w:ascii="华文细黑"/>
                <w:sz w:val="18"/>
              </w:rPr>
              <w:t>5,140,272.00</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w w:val="95"/>
                <w:sz w:val="18"/>
              </w:rPr>
              <w:t>200,020.00</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w w:val="95"/>
                <w:sz w:val="18"/>
              </w:rPr>
              <w:t>2,469.88%</w:t>
            </w:r>
          </w:p>
        </w:tc>
      </w:tr>
    </w:tbl>
    <w:p>
      <w:pPr>
        <w:spacing w:line="240" w:lineRule="auto" w:before="9"/>
        <w:rPr>
          <w:rFonts w:ascii="华文细黑" w:hAnsi="华文细黑" w:cs="华文细黑" w:eastAsia="华文细黑" w:hint="default"/>
          <w:sz w:val="18"/>
          <w:szCs w:val="18"/>
        </w:rPr>
      </w:pPr>
    </w:p>
    <w:p>
      <w:pPr>
        <w:pStyle w:val="Heading5"/>
        <w:spacing w:line="240" w:lineRule="auto"/>
        <w:ind w:left="674" w:right="6762"/>
        <w:jc w:val="left"/>
        <w:rPr>
          <w:b w:val="0"/>
          <w:bCs w:val="0"/>
        </w:rPr>
      </w:pPr>
      <w:bookmarkStart w:name="2、报告期内获取的重大的股权投资情况" w:id="66"/>
      <w:bookmarkEnd w:id="66"/>
      <w:r>
        <w:rPr>
          <w:b w:val="0"/>
          <w:bCs w:val="0"/>
        </w:rPr>
      </w:r>
      <w:r>
        <w:rPr>
          <w:rFonts w:ascii="华文细黑" w:hAnsi="华文细黑" w:cs="华文细黑" w:eastAsia="华文细黑" w:hint="default"/>
        </w:rPr>
        <w:t>2</w:t>
      </w:r>
      <w:r>
        <w:rPr/>
        <w:t>、报告期内获取的重大的股权投资情况</w:t>
      </w:r>
      <w:r>
        <w:rPr>
          <w:b w:val="0"/>
          <w:bCs w:val="0"/>
        </w:rPr>
      </w:r>
    </w:p>
    <w:p>
      <w:pPr>
        <w:spacing w:line="240" w:lineRule="auto" w:before="10"/>
        <w:rPr>
          <w:rFonts w:ascii="华文细黑" w:hAnsi="华文细黑" w:cs="华文细黑" w:eastAsia="华文细黑" w:hint="default"/>
          <w:b/>
          <w:bCs/>
          <w:sz w:val="21"/>
          <w:szCs w:val="21"/>
        </w:rPr>
      </w:pPr>
    </w:p>
    <w:p>
      <w:pPr>
        <w:spacing w:after="0" w:line="240" w:lineRule="auto"/>
        <w:rPr>
          <w:rFonts w:ascii="华文细黑" w:hAnsi="华文细黑" w:cs="华文细黑" w:eastAsia="华文细黑" w:hint="default"/>
          <w:sz w:val="21"/>
          <w:szCs w:val="21"/>
        </w:rPr>
        <w:sectPr>
          <w:pgSz w:w="11910" w:h="16840"/>
          <w:pgMar w:header="917" w:footer="1019" w:top="1100" w:bottom="1200" w:left="460" w:right="0"/>
        </w:sectPr>
      </w:pPr>
    </w:p>
    <w:p>
      <w:pPr>
        <w:spacing w:line="300" w:lineRule="auto" w:before="10"/>
        <w:ind w:left="674" w:right="-20" w:firstLine="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 适用 √</w:t>
      </w:r>
      <w:r>
        <w:rPr>
          <w:rFonts w:ascii="华文细黑" w:hAnsi="华文细黑" w:cs="华文细黑" w:eastAsia="华文细黑" w:hint="default"/>
          <w:spacing w:val="51"/>
          <w:sz w:val="21"/>
          <w:szCs w:val="21"/>
        </w:rPr>
        <w:t> </w:t>
      </w:r>
      <w:r>
        <w:rPr>
          <w:rFonts w:ascii="华文细黑" w:hAnsi="华文细黑" w:cs="华文细黑" w:eastAsia="华文细黑" w:hint="default"/>
          <w:sz w:val="21"/>
          <w:szCs w:val="21"/>
        </w:rPr>
        <w:t>不适用</w:t>
      </w:r>
      <w:r>
        <w:rPr>
          <w:rFonts w:ascii="华文细黑" w:hAnsi="华文细黑" w:cs="华文细黑" w:eastAsia="华文细黑" w:hint="default"/>
          <w:sz w:val="21"/>
          <w:szCs w:val="21"/>
        </w:rPr>
        <w:t> </w:t>
      </w:r>
      <w:bookmarkStart w:name="3、报告期内正在进行的重大的非股权投资情况" w:id="67"/>
      <w:bookmarkEnd w:id="67"/>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3</w:t>
      </w:r>
      <w:r>
        <w:rPr>
          <w:rFonts w:ascii="华文细黑" w:hAnsi="华文细黑" w:cs="华文细黑" w:eastAsia="华文细黑" w:hint="default"/>
          <w:b/>
          <w:bCs/>
          <w:sz w:val="21"/>
          <w:szCs w:val="21"/>
        </w:rPr>
        <w:t>、报告期内正在进行的重大的非股权投资情况</w:t>
      </w:r>
      <w:r>
        <w:rPr>
          <w:rFonts w:ascii="华文细黑" w:hAnsi="华文细黑" w:cs="华文细黑" w:eastAsia="华文细黑" w:hint="default"/>
          <w:sz w:val="21"/>
          <w:szCs w:val="21"/>
        </w:rPr>
      </w:r>
    </w:p>
    <w:p>
      <w:pPr>
        <w:spacing w:line="300" w:lineRule="auto" w:before="19"/>
        <w:ind w:left="674" w:right="1452" w:firstLine="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 适用 √</w:t>
      </w:r>
      <w:r>
        <w:rPr>
          <w:rFonts w:ascii="华文细黑" w:hAnsi="华文细黑" w:cs="华文细黑" w:eastAsia="华文细黑" w:hint="default"/>
          <w:spacing w:val="51"/>
          <w:sz w:val="21"/>
          <w:szCs w:val="21"/>
        </w:rPr>
        <w:t> </w:t>
      </w:r>
      <w:r>
        <w:rPr>
          <w:rFonts w:ascii="华文细黑" w:hAnsi="华文细黑" w:cs="华文细黑" w:eastAsia="华文细黑" w:hint="default"/>
          <w:sz w:val="21"/>
          <w:szCs w:val="21"/>
        </w:rPr>
        <w:t>不适用</w:t>
      </w:r>
      <w:r>
        <w:rPr>
          <w:rFonts w:ascii="华文细黑" w:hAnsi="华文细黑" w:cs="华文细黑" w:eastAsia="华文细黑" w:hint="default"/>
          <w:sz w:val="21"/>
          <w:szCs w:val="21"/>
        </w:rPr>
        <w:t> </w:t>
      </w:r>
      <w:bookmarkStart w:name="4、以公允价值计量的金融资产" w:id="68"/>
      <w:bookmarkEnd w:id="68"/>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4</w:t>
      </w:r>
      <w:r>
        <w:rPr>
          <w:rFonts w:ascii="华文细黑" w:hAnsi="华文细黑" w:cs="华文细黑" w:eastAsia="华文细黑" w:hint="default"/>
          <w:b/>
          <w:bCs/>
          <w:sz w:val="21"/>
          <w:szCs w:val="21"/>
        </w:rPr>
        <w:t>、以公允价值计量的金融资产</w:t>
      </w:r>
      <w:r>
        <w:rPr>
          <w:rFonts w:ascii="华文细黑" w:hAnsi="华文细黑" w:cs="华文细黑" w:eastAsia="华文细黑" w:hint="default"/>
          <w:sz w:val="21"/>
          <w:szCs w:val="21"/>
        </w:rPr>
      </w:r>
    </w:p>
    <w:p>
      <w:pPr>
        <w:pStyle w:val="BodyText"/>
        <w:spacing w:line="240" w:lineRule="auto" w:before="19"/>
        <w:ind w:left="674" w:right="-20"/>
        <w:jc w:val="left"/>
      </w:pPr>
      <w:r>
        <w:rPr/>
        <w:t>√  适用  □</w:t>
      </w:r>
      <w:r>
        <w:rPr>
          <w:spacing w:val="51"/>
        </w:rPr>
        <w:t> </w:t>
      </w:r>
      <w:r>
        <w:rPr/>
        <w:t>不适用</w:t>
      </w:r>
    </w:p>
    <w:p>
      <w:pPr>
        <w:spacing w:line="240" w:lineRule="auto" w:before="0"/>
        <w:rPr>
          <w:rFonts w:ascii="华文细黑" w:hAnsi="华文细黑" w:cs="华文细黑" w:eastAsia="华文细黑" w:hint="default"/>
          <w:sz w:val="18"/>
          <w:szCs w:val="18"/>
        </w:rPr>
      </w:pPr>
      <w:r>
        <w:rPr/>
        <w:br w:type="column"/>
      </w:r>
      <w:r>
        <w:rPr>
          <w:rFonts w:ascii="华文细黑"/>
          <w:sz w:val="18"/>
        </w:rPr>
      </w:r>
    </w:p>
    <w:p>
      <w:pPr>
        <w:spacing w:line="240" w:lineRule="auto" w:before="0"/>
        <w:rPr>
          <w:rFonts w:ascii="华文细黑" w:hAnsi="华文细黑" w:cs="华文细黑" w:eastAsia="华文细黑" w:hint="default"/>
          <w:sz w:val="18"/>
          <w:szCs w:val="18"/>
        </w:rPr>
      </w:pPr>
    </w:p>
    <w:p>
      <w:pPr>
        <w:spacing w:line="240" w:lineRule="auto" w:before="0"/>
        <w:rPr>
          <w:rFonts w:ascii="华文细黑" w:hAnsi="华文细黑" w:cs="华文细黑" w:eastAsia="华文细黑" w:hint="default"/>
          <w:sz w:val="18"/>
          <w:szCs w:val="18"/>
        </w:rPr>
      </w:pPr>
    </w:p>
    <w:p>
      <w:pPr>
        <w:spacing w:line="240" w:lineRule="auto" w:before="0"/>
        <w:rPr>
          <w:rFonts w:ascii="华文细黑" w:hAnsi="华文细黑" w:cs="华文细黑" w:eastAsia="华文细黑" w:hint="default"/>
          <w:sz w:val="18"/>
          <w:szCs w:val="18"/>
        </w:rPr>
      </w:pPr>
    </w:p>
    <w:p>
      <w:pPr>
        <w:spacing w:line="240" w:lineRule="auto" w:before="0"/>
        <w:rPr>
          <w:rFonts w:ascii="华文细黑" w:hAnsi="华文细黑" w:cs="华文细黑" w:eastAsia="华文细黑" w:hint="default"/>
          <w:sz w:val="18"/>
          <w:szCs w:val="18"/>
        </w:rPr>
      </w:pPr>
    </w:p>
    <w:p>
      <w:pPr>
        <w:spacing w:line="240" w:lineRule="auto" w:before="0"/>
        <w:rPr>
          <w:rFonts w:ascii="华文细黑" w:hAnsi="华文细黑" w:cs="华文细黑" w:eastAsia="华文细黑" w:hint="default"/>
          <w:sz w:val="18"/>
          <w:szCs w:val="18"/>
        </w:rPr>
      </w:pPr>
    </w:p>
    <w:p>
      <w:pPr>
        <w:spacing w:line="240" w:lineRule="auto" w:before="13"/>
        <w:rPr>
          <w:rFonts w:ascii="华文细黑" w:hAnsi="华文细黑" w:cs="华文细黑" w:eastAsia="华文细黑" w:hint="default"/>
          <w:sz w:val="24"/>
          <w:szCs w:val="24"/>
        </w:rPr>
      </w:pPr>
    </w:p>
    <w:p>
      <w:pPr>
        <w:spacing w:before="0"/>
        <w:ind w:left="673" w:right="0" w:firstLine="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单位：元</w:t>
      </w:r>
    </w:p>
    <w:p>
      <w:pPr>
        <w:spacing w:after="0"/>
        <w:jc w:val="left"/>
        <w:rPr>
          <w:rFonts w:ascii="华文细黑" w:hAnsi="华文细黑" w:cs="华文细黑" w:eastAsia="华文细黑" w:hint="default"/>
          <w:sz w:val="18"/>
          <w:szCs w:val="18"/>
        </w:rPr>
        <w:sectPr>
          <w:type w:val="continuous"/>
          <w:pgSz w:w="11910" w:h="16840"/>
          <w:pgMar w:top="240" w:bottom="0" w:left="460" w:right="0"/>
          <w:cols w:num="2" w:equalWidth="0">
            <w:col w:w="4996" w:space="3924"/>
            <w:col w:w="2530"/>
          </w:cols>
        </w:sectPr>
      </w:pPr>
    </w:p>
    <w:p>
      <w:pPr>
        <w:spacing w:line="240" w:lineRule="auto" w:before="13"/>
        <w:rPr>
          <w:rFonts w:ascii="华文细黑" w:hAnsi="华文细黑" w:cs="华文细黑" w:eastAsia="华文细黑" w:hint="default"/>
          <w:sz w:val="6"/>
          <w:szCs w:val="6"/>
        </w:rPr>
      </w:pPr>
    </w:p>
    <w:tbl>
      <w:tblPr>
        <w:tblW w:w="0" w:type="auto"/>
        <w:jc w:val="left"/>
        <w:tblInd w:w="243" w:type="dxa"/>
        <w:tblLayout w:type="fixed"/>
        <w:tblCellMar>
          <w:top w:w="0" w:type="dxa"/>
          <w:left w:w="0" w:type="dxa"/>
          <w:bottom w:w="0" w:type="dxa"/>
          <w:right w:w="0" w:type="dxa"/>
        </w:tblCellMar>
        <w:tblLook w:val="01E0"/>
      </w:tblPr>
      <w:tblGrid>
        <w:gridCol w:w="710"/>
        <w:gridCol w:w="1276"/>
        <w:gridCol w:w="1276"/>
        <w:gridCol w:w="1560"/>
        <w:gridCol w:w="1274"/>
        <w:gridCol w:w="1276"/>
        <w:gridCol w:w="1277"/>
        <w:gridCol w:w="1279"/>
        <w:gridCol w:w="846"/>
      </w:tblGrid>
      <w:tr>
        <w:trPr>
          <w:trHeight w:val="713" w:hRule="exact"/>
        </w:trPr>
        <w:tc>
          <w:tcPr>
            <w:tcW w:w="7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70" w:right="168"/>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资产 类别</w:t>
            </w:r>
          </w:p>
        </w:tc>
        <w:tc>
          <w:tcPr>
            <w:tcW w:w="12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542" w:right="183" w:hanging="36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初始投资成 本</w:t>
            </w:r>
          </w:p>
        </w:tc>
        <w:tc>
          <w:tcPr>
            <w:tcW w:w="12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82" w:right="18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本期公允价 值变动损益</w:t>
            </w:r>
          </w:p>
        </w:tc>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233" w:right="144" w:hanging="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计入权益的累计 公允价值变动</w:t>
            </w:r>
          </w:p>
        </w:tc>
        <w:tc>
          <w:tcPr>
            <w:tcW w:w="127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361" w:right="181"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报告期内购 入金额</w:t>
            </w:r>
          </w:p>
        </w:tc>
        <w:tc>
          <w:tcPr>
            <w:tcW w:w="12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362" w:right="181"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报告期内售 出金额</w:t>
            </w:r>
          </w:p>
        </w:tc>
        <w:tc>
          <w:tcPr>
            <w:tcW w:w="12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542" w:right="182" w:hanging="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累计投资收 益</w:t>
            </w:r>
          </w:p>
        </w:tc>
        <w:tc>
          <w:tcPr>
            <w:tcW w:w="127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27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期末金额</w:t>
            </w:r>
          </w:p>
        </w:tc>
        <w:tc>
          <w:tcPr>
            <w:tcW w:w="84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327" w:right="147"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资金来 源</w:t>
            </w:r>
          </w:p>
        </w:tc>
      </w:tr>
      <w:tr>
        <w:trPr>
          <w:trHeight w:val="714" w:hRule="exact"/>
        </w:trPr>
        <w:tc>
          <w:tcPr>
            <w:tcW w:w="7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股票</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15"/>
                <w:szCs w:val="15"/>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326,393,648.30</w:t>
            </w:r>
          </w:p>
        </w:tc>
        <w:tc>
          <w:tcPr>
            <w:tcW w:w="1276" w:type="dxa"/>
            <w:tcBorders>
              <w:top w:val="single" w:sz="4" w:space="0" w:color="FFC000"/>
              <w:left w:val="single" w:sz="4" w:space="0" w:color="FFC000"/>
              <w:bottom w:val="single" w:sz="4" w:space="0" w:color="FFC000"/>
              <w:right w:val="single" w:sz="4" w:space="0" w:color="FFC000"/>
            </w:tcBorders>
          </w:tcPr>
          <w:p>
            <w:pP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15"/>
                <w:szCs w:val="15"/>
              </w:rPr>
            </w:pPr>
          </w:p>
          <w:p>
            <w:pPr>
              <w:pStyle w:val="TableParagraph"/>
              <w:spacing w:line="240" w:lineRule="auto"/>
              <w:ind w:right="103"/>
              <w:jc w:val="right"/>
              <w:rPr>
                <w:rFonts w:ascii="华文细黑" w:hAnsi="华文细黑" w:cs="华文细黑" w:eastAsia="华文细黑" w:hint="default"/>
                <w:sz w:val="15"/>
                <w:szCs w:val="15"/>
              </w:rPr>
            </w:pPr>
            <w:r>
              <w:rPr>
                <w:rFonts w:ascii="华文细黑"/>
                <w:spacing w:val="-1"/>
                <w:sz w:val="15"/>
              </w:rPr>
              <w:t>1,490,841.03</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15"/>
                <w:szCs w:val="15"/>
              </w:rPr>
            </w:pPr>
          </w:p>
          <w:p>
            <w:pPr>
              <w:pStyle w:val="TableParagraph"/>
              <w:spacing w:line="240" w:lineRule="auto"/>
              <w:ind w:right="103"/>
              <w:jc w:val="right"/>
              <w:rPr>
                <w:rFonts w:ascii="华文细黑" w:hAnsi="华文细黑" w:cs="华文细黑" w:eastAsia="华文细黑" w:hint="default"/>
                <w:sz w:val="15"/>
                <w:szCs w:val="15"/>
              </w:rPr>
            </w:pPr>
            <w:r>
              <w:rPr>
                <w:rFonts w:ascii="华文细黑"/>
                <w:spacing w:val="-1"/>
                <w:sz w:val="15"/>
              </w:rPr>
              <w:t>262,860,000.00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15"/>
                <w:szCs w:val="15"/>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26,485,668.21</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15"/>
                <w:szCs w:val="15"/>
              </w:rPr>
            </w:pPr>
          </w:p>
          <w:p>
            <w:pPr>
              <w:pStyle w:val="TableParagraph"/>
              <w:spacing w:line="240" w:lineRule="auto"/>
              <w:ind w:right="103"/>
              <w:jc w:val="right"/>
              <w:rPr>
                <w:rFonts w:ascii="华文细黑" w:hAnsi="华文细黑" w:cs="华文细黑" w:eastAsia="华文细黑" w:hint="default"/>
                <w:sz w:val="15"/>
                <w:szCs w:val="15"/>
              </w:rPr>
            </w:pPr>
            <w:r>
              <w:rPr>
                <w:rFonts w:ascii="华文细黑"/>
                <w:spacing w:val="-1"/>
                <w:sz w:val="15"/>
              </w:rPr>
              <w:t>100,133,408.02</w:t>
            </w:r>
          </w:p>
        </w:tc>
        <w:tc>
          <w:tcPr>
            <w:tcW w:w="12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15"/>
                <w:szCs w:val="15"/>
              </w:rPr>
            </w:pPr>
          </w:p>
          <w:p>
            <w:pPr>
              <w:pStyle w:val="TableParagraph"/>
              <w:spacing w:line="240" w:lineRule="auto"/>
              <w:ind w:left="212" w:right="0"/>
              <w:jc w:val="left"/>
              <w:rPr>
                <w:rFonts w:ascii="华文细黑" w:hAnsi="华文细黑" w:cs="华文细黑" w:eastAsia="华文细黑" w:hint="default"/>
                <w:sz w:val="15"/>
                <w:szCs w:val="15"/>
              </w:rPr>
            </w:pPr>
            <w:r>
              <w:rPr>
                <w:rFonts w:ascii="华文细黑"/>
                <w:sz w:val="15"/>
              </w:rPr>
              <w:t>86,460,934.98</w:t>
            </w:r>
          </w:p>
        </w:tc>
        <w:tc>
          <w:tcPr>
            <w:tcW w:w="846"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19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自有资 金</w:t>
            </w:r>
          </w:p>
        </w:tc>
      </w:tr>
      <w:tr>
        <w:trPr>
          <w:trHeight w:val="1026" w:hRule="exact"/>
        </w:trPr>
        <w:tc>
          <w:tcPr>
            <w:tcW w:w="7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股票</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12"/>
                <w:szCs w:val="12"/>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9,448,600.32</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12"/>
                <w:szCs w:val="12"/>
              </w:rPr>
            </w:pPr>
          </w:p>
          <w:p>
            <w:pPr>
              <w:pStyle w:val="TableParagraph"/>
              <w:spacing w:line="240" w:lineRule="auto"/>
              <w:ind w:left="50" w:right="0"/>
              <w:jc w:val="center"/>
              <w:rPr>
                <w:rFonts w:ascii="华文细黑" w:hAnsi="华文细黑" w:cs="华文细黑" w:eastAsia="华文细黑" w:hint="default"/>
                <w:sz w:val="15"/>
                <w:szCs w:val="15"/>
              </w:rPr>
            </w:pPr>
            <w:r>
              <w:rPr>
                <w:rFonts w:ascii="华文细黑"/>
                <w:sz w:val="15"/>
              </w:rPr>
              <w:t>-14,172,900.48</w:t>
            </w:r>
          </w:p>
        </w:tc>
        <w:tc>
          <w:tcPr>
            <w:tcW w:w="1560" w:type="dxa"/>
            <w:tcBorders>
              <w:top w:val="single" w:sz="4" w:space="0" w:color="FFC000"/>
              <w:left w:val="single" w:sz="4" w:space="0" w:color="FFC000"/>
              <w:bottom w:val="single" w:sz="4" w:space="0" w:color="FFC000"/>
              <w:right w:val="single" w:sz="4" w:space="0" w:color="FFC000"/>
            </w:tcBorders>
          </w:tcPr>
          <w:p>
            <w:pPr/>
          </w:p>
        </w:tc>
        <w:tc>
          <w:tcPr>
            <w:tcW w:w="1274" w:type="dxa"/>
            <w:tcBorders>
              <w:top w:val="single" w:sz="4" w:space="0" w:color="FFC000"/>
              <w:left w:val="single" w:sz="4" w:space="0" w:color="FFC000"/>
              <w:bottom w:val="single" w:sz="4" w:space="0" w:color="FFC000"/>
              <w:right w:val="single" w:sz="4" w:space="0" w:color="FFC000"/>
            </w:tcBorders>
          </w:tcPr>
          <w:p>
            <w:pP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12"/>
                <w:szCs w:val="12"/>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9,448,600.32</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12"/>
                <w:szCs w:val="12"/>
              </w:rPr>
            </w:pPr>
          </w:p>
          <w:p>
            <w:pPr>
              <w:pStyle w:val="TableParagraph"/>
              <w:spacing w:line="240" w:lineRule="auto"/>
              <w:ind w:right="103"/>
              <w:jc w:val="right"/>
              <w:rPr>
                <w:rFonts w:ascii="华文细黑" w:hAnsi="华文细黑" w:cs="华文细黑" w:eastAsia="华文细黑" w:hint="default"/>
                <w:sz w:val="15"/>
                <w:szCs w:val="15"/>
              </w:rPr>
            </w:pPr>
            <w:r>
              <w:rPr>
                <w:rFonts w:ascii="华文细黑"/>
                <w:spacing w:val="-1"/>
                <w:sz w:val="15"/>
              </w:rPr>
              <w:t>3,929,819.62</w:t>
            </w:r>
          </w:p>
        </w:tc>
        <w:tc>
          <w:tcPr>
            <w:tcW w:w="1279" w:type="dxa"/>
            <w:tcBorders>
              <w:top w:val="single" w:sz="4" w:space="0" w:color="FFC000"/>
              <w:left w:val="single" w:sz="4" w:space="0" w:color="FFC000"/>
              <w:bottom w:val="single" w:sz="4" w:space="0" w:color="FFC000"/>
              <w:right w:val="single" w:sz="4" w:space="0" w:color="FFC000"/>
            </w:tcBorders>
          </w:tcPr>
          <w:p>
            <w:pPr/>
          </w:p>
        </w:tc>
        <w:tc>
          <w:tcPr>
            <w:tcW w:w="846"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191"/>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深信泰 丰债务 重组</w:t>
            </w:r>
          </w:p>
        </w:tc>
      </w:tr>
      <w:tr>
        <w:trPr>
          <w:trHeight w:val="403" w:hRule="exact"/>
        </w:trPr>
        <w:tc>
          <w:tcPr>
            <w:tcW w:w="7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合计</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6"/>
              <w:ind w:right="102"/>
              <w:jc w:val="right"/>
              <w:rPr>
                <w:rFonts w:ascii="华文细黑" w:hAnsi="华文细黑" w:cs="华文细黑" w:eastAsia="华文细黑" w:hint="default"/>
                <w:sz w:val="15"/>
                <w:szCs w:val="15"/>
              </w:rPr>
            </w:pPr>
            <w:r>
              <w:rPr>
                <w:rFonts w:ascii="华文细黑"/>
                <w:spacing w:val="-1"/>
                <w:sz w:val="15"/>
              </w:rPr>
              <w:t>335,842,248.62</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6"/>
              <w:ind w:left="50" w:right="0"/>
              <w:jc w:val="center"/>
              <w:rPr>
                <w:rFonts w:ascii="华文细黑" w:hAnsi="华文细黑" w:cs="华文细黑" w:eastAsia="华文细黑" w:hint="default"/>
                <w:sz w:val="15"/>
                <w:szCs w:val="15"/>
              </w:rPr>
            </w:pPr>
            <w:r>
              <w:rPr>
                <w:rFonts w:ascii="华文细黑"/>
                <w:sz w:val="15"/>
              </w:rPr>
              <w:t>-14,172,900.48</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6"/>
              <w:ind w:right="103"/>
              <w:jc w:val="right"/>
              <w:rPr>
                <w:rFonts w:ascii="华文细黑" w:hAnsi="华文细黑" w:cs="华文细黑" w:eastAsia="华文细黑" w:hint="default"/>
                <w:sz w:val="15"/>
                <w:szCs w:val="15"/>
              </w:rPr>
            </w:pPr>
            <w:r>
              <w:rPr>
                <w:rFonts w:ascii="华文细黑"/>
                <w:spacing w:val="-1"/>
                <w:sz w:val="15"/>
              </w:rPr>
              <w:t>1,490,841.03</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6"/>
              <w:ind w:right="103"/>
              <w:jc w:val="right"/>
              <w:rPr>
                <w:rFonts w:ascii="华文细黑" w:hAnsi="华文细黑" w:cs="华文细黑" w:eastAsia="华文细黑" w:hint="default"/>
                <w:sz w:val="15"/>
                <w:szCs w:val="15"/>
              </w:rPr>
            </w:pPr>
            <w:r>
              <w:rPr>
                <w:rFonts w:ascii="华文细黑"/>
                <w:spacing w:val="-1"/>
                <w:sz w:val="15"/>
              </w:rPr>
              <w:t>262,860,000.00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6"/>
              <w:ind w:right="102"/>
              <w:jc w:val="right"/>
              <w:rPr>
                <w:rFonts w:ascii="华文细黑" w:hAnsi="华文细黑" w:cs="华文细黑" w:eastAsia="华文细黑" w:hint="default"/>
                <w:sz w:val="15"/>
                <w:szCs w:val="15"/>
              </w:rPr>
            </w:pPr>
            <w:r>
              <w:rPr>
                <w:rFonts w:ascii="华文细黑"/>
                <w:spacing w:val="-1"/>
                <w:sz w:val="15"/>
              </w:rPr>
              <w:t>35,934,268.53</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6"/>
              <w:ind w:right="103"/>
              <w:jc w:val="right"/>
              <w:rPr>
                <w:rFonts w:ascii="华文细黑" w:hAnsi="华文细黑" w:cs="华文细黑" w:eastAsia="华文细黑" w:hint="default"/>
                <w:sz w:val="15"/>
                <w:szCs w:val="15"/>
              </w:rPr>
            </w:pPr>
            <w:r>
              <w:rPr>
                <w:rFonts w:ascii="华文细黑"/>
                <w:spacing w:val="-1"/>
                <w:sz w:val="15"/>
              </w:rPr>
              <w:t>104,063,227.64</w:t>
            </w:r>
          </w:p>
        </w:tc>
        <w:tc>
          <w:tcPr>
            <w:tcW w:w="12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6"/>
              <w:ind w:left="212" w:right="0"/>
              <w:jc w:val="left"/>
              <w:rPr>
                <w:rFonts w:ascii="华文细黑" w:hAnsi="华文细黑" w:cs="华文细黑" w:eastAsia="华文细黑" w:hint="default"/>
                <w:sz w:val="15"/>
                <w:szCs w:val="15"/>
              </w:rPr>
            </w:pPr>
            <w:r>
              <w:rPr>
                <w:rFonts w:ascii="华文细黑"/>
                <w:sz w:val="15"/>
              </w:rPr>
              <w:t>86,460,934.98</w:t>
            </w:r>
          </w:p>
        </w:tc>
        <w:tc>
          <w:tcPr>
            <w:tcW w:w="8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
              <w:jc w:val="center"/>
              <w:rPr>
                <w:rFonts w:ascii="华文细黑" w:hAnsi="华文细黑" w:cs="华文细黑" w:eastAsia="华文细黑" w:hint="default"/>
                <w:sz w:val="18"/>
                <w:szCs w:val="18"/>
              </w:rPr>
            </w:pPr>
            <w:r>
              <w:rPr>
                <w:rFonts w:ascii="华文细黑"/>
                <w:sz w:val="18"/>
              </w:rPr>
              <w:t>--</w:t>
            </w:r>
          </w:p>
        </w:tc>
      </w:tr>
    </w:tbl>
    <w:p>
      <w:pPr>
        <w:spacing w:after="0" w:line="240" w:lineRule="auto"/>
        <w:jc w:val="center"/>
        <w:rPr>
          <w:rFonts w:ascii="华文细黑" w:hAnsi="华文细黑" w:cs="华文细黑" w:eastAsia="华文细黑" w:hint="default"/>
          <w:sz w:val="18"/>
          <w:szCs w:val="18"/>
        </w:rPr>
        <w:sectPr>
          <w:type w:val="continuous"/>
          <w:pgSz w:w="11910" w:h="16840"/>
          <w:pgMar w:top="240" w:bottom="0" w:left="460" w:right="0"/>
        </w:sectPr>
      </w:pPr>
    </w:p>
    <w:p>
      <w:pPr>
        <w:pStyle w:val="Heading5"/>
        <w:spacing w:line="240" w:lineRule="auto" w:before="32"/>
        <w:ind w:left="674" w:right="0"/>
        <w:jc w:val="left"/>
        <w:rPr>
          <w:b w:val="0"/>
          <w:bCs w:val="0"/>
        </w:rPr>
      </w:pPr>
      <w:bookmarkStart w:name="5、募集资金使用情况" w:id="69"/>
      <w:bookmarkEnd w:id="69"/>
      <w:r>
        <w:rPr>
          <w:b w:val="0"/>
          <w:bCs w:val="0"/>
        </w:rPr>
      </w:r>
      <w:r>
        <w:rPr>
          <w:rFonts w:ascii="华文细黑" w:hAnsi="华文细黑" w:cs="华文细黑" w:eastAsia="华文细黑" w:hint="default"/>
        </w:rPr>
        <w:t>5</w:t>
      </w:r>
      <w:r>
        <w:rPr/>
        <w:t>、募集资金使用情况</w:t>
      </w:r>
      <w:r>
        <w:rPr>
          <w:b w:val="0"/>
          <w:bCs w:val="0"/>
        </w:rPr>
      </w:r>
    </w:p>
    <w:p>
      <w:pPr>
        <w:pStyle w:val="BodyText"/>
        <w:spacing w:line="240" w:lineRule="auto" w:before="75"/>
        <w:ind w:left="674" w:right="0"/>
        <w:jc w:val="left"/>
      </w:pPr>
      <w:r>
        <w:rPr/>
        <w:t>√  适用  □</w:t>
      </w:r>
      <w:r>
        <w:rPr>
          <w:spacing w:val="51"/>
        </w:rPr>
        <w:t> </w:t>
      </w:r>
      <w:r>
        <w:rPr/>
        <w:t>不适用</w:t>
      </w:r>
    </w:p>
    <w:p>
      <w:pPr>
        <w:pStyle w:val="Heading5"/>
        <w:spacing w:line="240" w:lineRule="auto" w:before="75"/>
        <w:ind w:left="674" w:right="0"/>
        <w:jc w:val="left"/>
        <w:rPr>
          <w:b w:val="0"/>
          <w:bCs w:val="0"/>
        </w:rPr>
      </w:pPr>
      <w:bookmarkStart w:name="（1）募集资金总体使用情况" w:id="70"/>
      <w:bookmarkEnd w:id="70"/>
      <w:r>
        <w:rPr>
          <w:b w:val="0"/>
          <w:bCs w:val="0"/>
        </w:rPr>
      </w:r>
      <w:r>
        <w:rPr>
          <w:w w:val="95"/>
        </w:rPr>
        <w:t>（</w:t>
      </w:r>
      <w:r>
        <w:rPr>
          <w:rFonts w:ascii="华文细黑" w:hAnsi="华文细黑" w:cs="华文细黑" w:eastAsia="华文细黑" w:hint="default"/>
          <w:w w:val="95"/>
        </w:rPr>
        <w:t>1</w:t>
      </w:r>
      <w:r>
        <w:rPr>
          <w:w w:val="95"/>
        </w:rPr>
        <w:t>）募集资金总体使用情况</w:t>
      </w:r>
      <w:r>
        <w:rPr>
          <w:b w:val="0"/>
          <w:bCs w:val="0"/>
        </w:rPr>
      </w:r>
    </w:p>
    <w:p>
      <w:pPr>
        <w:pStyle w:val="BodyText"/>
        <w:spacing w:line="240" w:lineRule="auto" w:before="76"/>
        <w:ind w:left="674" w:right="0"/>
        <w:jc w:val="left"/>
      </w:pPr>
      <w:r>
        <w:rPr/>
        <w:t>√  适用  □</w:t>
      </w:r>
      <w:r>
        <w:rPr>
          <w:spacing w:val="51"/>
        </w:rPr>
        <w:t> </w:t>
      </w:r>
      <w:r>
        <w:rPr/>
        <w:t>不适用</w:t>
      </w:r>
    </w:p>
    <w:p>
      <w:pPr>
        <w:spacing w:line="240" w:lineRule="auto" w:before="0"/>
        <w:rPr>
          <w:rFonts w:ascii="华文细黑" w:hAnsi="华文细黑" w:cs="华文细黑" w:eastAsia="华文细黑" w:hint="default"/>
          <w:sz w:val="18"/>
          <w:szCs w:val="18"/>
        </w:rPr>
      </w:pPr>
      <w:r>
        <w:rPr/>
        <w:br w:type="column"/>
      </w:r>
      <w:r>
        <w:rPr>
          <w:rFonts w:ascii="华文细黑"/>
          <w:sz w:val="18"/>
        </w:rPr>
      </w:r>
    </w:p>
    <w:p>
      <w:pPr>
        <w:spacing w:line="240" w:lineRule="auto" w:before="0"/>
        <w:rPr>
          <w:rFonts w:ascii="华文细黑" w:hAnsi="华文细黑" w:cs="华文细黑" w:eastAsia="华文细黑" w:hint="default"/>
          <w:sz w:val="18"/>
          <w:szCs w:val="18"/>
        </w:rPr>
      </w:pPr>
    </w:p>
    <w:p>
      <w:pPr>
        <w:spacing w:line="240" w:lineRule="auto" w:before="0"/>
        <w:rPr>
          <w:rFonts w:ascii="华文细黑" w:hAnsi="华文细黑" w:cs="华文细黑" w:eastAsia="华文细黑" w:hint="default"/>
          <w:sz w:val="18"/>
          <w:szCs w:val="18"/>
        </w:rPr>
      </w:pPr>
    </w:p>
    <w:p>
      <w:pPr>
        <w:spacing w:line="240" w:lineRule="auto" w:before="0"/>
        <w:rPr>
          <w:rFonts w:ascii="华文细黑" w:hAnsi="华文细黑" w:cs="华文细黑" w:eastAsia="华文细黑" w:hint="default"/>
          <w:sz w:val="18"/>
          <w:szCs w:val="18"/>
        </w:rPr>
      </w:pPr>
    </w:p>
    <w:p>
      <w:pPr>
        <w:spacing w:line="240" w:lineRule="auto" w:before="0"/>
        <w:rPr>
          <w:rFonts w:ascii="华文细黑" w:hAnsi="华文细黑" w:cs="华文细黑" w:eastAsia="华文细黑" w:hint="default"/>
          <w:sz w:val="18"/>
          <w:szCs w:val="18"/>
        </w:rPr>
      </w:pPr>
    </w:p>
    <w:p>
      <w:pPr>
        <w:spacing w:line="240" w:lineRule="auto" w:before="3"/>
        <w:rPr>
          <w:rFonts w:ascii="华文细黑" w:hAnsi="华文细黑" w:cs="华文细黑" w:eastAsia="华文细黑" w:hint="default"/>
          <w:sz w:val="18"/>
          <w:szCs w:val="18"/>
        </w:rPr>
      </w:pPr>
    </w:p>
    <w:p>
      <w:pPr>
        <w:spacing w:before="0"/>
        <w:ind w:left="673" w:right="0" w:firstLine="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单位：万元</w:t>
      </w:r>
    </w:p>
    <w:p>
      <w:pPr>
        <w:spacing w:after="0"/>
        <w:jc w:val="left"/>
        <w:rPr>
          <w:rFonts w:ascii="华文细黑" w:hAnsi="华文细黑" w:cs="华文细黑" w:eastAsia="华文细黑" w:hint="default"/>
          <w:sz w:val="18"/>
          <w:szCs w:val="18"/>
        </w:rPr>
        <w:sectPr>
          <w:type w:val="continuous"/>
          <w:pgSz w:w="11910" w:h="16840"/>
          <w:pgMar w:top="240" w:bottom="0" w:left="460" w:right="0"/>
          <w:cols w:num="2" w:equalWidth="0">
            <w:col w:w="3313" w:space="5427"/>
            <w:col w:w="2710"/>
          </w:cols>
        </w:sectPr>
      </w:pPr>
    </w:p>
    <w:p>
      <w:pPr>
        <w:spacing w:line="240" w:lineRule="auto" w:before="13"/>
        <w:rPr>
          <w:rFonts w:ascii="华文细黑" w:hAnsi="华文细黑" w:cs="华文细黑" w:eastAsia="华文细黑" w:hint="default"/>
          <w:sz w:val="6"/>
          <w:szCs w:val="6"/>
        </w:rPr>
      </w:pPr>
    </w:p>
    <w:tbl>
      <w:tblPr>
        <w:tblW w:w="0" w:type="auto"/>
        <w:jc w:val="left"/>
        <w:tblInd w:w="101" w:type="dxa"/>
        <w:tblLayout w:type="fixed"/>
        <w:tblCellMar>
          <w:top w:w="0" w:type="dxa"/>
          <w:left w:w="0" w:type="dxa"/>
          <w:bottom w:w="0" w:type="dxa"/>
          <w:right w:w="0" w:type="dxa"/>
        </w:tblCellMar>
        <w:tblLook w:val="01E0"/>
      </w:tblPr>
      <w:tblGrid>
        <w:gridCol w:w="709"/>
        <w:gridCol w:w="1134"/>
        <w:gridCol w:w="1134"/>
        <w:gridCol w:w="852"/>
        <w:gridCol w:w="1134"/>
        <w:gridCol w:w="850"/>
        <w:gridCol w:w="851"/>
        <w:gridCol w:w="850"/>
        <w:gridCol w:w="922"/>
        <w:gridCol w:w="1205"/>
        <w:gridCol w:w="1134"/>
      </w:tblGrid>
      <w:tr>
        <w:trPr>
          <w:trHeight w:val="1649" w:hRule="exact"/>
        </w:trPr>
        <w:tc>
          <w:tcPr>
            <w:tcW w:w="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0"/>
              <w:ind w:right="0"/>
              <w:jc w:val="left"/>
              <w:rPr>
                <w:rFonts w:ascii="华文细黑" w:hAnsi="华文细黑" w:cs="华文细黑" w:eastAsia="华文细黑" w:hint="default"/>
                <w:sz w:val="18"/>
                <w:szCs w:val="18"/>
              </w:rPr>
            </w:pPr>
          </w:p>
          <w:p>
            <w:pPr>
              <w:pStyle w:val="TableParagraph"/>
              <w:spacing w:line="295" w:lineRule="auto"/>
              <w:ind w:left="169" w:right="168"/>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募集 年份</w:t>
            </w:r>
          </w:p>
        </w:tc>
        <w:tc>
          <w:tcPr>
            <w:tcW w:w="11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56"/>
              <w:ind w:left="2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募集方式</w:t>
            </w:r>
          </w:p>
        </w:tc>
        <w:tc>
          <w:tcPr>
            <w:tcW w:w="11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0"/>
              <w:ind w:right="0"/>
              <w:jc w:val="left"/>
              <w:rPr>
                <w:rFonts w:ascii="华文细黑" w:hAnsi="华文细黑" w:cs="华文细黑" w:eastAsia="华文细黑" w:hint="default"/>
                <w:sz w:val="18"/>
                <w:szCs w:val="18"/>
              </w:rPr>
            </w:pPr>
          </w:p>
          <w:p>
            <w:pPr>
              <w:pStyle w:val="TableParagraph"/>
              <w:spacing w:line="295" w:lineRule="auto"/>
              <w:ind w:left="471" w:right="110" w:hanging="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募集资金总 额</w:t>
            </w:r>
          </w:p>
        </w:tc>
        <w:tc>
          <w:tcPr>
            <w:tcW w:w="8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149" w:right="15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本期已 使用募 集资金 总额</w:t>
            </w:r>
          </w:p>
        </w:tc>
        <w:tc>
          <w:tcPr>
            <w:tcW w:w="11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
              <w:ind w:right="0"/>
              <w:jc w:val="left"/>
              <w:rPr>
                <w:rFonts w:ascii="华文细黑" w:hAnsi="华文细黑" w:cs="华文细黑" w:eastAsia="华文细黑" w:hint="default"/>
                <w:sz w:val="24"/>
                <w:szCs w:val="24"/>
              </w:rPr>
            </w:pPr>
          </w:p>
          <w:p>
            <w:pPr>
              <w:pStyle w:val="TableParagraph"/>
              <w:spacing w:line="295" w:lineRule="auto"/>
              <w:ind w:left="110" w:right="11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已累计使用 募集资金总 额</w:t>
            </w:r>
          </w:p>
        </w:tc>
        <w:tc>
          <w:tcPr>
            <w:tcW w:w="85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48" w:right="14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 内变更 用途的 募集资 金总额</w:t>
            </w:r>
          </w:p>
        </w:tc>
        <w:tc>
          <w:tcPr>
            <w:tcW w:w="8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49" w:right="149"/>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累计变 更用途 的募集 资金总 额</w:t>
            </w:r>
          </w:p>
        </w:tc>
        <w:tc>
          <w:tcPr>
            <w:tcW w:w="85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49" w:right="14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累计变 更用途 的募集 资金总 额比例</w:t>
            </w:r>
          </w:p>
        </w:tc>
        <w:tc>
          <w:tcPr>
            <w:tcW w:w="9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186" w:right="185"/>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尚未使 用募集 资金总 额</w:t>
            </w:r>
          </w:p>
        </w:tc>
        <w:tc>
          <w:tcPr>
            <w:tcW w:w="120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
              <w:ind w:right="0"/>
              <w:jc w:val="left"/>
              <w:rPr>
                <w:rFonts w:ascii="华文细黑" w:hAnsi="华文细黑" w:cs="华文细黑" w:eastAsia="华文细黑" w:hint="default"/>
                <w:sz w:val="24"/>
                <w:szCs w:val="24"/>
              </w:rPr>
            </w:pPr>
          </w:p>
          <w:p>
            <w:pPr>
              <w:pStyle w:val="TableParagraph"/>
              <w:spacing w:line="295" w:lineRule="auto"/>
              <w:ind w:left="147" w:right="145"/>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尚未使用募 集资金用途 及去向</w:t>
            </w:r>
          </w:p>
        </w:tc>
        <w:tc>
          <w:tcPr>
            <w:tcW w:w="11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
              <w:ind w:right="0"/>
              <w:jc w:val="left"/>
              <w:rPr>
                <w:rFonts w:ascii="华文细黑" w:hAnsi="华文细黑" w:cs="华文细黑" w:eastAsia="华文细黑" w:hint="default"/>
                <w:sz w:val="24"/>
                <w:szCs w:val="24"/>
              </w:rPr>
            </w:pPr>
          </w:p>
          <w:p>
            <w:pPr>
              <w:pStyle w:val="TableParagraph"/>
              <w:spacing w:line="295" w:lineRule="auto"/>
              <w:ind w:left="111" w:right="11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闲置两年以 上募集资金 金额</w:t>
            </w:r>
          </w:p>
        </w:tc>
      </w:tr>
      <w:tr>
        <w:trPr>
          <w:trHeight w:val="714" w:hRule="exact"/>
        </w:trPr>
        <w:tc>
          <w:tcPr>
            <w:tcW w:w="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sz w:val="18"/>
              </w:rPr>
              <w:t>2010</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11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首次公开发 行股票</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3"/>
              <w:ind w:right="0"/>
              <w:jc w:val="left"/>
              <w:rPr>
                <w:rFonts w:ascii="华文细黑" w:hAnsi="华文细黑" w:cs="华文细黑" w:eastAsia="华文细黑" w:hint="default"/>
                <w:sz w:val="15"/>
                <w:szCs w:val="15"/>
              </w:rPr>
            </w:pPr>
          </w:p>
          <w:p>
            <w:pPr>
              <w:pStyle w:val="TableParagraph"/>
              <w:spacing w:line="240" w:lineRule="auto"/>
              <w:ind w:right="99"/>
              <w:jc w:val="right"/>
              <w:rPr>
                <w:rFonts w:ascii="华文细黑" w:hAnsi="华文细黑" w:cs="华文细黑" w:eastAsia="华文细黑" w:hint="default"/>
                <w:sz w:val="16"/>
                <w:szCs w:val="16"/>
              </w:rPr>
            </w:pPr>
            <w:r>
              <w:rPr>
                <w:rFonts w:ascii="华文细黑"/>
                <w:w w:val="95"/>
                <w:sz w:val="16"/>
              </w:rPr>
              <w:t>214,202.69</w:t>
            </w:r>
            <w:r>
              <w:rPr>
                <w:rFonts w:ascii="华文细黑"/>
                <w:sz w:val="16"/>
              </w:rPr>
            </w:r>
          </w:p>
        </w:tc>
        <w:tc>
          <w:tcPr>
            <w:tcW w:w="85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3"/>
              <w:ind w:right="0"/>
              <w:jc w:val="left"/>
              <w:rPr>
                <w:rFonts w:ascii="华文细黑" w:hAnsi="华文细黑" w:cs="华文细黑" w:eastAsia="华文细黑" w:hint="default"/>
                <w:sz w:val="15"/>
                <w:szCs w:val="15"/>
              </w:rPr>
            </w:pPr>
          </w:p>
          <w:p>
            <w:pPr>
              <w:pStyle w:val="TableParagraph"/>
              <w:spacing w:line="240" w:lineRule="auto"/>
              <w:ind w:left="427" w:right="0"/>
              <w:jc w:val="left"/>
              <w:rPr>
                <w:rFonts w:ascii="华文细黑" w:hAnsi="华文细黑" w:cs="华文细黑" w:eastAsia="华文细黑" w:hint="default"/>
                <w:sz w:val="16"/>
                <w:szCs w:val="16"/>
              </w:rPr>
            </w:pPr>
            <w:r>
              <w:rPr>
                <w:rFonts w:ascii="华文细黑"/>
                <w:sz w:val="16"/>
              </w:rPr>
              <w:t>81.2</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3"/>
              <w:ind w:right="0"/>
              <w:jc w:val="left"/>
              <w:rPr>
                <w:rFonts w:ascii="华文细黑" w:hAnsi="华文细黑" w:cs="华文细黑" w:eastAsia="华文细黑" w:hint="default"/>
                <w:sz w:val="15"/>
                <w:szCs w:val="15"/>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w w:val="95"/>
                <w:sz w:val="16"/>
              </w:rPr>
              <w:t>212,166.27</w:t>
            </w:r>
            <w:r>
              <w:rPr>
                <w:rFonts w:ascii="华文细黑"/>
                <w:sz w:val="16"/>
              </w:rPr>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3"/>
              <w:ind w:right="0"/>
              <w:jc w:val="left"/>
              <w:rPr>
                <w:rFonts w:ascii="华文细黑" w:hAnsi="华文细黑" w:cs="华文细黑" w:eastAsia="华文细黑" w:hint="default"/>
                <w:sz w:val="15"/>
                <w:szCs w:val="15"/>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w w:val="99"/>
                <w:sz w:val="16"/>
              </w:rPr>
              <w:t>0</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3"/>
              <w:ind w:right="0"/>
              <w:jc w:val="left"/>
              <w:rPr>
                <w:rFonts w:ascii="华文细黑" w:hAnsi="华文细黑" w:cs="华文细黑" w:eastAsia="华文细黑" w:hint="default"/>
                <w:sz w:val="15"/>
                <w:szCs w:val="15"/>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w w:val="99"/>
                <w:sz w:val="16"/>
              </w:rPr>
              <w:t>0</w:t>
            </w:r>
            <w:r>
              <w:rPr>
                <w:rFonts w:ascii="华文细黑"/>
                <w:sz w:val="16"/>
              </w:rPr>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3"/>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w w:val="95"/>
                <w:sz w:val="16"/>
              </w:rPr>
              <w:t>0.00%</w:t>
            </w:r>
            <w:r>
              <w:rPr>
                <w:rFonts w:ascii="华文细黑"/>
                <w:sz w:val="16"/>
              </w:rPr>
            </w:r>
          </w:p>
        </w:tc>
        <w:tc>
          <w:tcPr>
            <w:tcW w:w="9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3"/>
              <w:ind w:right="0"/>
              <w:jc w:val="left"/>
              <w:rPr>
                <w:rFonts w:ascii="华文细黑" w:hAnsi="华文细黑" w:cs="华文细黑" w:eastAsia="华文细黑" w:hint="default"/>
                <w:sz w:val="15"/>
                <w:szCs w:val="15"/>
              </w:rPr>
            </w:pPr>
          </w:p>
          <w:p>
            <w:pPr>
              <w:pStyle w:val="TableParagraph"/>
              <w:spacing w:line="240" w:lineRule="auto"/>
              <w:ind w:right="99"/>
              <w:jc w:val="right"/>
              <w:rPr>
                <w:rFonts w:ascii="华文细黑" w:hAnsi="华文细黑" w:cs="华文细黑" w:eastAsia="华文细黑" w:hint="default"/>
                <w:sz w:val="16"/>
                <w:szCs w:val="16"/>
              </w:rPr>
            </w:pPr>
            <w:r>
              <w:rPr>
                <w:rFonts w:ascii="华文细黑"/>
                <w:w w:val="95"/>
                <w:sz w:val="16"/>
              </w:rPr>
              <w:t>2,036.42</w:t>
            </w:r>
            <w:r>
              <w:rPr>
                <w:rFonts w:ascii="华文细黑"/>
                <w:sz w:val="16"/>
              </w:rPr>
            </w:r>
          </w:p>
        </w:tc>
        <w:tc>
          <w:tcPr>
            <w:tcW w:w="1205"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19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存放银行募 集资金专户</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3"/>
              <w:ind w:right="0"/>
              <w:jc w:val="left"/>
              <w:rPr>
                <w:rFonts w:ascii="华文细黑" w:hAnsi="华文细黑" w:cs="华文细黑" w:eastAsia="华文细黑" w:hint="default"/>
                <w:sz w:val="15"/>
                <w:szCs w:val="15"/>
              </w:rPr>
            </w:pPr>
          </w:p>
          <w:p>
            <w:pPr>
              <w:pStyle w:val="TableParagraph"/>
              <w:spacing w:line="240" w:lineRule="auto"/>
              <w:ind w:right="99"/>
              <w:jc w:val="right"/>
              <w:rPr>
                <w:rFonts w:ascii="华文细黑" w:hAnsi="华文细黑" w:cs="华文细黑" w:eastAsia="华文细黑" w:hint="default"/>
                <w:sz w:val="16"/>
                <w:szCs w:val="16"/>
              </w:rPr>
            </w:pPr>
            <w:r>
              <w:rPr>
                <w:rFonts w:ascii="华文细黑"/>
                <w:w w:val="95"/>
                <w:sz w:val="16"/>
              </w:rPr>
              <w:t>2,532.16</w:t>
            </w:r>
            <w:r>
              <w:rPr>
                <w:rFonts w:ascii="华文细黑"/>
                <w:sz w:val="16"/>
              </w:rPr>
            </w:r>
          </w:p>
        </w:tc>
      </w:tr>
      <w:tr>
        <w:trPr>
          <w:trHeight w:val="1027" w:hRule="exact"/>
        </w:trPr>
        <w:tc>
          <w:tcPr>
            <w:tcW w:w="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sz w:val="18"/>
              </w:rPr>
              <w:t>2015</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95" w:lineRule="auto"/>
              <w:ind w:left="103" w:right="11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公开发行一 般公司债</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3"/>
              <w:ind w:right="0"/>
              <w:jc w:val="left"/>
              <w:rPr>
                <w:rFonts w:ascii="华文细黑" w:hAnsi="华文细黑" w:cs="华文细黑" w:eastAsia="华文细黑" w:hint="default"/>
                <w:sz w:val="10"/>
                <w:szCs w:val="10"/>
              </w:rPr>
            </w:pPr>
          </w:p>
          <w:p>
            <w:pPr>
              <w:pStyle w:val="TableParagraph"/>
              <w:spacing w:line="240" w:lineRule="auto"/>
              <w:ind w:right="99"/>
              <w:jc w:val="right"/>
              <w:rPr>
                <w:rFonts w:ascii="华文细黑" w:hAnsi="华文细黑" w:cs="华文细黑" w:eastAsia="华文细黑" w:hint="default"/>
                <w:sz w:val="16"/>
                <w:szCs w:val="16"/>
              </w:rPr>
            </w:pPr>
            <w:r>
              <w:rPr>
                <w:rFonts w:ascii="华文细黑"/>
                <w:w w:val="95"/>
                <w:sz w:val="16"/>
              </w:rPr>
              <w:t>59,495</w:t>
            </w:r>
            <w:r>
              <w:rPr>
                <w:rFonts w:ascii="华文细黑"/>
                <w:sz w:val="16"/>
              </w:rPr>
            </w:r>
          </w:p>
        </w:tc>
        <w:tc>
          <w:tcPr>
            <w:tcW w:w="852" w:type="dxa"/>
            <w:tcBorders>
              <w:top w:val="single" w:sz="4" w:space="0" w:color="FFC000"/>
              <w:left w:val="single" w:sz="4" w:space="0" w:color="FFC000"/>
              <w:bottom w:val="single" w:sz="4" w:space="0" w:color="FFC000"/>
              <w:right w:val="single" w:sz="4" w:space="0" w:color="FFC000"/>
            </w:tcBorders>
          </w:tcPr>
          <w:p>
            <w:pP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3"/>
              <w:ind w:right="0"/>
              <w:jc w:val="left"/>
              <w:rPr>
                <w:rFonts w:ascii="华文细黑" w:hAnsi="华文细黑" w:cs="华文细黑" w:eastAsia="华文细黑" w:hint="default"/>
                <w:sz w:val="10"/>
                <w:szCs w:val="10"/>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w w:val="95"/>
                <w:sz w:val="16"/>
              </w:rPr>
              <w:t>59,495</w:t>
            </w:r>
            <w:r>
              <w:rPr>
                <w:rFonts w:ascii="华文细黑"/>
                <w:sz w:val="16"/>
              </w:rPr>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3"/>
              <w:ind w:right="0"/>
              <w:jc w:val="left"/>
              <w:rPr>
                <w:rFonts w:ascii="华文细黑" w:hAnsi="华文细黑" w:cs="华文细黑" w:eastAsia="华文细黑" w:hint="default"/>
                <w:sz w:val="10"/>
                <w:szCs w:val="10"/>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w w:val="99"/>
                <w:sz w:val="16"/>
              </w:rPr>
              <w:t>0</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3"/>
              <w:ind w:right="0"/>
              <w:jc w:val="left"/>
              <w:rPr>
                <w:rFonts w:ascii="华文细黑" w:hAnsi="华文细黑" w:cs="华文细黑" w:eastAsia="华文细黑" w:hint="default"/>
                <w:sz w:val="10"/>
                <w:szCs w:val="10"/>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w w:val="99"/>
                <w:sz w:val="16"/>
              </w:rPr>
              <w:t>0</w:t>
            </w:r>
            <w:r>
              <w:rPr>
                <w:rFonts w:ascii="华文细黑"/>
                <w:sz w:val="16"/>
              </w:rPr>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3"/>
              <w:ind w:right="0"/>
              <w:jc w:val="left"/>
              <w:rPr>
                <w:rFonts w:ascii="华文细黑" w:hAnsi="华文细黑" w:cs="华文细黑" w:eastAsia="华文细黑" w:hint="default"/>
                <w:sz w:val="10"/>
                <w:szCs w:val="10"/>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w w:val="95"/>
                <w:sz w:val="16"/>
              </w:rPr>
              <w:t>0.00%</w:t>
            </w:r>
            <w:r>
              <w:rPr>
                <w:rFonts w:ascii="华文细黑"/>
                <w:sz w:val="16"/>
              </w:rPr>
            </w:r>
          </w:p>
        </w:tc>
        <w:tc>
          <w:tcPr>
            <w:tcW w:w="9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3"/>
              <w:ind w:right="0"/>
              <w:jc w:val="left"/>
              <w:rPr>
                <w:rFonts w:ascii="华文细黑" w:hAnsi="华文细黑" w:cs="华文细黑" w:eastAsia="华文细黑" w:hint="default"/>
                <w:sz w:val="10"/>
                <w:szCs w:val="10"/>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w w:val="99"/>
                <w:sz w:val="16"/>
              </w:rPr>
              <w:t>0</w:t>
            </w:r>
            <w:r>
              <w:rPr>
                <w:rFonts w:ascii="华文细黑"/>
                <w:sz w:val="16"/>
              </w:rPr>
            </w:r>
          </w:p>
        </w:tc>
        <w:tc>
          <w:tcPr>
            <w:tcW w:w="1205"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191"/>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偿还到期债 务和补充流 动资金</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3"/>
              <w:ind w:right="0"/>
              <w:jc w:val="left"/>
              <w:rPr>
                <w:rFonts w:ascii="华文细黑" w:hAnsi="华文细黑" w:cs="华文细黑" w:eastAsia="华文细黑" w:hint="default"/>
                <w:sz w:val="10"/>
                <w:szCs w:val="10"/>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w w:val="99"/>
                <w:sz w:val="16"/>
              </w:rPr>
              <w:t>0</w:t>
            </w:r>
            <w:r>
              <w:rPr>
                <w:rFonts w:ascii="华文细黑"/>
                <w:sz w:val="16"/>
              </w:rPr>
            </w:r>
          </w:p>
        </w:tc>
      </w:tr>
    </w:tbl>
    <w:p>
      <w:pPr>
        <w:spacing w:after="0" w:line="240" w:lineRule="auto"/>
        <w:jc w:val="right"/>
        <w:rPr>
          <w:rFonts w:ascii="华文细黑" w:hAnsi="华文细黑" w:cs="华文细黑" w:eastAsia="华文细黑" w:hint="default"/>
          <w:sz w:val="16"/>
          <w:szCs w:val="16"/>
        </w:rPr>
        <w:sectPr>
          <w:type w:val="continuous"/>
          <w:pgSz w:w="11910" w:h="16840"/>
          <w:pgMar w:top="240" w:bottom="0" w:left="460" w:right="0"/>
        </w:sectPr>
      </w:pPr>
    </w:p>
    <w:p>
      <w:pPr>
        <w:spacing w:line="240" w:lineRule="auto" w:before="8"/>
        <w:rPr>
          <w:rFonts w:ascii="华文细黑" w:hAnsi="华文细黑" w:cs="华文细黑" w:eastAsia="华文细黑" w:hint="default"/>
          <w:sz w:val="23"/>
          <w:szCs w:val="23"/>
        </w:rPr>
      </w:pPr>
    </w:p>
    <w:tbl>
      <w:tblPr>
        <w:tblW w:w="0" w:type="auto"/>
        <w:jc w:val="left"/>
        <w:tblInd w:w="101" w:type="dxa"/>
        <w:tblLayout w:type="fixed"/>
        <w:tblCellMar>
          <w:top w:w="0" w:type="dxa"/>
          <w:left w:w="0" w:type="dxa"/>
          <w:bottom w:w="0" w:type="dxa"/>
          <w:right w:w="0" w:type="dxa"/>
        </w:tblCellMar>
        <w:tblLook w:val="01E0"/>
      </w:tblPr>
      <w:tblGrid>
        <w:gridCol w:w="709"/>
        <w:gridCol w:w="1134"/>
        <w:gridCol w:w="1134"/>
        <w:gridCol w:w="852"/>
        <w:gridCol w:w="1134"/>
        <w:gridCol w:w="850"/>
        <w:gridCol w:w="851"/>
        <w:gridCol w:w="850"/>
        <w:gridCol w:w="922"/>
        <w:gridCol w:w="1205"/>
        <w:gridCol w:w="1134"/>
      </w:tblGrid>
      <w:tr>
        <w:trPr>
          <w:trHeight w:val="714" w:hRule="exact"/>
        </w:trPr>
        <w:tc>
          <w:tcPr>
            <w:tcW w:w="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sz w:val="18"/>
              </w:rPr>
              <w:t>2016</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1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非公开发行 股票</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99"/>
              <w:jc w:val="right"/>
              <w:rPr>
                <w:rFonts w:ascii="华文细黑" w:hAnsi="华文细黑" w:cs="华文细黑" w:eastAsia="华文细黑" w:hint="default"/>
                <w:sz w:val="16"/>
                <w:szCs w:val="16"/>
              </w:rPr>
            </w:pPr>
            <w:r>
              <w:rPr>
                <w:rFonts w:ascii="华文细黑"/>
                <w:w w:val="95"/>
                <w:sz w:val="16"/>
              </w:rPr>
              <w:t>39,269.2</w:t>
            </w:r>
            <w:r>
              <w:rPr>
                <w:rFonts w:ascii="华文细黑"/>
                <w:sz w:val="16"/>
              </w:rPr>
            </w:r>
          </w:p>
        </w:tc>
        <w:tc>
          <w:tcPr>
            <w:tcW w:w="852" w:type="dxa"/>
            <w:tcBorders>
              <w:top w:val="single" w:sz="4" w:space="0" w:color="FFC000"/>
              <w:left w:val="single" w:sz="4" w:space="0" w:color="FFC000"/>
              <w:bottom w:val="single" w:sz="4" w:space="0" w:color="FFC000"/>
              <w:right w:val="single" w:sz="4" w:space="0" w:color="FFC000"/>
            </w:tcBorders>
          </w:tcPr>
          <w:p>
            <w:pP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w w:val="95"/>
                <w:sz w:val="16"/>
              </w:rPr>
              <w:t>39,269.2</w:t>
            </w:r>
            <w:r>
              <w:rPr>
                <w:rFonts w:ascii="华文细黑"/>
                <w:sz w:val="16"/>
              </w:rPr>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w w:val="99"/>
                <w:sz w:val="16"/>
              </w:rPr>
              <w:t>0</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w w:val="99"/>
                <w:sz w:val="16"/>
              </w:rPr>
              <w:t>0</w:t>
            </w:r>
            <w:r>
              <w:rPr>
                <w:rFonts w:ascii="华文细黑"/>
                <w:sz w:val="16"/>
              </w:rPr>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w w:val="95"/>
                <w:sz w:val="16"/>
              </w:rPr>
              <w:t>0.00%</w:t>
            </w:r>
            <w:r>
              <w:rPr>
                <w:rFonts w:ascii="华文细黑"/>
                <w:sz w:val="16"/>
              </w:rPr>
            </w:r>
          </w:p>
        </w:tc>
        <w:tc>
          <w:tcPr>
            <w:tcW w:w="9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w w:val="99"/>
                <w:sz w:val="16"/>
              </w:rPr>
              <w:t>0</w:t>
            </w:r>
            <w:r>
              <w:rPr>
                <w:rFonts w:ascii="华文细黑"/>
                <w:sz w:val="16"/>
              </w:rPr>
            </w:r>
          </w:p>
        </w:tc>
        <w:tc>
          <w:tcPr>
            <w:tcW w:w="1205"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9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补充流动资 金</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w w:val="99"/>
                <w:sz w:val="16"/>
              </w:rPr>
              <w:t>0</w:t>
            </w:r>
            <w:r>
              <w:rPr>
                <w:rFonts w:ascii="华文细黑"/>
                <w:sz w:val="16"/>
              </w:rPr>
            </w:r>
          </w:p>
        </w:tc>
      </w:tr>
      <w:tr>
        <w:trPr>
          <w:trHeight w:val="714" w:hRule="exact"/>
        </w:trPr>
        <w:tc>
          <w:tcPr>
            <w:tcW w:w="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sz w:val="18"/>
              </w:rPr>
              <w:t>2017</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1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公开发行一 般公司债</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99"/>
              <w:jc w:val="right"/>
              <w:rPr>
                <w:rFonts w:ascii="华文细黑" w:hAnsi="华文细黑" w:cs="华文细黑" w:eastAsia="华文细黑" w:hint="default"/>
                <w:sz w:val="16"/>
                <w:szCs w:val="16"/>
              </w:rPr>
            </w:pPr>
            <w:r>
              <w:rPr>
                <w:rFonts w:ascii="华文细黑"/>
                <w:w w:val="95"/>
                <w:sz w:val="16"/>
              </w:rPr>
              <w:t>59,820</w:t>
            </w:r>
            <w:r>
              <w:rPr>
                <w:rFonts w:ascii="华文细黑"/>
                <w:sz w:val="16"/>
              </w:rPr>
            </w:r>
          </w:p>
        </w:tc>
        <w:tc>
          <w:tcPr>
            <w:tcW w:w="852" w:type="dxa"/>
            <w:tcBorders>
              <w:top w:val="single" w:sz="4" w:space="0" w:color="FFC000"/>
              <w:left w:val="single" w:sz="4" w:space="0" w:color="FFC000"/>
              <w:bottom w:val="single" w:sz="4" w:space="0" w:color="FFC000"/>
              <w:right w:val="single" w:sz="4" w:space="0" w:color="FFC000"/>
            </w:tcBorders>
          </w:tcPr>
          <w:p>
            <w:pP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w w:val="95"/>
                <w:sz w:val="16"/>
              </w:rPr>
              <w:t>59,820</w:t>
            </w:r>
            <w:r>
              <w:rPr>
                <w:rFonts w:ascii="华文细黑"/>
                <w:sz w:val="16"/>
              </w:rPr>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w w:val="99"/>
                <w:sz w:val="16"/>
              </w:rPr>
              <w:t>0</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w w:val="99"/>
                <w:sz w:val="16"/>
              </w:rPr>
              <w:t>0</w:t>
            </w:r>
            <w:r>
              <w:rPr>
                <w:rFonts w:ascii="华文细黑"/>
                <w:sz w:val="16"/>
              </w:rPr>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w w:val="95"/>
                <w:sz w:val="16"/>
              </w:rPr>
              <w:t>0.00%</w:t>
            </w:r>
            <w:r>
              <w:rPr>
                <w:rFonts w:ascii="华文细黑"/>
                <w:sz w:val="16"/>
              </w:rPr>
            </w:r>
          </w:p>
        </w:tc>
        <w:tc>
          <w:tcPr>
            <w:tcW w:w="9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w w:val="99"/>
                <w:sz w:val="16"/>
              </w:rPr>
              <w:t>0</w:t>
            </w:r>
            <w:r>
              <w:rPr>
                <w:rFonts w:ascii="华文细黑"/>
                <w:sz w:val="16"/>
              </w:rPr>
            </w:r>
          </w:p>
        </w:tc>
        <w:tc>
          <w:tcPr>
            <w:tcW w:w="1205"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9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补充流动资 金</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w w:val="99"/>
                <w:sz w:val="16"/>
              </w:rPr>
              <w:t>0</w:t>
            </w:r>
            <w:r>
              <w:rPr>
                <w:rFonts w:ascii="华文细黑"/>
                <w:sz w:val="16"/>
              </w:rPr>
            </w:r>
          </w:p>
        </w:tc>
      </w:tr>
      <w:tr>
        <w:trPr>
          <w:trHeight w:val="402" w:hRule="exact"/>
        </w:trPr>
        <w:tc>
          <w:tcPr>
            <w:tcW w:w="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合计</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sz w:val="18"/>
              </w:rPr>
              <w:t>--</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99"/>
              <w:jc w:val="right"/>
              <w:rPr>
                <w:rFonts w:ascii="华文细黑" w:hAnsi="华文细黑" w:cs="华文细黑" w:eastAsia="华文细黑" w:hint="default"/>
                <w:sz w:val="16"/>
                <w:szCs w:val="16"/>
              </w:rPr>
            </w:pPr>
            <w:r>
              <w:rPr>
                <w:rFonts w:ascii="华文细黑"/>
                <w:w w:val="95"/>
                <w:sz w:val="16"/>
              </w:rPr>
              <w:t>372,786.89</w:t>
            </w:r>
            <w:r>
              <w:rPr>
                <w:rFonts w:ascii="华文细黑"/>
                <w:sz w:val="16"/>
              </w:rPr>
            </w:r>
          </w:p>
        </w:tc>
        <w:tc>
          <w:tcPr>
            <w:tcW w:w="85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left="427" w:right="0"/>
              <w:jc w:val="left"/>
              <w:rPr>
                <w:rFonts w:ascii="华文细黑" w:hAnsi="华文细黑" w:cs="华文细黑" w:eastAsia="华文细黑" w:hint="default"/>
                <w:sz w:val="16"/>
                <w:szCs w:val="16"/>
              </w:rPr>
            </w:pPr>
            <w:r>
              <w:rPr>
                <w:rFonts w:ascii="华文细黑"/>
                <w:sz w:val="16"/>
              </w:rPr>
              <w:t>81.2</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101"/>
              <w:jc w:val="right"/>
              <w:rPr>
                <w:rFonts w:ascii="华文细黑" w:hAnsi="华文细黑" w:cs="华文细黑" w:eastAsia="华文细黑" w:hint="default"/>
                <w:sz w:val="16"/>
                <w:szCs w:val="16"/>
              </w:rPr>
            </w:pPr>
            <w:r>
              <w:rPr>
                <w:rFonts w:ascii="华文细黑"/>
                <w:w w:val="95"/>
                <w:sz w:val="16"/>
              </w:rPr>
              <w:t>370,750.47</w:t>
            </w:r>
            <w:r>
              <w:rPr>
                <w:rFonts w:ascii="华文细黑"/>
                <w:sz w:val="16"/>
              </w:rPr>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102"/>
              <w:jc w:val="right"/>
              <w:rPr>
                <w:rFonts w:ascii="华文细黑" w:hAnsi="华文细黑" w:cs="华文细黑" w:eastAsia="华文细黑" w:hint="default"/>
                <w:sz w:val="16"/>
                <w:szCs w:val="16"/>
              </w:rPr>
            </w:pPr>
            <w:r>
              <w:rPr>
                <w:rFonts w:ascii="华文细黑"/>
                <w:w w:val="99"/>
                <w:sz w:val="16"/>
              </w:rPr>
              <w:t>0</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101"/>
              <w:jc w:val="right"/>
              <w:rPr>
                <w:rFonts w:ascii="华文细黑" w:hAnsi="华文细黑" w:cs="华文细黑" w:eastAsia="华文细黑" w:hint="default"/>
                <w:sz w:val="16"/>
                <w:szCs w:val="16"/>
              </w:rPr>
            </w:pPr>
            <w:r>
              <w:rPr>
                <w:rFonts w:ascii="华文细黑"/>
                <w:w w:val="99"/>
                <w:sz w:val="16"/>
              </w:rPr>
              <w:t>0</w:t>
            </w:r>
            <w:r>
              <w:rPr>
                <w:rFonts w:ascii="华文细黑"/>
                <w:sz w:val="16"/>
              </w:rPr>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100"/>
              <w:jc w:val="right"/>
              <w:rPr>
                <w:rFonts w:ascii="华文细黑" w:hAnsi="华文细黑" w:cs="华文细黑" w:eastAsia="华文细黑" w:hint="default"/>
                <w:sz w:val="16"/>
                <w:szCs w:val="16"/>
              </w:rPr>
            </w:pPr>
            <w:r>
              <w:rPr>
                <w:rFonts w:ascii="华文细黑"/>
                <w:w w:val="95"/>
                <w:sz w:val="16"/>
              </w:rPr>
              <w:t>0.00%</w:t>
            </w:r>
            <w:r>
              <w:rPr>
                <w:rFonts w:ascii="华文细黑"/>
                <w:sz w:val="16"/>
              </w:rPr>
            </w:r>
          </w:p>
        </w:tc>
        <w:tc>
          <w:tcPr>
            <w:tcW w:w="9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99"/>
              <w:jc w:val="right"/>
              <w:rPr>
                <w:rFonts w:ascii="华文细黑" w:hAnsi="华文细黑" w:cs="华文细黑" w:eastAsia="华文细黑" w:hint="default"/>
                <w:sz w:val="16"/>
                <w:szCs w:val="16"/>
              </w:rPr>
            </w:pPr>
            <w:r>
              <w:rPr>
                <w:rFonts w:ascii="华文细黑"/>
                <w:w w:val="95"/>
                <w:sz w:val="16"/>
              </w:rPr>
              <w:t>2,036.42</w:t>
            </w:r>
            <w:r>
              <w:rPr>
                <w:rFonts w:ascii="华文细黑"/>
                <w:sz w:val="16"/>
              </w:rPr>
            </w:r>
          </w:p>
        </w:tc>
        <w:tc>
          <w:tcPr>
            <w:tcW w:w="12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sz w:val="18"/>
              </w:rPr>
              <w:t>--</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99"/>
              <w:jc w:val="right"/>
              <w:rPr>
                <w:rFonts w:ascii="华文细黑" w:hAnsi="华文细黑" w:cs="华文细黑" w:eastAsia="华文细黑" w:hint="default"/>
                <w:sz w:val="16"/>
                <w:szCs w:val="16"/>
              </w:rPr>
            </w:pPr>
            <w:r>
              <w:rPr>
                <w:rFonts w:ascii="华文细黑"/>
                <w:w w:val="95"/>
                <w:sz w:val="16"/>
              </w:rPr>
              <w:t>2,532.16</w:t>
            </w:r>
            <w:r>
              <w:rPr>
                <w:rFonts w:ascii="华文细黑"/>
                <w:sz w:val="16"/>
              </w:rPr>
            </w:r>
          </w:p>
        </w:tc>
      </w:tr>
      <w:tr>
        <w:trPr>
          <w:trHeight w:val="402" w:hRule="exact"/>
        </w:trPr>
        <w:tc>
          <w:tcPr>
            <w:tcW w:w="10775" w:type="dxa"/>
            <w:gridSpan w:val="11"/>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募集资金总体使用情况说明</w:t>
            </w:r>
          </w:p>
        </w:tc>
      </w:tr>
      <w:tr>
        <w:trPr>
          <w:trHeight w:val="4034" w:hRule="exact"/>
        </w:trPr>
        <w:tc>
          <w:tcPr>
            <w:tcW w:w="10775" w:type="dxa"/>
            <w:gridSpan w:val="11"/>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pacing w:val="-4"/>
                <w:sz w:val="18"/>
                <w:szCs w:val="18"/>
              </w:rPr>
              <w:t>1</w:t>
            </w:r>
            <w:r>
              <w:rPr>
                <w:rFonts w:ascii="华文细黑" w:hAnsi="华文细黑" w:cs="华文细黑" w:eastAsia="华文细黑" w:hint="default"/>
                <w:spacing w:val="-4"/>
                <w:sz w:val="18"/>
                <w:szCs w:val="18"/>
              </w:rPr>
              <w:t>、</w:t>
            </w:r>
            <w:r>
              <w:rPr>
                <w:rFonts w:ascii="华文细黑" w:hAnsi="华文细黑" w:cs="华文细黑" w:eastAsia="华文细黑" w:hint="default"/>
                <w:spacing w:val="-4"/>
                <w:sz w:val="18"/>
                <w:szCs w:val="18"/>
              </w:rPr>
              <w:t>2018 </w:t>
            </w:r>
            <w:r>
              <w:rPr>
                <w:rFonts w:ascii="华文细黑" w:hAnsi="华文细黑" w:cs="华文细黑" w:eastAsia="华文细黑" w:hint="default"/>
                <w:sz w:val="18"/>
                <w:szCs w:val="18"/>
              </w:rPr>
              <w:t>年度公司对募集资金投资项目累计投入募集资金人民币 </w:t>
            </w:r>
            <w:r>
              <w:rPr>
                <w:rFonts w:ascii="华文细黑" w:hAnsi="华文细黑" w:cs="华文细黑" w:eastAsia="华文细黑" w:hint="default"/>
                <w:sz w:val="18"/>
                <w:szCs w:val="18"/>
              </w:rPr>
              <w:t>81.20 </w:t>
            </w:r>
            <w:r>
              <w:rPr>
                <w:rFonts w:ascii="华文细黑" w:hAnsi="华文细黑" w:cs="华文细黑" w:eastAsia="华文细黑" w:hint="default"/>
                <w:spacing w:val="-4"/>
                <w:sz w:val="18"/>
                <w:szCs w:val="18"/>
              </w:rPr>
              <w:t>万元，截至 </w:t>
            </w: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12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31</w:t>
            </w:r>
            <w:r>
              <w:rPr>
                <w:rFonts w:ascii="华文细黑" w:hAnsi="华文细黑" w:cs="华文细黑" w:eastAsia="华文细黑" w:hint="default"/>
                <w:spacing w:val="-8"/>
                <w:sz w:val="18"/>
                <w:szCs w:val="18"/>
              </w:rPr>
              <w:t> </w:t>
            </w:r>
            <w:r>
              <w:rPr>
                <w:rFonts w:ascii="华文细黑" w:hAnsi="华文细黑" w:cs="华文细黑" w:eastAsia="华文细黑" w:hint="default"/>
                <w:sz w:val="18"/>
                <w:szCs w:val="18"/>
              </w:rPr>
              <w:t>日，公司对募集资金投资项目累计</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投入募集资金人民币 </w:t>
            </w:r>
            <w:r>
              <w:rPr>
                <w:rFonts w:ascii="华文细黑" w:hAnsi="华文细黑" w:cs="华文细黑" w:eastAsia="华文细黑" w:hint="default"/>
                <w:sz w:val="18"/>
                <w:szCs w:val="18"/>
              </w:rPr>
              <w:t>242,028.07</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万元。</w:t>
            </w:r>
          </w:p>
          <w:p>
            <w:pPr>
              <w:pStyle w:val="TableParagraph"/>
              <w:spacing w:line="295" w:lineRule="auto" w:before="96"/>
              <w:ind w:left="103" w:right="13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年度公司未使用超募资金补充营运资金，截至 </w:t>
            </w: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12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31 </w:t>
            </w:r>
            <w:r>
              <w:rPr>
                <w:rFonts w:ascii="华文细黑" w:hAnsi="华文细黑" w:cs="华文细黑" w:eastAsia="华文细黑" w:hint="default"/>
                <w:sz w:val="18"/>
                <w:szCs w:val="18"/>
              </w:rPr>
              <w:t>日，公司用超募资金补充营运资金共计人民币 </w:t>
            </w:r>
            <w:r>
              <w:rPr>
                <w:rFonts w:ascii="华文细黑" w:hAnsi="华文细黑" w:cs="华文细黑" w:eastAsia="华文细黑" w:hint="default"/>
                <w:sz w:val="18"/>
                <w:szCs w:val="18"/>
              </w:rPr>
              <w:t>128,722.40</w:t>
            </w:r>
            <w:r>
              <w:rPr>
                <w:rFonts w:ascii="华文细黑" w:hAnsi="华文细黑" w:cs="华文细黑" w:eastAsia="华文细黑" w:hint="default"/>
                <w:spacing w:val="-7"/>
                <w:sz w:val="18"/>
                <w:szCs w:val="18"/>
              </w:rPr>
              <w:t> </w:t>
            </w:r>
            <w:r>
              <w:rPr>
                <w:rFonts w:ascii="华文细黑" w:hAnsi="华文细黑" w:cs="华文细黑" w:eastAsia="华文细黑" w:hint="default"/>
                <w:sz w:val="18"/>
                <w:szCs w:val="18"/>
              </w:rPr>
              <w:t>万 元。</w:t>
            </w:r>
          </w:p>
          <w:p>
            <w:pPr>
              <w:pStyle w:val="TableParagraph"/>
              <w:spacing w:line="240" w:lineRule="auto" w:before="5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pacing w:val="-4"/>
                <w:sz w:val="18"/>
                <w:szCs w:val="18"/>
              </w:rPr>
              <w:t>3</w:t>
            </w:r>
            <w:r>
              <w:rPr>
                <w:rFonts w:ascii="华文细黑" w:hAnsi="华文细黑" w:cs="华文细黑" w:eastAsia="华文细黑" w:hint="default"/>
                <w:spacing w:val="-4"/>
                <w:sz w:val="18"/>
                <w:szCs w:val="18"/>
              </w:rPr>
              <w:t>、</w:t>
            </w:r>
            <w:r>
              <w:rPr>
                <w:rFonts w:ascii="华文细黑" w:hAnsi="华文细黑" w:cs="华文细黑" w:eastAsia="华文细黑" w:hint="default"/>
                <w:spacing w:val="-4"/>
                <w:sz w:val="18"/>
                <w:szCs w:val="18"/>
              </w:rPr>
              <w:t>2018 </w:t>
            </w:r>
            <w:r>
              <w:rPr>
                <w:rFonts w:ascii="华文细黑" w:hAnsi="华文细黑" w:cs="华文细黑" w:eastAsia="华文细黑" w:hint="default"/>
                <w:sz w:val="18"/>
                <w:szCs w:val="18"/>
              </w:rPr>
              <w:t>年度公开发行股票募集资金专用账户取得利息收入扣除手续费后之净额为人民币 </w:t>
            </w:r>
            <w:r>
              <w:rPr>
                <w:rFonts w:ascii="华文细黑" w:hAnsi="华文细黑" w:cs="华文细黑" w:eastAsia="华文细黑" w:hint="default"/>
                <w:sz w:val="18"/>
                <w:szCs w:val="18"/>
              </w:rPr>
              <w:t>60.65 </w:t>
            </w:r>
            <w:r>
              <w:rPr>
                <w:rFonts w:ascii="华文细黑" w:hAnsi="华文细黑" w:cs="华文细黑" w:eastAsia="华文细黑" w:hint="default"/>
                <w:spacing w:val="-4"/>
                <w:sz w:val="18"/>
                <w:szCs w:val="18"/>
              </w:rPr>
              <w:t>万元，截至 </w:t>
            </w: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12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31</w:t>
            </w:r>
            <w:r>
              <w:rPr>
                <w:rFonts w:ascii="华文细黑" w:hAnsi="华文细黑" w:cs="华文细黑" w:eastAsia="华文细黑" w:hint="default"/>
                <w:spacing w:val="12"/>
                <w:sz w:val="18"/>
                <w:szCs w:val="18"/>
              </w:rPr>
              <w:t> </w:t>
            </w:r>
            <w:r>
              <w:rPr>
                <w:rFonts w:ascii="华文细黑" w:hAnsi="华文细黑" w:cs="华文细黑" w:eastAsia="华文细黑" w:hint="default"/>
                <w:spacing w:val="-5"/>
                <w:sz w:val="18"/>
                <w:szCs w:val="18"/>
              </w:rPr>
              <w:t>日，累计</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取得利息收入扣除手续费后之净额为人民币 </w:t>
            </w:r>
            <w:r>
              <w:rPr>
                <w:rFonts w:ascii="华文细黑" w:hAnsi="华文细黑" w:cs="华文细黑" w:eastAsia="华文细黑" w:hint="default"/>
                <w:sz w:val="18"/>
                <w:szCs w:val="18"/>
              </w:rPr>
              <w:t>3,015.62</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万元。</w:t>
            </w:r>
          </w:p>
          <w:p>
            <w:pPr>
              <w:pStyle w:val="TableParagraph"/>
              <w:spacing w:line="240" w:lineRule="auto" w:before="97"/>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4</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年度发行公司债募集资金专用账户取得利息收入扣除手续费后之净额为人民币 </w:t>
            </w:r>
            <w:r>
              <w:rPr>
                <w:rFonts w:ascii="华文细黑" w:hAnsi="华文细黑" w:cs="华文细黑" w:eastAsia="华文细黑" w:hint="default"/>
                <w:sz w:val="18"/>
                <w:szCs w:val="18"/>
              </w:rPr>
              <w:t>350.57 </w:t>
            </w:r>
            <w:r>
              <w:rPr>
                <w:rFonts w:ascii="华文细黑" w:hAnsi="华文细黑" w:cs="华文细黑" w:eastAsia="华文细黑" w:hint="default"/>
                <w:sz w:val="18"/>
                <w:szCs w:val="18"/>
              </w:rPr>
              <w:t>元，截至 </w:t>
            </w: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12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31</w:t>
            </w:r>
            <w:r>
              <w:rPr>
                <w:rFonts w:ascii="华文细黑" w:hAnsi="华文细黑" w:cs="华文细黑" w:eastAsia="华文细黑" w:hint="default"/>
                <w:spacing w:val="-12"/>
                <w:sz w:val="18"/>
                <w:szCs w:val="18"/>
              </w:rPr>
              <w:t> </w:t>
            </w:r>
            <w:r>
              <w:rPr>
                <w:rFonts w:ascii="华文细黑" w:hAnsi="华文细黑" w:cs="华文细黑" w:eastAsia="华文细黑" w:hint="default"/>
                <w:sz w:val="18"/>
                <w:szCs w:val="18"/>
              </w:rPr>
              <w:t>日，累计取</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得利息收入扣除手续费后之净额为人民币 </w:t>
            </w:r>
            <w:r>
              <w:rPr>
                <w:rFonts w:ascii="华文细黑" w:hAnsi="华文细黑" w:cs="华文细黑" w:eastAsia="华文细黑" w:hint="default"/>
                <w:sz w:val="18"/>
                <w:szCs w:val="18"/>
              </w:rPr>
              <w:t>6.44</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万元。</w:t>
            </w:r>
          </w:p>
          <w:p>
            <w:pPr>
              <w:pStyle w:val="TableParagraph"/>
              <w:spacing w:line="295" w:lineRule="auto" w:before="96"/>
              <w:ind w:left="103" w:right="103"/>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5</w:t>
            </w:r>
            <w:r>
              <w:rPr>
                <w:rFonts w:ascii="华文细黑" w:hAnsi="华文细黑" w:cs="华文细黑" w:eastAsia="华文细黑" w:hint="default"/>
                <w:spacing w:val="-9"/>
                <w:sz w:val="18"/>
                <w:szCs w:val="18"/>
              </w:rPr>
              <w:t>、截至</w:t>
            </w:r>
            <w:r>
              <w:rPr>
                <w:rFonts w:ascii="华文细黑" w:hAnsi="华文细黑" w:cs="华文细黑" w:eastAsia="华文细黑" w:hint="default"/>
                <w:spacing w:val="-8"/>
                <w:sz w:val="18"/>
                <w:szCs w:val="18"/>
              </w:rPr>
              <w:t> </w:t>
            </w:r>
            <w:r>
              <w:rPr>
                <w:rFonts w:ascii="华文细黑" w:hAnsi="华文细黑" w:cs="华文细黑" w:eastAsia="华文细黑" w:hint="default"/>
                <w:sz w:val="18"/>
                <w:szCs w:val="18"/>
              </w:rPr>
              <w:t>2018</w:t>
            </w:r>
            <w:r>
              <w:rPr>
                <w:rFonts w:ascii="华文细黑" w:hAnsi="华文细黑" w:cs="华文细黑" w:eastAsia="华文细黑" w:hint="default"/>
                <w:spacing w:val="-6"/>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8"/>
                <w:sz w:val="18"/>
                <w:szCs w:val="18"/>
              </w:rPr>
              <w:t> </w:t>
            </w:r>
            <w:r>
              <w:rPr>
                <w:rFonts w:ascii="华文细黑" w:hAnsi="华文细黑" w:cs="华文细黑" w:eastAsia="华文细黑" w:hint="default"/>
                <w:sz w:val="18"/>
                <w:szCs w:val="18"/>
              </w:rPr>
              <w:t>12</w:t>
            </w:r>
            <w:r>
              <w:rPr>
                <w:rFonts w:ascii="华文细黑" w:hAnsi="华文细黑" w:cs="华文细黑" w:eastAsia="华文细黑" w:hint="default"/>
                <w:spacing w:val="-7"/>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8"/>
                <w:sz w:val="18"/>
                <w:szCs w:val="18"/>
              </w:rPr>
              <w:t> </w:t>
            </w:r>
            <w:r>
              <w:rPr>
                <w:rFonts w:ascii="华文细黑" w:hAnsi="华文细黑" w:cs="华文细黑" w:eastAsia="华文细黑" w:hint="default"/>
                <w:sz w:val="18"/>
                <w:szCs w:val="18"/>
              </w:rPr>
              <w:t>31</w:t>
            </w:r>
            <w:r>
              <w:rPr>
                <w:rFonts w:ascii="华文细黑" w:hAnsi="华文细黑" w:cs="华文细黑" w:eastAsia="华文细黑" w:hint="default"/>
                <w:spacing w:val="-8"/>
                <w:sz w:val="18"/>
                <w:szCs w:val="18"/>
              </w:rPr>
              <w:t> </w:t>
            </w:r>
            <w:r>
              <w:rPr>
                <w:rFonts w:ascii="华文细黑" w:hAnsi="华文细黑" w:cs="华文细黑" w:eastAsia="华文细黑" w:hint="default"/>
                <w:sz w:val="18"/>
                <w:szCs w:val="18"/>
              </w:rPr>
              <w:t>日，公开发行股票募集资金专用账户实际余额为</w:t>
            </w:r>
            <w:r>
              <w:rPr>
                <w:rFonts w:ascii="华文细黑" w:hAnsi="华文细黑" w:cs="华文细黑" w:eastAsia="华文细黑" w:hint="default"/>
                <w:spacing w:val="-8"/>
                <w:sz w:val="18"/>
                <w:szCs w:val="18"/>
              </w:rPr>
              <w:t> </w:t>
            </w:r>
            <w:r>
              <w:rPr>
                <w:rFonts w:ascii="华文细黑" w:hAnsi="华文细黑" w:cs="华文细黑" w:eastAsia="华文细黑" w:hint="default"/>
                <w:sz w:val="18"/>
                <w:szCs w:val="18"/>
              </w:rPr>
              <w:t>5,052.04</w:t>
            </w:r>
            <w:r>
              <w:rPr>
                <w:rFonts w:ascii="华文细黑" w:hAnsi="华文细黑" w:cs="华文细黑" w:eastAsia="华文细黑" w:hint="default"/>
                <w:spacing w:val="-7"/>
                <w:sz w:val="18"/>
                <w:szCs w:val="18"/>
              </w:rPr>
              <w:t> </w:t>
            </w:r>
            <w:r>
              <w:rPr>
                <w:rFonts w:ascii="华文细黑" w:hAnsi="华文细黑" w:cs="华文细黑" w:eastAsia="华文细黑" w:hint="default"/>
                <w:sz w:val="18"/>
                <w:szCs w:val="18"/>
              </w:rPr>
              <w:t>万元，公司债募集资金专用账户实际余额为</w:t>
            </w:r>
            <w:r>
              <w:rPr>
                <w:rFonts w:ascii="华文细黑" w:hAnsi="华文细黑" w:cs="华文细黑" w:eastAsia="华文细黑" w:hint="default"/>
                <w:spacing w:val="-8"/>
                <w:sz w:val="18"/>
                <w:szCs w:val="18"/>
              </w:rPr>
              <w:t> </w:t>
            </w:r>
            <w:r>
              <w:rPr>
                <w:rFonts w:ascii="华文细黑" w:hAnsi="华文细黑" w:cs="华文细黑" w:eastAsia="华文细黑" w:hint="default"/>
                <w:sz w:val="18"/>
                <w:szCs w:val="18"/>
              </w:rPr>
              <w:t>350.57 </w:t>
            </w:r>
            <w:r>
              <w:rPr>
                <w:rFonts w:ascii="华文细黑" w:hAnsi="华文细黑" w:cs="华文细黑" w:eastAsia="华文细黑" w:hint="default"/>
                <w:sz w:val="18"/>
                <w:szCs w:val="18"/>
              </w:rPr>
              <w:t>元。</w:t>
            </w:r>
          </w:p>
          <w:p>
            <w:pPr>
              <w:pStyle w:val="TableParagraph"/>
              <w:spacing w:line="295" w:lineRule="auto" w:before="51"/>
              <w:ind w:left="103" w:right="13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6</w:t>
            </w:r>
            <w:r>
              <w:rPr>
                <w:rFonts w:ascii="华文细黑" w:hAnsi="华文细黑" w:cs="华文细黑" w:eastAsia="华文细黑" w:hint="default"/>
                <w:sz w:val="18"/>
                <w:szCs w:val="18"/>
              </w:rPr>
              <w:t>、截至 </w:t>
            </w: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12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31</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日，公司公开发行一般公司债及非公开发行股票的募集资金本金及利息基本已使用完毕，相关募集资金项目 已经结项，其中非公开发行股票的募集资金账户已经注销。</w:t>
            </w:r>
          </w:p>
        </w:tc>
      </w:tr>
    </w:tbl>
    <w:p>
      <w:pPr>
        <w:spacing w:line="240" w:lineRule="auto" w:before="9"/>
        <w:rPr>
          <w:rFonts w:ascii="华文细黑" w:hAnsi="华文细黑" w:cs="华文细黑" w:eastAsia="华文细黑" w:hint="default"/>
          <w:sz w:val="18"/>
          <w:szCs w:val="18"/>
        </w:rPr>
      </w:pPr>
    </w:p>
    <w:p>
      <w:pPr>
        <w:pStyle w:val="Heading5"/>
        <w:spacing w:line="240" w:lineRule="auto"/>
        <w:ind w:left="674" w:right="6762"/>
        <w:jc w:val="left"/>
        <w:rPr>
          <w:b w:val="0"/>
          <w:bCs w:val="0"/>
        </w:rPr>
      </w:pPr>
      <w:bookmarkStart w:name="（2）募集资金承诺项目情况" w:id="71"/>
      <w:bookmarkEnd w:id="71"/>
      <w:r>
        <w:rPr>
          <w:b w:val="0"/>
          <w:bCs w:val="0"/>
        </w:rPr>
      </w:r>
      <w:r>
        <w:rPr/>
        <w:t>（</w:t>
      </w:r>
      <w:r>
        <w:rPr>
          <w:rFonts w:ascii="华文细黑" w:hAnsi="华文细黑" w:cs="华文细黑" w:eastAsia="华文细黑" w:hint="default"/>
        </w:rPr>
        <w:t>2</w:t>
      </w:r>
      <w:r>
        <w:rPr/>
        <w:t>）募集资金承诺项目情况</w:t>
      </w:r>
      <w:r>
        <w:rPr>
          <w:b w:val="0"/>
          <w:bCs w:val="0"/>
        </w:rPr>
      </w:r>
    </w:p>
    <w:p>
      <w:pPr>
        <w:spacing w:line="240" w:lineRule="auto" w:before="10"/>
        <w:rPr>
          <w:rFonts w:ascii="华文细黑" w:hAnsi="华文细黑" w:cs="华文细黑" w:eastAsia="华文细黑" w:hint="default"/>
          <w:b/>
          <w:bCs/>
          <w:sz w:val="22"/>
          <w:szCs w:val="22"/>
        </w:rPr>
      </w:pPr>
    </w:p>
    <w:p>
      <w:pPr>
        <w:spacing w:before="23"/>
        <w:ind w:left="674" w:right="6762" w:firstLine="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  适用  □</w:t>
      </w:r>
      <w:r>
        <w:rPr>
          <w:rFonts w:ascii="华文细黑" w:hAnsi="华文细黑" w:cs="华文细黑" w:eastAsia="华文细黑" w:hint="default"/>
          <w:spacing w:val="44"/>
          <w:sz w:val="18"/>
          <w:szCs w:val="18"/>
        </w:rPr>
        <w:t> </w:t>
      </w:r>
      <w:r>
        <w:rPr>
          <w:rFonts w:ascii="华文细黑" w:hAnsi="华文细黑" w:cs="华文细黑" w:eastAsia="华文细黑" w:hint="default"/>
          <w:sz w:val="18"/>
          <w:szCs w:val="18"/>
        </w:rPr>
        <w:t>不适用</w:t>
      </w:r>
    </w:p>
    <w:p>
      <w:pPr>
        <w:spacing w:before="97"/>
        <w:ind w:left="0" w:right="1130" w:firstLine="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单位：万元</w:t>
      </w:r>
    </w:p>
    <w:p>
      <w:pPr>
        <w:spacing w:line="240" w:lineRule="auto" w:before="13"/>
        <w:rPr>
          <w:rFonts w:ascii="华文细黑" w:hAnsi="华文细黑" w:cs="华文细黑" w:eastAsia="华文细黑" w:hint="default"/>
          <w:sz w:val="6"/>
          <w:szCs w:val="6"/>
        </w:rPr>
      </w:pPr>
    </w:p>
    <w:tbl>
      <w:tblPr>
        <w:tblW w:w="0" w:type="auto"/>
        <w:jc w:val="left"/>
        <w:tblInd w:w="243" w:type="dxa"/>
        <w:tblLayout w:type="fixed"/>
        <w:tblCellMar>
          <w:top w:w="0" w:type="dxa"/>
          <w:left w:w="0" w:type="dxa"/>
          <w:bottom w:w="0" w:type="dxa"/>
          <w:right w:w="0" w:type="dxa"/>
        </w:tblCellMar>
        <w:tblLook w:val="01E0"/>
      </w:tblPr>
      <w:tblGrid>
        <w:gridCol w:w="2270"/>
        <w:gridCol w:w="709"/>
        <w:gridCol w:w="1134"/>
        <w:gridCol w:w="956"/>
        <w:gridCol w:w="604"/>
        <w:gridCol w:w="1134"/>
        <w:gridCol w:w="851"/>
        <w:gridCol w:w="1134"/>
        <w:gridCol w:w="568"/>
        <w:gridCol w:w="566"/>
        <w:gridCol w:w="708"/>
      </w:tblGrid>
      <w:tr>
        <w:trPr>
          <w:trHeight w:val="2898" w:hRule="exact"/>
        </w:trPr>
        <w:tc>
          <w:tcPr>
            <w:tcW w:w="22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3"/>
              <w:ind w:right="0"/>
              <w:jc w:val="left"/>
              <w:rPr>
                <w:rFonts w:ascii="华文细黑" w:hAnsi="华文细黑" w:cs="华文细黑" w:eastAsia="华文细黑" w:hint="default"/>
                <w:sz w:val="26"/>
                <w:szCs w:val="26"/>
              </w:rPr>
            </w:pPr>
          </w:p>
          <w:p>
            <w:pPr>
              <w:pStyle w:val="TableParagraph"/>
              <w:spacing w:line="295" w:lineRule="auto"/>
              <w:ind w:left="949" w:right="138" w:hanging="81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承诺投资项目和超募资金 投向</w:t>
            </w:r>
          </w:p>
        </w:tc>
        <w:tc>
          <w:tcPr>
            <w:tcW w:w="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95" w:lineRule="auto"/>
              <w:ind w:left="136" w:right="134" w:firstLine="32"/>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是否 已变 更项 目</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含 部分 变更</w:t>
            </w:r>
            <w:r>
              <w:rPr>
                <w:rFonts w:ascii="华文细黑" w:hAnsi="华文细黑" w:cs="华文细黑" w:eastAsia="华文细黑" w:hint="default"/>
                <w:sz w:val="18"/>
                <w:szCs w:val="18"/>
              </w:rPr>
              <w:t>)</w:t>
            </w:r>
          </w:p>
        </w:tc>
        <w:tc>
          <w:tcPr>
            <w:tcW w:w="11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3"/>
              <w:ind w:right="0"/>
              <w:jc w:val="left"/>
              <w:rPr>
                <w:rFonts w:ascii="华文细黑" w:hAnsi="华文细黑" w:cs="华文细黑" w:eastAsia="华文细黑" w:hint="default"/>
                <w:sz w:val="26"/>
                <w:szCs w:val="26"/>
              </w:rPr>
            </w:pPr>
          </w:p>
          <w:p>
            <w:pPr>
              <w:pStyle w:val="TableParagraph"/>
              <w:spacing w:line="295" w:lineRule="auto"/>
              <w:ind w:left="111" w:right="11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募集资金承 诺投资总额</w:t>
            </w:r>
          </w:p>
        </w:tc>
        <w:tc>
          <w:tcPr>
            <w:tcW w:w="95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2"/>
              <w:ind w:right="0"/>
              <w:jc w:val="left"/>
              <w:rPr>
                <w:rFonts w:ascii="华文细黑" w:hAnsi="华文细黑" w:cs="华文细黑" w:eastAsia="华文细黑" w:hint="default"/>
                <w:sz w:val="15"/>
                <w:szCs w:val="15"/>
              </w:rPr>
            </w:pPr>
          </w:p>
          <w:p>
            <w:pPr>
              <w:pStyle w:val="TableParagraph"/>
              <w:spacing w:line="295" w:lineRule="auto"/>
              <w:ind w:left="113" w:right="11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调整后投 资总额 </w:t>
            </w:r>
            <w:r>
              <w:rPr>
                <w:rFonts w:ascii="华文细黑" w:hAnsi="华文细黑" w:cs="华文细黑" w:eastAsia="华文细黑" w:hint="default"/>
                <w:sz w:val="18"/>
                <w:szCs w:val="18"/>
              </w:rPr>
              <w:t>(1)</w:t>
            </w:r>
          </w:p>
        </w:tc>
        <w:tc>
          <w:tcPr>
            <w:tcW w:w="6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
              <w:ind w:right="0"/>
              <w:jc w:val="left"/>
              <w:rPr>
                <w:rFonts w:ascii="华文细黑" w:hAnsi="华文细黑" w:cs="华文细黑" w:eastAsia="华文细黑" w:hint="default"/>
                <w:sz w:val="22"/>
                <w:szCs w:val="22"/>
              </w:rPr>
            </w:pPr>
          </w:p>
          <w:p>
            <w:pPr>
              <w:pStyle w:val="TableParagraph"/>
              <w:spacing w:line="295" w:lineRule="auto"/>
              <w:ind w:left="116" w:right="115"/>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本报 告期 投入 金额</w:t>
            </w:r>
          </w:p>
        </w:tc>
        <w:tc>
          <w:tcPr>
            <w:tcW w:w="11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2"/>
              <w:ind w:right="0"/>
              <w:jc w:val="left"/>
              <w:rPr>
                <w:rFonts w:ascii="华文细黑" w:hAnsi="华文细黑" w:cs="华文细黑" w:eastAsia="华文细黑" w:hint="default"/>
                <w:sz w:val="15"/>
                <w:szCs w:val="15"/>
              </w:rPr>
            </w:pPr>
          </w:p>
          <w:p>
            <w:pPr>
              <w:pStyle w:val="TableParagraph"/>
              <w:spacing w:line="295" w:lineRule="auto"/>
              <w:ind w:left="111" w:right="11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截至期末累 计投入金额 </w:t>
            </w:r>
            <w:r>
              <w:rPr>
                <w:rFonts w:ascii="华文细黑" w:hAnsi="华文细黑" w:cs="华文细黑" w:eastAsia="华文细黑" w:hint="default"/>
                <w:sz w:val="18"/>
                <w:szCs w:val="18"/>
              </w:rPr>
              <w:t>(2)</w:t>
            </w:r>
          </w:p>
        </w:tc>
        <w:tc>
          <w:tcPr>
            <w:tcW w:w="8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95" w:lineRule="auto" w:before="155"/>
              <w:ind w:left="123" w:right="123" w:firstLine="26"/>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截至期 末投资 进度</w:t>
            </w:r>
            <w:r>
              <w:rPr>
                <w:rFonts w:ascii="华文细黑" w:hAnsi="华文细黑" w:cs="华文细黑" w:eastAsia="华文细黑" w:hint="default"/>
                <w:sz w:val="18"/>
                <w:szCs w:val="18"/>
              </w:rPr>
              <w:t>(3)</w:t>
            </w:r>
          </w:p>
          <w:p>
            <w:pPr>
              <w:pStyle w:val="TableParagraph"/>
              <w:spacing w:line="295" w:lineRule="auto" w:before="13"/>
              <w:ind w:left="148" w:right="147" w:firstLine="18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 </w:t>
            </w:r>
            <w:r>
              <w:rPr>
                <w:rFonts w:ascii="华文细黑" w:hAnsi="华文细黑" w:cs="华文细黑" w:eastAsia="华文细黑" w:hint="default"/>
                <w:sz w:val="18"/>
                <w:szCs w:val="18"/>
              </w:rPr>
              <w:t>(2)/(1)</w:t>
            </w:r>
          </w:p>
        </w:tc>
        <w:tc>
          <w:tcPr>
            <w:tcW w:w="11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2"/>
              <w:ind w:right="0"/>
              <w:jc w:val="left"/>
              <w:rPr>
                <w:rFonts w:ascii="华文细黑" w:hAnsi="华文细黑" w:cs="华文细黑" w:eastAsia="华文细黑" w:hint="default"/>
                <w:sz w:val="15"/>
                <w:szCs w:val="15"/>
              </w:rPr>
            </w:pPr>
          </w:p>
          <w:p>
            <w:pPr>
              <w:pStyle w:val="TableParagraph"/>
              <w:spacing w:line="295" w:lineRule="auto"/>
              <w:ind w:left="111" w:right="11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项目达到预 定可使用状 态日期</w:t>
            </w:r>
          </w:p>
        </w:tc>
        <w:tc>
          <w:tcPr>
            <w:tcW w:w="5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88" w:right="187"/>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本 报 告 期 实 现 的 效 益</w:t>
            </w:r>
          </w:p>
        </w:tc>
        <w:tc>
          <w:tcPr>
            <w:tcW w:w="56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187" w:right="187"/>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是 否 达 到 预 计 效 益</w:t>
            </w:r>
          </w:p>
        </w:tc>
        <w:tc>
          <w:tcPr>
            <w:tcW w:w="7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95" w:lineRule="auto"/>
              <w:ind w:left="169" w:right="167"/>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项目 可行 性是 否发 生重 大变 化</w:t>
            </w:r>
          </w:p>
        </w:tc>
      </w:tr>
      <w:tr>
        <w:trPr>
          <w:trHeight w:val="402" w:hRule="exact"/>
        </w:trPr>
        <w:tc>
          <w:tcPr>
            <w:tcW w:w="10633" w:type="dxa"/>
            <w:gridSpan w:val="11"/>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承诺投资项目</w:t>
            </w:r>
          </w:p>
        </w:tc>
      </w:tr>
      <w:tr>
        <w:trPr>
          <w:trHeight w:val="714" w:hRule="exact"/>
        </w:trPr>
        <w:tc>
          <w:tcPr>
            <w:tcW w:w="22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2"/>
                <w:sz w:val="18"/>
                <w:szCs w:val="18"/>
              </w:rPr>
              <w:t>1</w:t>
            </w:r>
            <w:r>
              <w:rPr>
                <w:rFonts w:ascii="华文细黑" w:hAnsi="华文细黑" w:cs="华文细黑" w:eastAsia="华文细黑" w:hint="default"/>
                <w:spacing w:val="-2"/>
                <w:sz w:val="18"/>
                <w:szCs w:val="18"/>
              </w:rPr>
              <w:t>、补充营运资金</w:t>
            </w:r>
            <w:r>
              <w:rPr>
                <w:rFonts w:ascii="华文细黑" w:hAnsi="华文细黑" w:cs="华文细黑" w:eastAsia="华文细黑" w:hint="default"/>
                <w:spacing w:val="-2"/>
                <w:sz w:val="18"/>
                <w:szCs w:val="18"/>
              </w:rPr>
              <w:t>---</w:t>
            </w:r>
            <w:r>
              <w:rPr>
                <w:rFonts w:ascii="华文细黑" w:hAnsi="华文细黑" w:cs="华文细黑" w:eastAsia="华文细黑" w:hint="default"/>
                <w:spacing w:val="-2"/>
                <w:sz w:val="18"/>
                <w:szCs w:val="18"/>
              </w:rPr>
              <w:t>增值分</w:t>
            </w:r>
            <w:r>
              <w:rPr>
                <w:rFonts w:ascii="华文细黑" w:hAnsi="华文细黑" w:cs="华文细黑" w:eastAsia="华文细黑" w:hint="default"/>
                <w:sz w:val="18"/>
                <w:szCs w:val="18"/>
              </w:rPr>
              <w:t> 销渠道扩建项目</w:t>
            </w:r>
          </w:p>
        </w:tc>
        <w:tc>
          <w:tcPr>
            <w:tcW w:w="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99"/>
              <w:jc w:val="right"/>
              <w:rPr>
                <w:rFonts w:ascii="华文细黑" w:hAnsi="华文细黑" w:cs="华文细黑" w:eastAsia="华文细黑" w:hint="default"/>
                <w:sz w:val="16"/>
                <w:szCs w:val="16"/>
              </w:rPr>
            </w:pPr>
            <w:r>
              <w:rPr>
                <w:rFonts w:ascii="华文细黑"/>
                <w:w w:val="95"/>
                <w:sz w:val="16"/>
              </w:rPr>
              <w:t>41,021.15</w:t>
            </w:r>
            <w:r>
              <w:rPr>
                <w:rFonts w:ascii="华文细黑"/>
                <w:sz w:val="16"/>
              </w:rPr>
            </w:r>
          </w:p>
        </w:tc>
        <w:tc>
          <w:tcPr>
            <w:tcW w:w="95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98"/>
              <w:jc w:val="right"/>
              <w:rPr>
                <w:rFonts w:ascii="华文细黑" w:hAnsi="华文细黑" w:cs="华文细黑" w:eastAsia="华文细黑" w:hint="default"/>
                <w:sz w:val="16"/>
                <w:szCs w:val="16"/>
              </w:rPr>
            </w:pPr>
            <w:r>
              <w:rPr>
                <w:rFonts w:ascii="华文细黑"/>
                <w:w w:val="95"/>
                <w:sz w:val="16"/>
              </w:rPr>
              <w:t>41,021.15</w:t>
            </w:r>
            <w:r>
              <w:rPr>
                <w:rFonts w:ascii="华文细黑"/>
                <w:sz w:val="16"/>
              </w:rPr>
            </w:r>
          </w:p>
        </w:tc>
        <w:tc>
          <w:tcPr>
            <w:tcW w:w="604" w:type="dxa"/>
            <w:tcBorders>
              <w:top w:val="single" w:sz="4" w:space="0" w:color="FFC000"/>
              <w:left w:val="single" w:sz="4" w:space="0" w:color="FFC000"/>
              <w:bottom w:val="single" w:sz="4" w:space="0" w:color="FFC000"/>
              <w:right w:val="single" w:sz="4" w:space="0" w:color="FFC000"/>
            </w:tcBorders>
          </w:tcPr>
          <w:p>
            <w:pP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99"/>
              <w:jc w:val="right"/>
              <w:rPr>
                <w:rFonts w:ascii="华文细黑" w:hAnsi="华文细黑" w:cs="华文细黑" w:eastAsia="华文细黑" w:hint="default"/>
                <w:sz w:val="16"/>
                <w:szCs w:val="16"/>
              </w:rPr>
            </w:pPr>
            <w:r>
              <w:rPr>
                <w:rFonts w:ascii="华文细黑"/>
                <w:w w:val="95"/>
                <w:sz w:val="16"/>
              </w:rPr>
              <w:t>41,021.15</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left="23" w:right="0"/>
              <w:jc w:val="center"/>
              <w:rPr>
                <w:rFonts w:ascii="华文细黑" w:hAnsi="华文细黑" w:cs="华文细黑" w:eastAsia="华文细黑" w:hint="default"/>
                <w:sz w:val="16"/>
                <w:szCs w:val="16"/>
              </w:rPr>
            </w:pPr>
            <w:r>
              <w:rPr>
                <w:rFonts w:ascii="华文细黑"/>
                <w:sz w:val="16"/>
              </w:rPr>
              <w:t>100.00%</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1"/>
              <w:jc w:val="center"/>
              <w:rPr>
                <w:rFonts w:ascii="华文细黑" w:hAnsi="华文细黑" w:cs="华文细黑" w:eastAsia="华文细黑" w:hint="default"/>
                <w:sz w:val="16"/>
                <w:szCs w:val="16"/>
              </w:rPr>
            </w:pPr>
            <w:r>
              <w:rPr>
                <w:rFonts w:ascii="华文细黑" w:hAnsi="华文细黑" w:cs="华文细黑" w:eastAsia="华文细黑" w:hint="default"/>
                <w:sz w:val="16"/>
                <w:szCs w:val="16"/>
              </w:rPr>
              <w:t>2010</w:t>
            </w:r>
            <w:r>
              <w:rPr>
                <w:rFonts w:ascii="华文细黑" w:hAnsi="华文细黑" w:cs="华文细黑" w:eastAsia="华文细黑" w:hint="default"/>
                <w:spacing w:val="-19"/>
                <w:sz w:val="16"/>
                <w:szCs w:val="16"/>
              </w:rPr>
              <w:t> </w:t>
            </w:r>
            <w:r>
              <w:rPr>
                <w:rFonts w:ascii="华文细黑" w:hAnsi="华文细黑" w:cs="华文细黑" w:eastAsia="华文细黑" w:hint="default"/>
                <w:sz w:val="16"/>
                <w:szCs w:val="16"/>
              </w:rPr>
              <w:t>年</w:t>
            </w:r>
            <w:r>
              <w:rPr>
                <w:rFonts w:ascii="华文细黑" w:hAnsi="华文细黑" w:cs="华文细黑" w:eastAsia="华文细黑" w:hint="default"/>
                <w:spacing w:val="-20"/>
                <w:sz w:val="16"/>
                <w:szCs w:val="16"/>
              </w:rPr>
              <w:t> </w:t>
            </w:r>
            <w:r>
              <w:rPr>
                <w:rFonts w:ascii="华文细黑" w:hAnsi="华文细黑" w:cs="华文细黑" w:eastAsia="华文细黑" w:hint="default"/>
                <w:sz w:val="16"/>
                <w:szCs w:val="16"/>
              </w:rPr>
              <w:t>10</w:t>
            </w:r>
            <w:r>
              <w:rPr>
                <w:rFonts w:ascii="华文细黑" w:hAnsi="华文细黑" w:cs="华文细黑" w:eastAsia="华文细黑" w:hint="default"/>
                <w:spacing w:val="-19"/>
                <w:sz w:val="16"/>
                <w:szCs w:val="16"/>
              </w:rPr>
              <w:t> </w:t>
            </w:r>
            <w:r>
              <w:rPr>
                <w:rFonts w:ascii="华文细黑" w:hAnsi="华文细黑" w:cs="华文细黑" w:eastAsia="华文细黑" w:hint="default"/>
                <w:sz w:val="16"/>
                <w:szCs w:val="16"/>
              </w:rPr>
              <w:t>月</w:t>
            </w:r>
          </w:p>
          <w:p>
            <w:pPr>
              <w:pStyle w:val="TableParagraph"/>
              <w:spacing w:line="240" w:lineRule="auto" w:before="86"/>
              <w:ind w:right="1"/>
              <w:jc w:val="center"/>
              <w:rPr>
                <w:rFonts w:ascii="华文细黑" w:hAnsi="华文细黑" w:cs="华文细黑" w:eastAsia="华文细黑" w:hint="default"/>
                <w:sz w:val="16"/>
                <w:szCs w:val="16"/>
              </w:rPr>
            </w:pPr>
            <w:r>
              <w:rPr>
                <w:rFonts w:ascii="华文细黑" w:hAnsi="华文细黑" w:cs="华文细黑" w:eastAsia="华文细黑" w:hint="default"/>
                <w:sz w:val="16"/>
                <w:szCs w:val="16"/>
              </w:rPr>
              <w:t>01</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日</w:t>
            </w:r>
          </w:p>
        </w:tc>
        <w:tc>
          <w:tcPr>
            <w:tcW w:w="568"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left="197" w:right="0"/>
              <w:jc w:val="left"/>
              <w:rPr>
                <w:rFonts w:ascii="华文细黑" w:hAnsi="华文细黑" w:cs="华文细黑" w:eastAsia="华文细黑" w:hint="default"/>
                <w:sz w:val="16"/>
                <w:szCs w:val="16"/>
              </w:rPr>
            </w:pPr>
            <w:r>
              <w:rPr>
                <w:rFonts w:ascii="华文细黑" w:hAnsi="华文细黑" w:cs="华文细黑" w:eastAsia="华文细黑" w:hint="default"/>
                <w:w w:val="99"/>
                <w:sz w:val="16"/>
                <w:szCs w:val="16"/>
              </w:rPr>
              <w:t>否</w:t>
            </w:r>
            <w:r>
              <w:rPr>
                <w:rFonts w:ascii="华文细黑" w:hAnsi="华文细黑" w:cs="华文细黑" w:eastAsia="华文细黑" w:hint="default"/>
                <w:sz w:val="16"/>
                <w:szCs w:val="16"/>
              </w:rPr>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left="103" w:right="0"/>
              <w:jc w:val="left"/>
              <w:rPr>
                <w:rFonts w:ascii="华文细黑" w:hAnsi="华文细黑" w:cs="华文细黑" w:eastAsia="华文细黑" w:hint="default"/>
                <w:sz w:val="16"/>
                <w:szCs w:val="16"/>
              </w:rPr>
            </w:pPr>
            <w:r>
              <w:rPr>
                <w:rFonts w:ascii="华文细黑" w:hAnsi="华文细黑" w:cs="华文细黑" w:eastAsia="华文细黑" w:hint="default"/>
                <w:w w:val="99"/>
                <w:sz w:val="16"/>
                <w:szCs w:val="16"/>
              </w:rPr>
              <w:t>否</w:t>
            </w:r>
            <w:r>
              <w:rPr>
                <w:rFonts w:ascii="华文细黑" w:hAnsi="华文细黑" w:cs="华文细黑" w:eastAsia="华文细黑" w:hint="default"/>
                <w:sz w:val="16"/>
                <w:szCs w:val="16"/>
              </w:rPr>
            </w:r>
          </w:p>
        </w:tc>
      </w:tr>
      <w:tr>
        <w:trPr>
          <w:trHeight w:val="714" w:hRule="exact"/>
        </w:trPr>
        <w:tc>
          <w:tcPr>
            <w:tcW w:w="22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2"/>
                <w:sz w:val="18"/>
                <w:szCs w:val="18"/>
              </w:rPr>
              <w:t>2</w:t>
            </w:r>
            <w:r>
              <w:rPr>
                <w:rFonts w:ascii="华文细黑" w:hAnsi="华文细黑" w:cs="华文细黑" w:eastAsia="华文细黑" w:hint="default"/>
                <w:spacing w:val="-2"/>
                <w:sz w:val="18"/>
                <w:szCs w:val="18"/>
              </w:rPr>
              <w:t>、补充营运资金</w:t>
            </w:r>
            <w:r>
              <w:rPr>
                <w:rFonts w:ascii="华文细黑" w:hAnsi="华文细黑" w:cs="华文细黑" w:eastAsia="华文细黑" w:hint="default"/>
                <w:spacing w:val="-2"/>
                <w:sz w:val="18"/>
                <w:szCs w:val="18"/>
              </w:rPr>
              <w:t>---</w:t>
            </w:r>
            <w:r>
              <w:rPr>
                <w:rFonts w:ascii="华文细黑" w:hAnsi="华文细黑" w:cs="华文细黑" w:eastAsia="华文细黑" w:hint="default"/>
                <w:spacing w:val="-2"/>
                <w:sz w:val="18"/>
                <w:szCs w:val="18"/>
              </w:rPr>
              <w:t>关键客</w:t>
            </w:r>
            <w:r>
              <w:rPr>
                <w:rFonts w:ascii="华文细黑" w:hAnsi="华文细黑" w:cs="华文细黑" w:eastAsia="华文细黑" w:hint="default"/>
                <w:sz w:val="18"/>
                <w:szCs w:val="18"/>
              </w:rPr>
              <w:t> 户综合服务提升项目</w:t>
            </w:r>
          </w:p>
        </w:tc>
        <w:tc>
          <w:tcPr>
            <w:tcW w:w="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99"/>
              <w:jc w:val="right"/>
              <w:rPr>
                <w:rFonts w:ascii="华文细黑" w:hAnsi="华文细黑" w:cs="华文细黑" w:eastAsia="华文细黑" w:hint="default"/>
                <w:sz w:val="16"/>
                <w:szCs w:val="16"/>
              </w:rPr>
            </w:pPr>
            <w:r>
              <w:rPr>
                <w:rFonts w:ascii="华文细黑"/>
                <w:w w:val="95"/>
                <w:sz w:val="16"/>
              </w:rPr>
              <w:t>26,212.44</w:t>
            </w:r>
            <w:r>
              <w:rPr>
                <w:rFonts w:ascii="华文细黑"/>
                <w:sz w:val="16"/>
              </w:rPr>
            </w:r>
          </w:p>
        </w:tc>
        <w:tc>
          <w:tcPr>
            <w:tcW w:w="95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98"/>
              <w:jc w:val="right"/>
              <w:rPr>
                <w:rFonts w:ascii="华文细黑" w:hAnsi="华文细黑" w:cs="华文细黑" w:eastAsia="华文细黑" w:hint="default"/>
                <w:sz w:val="16"/>
                <w:szCs w:val="16"/>
              </w:rPr>
            </w:pPr>
            <w:r>
              <w:rPr>
                <w:rFonts w:ascii="华文细黑"/>
                <w:w w:val="95"/>
                <w:sz w:val="16"/>
              </w:rPr>
              <w:t>26,212.44</w:t>
            </w:r>
            <w:r>
              <w:rPr>
                <w:rFonts w:ascii="华文细黑"/>
                <w:sz w:val="16"/>
              </w:rPr>
            </w:r>
          </w:p>
        </w:tc>
        <w:tc>
          <w:tcPr>
            <w:tcW w:w="604" w:type="dxa"/>
            <w:tcBorders>
              <w:top w:val="single" w:sz="4" w:space="0" w:color="FFC000"/>
              <w:left w:val="single" w:sz="4" w:space="0" w:color="FFC000"/>
              <w:bottom w:val="single" w:sz="4" w:space="0" w:color="FFC000"/>
              <w:right w:val="single" w:sz="4" w:space="0" w:color="FFC000"/>
            </w:tcBorders>
          </w:tcPr>
          <w:p>
            <w:pP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99"/>
              <w:jc w:val="right"/>
              <w:rPr>
                <w:rFonts w:ascii="华文细黑" w:hAnsi="华文细黑" w:cs="华文细黑" w:eastAsia="华文细黑" w:hint="default"/>
                <w:sz w:val="16"/>
                <w:szCs w:val="16"/>
              </w:rPr>
            </w:pPr>
            <w:r>
              <w:rPr>
                <w:rFonts w:ascii="华文细黑"/>
                <w:w w:val="95"/>
                <w:sz w:val="16"/>
              </w:rPr>
              <w:t>26,212.44</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left="23" w:right="0"/>
              <w:jc w:val="center"/>
              <w:rPr>
                <w:rFonts w:ascii="华文细黑" w:hAnsi="华文细黑" w:cs="华文细黑" w:eastAsia="华文细黑" w:hint="default"/>
                <w:sz w:val="16"/>
                <w:szCs w:val="16"/>
              </w:rPr>
            </w:pPr>
            <w:r>
              <w:rPr>
                <w:rFonts w:ascii="华文细黑"/>
                <w:sz w:val="16"/>
              </w:rPr>
              <w:t>100.00%</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1"/>
              <w:jc w:val="center"/>
              <w:rPr>
                <w:rFonts w:ascii="华文细黑" w:hAnsi="华文细黑" w:cs="华文细黑" w:eastAsia="华文细黑" w:hint="default"/>
                <w:sz w:val="16"/>
                <w:szCs w:val="16"/>
              </w:rPr>
            </w:pPr>
            <w:r>
              <w:rPr>
                <w:rFonts w:ascii="华文细黑" w:hAnsi="华文细黑" w:cs="华文细黑" w:eastAsia="华文细黑" w:hint="default"/>
                <w:sz w:val="16"/>
                <w:szCs w:val="16"/>
              </w:rPr>
              <w:t>2010</w:t>
            </w:r>
            <w:r>
              <w:rPr>
                <w:rFonts w:ascii="华文细黑" w:hAnsi="华文细黑" w:cs="华文细黑" w:eastAsia="华文细黑" w:hint="default"/>
                <w:spacing w:val="-19"/>
                <w:sz w:val="16"/>
                <w:szCs w:val="16"/>
              </w:rPr>
              <w:t> </w:t>
            </w:r>
            <w:r>
              <w:rPr>
                <w:rFonts w:ascii="华文细黑" w:hAnsi="华文细黑" w:cs="华文细黑" w:eastAsia="华文细黑" w:hint="default"/>
                <w:sz w:val="16"/>
                <w:szCs w:val="16"/>
              </w:rPr>
              <w:t>年</w:t>
            </w:r>
            <w:r>
              <w:rPr>
                <w:rFonts w:ascii="华文细黑" w:hAnsi="华文细黑" w:cs="华文细黑" w:eastAsia="华文细黑" w:hint="default"/>
                <w:spacing w:val="-20"/>
                <w:sz w:val="16"/>
                <w:szCs w:val="16"/>
              </w:rPr>
              <w:t> </w:t>
            </w:r>
            <w:r>
              <w:rPr>
                <w:rFonts w:ascii="华文细黑" w:hAnsi="华文细黑" w:cs="华文细黑" w:eastAsia="华文细黑" w:hint="default"/>
                <w:sz w:val="16"/>
                <w:szCs w:val="16"/>
              </w:rPr>
              <w:t>08</w:t>
            </w:r>
            <w:r>
              <w:rPr>
                <w:rFonts w:ascii="华文细黑" w:hAnsi="华文细黑" w:cs="华文细黑" w:eastAsia="华文细黑" w:hint="default"/>
                <w:spacing w:val="-19"/>
                <w:sz w:val="16"/>
                <w:szCs w:val="16"/>
              </w:rPr>
              <w:t> </w:t>
            </w:r>
            <w:r>
              <w:rPr>
                <w:rFonts w:ascii="华文细黑" w:hAnsi="华文细黑" w:cs="华文细黑" w:eastAsia="华文细黑" w:hint="default"/>
                <w:sz w:val="16"/>
                <w:szCs w:val="16"/>
              </w:rPr>
              <w:t>月</w:t>
            </w:r>
          </w:p>
          <w:p>
            <w:pPr>
              <w:pStyle w:val="TableParagraph"/>
              <w:spacing w:line="240" w:lineRule="auto" w:before="86"/>
              <w:ind w:right="1"/>
              <w:jc w:val="center"/>
              <w:rPr>
                <w:rFonts w:ascii="华文细黑" w:hAnsi="华文细黑" w:cs="华文细黑" w:eastAsia="华文细黑" w:hint="default"/>
                <w:sz w:val="16"/>
                <w:szCs w:val="16"/>
              </w:rPr>
            </w:pPr>
            <w:r>
              <w:rPr>
                <w:rFonts w:ascii="华文细黑" w:hAnsi="华文细黑" w:cs="华文细黑" w:eastAsia="华文细黑" w:hint="default"/>
                <w:sz w:val="16"/>
                <w:szCs w:val="16"/>
              </w:rPr>
              <w:t>01</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日</w:t>
            </w:r>
          </w:p>
        </w:tc>
        <w:tc>
          <w:tcPr>
            <w:tcW w:w="568"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left="197" w:right="0"/>
              <w:jc w:val="left"/>
              <w:rPr>
                <w:rFonts w:ascii="华文细黑" w:hAnsi="华文细黑" w:cs="华文细黑" w:eastAsia="华文细黑" w:hint="default"/>
                <w:sz w:val="16"/>
                <w:szCs w:val="16"/>
              </w:rPr>
            </w:pPr>
            <w:r>
              <w:rPr>
                <w:rFonts w:ascii="华文细黑" w:hAnsi="华文细黑" w:cs="华文细黑" w:eastAsia="华文细黑" w:hint="default"/>
                <w:w w:val="99"/>
                <w:sz w:val="16"/>
                <w:szCs w:val="16"/>
              </w:rPr>
              <w:t>否</w:t>
            </w:r>
            <w:r>
              <w:rPr>
                <w:rFonts w:ascii="华文细黑" w:hAnsi="华文细黑" w:cs="华文细黑" w:eastAsia="华文细黑" w:hint="default"/>
                <w:sz w:val="16"/>
                <w:szCs w:val="16"/>
              </w:rPr>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left="103" w:right="0"/>
              <w:jc w:val="left"/>
              <w:rPr>
                <w:rFonts w:ascii="华文细黑" w:hAnsi="华文细黑" w:cs="华文细黑" w:eastAsia="华文细黑" w:hint="default"/>
                <w:sz w:val="16"/>
                <w:szCs w:val="16"/>
              </w:rPr>
            </w:pPr>
            <w:r>
              <w:rPr>
                <w:rFonts w:ascii="华文细黑" w:hAnsi="华文细黑" w:cs="华文细黑" w:eastAsia="华文细黑" w:hint="default"/>
                <w:w w:val="99"/>
                <w:sz w:val="16"/>
                <w:szCs w:val="16"/>
              </w:rPr>
              <w:t>否</w:t>
            </w:r>
            <w:r>
              <w:rPr>
                <w:rFonts w:ascii="华文细黑" w:hAnsi="华文细黑" w:cs="华文细黑" w:eastAsia="华文细黑" w:hint="default"/>
                <w:sz w:val="16"/>
                <w:szCs w:val="16"/>
              </w:rPr>
            </w:r>
          </w:p>
        </w:tc>
      </w:tr>
      <w:tr>
        <w:trPr>
          <w:trHeight w:val="714" w:hRule="exact"/>
        </w:trPr>
        <w:tc>
          <w:tcPr>
            <w:tcW w:w="22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3"/>
                <w:sz w:val="18"/>
                <w:szCs w:val="18"/>
              </w:rPr>
              <w:t>3</w:t>
            </w:r>
            <w:r>
              <w:rPr>
                <w:rFonts w:ascii="华文细黑" w:hAnsi="华文细黑" w:cs="华文细黑" w:eastAsia="华文细黑" w:hint="default"/>
                <w:spacing w:val="-3"/>
                <w:sz w:val="18"/>
                <w:szCs w:val="18"/>
              </w:rPr>
              <w:t>、数码电子产品零售终端</w:t>
            </w:r>
            <w:r>
              <w:rPr>
                <w:rFonts w:ascii="华文细黑" w:hAnsi="华文细黑" w:cs="华文细黑" w:eastAsia="华文细黑" w:hint="default"/>
                <w:spacing w:val="-37"/>
                <w:sz w:val="18"/>
                <w:szCs w:val="18"/>
              </w:rPr>
              <w:t> </w:t>
            </w:r>
            <w:r>
              <w:rPr>
                <w:rFonts w:ascii="华文细黑" w:hAnsi="华文细黑" w:cs="华文细黑" w:eastAsia="华文细黑" w:hint="default"/>
                <w:spacing w:val="-37"/>
                <w:sz w:val="18"/>
                <w:szCs w:val="18"/>
              </w:rPr>
            </w:r>
            <w:r>
              <w:rPr>
                <w:rFonts w:ascii="华文细黑" w:hAnsi="华文细黑" w:cs="华文细黑" w:eastAsia="华文细黑" w:hint="default"/>
                <w:sz w:val="18"/>
                <w:szCs w:val="18"/>
              </w:rPr>
              <w:t>扩建项目</w:t>
            </w:r>
          </w:p>
        </w:tc>
        <w:tc>
          <w:tcPr>
            <w:tcW w:w="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99"/>
              <w:jc w:val="right"/>
              <w:rPr>
                <w:rFonts w:ascii="华文细黑" w:hAnsi="华文细黑" w:cs="华文细黑" w:eastAsia="华文细黑" w:hint="default"/>
                <w:sz w:val="16"/>
                <w:szCs w:val="16"/>
              </w:rPr>
            </w:pPr>
            <w:r>
              <w:rPr>
                <w:rFonts w:ascii="华文细黑"/>
                <w:w w:val="95"/>
                <w:sz w:val="16"/>
              </w:rPr>
              <w:t>12,868.61</w:t>
            </w:r>
            <w:r>
              <w:rPr>
                <w:rFonts w:ascii="华文细黑"/>
                <w:sz w:val="16"/>
              </w:rPr>
            </w:r>
          </w:p>
        </w:tc>
        <w:tc>
          <w:tcPr>
            <w:tcW w:w="95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99"/>
              <w:jc w:val="right"/>
              <w:rPr>
                <w:rFonts w:ascii="华文细黑" w:hAnsi="华文细黑" w:cs="华文细黑" w:eastAsia="华文细黑" w:hint="default"/>
                <w:sz w:val="16"/>
                <w:szCs w:val="16"/>
              </w:rPr>
            </w:pPr>
            <w:r>
              <w:rPr>
                <w:rFonts w:ascii="华文细黑"/>
                <w:w w:val="95"/>
                <w:sz w:val="16"/>
              </w:rPr>
              <w:t>12,868.61</w:t>
            </w:r>
            <w:r>
              <w:rPr>
                <w:rFonts w:ascii="华文细黑"/>
                <w:sz w:val="16"/>
              </w:rPr>
            </w:r>
          </w:p>
        </w:tc>
        <w:tc>
          <w:tcPr>
            <w:tcW w:w="60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left="179" w:right="0"/>
              <w:jc w:val="left"/>
              <w:rPr>
                <w:rFonts w:ascii="华文细黑" w:hAnsi="华文细黑" w:cs="华文细黑" w:eastAsia="华文细黑" w:hint="default"/>
                <w:sz w:val="16"/>
                <w:szCs w:val="16"/>
              </w:rPr>
            </w:pPr>
            <w:r>
              <w:rPr>
                <w:rFonts w:ascii="华文细黑"/>
                <w:sz w:val="16"/>
              </w:rPr>
              <w:t>81.2</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right="99"/>
              <w:jc w:val="right"/>
              <w:rPr>
                <w:rFonts w:ascii="华文细黑" w:hAnsi="华文细黑" w:cs="华文细黑" w:eastAsia="华文细黑" w:hint="default"/>
                <w:sz w:val="16"/>
                <w:szCs w:val="16"/>
              </w:rPr>
            </w:pPr>
            <w:r>
              <w:rPr>
                <w:rFonts w:ascii="华文细黑"/>
                <w:w w:val="95"/>
                <w:sz w:val="16"/>
              </w:rPr>
              <w:t>12,205.14</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left="111" w:right="0"/>
              <w:jc w:val="center"/>
              <w:rPr>
                <w:rFonts w:ascii="华文细黑" w:hAnsi="华文细黑" w:cs="华文细黑" w:eastAsia="华文细黑" w:hint="default"/>
                <w:sz w:val="16"/>
                <w:szCs w:val="16"/>
              </w:rPr>
            </w:pPr>
            <w:r>
              <w:rPr>
                <w:rFonts w:ascii="华文细黑"/>
                <w:sz w:val="16"/>
              </w:rPr>
              <w:t>94.84%</w:t>
            </w:r>
          </w:p>
        </w:tc>
        <w:tc>
          <w:tcPr>
            <w:tcW w:w="1134" w:type="dxa"/>
            <w:tcBorders>
              <w:top w:val="single" w:sz="4" w:space="0" w:color="FFC000"/>
              <w:left w:val="single" w:sz="4" w:space="0" w:color="FFC000"/>
              <w:bottom w:val="single" w:sz="4" w:space="0" w:color="FFC000"/>
              <w:right w:val="single" w:sz="4" w:space="0" w:color="FFC000"/>
            </w:tcBorders>
          </w:tcPr>
          <w:p>
            <w:pPr/>
          </w:p>
        </w:tc>
        <w:tc>
          <w:tcPr>
            <w:tcW w:w="568"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left="197" w:right="0"/>
              <w:jc w:val="left"/>
              <w:rPr>
                <w:rFonts w:ascii="华文细黑" w:hAnsi="华文细黑" w:cs="华文细黑" w:eastAsia="华文细黑" w:hint="default"/>
                <w:sz w:val="16"/>
                <w:szCs w:val="16"/>
              </w:rPr>
            </w:pPr>
            <w:r>
              <w:rPr>
                <w:rFonts w:ascii="华文细黑" w:hAnsi="华文细黑" w:cs="华文细黑" w:eastAsia="华文细黑" w:hint="default"/>
                <w:w w:val="99"/>
                <w:sz w:val="16"/>
                <w:szCs w:val="16"/>
              </w:rPr>
              <w:t>否</w:t>
            </w:r>
            <w:r>
              <w:rPr>
                <w:rFonts w:ascii="华文细黑" w:hAnsi="华文细黑" w:cs="华文细黑" w:eastAsia="华文细黑" w:hint="default"/>
                <w:sz w:val="16"/>
                <w:szCs w:val="16"/>
              </w:rPr>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15"/>
                <w:szCs w:val="15"/>
              </w:rPr>
            </w:pPr>
          </w:p>
          <w:p>
            <w:pPr>
              <w:pStyle w:val="TableParagraph"/>
              <w:spacing w:line="240" w:lineRule="auto"/>
              <w:ind w:left="103" w:right="0"/>
              <w:jc w:val="left"/>
              <w:rPr>
                <w:rFonts w:ascii="华文细黑" w:hAnsi="华文细黑" w:cs="华文细黑" w:eastAsia="华文细黑" w:hint="default"/>
                <w:sz w:val="16"/>
                <w:szCs w:val="16"/>
              </w:rPr>
            </w:pPr>
            <w:r>
              <w:rPr>
                <w:rFonts w:ascii="华文细黑" w:hAnsi="华文细黑" w:cs="华文细黑" w:eastAsia="华文细黑" w:hint="default"/>
                <w:w w:val="99"/>
                <w:sz w:val="16"/>
                <w:szCs w:val="16"/>
              </w:rPr>
              <w:t>否</w:t>
            </w:r>
            <w:r>
              <w:rPr>
                <w:rFonts w:ascii="华文细黑" w:hAnsi="华文细黑" w:cs="华文细黑" w:eastAsia="华文细黑" w:hint="default"/>
                <w:sz w:val="16"/>
                <w:szCs w:val="16"/>
              </w:rPr>
            </w:r>
          </w:p>
        </w:tc>
      </w:tr>
      <w:tr>
        <w:trPr>
          <w:trHeight w:val="402" w:hRule="exact"/>
        </w:trPr>
        <w:tc>
          <w:tcPr>
            <w:tcW w:w="22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pacing w:val="-3"/>
                <w:sz w:val="18"/>
                <w:szCs w:val="18"/>
              </w:rPr>
              <w:t>4</w:t>
            </w:r>
            <w:r>
              <w:rPr>
                <w:rFonts w:ascii="华文细黑" w:hAnsi="华文细黑" w:cs="华文细黑" w:eastAsia="华文细黑" w:hint="default"/>
                <w:spacing w:val="-3"/>
                <w:sz w:val="18"/>
                <w:szCs w:val="18"/>
              </w:rPr>
              <w:t>、产品运营平台扩建项目</w:t>
            </w:r>
          </w:p>
        </w:tc>
        <w:tc>
          <w:tcPr>
            <w:tcW w:w="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99"/>
              <w:jc w:val="right"/>
              <w:rPr>
                <w:rFonts w:ascii="华文细黑" w:hAnsi="华文细黑" w:cs="华文细黑" w:eastAsia="华文细黑" w:hint="default"/>
                <w:sz w:val="16"/>
                <w:szCs w:val="16"/>
              </w:rPr>
            </w:pPr>
            <w:r>
              <w:rPr>
                <w:rFonts w:ascii="华文细黑"/>
                <w:w w:val="95"/>
                <w:sz w:val="16"/>
              </w:rPr>
              <w:t>1,537.3</w:t>
            </w:r>
            <w:r>
              <w:rPr>
                <w:rFonts w:ascii="华文细黑"/>
                <w:sz w:val="16"/>
              </w:rPr>
            </w:r>
          </w:p>
        </w:tc>
        <w:tc>
          <w:tcPr>
            <w:tcW w:w="95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98"/>
              <w:jc w:val="right"/>
              <w:rPr>
                <w:rFonts w:ascii="华文细黑" w:hAnsi="华文细黑" w:cs="华文细黑" w:eastAsia="华文细黑" w:hint="default"/>
                <w:sz w:val="16"/>
                <w:szCs w:val="16"/>
              </w:rPr>
            </w:pPr>
            <w:r>
              <w:rPr>
                <w:rFonts w:ascii="华文细黑"/>
                <w:w w:val="95"/>
                <w:sz w:val="16"/>
              </w:rPr>
              <w:t>1,537.3</w:t>
            </w:r>
            <w:r>
              <w:rPr>
                <w:rFonts w:ascii="华文细黑"/>
                <w:sz w:val="16"/>
              </w:rPr>
            </w:r>
          </w:p>
        </w:tc>
        <w:tc>
          <w:tcPr>
            <w:tcW w:w="604" w:type="dxa"/>
            <w:tcBorders>
              <w:top w:val="single" w:sz="4" w:space="0" w:color="FFC000"/>
              <w:left w:val="single" w:sz="4" w:space="0" w:color="FFC000"/>
              <w:bottom w:val="single" w:sz="4" w:space="0" w:color="FFC000"/>
              <w:right w:val="single" w:sz="4" w:space="0" w:color="FFC000"/>
            </w:tcBorders>
          </w:tcPr>
          <w:p>
            <w:pP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101"/>
              <w:jc w:val="right"/>
              <w:rPr>
                <w:rFonts w:ascii="华文细黑" w:hAnsi="华文细黑" w:cs="华文细黑" w:eastAsia="华文细黑" w:hint="default"/>
                <w:sz w:val="16"/>
                <w:szCs w:val="16"/>
              </w:rPr>
            </w:pPr>
            <w:r>
              <w:rPr>
                <w:rFonts w:ascii="华文细黑"/>
                <w:w w:val="95"/>
                <w:sz w:val="16"/>
              </w:rPr>
              <w:t>510</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left="111" w:right="0"/>
              <w:jc w:val="center"/>
              <w:rPr>
                <w:rFonts w:ascii="华文细黑" w:hAnsi="华文细黑" w:cs="华文细黑" w:eastAsia="华文细黑" w:hint="default"/>
                <w:sz w:val="16"/>
                <w:szCs w:val="16"/>
              </w:rPr>
            </w:pPr>
            <w:r>
              <w:rPr>
                <w:rFonts w:ascii="华文细黑"/>
                <w:sz w:val="16"/>
              </w:rPr>
              <w:t>33.18%</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7"/>
              <w:ind w:left="103"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2013</w:t>
            </w:r>
            <w:r>
              <w:rPr>
                <w:rFonts w:ascii="华文细黑" w:hAnsi="华文细黑" w:cs="华文细黑" w:eastAsia="华文细黑" w:hint="default"/>
                <w:spacing w:val="-19"/>
                <w:sz w:val="16"/>
                <w:szCs w:val="16"/>
              </w:rPr>
              <w:t> </w:t>
            </w:r>
            <w:r>
              <w:rPr>
                <w:rFonts w:ascii="华文细黑" w:hAnsi="华文细黑" w:cs="华文细黑" w:eastAsia="华文细黑" w:hint="default"/>
                <w:sz w:val="16"/>
                <w:szCs w:val="16"/>
              </w:rPr>
              <w:t>年</w:t>
            </w:r>
            <w:r>
              <w:rPr>
                <w:rFonts w:ascii="华文细黑" w:hAnsi="华文细黑" w:cs="华文细黑" w:eastAsia="华文细黑" w:hint="default"/>
                <w:spacing w:val="-20"/>
                <w:sz w:val="16"/>
                <w:szCs w:val="16"/>
              </w:rPr>
              <w:t> </w:t>
            </w:r>
            <w:r>
              <w:rPr>
                <w:rFonts w:ascii="华文细黑" w:hAnsi="华文细黑" w:cs="华文细黑" w:eastAsia="华文细黑" w:hint="default"/>
                <w:sz w:val="16"/>
                <w:szCs w:val="16"/>
              </w:rPr>
              <w:t>12</w:t>
            </w:r>
            <w:r>
              <w:rPr>
                <w:rFonts w:ascii="华文细黑" w:hAnsi="华文细黑" w:cs="华文细黑" w:eastAsia="华文细黑" w:hint="default"/>
                <w:spacing w:val="-19"/>
                <w:sz w:val="16"/>
                <w:szCs w:val="16"/>
              </w:rPr>
              <w:t> </w:t>
            </w:r>
            <w:r>
              <w:rPr>
                <w:rFonts w:ascii="华文细黑" w:hAnsi="华文细黑" w:cs="华文细黑" w:eastAsia="华文细黑" w:hint="default"/>
                <w:sz w:val="16"/>
                <w:szCs w:val="16"/>
              </w:rPr>
              <w:t>月</w:t>
            </w:r>
          </w:p>
        </w:tc>
        <w:tc>
          <w:tcPr>
            <w:tcW w:w="568"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left="197" w:right="0"/>
              <w:jc w:val="left"/>
              <w:rPr>
                <w:rFonts w:ascii="华文细黑" w:hAnsi="华文细黑" w:cs="华文细黑" w:eastAsia="华文细黑" w:hint="default"/>
                <w:sz w:val="16"/>
                <w:szCs w:val="16"/>
              </w:rPr>
            </w:pPr>
            <w:r>
              <w:rPr>
                <w:rFonts w:ascii="华文细黑" w:hAnsi="华文细黑" w:cs="华文细黑" w:eastAsia="华文细黑" w:hint="default"/>
                <w:w w:val="99"/>
                <w:sz w:val="16"/>
                <w:szCs w:val="16"/>
              </w:rPr>
              <w:t>否</w:t>
            </w:r>
            <w:r>
              <w:rPr>
                <w:rFonts w:ascii="华文细黑" w:hAnsi="华文细黑" w:cs="华文细黑" w:eastAsia="华文细黑" w:hint="default"/>
                <w:sz w:val="16"/>
                <w:szCs w:val="16"/>
              </w:rPr>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left="103" w:right="0"/>
              <w:jc w:val="left"/>
              <w:rPr>
                <w:rFonts w:ascii="华文细黑" w:hAnsi="华文细黑" w:cs="华文细黑" w:eastAsia="华文细黑" w:hint="default"/>
                <w:sz w:val="16"/>
                <w:szCs w:val="16"/>
              </w:rPr>
            </w:pPr>
            <w:r>
              <w:rPr>
                <w:rFonts w:ascii="华文细黑" w:hAnsi="华文细黑" w:cs="华文细黑" w:eastAsia="华文细黑" w:hint="default"/>
                <w:w w:val="99"/>
                <w:sz w:val="16"/>
                <w:szCs w:val="16"/>
              </w:rPr>
              <w:t>否</w:t>
            </w:r>
            <w:r>
              <w:rPr>
                <w:rFonts w:ascii="华文细黑" w:hAnsi="华文细黑" w:cs="华文细黑" w:eastAsia="华文细黑" w:hint="default"/>
                <w:sz w:val="16"/>
                <w:szCs w:val="16"/>
              </w:rPr>
            </w:r>
          </w:p>
        </w:tc>
      </w:tr>
    </w:tbl>
    <w:p>
      <w:pPr>
        <w:spacing w:after="0" w:line="240" w:lineRule="auto"/>
        <w:jc w:val="left"/>
        <w:rPr>
          <w:rFonts w:ascii="华文细黑" w:hAnsi="华文细黑" w:cs="华文细黑" w:eastAsia="华文细黑" w:hint="default"/>
          <w:sz w:val="16"/>
          <w:szCs w:val="16"/>
        </w:rPr>
        <w:sectPr>
          <w:pgSz w:w="11910" w:h="16840"/>
          <w:pgMar w:header="917" w:footer="1019" w:top="1100" w:bottom="1200" w:left="46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3" w:type="dxa"/>
        <w:tblLayout w:type="fixed"/>
        <w:tblCellMar>
          <w:top w:w="0" w:type="dxa"/>
          <w:left w:w="0" w:type="dxa"/>
          <w:bottom w:w="0" w:type="dxa"/>
          <w:right w:w="0" w:type="dxa"/>
        </w:tblCellMar>
        <w:tblLook w:val="01E0"/>
      </w:tblPr>
      <w:tblGrid>
        <w:gridCol w:w="2270"/>
        <w:gridCol w:w="709"/>
        <w:gridCol w:w="1134"/>
        <w:gridCol w:w="956"/>
        <w:gridCol w:w="604"/>
        <w:gridCol w:w="1134"/>
        <w:gridCol w:w="851"/>
        <w:gridCol w:w="1134"/>
        <w:gridCol w:w="568"/>
        <w:gridCol w:w="566"/>
        <w:gridCol w:w="708"/>
      </w:tblGrid>
      <w:tr>
        <w:trPr>
          <w:trHeight w:val="362" w:hRule="exact"/>
        </w:trPr>
        <w:tc>
          <w:tcPr>
            <w:tcW w:w="2270"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709" w:type="dxa"/>
            <w:tcBorders>
              <w:top w:val="single" w:sz="4" w:space="0" w:color="FFC000"/>
              <w:left w:val="single" w:sz="4" w:space="0" w:color="FFC000"/>
              <w:bottom w:val="single" w:sz="4" w:space="0" w:color="FFC000"/>
              <w:right w:val="single" w:sz="4" w:space="0" w:color="FFC000"/>
            </w:tcBorders>
          </w:tcPr>
          <w:p>
            <w:pPr/>
          </w:p>
        </w:tc>
        <w:tc>
          <w:tcPr>
            <w:tcW w:w="1134" w:type="dxa"/>
            <w:tcBorders>
              <w:top w:val="single" w:sz="4" w:space="0" w:color="FFC000"/>
              <w:left w:val="single" w:sz="4" w:space="0" w:color="FFC000"/>
              <w:bottom w:val="single" w:sz="4" w:space="0" w:color="FFC000"/>
              <w:right w:val="single" w:sz="4" w:space="0" w:color="FFC000"/>
            </w:tcBorders>
          </w:tcPr>
          <w:p>
            <w:pPr/>
          </w:p>
        </w:tc>
        <w:tc>
          <w:tcPr>
            <w:tcW w:w="956" w:type="dxa"/>
            <w:tcBorders>
              <w:top w:val="single" w:sz="4" w:space="0" w:color="FFC000"/>
              <w:left w:val="single" w:sz="4" w:space="0" w:color="FFC000"/>
              <w:bottom w:val="single" w:sz="4" w:space="0" w:color="FFC000"/>
              <w:right w:val="single" w:sz="4" w:space="0" w:color="FFC000"/>
            </w:tcBorders>
          </w:tcPr>
          <w:p>
            <w:pPr/>
          </w:p>
        </w:tc>
        <w:tc>
          <w:tcPr>
            <w:tcW w:w="604" w:type="dxa"/>
            <w:tcBorders>
              <w:top w:val="single" w:sz="4" w:space="0" w:color="FFC000"/>
              <w:left w:val="single" w:sz="4" w:space="0" w:color="FFC000"/>
              <w:bottom w:val="single" w:sz="4" w:space="0" w:color="FFC000"/>
              <w:right w:val="single" w:sz="4" w:space="0" w:color="FFC000"/>
            </w:tcBorders>
          </w:tcPr>
          <w:p>
            <w:pPr/>
          </w:p>
        </w:tc>
        <w:tc>
          <w:tcPr>
            <w:tcW w:w="1134"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7"/>
              <w:ind w:right="1"/>
              <w:jc w:val="center"/>
              <w:rPr>
                <w:rFonts w:ascii="华文细黑" w:hAnsi="华文细黑" w:cs="华文细黑" w:eastAsia="华文细黑" w:hint="default"/>
                <w:sz w:val="16"/>
                <w:szCs w:val="16"/>
              </w:rPr>
            </w:pPr>
            <w:r>
              <w:rPr>
                <w:rFonts w:ascii="华文细黑" w:hAnsi="华文细黑" w:cs="华文细黑" w:eastAsia="华文细黑" w:hint="default"/>
                <w:sz w:val="16"/>
                <w:szCs w:val="16"/>
              </w:rPr>
              <w:t>01</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日</w:t>
            </w:r>
          </w:p>
        </w:tc>
        <w:tc>
          <w:tcPr>
            <w:tcW w:w="568"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708" w:type="dxa"/>
            <w:tcBorders>
              <w:top w:val="single" w:sz="4" w:space="0" w:color="FFC000"/>
              <w:left w:val="single" w:sz="4" w:space="0" w:color="FFC000"/>
              <w:bottom w:val="single" w:sz="4" w:space="0" w:color="FFC000"/>
              <w:right w:val="single" w:sz="4" w:space="0" w:color="FFC000"/>
            </w:tcBorders>
          </w:tcPr>
          <w:p>
            <w:pPr/>
          </w:p>
        </w:tc>
      </w:tr>
      <w:tr>
        <w:trPr>
          <w:trHeight w:val="714" w:hRule="exact"/>
        </w:trPr>
        <w:tc>
          <w:tcPr>
            <w:tcW w:w="22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3"/>
                <w:sz w:val="18"/>
                <w:szCs w:val="18"/>
              </w:rPr>
              <w:t>5</w:t>
            </w:r>
            <w:r>
              <w:rPr>
                <w:rFonts w:ascii="华文细黑" w:hAnsi="华文细黑" w:cs="华文细黑" w:eastAsia="华文细黑" w:hint="default"/>
                <w:spacing w:val="-3"/>
                <w:sz w:val="18"/>
                <w:szCs w:val="18"/>
              </w:rPr>
              <w:t>、信息系统综合管理平台</w:t>
            </w:r>
            <w:r>
              <w:rPr>
                <w:rFonts w:ascii="华文细黑" w:hAnsi="华文细黑" w:cs="华文细黑" w:eastAsia="华文细黑" w:hint="default"/>
                <w:spacing w:val="-37"/>
                <w:sz w:val="18"/>
                <w:szCs w:val="18"/>
              </w:rPr>
              <w:t> </w:t>
            </w:r>
            <w:r>
              <w:rPr>
                <w:rFonts w:ascii="华文细黑" w:hAnsi="华文细黑" w:cs="华文细黑" w:eastAsia="华文细黑" w:hint="default"/>
                <w:spacing w:val="-37"/>
                <w:sz w:val="18"/>
                <w:szCs w:val="18"/>
              </w:rPr>
            </w:r>
            <w:r>
              <w:rPr>
                <w:rFonts w:ascii="华文细黑" w:hAnsi="华文细黑" w:cs="华文细黑" w:eastAsia="华文细黑" w:hint="default"/>
                <w:sz w:val="18"/>
                <w:szCs w:val="18"/>
              </w:rPr>
              <w:t>扩建项目</w:t>
            </w:r>
          </w:p>
        </w:tc>
        <w:tc>
          <w:tcPr>
            <w:tcW w:w="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right="99"/>
              <w:jc w:val="right"/>
              <w:rPr>
                <w:rFonts w:ascii="华文细黑" w:hAnsi="华文细黑" w:cs="华文细黑" w:eastAsia="华文细黑" w:hint="default"/>
                <w:sz w:val="16"/>
                <w:szCs w:val="16"/>
              </w:rPr>
            </w:pPr>
            <w:r>
              <w:rPr>
                <w:rFonts w:ascii="华文细黑"/>
                <w:w w:val="95"/>
                <w:sz w:val="16"/>
              </w:rPr>
              <w:t>5,000</w:t>
            </w:r>
            <w:r>
              <w:rPr>
                <w:rFonts w:ascii="华文细黑"/>
                <w:sz w:val="16"/>
              </w:rPr>
            </w:r>
          </w:p>
        </w:tc>
        <w:tc>
          <w:tcPr>
            <w:tcW w:w="95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right="98"/>
              <w:jc w:val="right"/>
              <w:rPr>
                <w:rFonts w:ascii="华文细黑" w:hAnsi="华文细黑" w:cs="华文细黑" w:eastAsia="华文细黑" w:hint="default"/>
                <w:sz w:val="16"/>
                <w:szCs w:val="16"/>
              </w:rPr>
            </w:pPr>
            <w:r>
              <w:rPr>
                <w:rFonts w:ascii="华文细黑"/>
                <w:w w:val="95"/>
                <w:sz w:val="16"/>
              </w:rPr>
              <w:t>5,000</w:t>
            </w:r>
            <w:r>
              <w:rPr>
                <w:rFonts w:ascii="华文细黑"/>
                <w:sz w:val="16"/>
              </w:rPr>
            </w:r>
          </w:p>
        </w:tc>
        <w:tc>
          <w:tcPr>
            <w:tcW w:w="604" w:type="dxa"/>
            <w:tcBorders>
              <w:top w:val="single" w:sz="4" w:space="0" w:color="FFC000"/>
              <w:left w:val="single" w:sz="4" w:space="0" w:color="FFC000"/>
              <w:bottom w:val="single" w:sz="4" w:space="0" w:color="FFC000"/>
              <w:right w:val="single" w:sz="4" w:space="0" w:color="FFC000"/>
            </w:tcBorders>
          </w:tcPr>
          <w:p>
            <w:pP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right="99"/>
              <w:jc w:val="right"/>
              <w:rPr>
                <w:rFonts w:ascii="华文细黑" w:hAnsi="华文细黑" w:cs="华文细黑" w:eastAsia="华文细黑" w:hint="default"/>
                <w:sz w:val="16"/>
                <w:szCs w:val="16"/>
              </w:rPr>
            </w:pPr>
            <w:r>
              <w:rPr>
                <w:rFonts w:ascii="华文细黑"/>
                <w:w w:val="95"/>
                <w:sz w:val="16"/>
              </w:rPr>
              <w:t>3,495.14</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11" w:right="0"/>
              <w:jc w:val="center"/>
              <w:rPr>
                <w:rFonts w:ascii="华文细黑" w:hAnsi="华文细黑" w:cs="华文细黑" w:eastAsia="华文细黑" w:hint="default"/>
                <w:sz w:val="16"/>
                <w:szCs w:val="16"/>
              </w:rPr>
            </w:pPr>
            <w:r>
              <w:rPr>
                <w:rFonts w:ascii="华文细黑"/>
                <w:sz w:val="16"/>
              </w:rPr>
              <w:t>69.90%</w:t>
            </w:r>
          </w:p>
        </w:tc>
        <w:tc>
          <w:tcPr>
            <w:tcW w:w="1134" w:type="dxa"/>
            <w:tcBorders>
              <w:top w:val="single" w:sz="4" w:space="0" w:color="FFC000"/>
              <w:left w:val="single" w:sz="4" w:space="0" w:color="FFC000"/>
              <w:bottom w:val="single" w:sz="4" w:space="0" w:color="FFC000"/>
              <w:right w:val="single" w:sz="4" w:space="0" w:color="FFC000"/>
            </w:tcBorders>
          </w:tcPr>
          <w:p>
            <w:pPr/>
          </w:p>
        </w:tc>
        <w:tc>
          <w:tcPr>
            <w:tcW w:w="568"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97" w:right="0"/>
              <w:jc w:val="left"/>
              <w:rPr>
                <w:rFonts w:ascii="华文细黑" w:hAnsi="华文细黑" w:cs="华文细黑" w:eastAsia="华文细黑" w:hint="default"/>
                <w:sz w:val="16"/>
                <w:szCs w:val="16"/>
              </w:rPr>
            </w:pPr>
            <w:r>
              <w:rPr>
                <w:rFonts w:ascii="华文细黑" w:hAnsi="华文细黑" w:cs="华文细黑" w:eastAsia="华文细黑" w:hint="default"/>
                <w:w w:val="99"/>
                <w:sz w:val="16"/>
                <w:szCs w:val="16"/>
              </w:rPr>
              <w:t>否</w:t>
            </w:r>
            <w:r>
              <w:rPr>
                <w:rFonts w:ascii="华文细黑" w:hAnsi="华文细黑" w:cs="华文细黑" w:eastAsia="华文细黑" w:hint="default"/>
                <w:sz w:val="16"/>
                <w:szCs w:val="16"/>
              </w:rPr>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华文细黑" w:hAnsi="华文细黑" w:cs="华文细黑" w:eastAsia="华文细黑" w:hint="default"/>
                <w:sz w:val="16"/>
                <w:szCs w:val="16"/>
              </w:rPr>
            </w:pPr>
            <w:r>
              <w:rPr>
                <w:rFonts w:ascii="华文细黑" w:hAnsi="华文细黑" w:cs="华文细黑" w:eastAsia="华文细黑" w:hint="default"/>
                <w:w w:val="99"/>
                <w:sz w:val="16"/>
                <w:szCs w:val="16"/>
              </w:rPr>
              <w:t>否</w:t>
            </w:r>
            <w:r>
              <w:rPr>
                <w:rFonts w:ascii="华文细黑" w:hAnsi="华文细黑" w:cs="华文细黑" w:eastAsia="华文细黑" w:hint="default"/>
                <w:sz w:val="16"/>
                <w:szCs w:val="16"/>
              </w:rPr>
            </w:r>
          </w:p>
        </w:tc>
      </w:tr>
      <w:tr>
        <w:trPr>
          <w:trHeight w:val="714" w:hRule="exact"/>
        </w:trPr>
        <w:tc>
          <w:tcPr>
            <w:tcW w:w="22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3"/>
                <w:sz w:val="18"/>
                <w:szCs w:val="18"/>
              </w:rPr>
              <w:t>6</w:t>
            </w:r>
            <w:r>
              <w:rPr>
                <w:rFonts w:ascii="华文细黑" w:hAnsi="华文细黑" w:cs="华文细黑" w:eastAsia="华文细黑" w:hint="default"/>
                <w:spacing w:val="-3"/>
                <w:sz w:val="18"/>
                <w:szCs w:val="18"/>
              </w:rPr>
              <w:t>、公司债偿还到期债务和</w:t>
            </w:r>
            <w:r>
              <w:rPr>
                <w:rFonts w:ascii="华文细黑" w:hAnsi="华文细黑" w:cs="华文细黑" w:eastAsia="华文细黑" w:hint="default"/>
                <w:spacing w:val="-37"/>
                <w:sz w:val="18"/>
                <w:szCs w:val="18"/>
              </w:rPr>
              <w:t> </w:t>
            </w:r>
            <w:r>
              <w:rPr>
                <w:rFonts w:ascii="华文细黑" w:hAnsi="华文细黑" w:cs="华文细黑" w:eastAsia="华文细黑" w:hint="default"/>
                <w:spacing w:val="-37"/>
                <w:sz w:val="18"/>
                <w:szCs w:val="18"/>
              </w:rPr>
            </w:r>
            <w:r>
              <w:rPr>
                <w:rFonts w:ascii="华文细黑" w:hAnsi="华文细黑" w:cs="华文细黑" w:eastAsia="华文细黑" w:hint="default"/>
                <w:sz w:val="18"/>
                <w:szCs w:val="18"/>
              </w:rPr>
              <w:t>补充公司流动资金</w:t>
            </w:r>
          </w:p>
        </w:tc>
        <w:tc>
          <w:tcPr>
            <w:tcW w:w="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right="99"/>
              <w:jc w:val="right"/>
              <w:rPr>
                <w:rFonts w:ascii="华文细黑" w:hAnsi="华文细黑" w:cs="华文细黑" w:eastAsia="华文细黑" w:hint="default"/>
                <w:sz w:val="16"/>
                <w:szCs w:val="16"/>
              </w:rPr>
            </w:pPr>
            <w:r>
              <w:rPr>
                <w:rFonts w:ascii="华文细黑"/>
                <w:w w:val="95"/>
                <w:sz w:val="16"/>
              </w:rPr>
              <w:t>59,495</w:t>
            </w:r>
            <w:r>
              <w:rPr>
                <w:rFonts w:ascii="华文细黑"/>
                <w:sz w:val="16"/>
              </w:rPr>
            </w:r>
          </w:p>
        </w:tc>
        <w:tc>
          <w:tcPr>
            <w:tcW w:w="95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right="98"/>
              <w:jc w:val="right"/>
              <w:rPr>
                <w:rFonts w:ascii="华文细黑" w:hAnsi="华文细黑" w:cs="华文细黑" w:eastAsia="华文细黑" w:hint="default"/>
                <w:sz w:val="16"/>
                <w:szCs w:val="16"/>
              </w:rPr>
            </w:pPr>
            <w:r>
              <w:rPr>
                <w:rFonts w:ascii="华文细黑"/>
                <w:w w:val="95"/>
                <w:sz w:val="16"/>
              </w:rPr>
              <w:t>59,495</w:t>
            </w:r>
            <w:r>
              <w:rPr>
                <w:rFonts w:ascii="华文细黑"/>
                <w:sz w:val="16"/>
              </w:rPr>
            </w:r>
          </w:p>
        </w:tc>
        <w:tc>
          <w:tcPr>
            <w:tcW w:w="604" w:type="dxa"/>
            <w:tcBorders>
              <w:top w:val="single" w:sz="4" w:space="0" w:color="FFC000"/>
              <w:left w:val="single" w:sz="4" w:space="0" w:color="FFC000"/>
              <w:bottom w:val="single" w:sz="4" w:space="0" w:color="FFC000"/>
              <w:right w:val="single" w:sz="4" w:space="0" w:color="FFC000"/>
            </w:tcBorders>
          </w:tcPr>
          <w:p>
            <w:pP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right="99"/>
              <w:jc w:val="right"/>
              <w:rPr>
                <w:rFonts w:ascii="华文细黑" w:hAnsi="华文细黑" w:cs="华文细黑" w:eastAsia="华文细黑" w:hint="default"/>
                <w:sz w:val="16"/>
                <w:szCs w:val="16"/>
              </w:rPr>
            </w:pPr>
            <w:r>
              <w:rPr>
                <w:rFonts w:ascii="华文细黑"/>
                <w:w w:val="95"/>
                <w:sz w:val="16"/>
              </w:rPr>
              <w:t>59,495</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23" w:right="0"/>
              <w:jc w:val="center"/>
              <w:rPr>
                <w:rFonts w:ascii="华文细黑" w:hAnsi="华文细黑" w:cs="华文细黑" w:eastAsia="华文细黑" w:hint="default"/>
                <w:sz w:val="16"/>
                <w:szCs w:val="16"/>
              </w:rPr>
            </w:pPr>
            <w:r>
              <w:rPr>
                <w:rFonts w:ascii="华文细黑"/>
                <w:sz w:val="16"/>
              </w:rPr>
              <w:t>100.00%</w:t>
            </w:r>
          </w:p>
        </w:tc>
        <w:tc>
          <w:tcPr>
            <w:tcW w:w="1134" w:type="dxa"/>
            <w:tcBorders>
              <w:top w:val="single" w:sz="4" w:space="0" w:color="FFC000"/>
              <w:left w:val="single" w:sz="4" w:space="0" w:color="FFC000"/>
              <w:bottom w:val="single" w:sz="4" w:space="0" w:color="FFC000"/>
              <w:right w:val="single" w:sz="4" w:space="0" w:color="FFC000"/>
            </w:tcBorders>
          </w:tcPr>
          <w:p>
            <w:pPr/>
          </w:p>
        </w:tc>
        <w:tc>
          <w:tcPr>
            <w:tcW w:w="568"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97" w:right="0"/>
              <w:jc w:val="left"/>
              <w:rPr>
                <w:rFonts w:ascii="华文细黑" w:hAnsi="华文细黑" w:cs="华文细黑" w:eastAsia="华文细黑" w:hint="default"/>
                <w:sz w:val="16"/>
                <w:szCs w:val="16"/>
              </w:rPr>
            </w:pPr>
            <w:r>
              <w:rPr>
                <w:rFonts w:ascii="华文细黑" w:hAnsi="华文细黑" w:cs="华文细黑" w:eastAsia="华文细黑" w:hint="default"/>
                <w:w w:val="99"/>
                <w:sz w:val="16"/>
                <w:szCs w:val="16"/>
              </w:rPr>
              <w:t>是</w:t>
            </w:r>
            <w:r>
              <w:rPr>
                <w:rFonts w:ascii="华文细黑" w:hAnsi="华文细黑" w:cs="华文细黑" w:eastAsia="华文细黑" w:hint="default"/>
                <w:sz w:val="16"/>
                <w:szCs w:val="16"/>
              </w:rPr>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华文细黑" w:hAnsi="华文细黑" w:cs="华文细黑" w:eastAsia="华文细黑" w:hint="default"/>
                <w:sz w:val="16"/>
                <w:szCs w:val="16"/>
              </w:rPr>
            </w:pPr>
            <w:r>
              <w:rPr>
                <w:rFonts w:ascii="华文细黑" w:hAnsi="华文细黑" w:cs="华文细黑" w:eastAsia="华文细黑" w:hint="default"/>
                <w:w w:val="99"/>
                <w:sz w:val="16"/>
                <w:szCs w:val="16"/>
              </w:rPr>
              <w:t>否</w:t>
            </w:r>
            <w:r>
              <w:rPr>
                <w:rFonts w:ascii="华文细黑" w:hAnsi="华文细黑" w:cs="华文细黑" w:eastAsia="华文细黑" w:hint="default"/>
                <w:sz w:val="16"/>
                <w:szCs w:val="16"/>
              </w:rPr>
            </w:r>
          </w:p>
        </w:tc>
      </w:tr>
      <w:tr>
        <w:trPr>
          <w:trHeight w:val="402" w:hRule="exact"/>
        </w:trPr>
        <w:tc>
          <w:tcPr>
            <w:tcW w:w="22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7</w:t>
            </w:r>
            <w:r>
              <w:rPr>
                <w:rFonts w:ascii="华文细黑" w:hAnsi="华文细黑" w:cs="华文细黑" w:eastAsia="华文细黑" w:hint="default"/>
                <w:sz w:val="18"/>
                <w:szCs w:val="18"/>
              </w:rPr>
              <w:t>、公司债补充流动资金</w:t>
            </w:r>
          </w:p>
        </w:tc>
        <w:tc>
          <w:tcPr>
            <w:tcW w:w="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99"/>
              <w:jc w:val="right"/>
              <w:rPr>
                <w:rFonts w:ascii="华文细黑" w:hAnsi="华文细黑" w:cs="华文细黑" w:eastAsia="华文细黑" w:hint="default"/>
                <w:sz w:val="16"/>
                <w:szCs w:val="16"/>
              </w:rPr>
            </w:pPr>
            <w:r>
              <w:rPr>
                <w:rFonts w:ascii="华文细黑"/>
                <w:w w:val="95"/>
                <w:sz w:val="16"/>
              </w:rPr>
              <w:t>59,820</w:t>
            </w:r>
            <w:r>
              <w:rPr>
                <w:rFonts w:ascii="华文细黑"/>
                <w:sz w:val="16"/>
              </w:rPr>
            </w:r>
          </w:p>
        </w:tc>
        <w:tc>
          <w:tcPr>
            <w:tcW w:w="95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98"/>
              <w:jc w:val="right"/>
              <w:rPr>
                <w:rFonts w:ascii="华文细黑" w:hAnsi="华文细黑" w:cs="华文细黑" w:eastAsia="华文细黑" w:hint="default"/>
                <w:sz w:val="16"/>
                <w:szCs w:val="16"/>
              </w:rPr>
            </w:pPr>
            <w:r>
              <w:rPr>
                <w:rFonts w:ascii="华文细黑"/>
                <w:w w:val="95"/>
                <w:sz w:val="16"/>
              </w:rPr>
              <w:t>59,820</w:t>
            </w:r>
            <w:r>
              <w:rPr>
                <w:rFonts w:ascii="华文细黑"/>
                <w:sz w:val="16"/>
              </w:rPr>
            </w:r>
          </w:p>
        </w:tc>
        <w:tc>
          <w:tcPr>
            <w:tcW w:w="604" w:type="dxa"/>
            <w:tcBorders>
              <w:top w:val="single" w:sz="4" w:space="0" w:color="FFC000"/>
              <w:left w:val="single" w:sz="4" w:space="0" w:color="FFC000"/>
              <w:bottom w:val="single" w:sz="4" w:space="0" w:color="FFC000"/>
              <w:right w:val="single" w:sz="4" w:space="0" w:color="FFC000"/>
            </w:tcBorders>
          </w:tcPr>
          <w:p>
            <w:pP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99"/>
              <w:jc w:val="right"/>
              <w:rPr>
                <w:rFonts w:ascii="华文细黑" w:hAnsi="华文细黑" w:cs="华文细黑" w:eastAsia="华文细黑" w:hint="default"/>
                <w:sz w:val="16"/>
                <w:szCs w:val="16"/>
              </w:rPr>
            </w:pPr>
            <w:r>
              <w:rPr>
                <w:rFonts w:ascii="华文细黑"/>
                <w:w w:val="95"/>
                <w:sz w:val="16"/>
              </w:rPr>
              <w:t>59,820</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left="23" w:right="0"/>
              <w:jc w:val="center"/>
              <w:rPr>
                <w:rFonts w:ascii="华文细黑" w:hAnsi="华文细黑" w:cs="华文细黑" w:eastAsia="华文细黑" w:hint="default"/>
                <w:sz w:val="16"/>
                <w:szCs w:val="16"/>
              </w:rPr>
            </w:pPr>
            <w:r>
              <w:rPr>
                <w:rFonts w:ascii="华文细黑"/>
                <w:sz w:val="16"/>
              </w:rPr>
              <w:t>100.00%</w:t>
            </w:r>
          </w:p>
        </w:tc>
        <w:tc>
          <w:tcPr>
            <w:tcW w:w="1134" w:type="dxa"/>
            <w:tcBorders>
              <w:top w:val="single" w:sz="4" w:space="0" w:color="FFC000"/>
              <w:left w:val="single" w:sz="4" w:space="0" w:color="FFC000"/>
              <w:bottom w:val="single" w:sz="4" w:space="0" w:color="FFC000"/>
              <w:right w:val="single" w:sz="4" w:space="0" w:color="FFC000"/>
            </w:tcBorders>
          </w:tcPr>
          <w:p>
            <w:pPr/>
          </w:p>
        </w:tc>
        <w:tc>
          <w:tcPr>
            <w:tcW w:w="568"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left="197" w:right="0"/>
              <w:jc w:val="left"/>
              <w:rPr>
                <w:rFonts w:ascii="华文细黑" w:hAnsi="华文细黑" w:cs="华文细黑" w:eastAsia="华文细黑" w:hint="default"/>
                <w:sz w:val="16"/>
                <w:szCs w:val="16"/>
              </w:rPr>
            </w:pPr>
            <w:r>
              <w:rPr>
                <w:rFonts w:ascii="华文细黑" w:hAnsi="华文细黑" w:cs="华文细黑" w:eastAsia="华文细黑" w:hint="default"/>
                <w:w w:val="99"/>
                <w:sz w:val="16"/>
                <w:szCs w:val="16"/>
              </w:rPr>
              <w:t>是</w:t>
            </w:r>
            <w:r>
              <w:rPr>
                <w:rFonts w:ascii="华文细黑" w:hAnsi="华文细黑" w:cs="华文细黑" w:eastAsia="华文细黑" w:hint="default"/>
                <w:sz w:val="16"/>
                <w:szCs w:val="16"/>
              </w:rPr>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left="103" w:right="0"/>
              <w:jc w:val="left"/>
              <w:rPr>
                <w:rFonts w:ascii="华文细黑" w:hAnsi="华文细黑" w:cs="华文细黑" w:eastAsia="华文细黑" w:hint="default"/>
                <w:sz w:val="16"/>
                <w:szCs w:val="16"/>
              </w:rPr>
            </w:pPr>
            <w:r>
              <w:rPr>
                <w:rFonts w:ascii="华文细黑" w:hAnsi="华文细黑" w:cs="华文细黑" w:eastAsia="华文细黑" w:hint="default"/>
                <w:w w:val="99"/>
                <w:sz w:val="16"/>
                <w:szCs w:val="16"/>
              </w:rPr>
              <w:t>否</w:t>
            </w:r>
            <w:r>
              <w:rPr>
                <w:rFonts w:ascii="华文细黑" w:hAnsi="华文细黑" w:cs="华文细黑" w:eastAsia="华文细黑" w:hint="default"/>
                <w:sz w:val="16"/>
                <w:szCs w:val="16"/>
              </w:rPr>
            </w:r>
          </w:p>
        </w:tc>
      </w:tr>
      <w:tr>
        <w:trPr>
          <w:trHeight w:val="714" w:hRule="exact"/>
        </w:trPr>
        <w:tc>
          <w:tcPr>
            <w:tcW w:w="22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3"/>
                <w:sz w:val="18"/>
                <w:szCs w:val="18"/>
              </w:rPr>
              <w:t>8</w:t>
            </w:r>
            <w:r>
              <w:rPr>
                <w:rFonts w:ascii="华文细黑" w:hAnsi="华文细黑" w:cs="华文细黑" w:eastAsia="华文细黑" w:hint="default"/>
                <w:spacing w:val="-3"/>
                <w:sz w:val="18"/>
                <w:szCs w:val="18"/>
              </w:rPr>
              <w:t>、非公开发行股票补充流</w:t>
            </w:r>
            <w:r>
              <w:rPr>
                <w:rFonts w:ascii="华文细黑" w:hAnsi="华文细黑" w:cs="华文细黑" w:eastAsia="华文细黑" w:hint="default"/>
                <w:spacing w:val="-37"/>
                <w:sz w:val="18"/>
                <w:szCs w:val="18"/>
              </w:rPr>
              <w:t> </w:t>
            </w:r>
            <w:r>
              <w:rPr>
                <w:rFonts w:ascii="华文细黑" w:hAnsi="华文细黑" w:cs="华文细黑" w:eastAsia="华文细黑" w:hint="default"/>
                <w:spacing w:val="-37"/>
                <w:sz w:val="18"/>
                <w:szCs w:val="18"/>
              </w:rPr>
            </w:r>
            <w:r>
              <w:rPr>
                <w:rFonts w:ascii="华文细黑" w:hAnsi="华文细黑" w:cs="华文细黑" w:eastAsia="华文细黑" w:hint="default"/>
                <w:sz w:val="18"/>
                <w:szCs w:val="18"/>
              </w:rPr>
              <w:t>动资金</w:t>
            </w:r>
          </w:p>
        </w:tc>
        <w:tc>
          <w:tcPr>
            <w:tcW w:w="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right="99"/>
              <w:jc w:val="right"/>
              <w:rPr>
                <w:rFonts w:ascii="华文细黑" w:hAnsi="华文细黑" w:cs="华文细黑" w:eastAsia="华文细黑" w:hint="default"/>
                <w:sz w:val="16"/>
                <w:szCs w:val="16"/>
              </w:rPr>
            </w:pPr>
            <w:r>
              <w:rPr>
                <w:rFonts w:ascii="华文细黑"/>
                <w:w w:val="95"/>
                <w:sz w:val="16"/>
              </w:rPr>
              <w:t>39,269.2</w:t>
            </w:r>
            <w:r>
              <w:rPr>
                <w:rFonts w:ascii="华文细黑"/>
                <w:sz w:val="16"/>
              </w:rPr>
            </w:r>
          </w:p>
        </w:tc>
        <w:tc>
          <w:tcPr>
            <w:tcW w:w="95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right="98"/>
              <w:jc w:val="right"/>
              <w:rPr>
                <w:rFonts w:ascii="华文细黑" w:hAnsi="华文细黑" w:cs="华文细黑" w:eastAsia="华文细黑" w:hint="default"/>
                <w:sz w:val="16"/>
                <w:szCs w:val="16"/>
              </w:rPr>
            </w:pPr>
            <w:r>
              <w:rPr>
                <w:rFonts w:ascii="华文细黑"/>
                <w:w w:val="95"/>
                <w:sz w:val="16"/>
              </w:rPr>
              <w:t>39,269.2</w:t>
            </w:r>
            <w:r>
              <w:rPr>
                <w:rFonts w:ascii="华文细黑"/>
                <w:sz w:val="16"/>
              </w:rPr>
            </w:r>
          </w:p>
        </w:tc>
        <w:tc>
          <w:tcPr>
            <w:tcW w:w="604" w:type="dxa"/>
            <w:tcBorders>
              <w:top w:val="single" w:sz="4" w:space="0" w:color="FFC000"/>
              <w:left w:val="single" w:sz="4" w:space="0" w:color="FFC000"/>
              <w:bottom w:val="single" w:sz="4" w:space="0" w:color="FFC000"/>
              <w:right w:val="single" w:sz="4" w:space="0" w:color="FFC000"/>
            </w:tcBorders>
          </w:tcPr>
          <w:p>
            <w:pP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right="99"/>
              <w:jc w:val="right"/>
              <w:rPr>
                <w:rFonts w:ascii="华文细黑" w:hAnsi="华文细黑" w:cs="华文细黑" w:eastAsia="华文细黑" w:hint="default"/>
                <w:sz w:val="16"/>
                <w:szCs w:val="16"/>
              </w:rPr>
            </w:pPr>
            <w:r>
              <w:rPr>
                <w:rFonts w:ascii="华文细黑"/>
                <w:w w:val="95"/>
                <w:sz w:val="16"/>
              </w:rPr>
              <w:t>39,269.2</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23" w:right="0"/>
              <w:jc w:val="center"/>
              <w:rPr>
                <w:rFonts w:ascii="华文细黑" w:hAnsi="华文细黑" w:cs="华文细黑" w:eastAsia="华文细黑" w:hint="default"/>
                <w:sz w:val="16"/>
                <w:szCs w:val="16"/>
              </w:rPr>
            </w:pPr>
            <w:r>
              <w:rPr>
                <w:rFonts w:ascii="华文细黑"/>
                <w:sz w:val="16"/>
              </w:rPr>
              <w:t>100.00%</w:t>
            </w:r>
          </w:p>
        </w:tc>
        <w:tc>
          <w:tcPr>
            <w:tcW w:w="1134" w:type="dxa"/>
            <w:tcBorders>
              <w:top w:val="single" w:sz="4" w:space="0" w:color="FFC000"/>
              <w:left w:val="single" w:sz="4" w:space="0" w:color="FFC000"/>
              <w:bottom w:val="single" w:sz="4" w:space="0" w:color="FFC000"/>
              <w:right w:val="single" w:sz="4" w:space="0" w:color="FFC000"/>
            </w:tcBorders>
          </w:tcPr>
          <w:p>
            <w:pPr/>
          </w:p>
        </w:tc>
        <w:tc>
          <w:tcPr>
            <w:tcW w:w="568"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97" w:right="0"/>
              <w:jc w:val="left"/>
              <w:rPr>
                <w:rFonts w:ascii="华文细黑" w:hAnsi="华文细黑" w:cs="华文细黑" w:eastAsia="华文细黑" w:hint="default"/>
                <w:sz w:val="16"/>
                <w:szCs w:val="16"/>
              </w:rPr>
            </w:pPr>
            <w:r>
              <w:rPr>
                <w:rFonts w:ascii="华文细黑" w:hAnsi="华文细黑" w:cs="华文细黑" w:eastAsia="华文细黑" w:hint="default"/>
                <w:w w:val="99"/>
                <w:sz w:val="16"/>
                <w:szCs w:val="16"/>
              </w:rPr>
              <w:t>是</w:t>
            </w:r>
            <w:r>
              <w:rPr>
                <w:rFonts w:ascii="华文细黑" w:hAnsi="华文细黑" w:cs="华文细黑" w:eastAsia="华文细黑" w:hint="default"/>
                <w:sz w:val="16"/>
                <w:szCs w:val="16"/>
              </w:rPr>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华文细黑" w:hAnsi="华文细黑" w:cs="华文细黑" w:eastAsia="华文细黑" w:hint="default"/>
                <w:sz w:val="16"/>
                <w:szCs w:val="16"/>
              </w:rPr>
            </w:pPr>
            <w:r>
              <w:rPr>
                <w:rFonts w:ascii="华文细黑" w:hAnsi="华文细黑" w:cs="华文细黑" w:eastAsia="华文细黑" w:hint="default"/>
                <w:w w:val="99"/>
                <w:sz w:val="16"/>
                <w:szCs w:val="16"/>
              </w:rPr>
              <w:t>否</w:t>
            </w:r>
            <w:r>
              <w:rPr>
                <w:rFonts w:ascii="华文细黑" w:hAnsi="华文细黑" w:cs="华文细黑" w:eastAsia="华文细黑" w:hint="default"/>
                <w:sz w:val="16"/>
                <w:szCs w:val="16"/>
              </w:rPr>
            </w:r>
          </w:p>
        </w:tc>
      </w:tr>
      <w:tr>
        <w:trPr>
          <w:trHeight w:val="402" w:hRule="exact"/>
        </w:trPr>
        <w:tc>
          <w:tcPr>
            <w:tcW w:w="22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承诺投资项目小计</w:t>
            </w:r>
          </w:p>
        </w:tc>
        <w:tc>
          <w:tcPr>
            <w:tcW w:w="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288"/>
              <w:jc w:val="right"/>
              <w:rPr>
                <w:rFonts w:ascii="华文细黑" w:hAnsi="华文细黑" w:cs="华文细黑" w:eastAsia="华文细黑" w:hint="default"/>
                <w:sz w:val="18"/>
                <w:szCs w:val="18"/>
              </w:rPr>
            </w:pPr>
            <w:r>
              <w:rPr>
                <w:rFonts w:ascii="华文细黑"/>
                <w:sz w:val="18"/>
              </w:rPr>
              <w:t>--</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99"/>
              <w:jc w:val="right"/>
              <w:rPr>
                <w:rFonts w:ascii="华文细黑" w:hAnsi="华文细黑" w:cs="华文细黑" w:eastAsia="华文细黑" w:hint="default"/>
                <w:sz w:val="16"/>
                <w:szCs w:val="16"/>
              </w:rPr>
            </w:pPr>
            <w:r>
              <w:rPr>
                <w:rFonts w:ascii="华文细黑"/>
                <w:w w:val="95"/>
                <w:sz w:val="16"/>
              </w:rPr>
              <w:t>245,223.7</w:t>
            </w:r>
            <w:r>
              <w:rPr>
                <w:rFonts w:ascii="华文细黑"/>
                <w:sz w:val="16"/>
              </w:rPr>
            </w:r>
          </w:p>
        </w:tc>
        <w:tc>
          <w:tcPr>
            <w:tcW w:w="95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98"/>
              <w:jc w:val="right"/>
              <w:rPr>
                <w:rFonts w:ascii="华文细黑" w:hAnsi="华文细黑" w:cs="华文细黑" w:eastAsia="华文细黑" w:hint="default"/>
                <w:sz w:val="16"/>
                <w:szCs w:val="16"/>
              </w:rPr>
            </w:pPr>
            <w:r>
              <w:rPr>
                <w:rFonts w:ascii="华文细黑"/>
                <w:w w:val="95"/>
                <w:sz w:val="16"/>
              </w:rPr>
              <w:t>245,223.7</w:t>
            </w:r>
            <w:r>
              <w:rPr>
                <w:rFonts w:ascii="华文细黑"/>
                <w:sz w:val="16"/>
              </w:rPr>
            </w:r>
          </w:p>
        </w:tc>
        <w:tc>
          <w:tcPr>
            <w:tcW w:w="60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101"/>
              <w:jc w:val="right"/>
              <w:rPr>
                <w:rFonts w:ascii="华文细黑" w:hAnsi="华文细黑" w:cs="华文细黑" w:eastAsia="华文细黑" w:hint="default"/>
                <w:sz w:val="16"/>
                <w:szCs w:val="16"/>
              </w:rPr>
            </w:pPr>
            <w:r>
              <w:rPr>
                <w:rFonts w:ascii="华文细黑"/>
                <w:w w:val="95"/>
                <w:sz w:val="16"/>
              </w:rPr>
              <w:t>81.2</w:t>
            </w:r>
            <w:r>
              <w:rPr>
                <w:rFonts w:ascii="华文细黑"/>
                <w:sz w:val="16"/>
              </w:rPr>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99"/>
              <w:jc w:val="right"/>
              <w:rPr>
                <w:rFonts w:ascii="华文细黑" w:hAnsi="华文细黑" w:cs="华文细黑" w:eastAsia="华文细黑" w:hint="default"/>
                <w:sz w:val="16"/>
                <w:szCs w:val="16"/>
              </w:rPr>
            </w:pPr>
            <w:r>
              <w:rPr>
                <w:rFonts w:ascii="华文细黑"/>
                <w:w w:val="95"/>
                <w:sz w:val="16"/>
              </w:rPr>
              <w:t>242,028.07</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1"/>
              <w:jc w:val="center"/>
              <w:rPr>
                <w:rFonts w:ascii="华文细黑" w:hAnsi="华文细黑" w:cs="华文细黑" w:eastAsia="华文细黑" w:hint="default"/>
                <w:sz w:val="16"/>
                <w:szCs w:val="16"/>
              </w:rPr>
            </w:pPr>
            <w:r>
              <w:rPr>
                <w:rFonts w:ascii="华文细黑"/>
                <w:sz w:val="16"/>
              </w:rPr>
              <w:t>--</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1"/>
              <w:jc w:val="center"/>
              <w:rPr>
                <w:rFonts w:ascii="华文细黑" w:hAnsi="华文细黑" w:cs="华文细黑" w:eastAsia="华文细黑" w:hint="default"/>
                <w:sz w:val="16"/>
                <w:szCs w:val="16"/>
              </w:rPr>
            </w:pPr>
            <w:r>
              <w:rPr>
                <w:rFonts w:ascii="华文细黑"/>
                <w:sz w:val="16"/>
              </w:rPr>
              <w:t>--</w:t>
            </w:r>
          </w:p>
        </w:tc>
        <w:tc>
          <w:tcPr>
            <w:tcW w:w="568"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left="224" w:right="0"/>
              <w:jc w:val="left"/>
              <w:rPr>
                <w:rFonts w:ascii="华文细黑" w:hAnsi="华文细黑" w:cs="华文细黑" w:eastAsia="华文细黑" w:hint="default"/>
                <w:sz w:val="16"/>
                <w:szCs w:val="16"/>
              </w:rPr>
            </w:pPr>
            <w:r>
              <w:rPr>
                <w:rFonts w:ascii="华文细黑"/>
                <w:sz w:val="16"/>
              </w:rPr>
              <w:t>--</w:t>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295"/>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402" w:hRule="exact"/>
        </w:trPr>
        <w:tc>
          <w:tcPr>
            <w:tcW w:w="10633" w:type="dxa"/>
            <w:gridSpan w:val="11"/>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7"/>
              <w:ind w:left="103"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超募资金投向</w:t>
            </w:r>
          </w:p>
        </w:tc>
      </w:tr>
      <w:tr>
        <w:trPr>
          <w:trHeight w:val="402" w:hRule="exact"/>
        </w:trPr>
        <w:tc>
          <w:tcPr>
            <w:tcW w:w="22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、补充营运资金</w:t>
            </w:r>
          </w:p>
        </w:tc>
        <w:tc>
          <w:tcPr>
            <w:tcW w:w="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99"/>
              <w:jc w:val="right"/>
              <w:rPr>
                <w:rFonts w:ascii="华文细黑" w:hAnsi="华文细黑" w:cs="华文细黑" w:eastAsia="华文细黑" w:hint="default"/>
                <w:sz w:val="16"/>
                <w:szCs w:val="16"/>
              </w:rPr>
            </w:pPr>
            <w:r>
              <w:rPr>
                <w:rFonts w:ascii="华文细黑"/>
                <w:w w:val="95"/>
                <w:sz w:val="16"/>
              </w:rPr>
              <w:t>127,563.19</w:t>
            </w:r>
            <w:r>
              <w:rPr>
                <w:rFonts w:ascii="华文细黑"/>
                <w:sz w:val="16"/>
              </w:rPr>
            </w:r>
          </w:p>
        </w:tc>
        <w:tc>
          <w:tcPr>
            <w:tcW w:w="95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98"/>
              <w:jc w:val="right"/>
              <w:rPr>
                <w:rFonts w:ascii="华文细黑" w:hAnsi="华文细黑" w:cs="华文细黑" w:eastAsia="华文细黑" w:hint="default"/>
                <w:sz w:val="16"/>
                <w:szCs w:val="16"/>
              </w:rPr>
            </w:pPr>
            <w:r>
              <w:rPr>
                <w:rFonts w:ascii="华文细黑"/>
                <w:w w:val="95"/>
                <w:sz w:val="16"/>
              </w:rPr>
              <w:t>128,722.4</w:t>
            </w:r>
            <w:r>
              <w:rPr>
                <w:rFonts w:ascii="华文细黑"/>
                <w:sz w:val="16"/>
              </w:rPr>
            </w:r>
          </w:p>
        </w:tc>
        <w:tc>
          <w:tcPr>
            <w:tcW w:w="604" w:type="dxa"/>
            <w:tcBorders>
              <w:top w:val="single" w:sz="4" w:space="0" w:color="FFC000"/>
              <w:left w:val="single" w:sz="4" w:space="0" w:color="FFC000"/>
              <w:bottom w:val="single" w:sz="4" w:space="0" w:color="FFC000"/>
              <w:right w:val="single" w:sz="4" w:space="0" w:color="FFC000"/>
            </w:tcBorders>
          </w:tcPr>
          <w:p>
            <w:pP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99"/>
              <w:jc w:val="right"/>
              <w:rPr>
                <w:rFonts w:ascii="华文细黑" w:hAnsi="华文细黑" w:cs="华文细黑" w:eastAsia="华文细黑" w:hint="default"/>
                <w:sz w:val="16"/>
                <w:szCs w:val="16"/>
              </w:rPr>
            </w:pPr>
            <w:r>
              <w:rPr>
                <w:rFonts w:ascii="华文细黑"/>
                <w:w w:val="95"/>
                <w:sz w:val="16"/>
              </w:rPr>
              <w:t>128,722.4</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left="23" w:right="0"/>
              <w:jc w:val="center"/>
              <w:rPr>
                <w:rFonts w:ascii="华文细黑" w:hAnsi="华文细黑" w:cs="华文细黑" w:eastAsia="华文细黑" w:hint="default"/>
                <w:sz w:val="16"/>
                <w:szCs w:val="16"/>
              </w:rPr>
            </w:pPr>
            <w:r>
              <w:rPr>
                <w:rFonts w:ascii="华文细黑"/>
                <w:sz w:val="16"/>
              </w:rPr>
              <w:t>100.00%</w:t>
            </w:r>
          </w:p>
        </w:tc>
        <w:tc>
          <w:tcPr>
            <w:tcW w:w="1134" w:type="dxa"/>
            <w:tcBorders>
              <w:top w:val="single" w:sz="4" w:space="0" w:color="FFC000"/>
              <w:left w:val="single" w:sz="4" w:space="0" w:color="FFC000"/>
              <w:bottom w:val="single" w:sz="4" w:space="0" w:color="FFC000"/>
              <w:right w:val="single" w:sz="4" w:space="0" w:color="FFC000"/>
            </w:tcBorders>
          </w:tcPr>
          <w:p>
            <w:pPr/>
          </w:p>
        </w:tc>
        <w:tc>
          <w:tcPr>
            <w:tcW w:w="568"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708"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22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超募资金投向小计</w:t>
            </w:r>
          </w:p>
        </w:tc>
        <w:tc>
          <w:tcPr>
            <w:tcW w:w="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288"/>
              <w:jc w:val="right"/>
              <w:rPr>
                <w:rFonts w:ascii="华文细黑" w:hAnsi="华文细黑" w:cs="华文细黑" w:eastAsia="华文细黑" w:hint="default"/>
                <w:sz w:val="18"/>
                <w:szCs w:val="18"/>
              </w:rPr>
            </w:pPr>
            <w:r>
              <w:rPr>
                <w:rFonts w:ascii="华文细黑"/>
                <w:sz w:val="18"/>
              </w:rPr>
              <w:t>--</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99"/>
              <w:jc w:val="right"/>
              <w:rPr>
                <w:rFonts w:ascii="华文细黑" w:hAnsi="华文细黑" w:cs="华文细黑" w:eastAsia="华文细黑" w:hint="default"/>
                <w:sz w:val="16"/>
                <w:szCs w:val="16"/>
              </w:rPr>
            </w:pPr>
            <w:r>
              <w:rPr>
                <w:rFonts w:ascii="华文细黑"/>
                <w:w w:val="95"/>
                <w:sz w:val="16"/>
              </w:rPr>
              <w:t>127,563.19</w:t>
            </w:r>
            <w:r>
              <w:rPr>
                <w:rFonts w:ascii="华文细黑"/>
                <w:sz w:val="16"/>
              </w:rPr>
            </w:r>
          </w:p>
        </w:tc>
        <w:tc>
          <w:tcPr>
            <w:tcW w:w="95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98"/>
              <w:jc w:val="right"/>
              <w:rPr>
                <w:rFonts w:ascii="华文细黑" w:hAnsi="华文细黑" w:cs="华文细黑" w:eastAsia="华文细黑" w:hint="default"/>
                <w:sz w:val="16"/>
                <w:szCs w:val="16"/>
              </w:rPr>
            </w:pPr>
            <w:r>
              <w:rPr>
                <w:rFonts w:ascii="华文细黑"/>
                <w:w w:val="95"/>
                <w:sz w:val="16"/>
              </w:rPr>
              <w:t>128,722.4</w:t>
            </w:r>
            <w:r>
              <w:rPr>
                <w:rFonts w:ascii="华文细黑"/>
                <w:sz w:val="16"/>
              </w:rPr>
            </w:r>
          </w:p>
        </w:tc>
        <w:tc>
          <w:tcPr>
            <w:tcW w:w="604" w:type="dxa"/>
            <w:tcBorders>
              <w:top w:val="single" w:sz="4" w:space="0" w:color="FFC000"/>
              <w:left w:val="single" w:sz="4" w:space="0" w:color="FFC000"/>
              <w:bottom w:val="single" w:sz="4" w:space="0" w:color="FFC000"/>
              <w:right w:val="single" w:sz="4" w:space="0" w:color="FFC000"/>
            </w:tcBorders>
          </w:tcPr>
          <w:p>
            <w:pP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99"/>
              <w:jc w:val="right"/>
              <w:rPr>
                <w:rFonts w:ascii="华文细黑" w:hAnsi="华文细黑" w:cs="华文细黑" w:eastAsia="华文细黑" w:hint="default"/>
                <w:sz w:val="16"/>
                <w:szCs w:val="16"/>
              </w:rPr>
            </w:pPr>
            <w:r>
              <w:rPr>
                <w:rFonts w:ascii="华文细黑"/>
                <w:w w:val="95"/>
                <w:sz w:val="16"/>
              </w:rPr>
              <w:t>128,722.4</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1"/>
              <w:jc w:val="center"/>
              <w:rPr>
                <w:rFonts w:ascii="华文细黑" w:hAnsi="华文细黑" w:cs="华文细黑" w:eastAsia="华文细黑" w:hint="default"/>
                <w:sz w:val="16"/>
                <w:szCs w:val="16"/>
              </w:rPr>
            </w:pPr>
            <w:r>
              <w:rPr>
                <w:rFonts w:ascii="华文细黑"/>
                <w:sz w:val="16"/>
              </w:rPr>
              <w:t>--</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1"/>
              <w:jc w:val="center"/>
              <w:rPr>
                <w:rFonts w:ascii="华文细黑" w:hAnsi="华文细黑" w:cs="华文细黑" w:eastAsia="华文细黑" w:hint="default"/>
                <w:sz w:val="16"/>
                <w:szCs w:val="16"/>
              </w:rPr>
            </w:pPr>
            <w:r>
              <w:rPr>
                <w:rFonts w:ascii="华文细黑"/>
                <w:sz w:val="16"/>
              </w:rPr>
              <w:t>--</w:t>
            </w:r>
          </w:p>
        </w:tc>
        <w:tc>
          <w:tcPr>
            <w:tcW w:w="568"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left="224" w:right="0"/>
              <w:jc w:val="left"/>
              <w:rPr>
                <w:rFonts w:ascii="华文细黑" w:hAnsi="华文细黑" w:cs="华文细黑" w:eastAsia="华文细黑" w:hint="default"/>
                <w:sz w:val="16"/>
                <w:szCs w:val="16"/>
              </w:rPr>
            </w:pPr>
            <w:r>
              <w:rPr>
                <w:rFonts w:ascii="华文细黑"/>
                <w:sz w:val="16"/>
              </w:rPr>
              <w:t>--</w:t>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295"/>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402" w:hRule="exact"/>
        </w:trPr>
        <w:tc>
          <w:tcPr>
            <w:tcW w:w="22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合计</w:t>
            </w:r>
          </w:p>
        </w:tc>
        <w:tc>
          <w:tcPr>
            <w:tcW w:w="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288"/>
              <w:jc w:val="right"/>
              <w:rPr>
                <w:rFonts w:ascii="华文细黑" w:hAnsi="华文细黑" w:cs="华文细黑" w:eastAsia="华文细黑" w:hint="default"/>
                <w:sz w:val="18"/>
                <w:szCs w:val="18"/>
              </w:rPr>
            </w:pPr>
            <w:r>
              <w:rPr>
                <w:rFonts w:ascii="华文细黑"/>
                <w:sz w:val="18"/>
              </w:rPr>
              <w:t>--</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100"/>
              <w:jc w:val="right"/>
              <w:rPr>
                <w:rFonts w:ascii="华文细黑" w:hAnsi="华文细黑" w:cs="华文细黑" w:eastAsia="华文细黑" w:hint="default"/>
                <w:sz w:val="16"/>
                <w:szCs w:val="16"/>
              </w:rPr>
            </w:pPr>
            <w:r>
              <w:rPr>
                <w:rFonts w:ascii="华文细黑"/>
                <w:w w:val="95"/>
                <w:sz w:val="16"/>
              </w:rPr>
              <w:t>372,786.89</w:t>
            </w:r>
            <w:r>
              <w:rPr>
                <w:rFonts w:ascii="华文细黑"/>
                <w:sz w:val="16"/>
              </w:rPr>
            </w:r>
          </w:p>
        </w:tc>
        <w:tc>
          <w:tcPr>
            <w:tcW w:w="95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98"/>
              <w:jc w:val="right"/>
              <w:rPr>
                <w:rFonts w:ascii="华文细黑" w:hAnsi="华文细黑" w:cs="华文细黑" w:eastAsia="华文细黑" w:hint="default"/>
                <w:sz w:val="16"/>
                <w:szCs w:val="16"/>
              </w:rPr>
            </w:pPr>
            <w:r>
              <w:rPr>
                <w:rFonts w:ascii="华文细黑"/>
                <w:w w:val="95"/>
                <w:sz w:val="16"/>
              </w:rPr>
              <w:t>373,946.1</w:t>
            </w:r>
            <w:r>
              <w:rPr>
                <w:rFonts w:ascii="华文细黑"/>
                <w:sz w:val="16"/>
              </w:rPr>
            </w:r>
          </w:p>
        </w:tc>
        <w:tc>
          <w:tcPr>
            <w:tcW w:w="60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101"/>
              <w:jc w:val="right"/>
              <w:rPr>
                <w:rFonts w:ascii="华文细黑" w:hAnsi="华文细黑" w:cs="华文细黑" w:eastAsia="华文细黑" w:hint="default"/>
                <w:sz w:val="16"/>
                <w:szCs w:val="16"/>
              </w:rPr>
            </w:pPr>
            <w:r>
              <w:rPr>
                <w:rFonts w:ascii="华文细黑"/>
                <w:w w:val="95"/>
                <w:sz w:val="16"/>
              </w:rPr>
              <w:t>81.2</w:t>
            </w:r>
            <w:r>
              <w:rPr>
                <w:rFonts w:ascii="华文细黑"/>
                <w:sz w:val="16"/>
              </w:rPr>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99"/>
              <w:jc w:val="right"/>
              <w:rPr>
                <w:rFonts w:ascii="华文细黑" w:hAnsi="华文细黑" w:cs="华文细黑" w:eastAsia="华文细黑" w:hint="default"/>
                <w:sz w:val="16"/>
                <w:szCs w:val="16"/>
              </w:rPr>
            </w:pPr>
            <w:r>
              <w:rPr>
                <w:rFonts w:ascii="华文细黑"/>
                <w:w w:val="95"/>
                <w:sz w:val="16"/>
              </w:rPr>
              <w:t>370,750.47</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1"/>
              <w:jc w:val="center"/>
              <w:rPr>
                <w:rFonts w:ascii="华文细黑" w:hAnsi="华文细黑" w:cs="华文细黑" w:eastAsia="华文细黑" w:hint="default"/>
                <w:sz w:val="16"/>
                <w:szCs w:val="16"/>
              </w:rPr>
            </w:pPr>
            <w:r>
              <w:rPr>
                <w:rFonts w:ascii="华文细黑"/>
                <w:sz w:val="16"/>
              </w:rPr>
              <w:t>--</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1"/>
              <w:jc w:val="center"/>
              <w:rPr>
                <w:rFonts w:ascii="华文细黑" w:hAnsi="华文细黑" w:cs="华文细黑" w:eastAsia="华文细黑" w:hint="default"/>
                <w:sz w:val="16"/>
                <w:szCs w:val="16"/>
              </w:rPr>
            </w:pPr>
            <w:r>
              <w:rPr>
                <w:rFonts w:ascii="华文细黑"/>
                <w:sz w:val="16"/>
              </w:rPr>
              <w:t>--</w:t>
            </w:r>
          </w:p>
        </w:tc>
        <w:tc>
          <w:tcPr>
            <w:tcW w:w="568"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left="224" w:right="0"/>
              <w:jc w:val="left"/>
              <w:rPr>
                <w:rFonts w:ascii="华文细黑" w:hAnsi="华文细黑" w:cs="华文细黑" w:eastAsia="华文细黑" w:hint="default"/>
                <w:sz w:val="16"/>
                <w:szCs w:val="16"/>
              </w:rPr>
            </w:pPr>
            <w:r>
              <w:rPr>
                <w:rFonts w:ascii="华文细黑"/>
                <w:sz w:val="16"/>
              </w:rPr>
              <w:t>--</w:t>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7"/>
              <w:ind w:right="295"/>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1962" w:hRule="exact"/>
        </w:trPr>
        <w:tc>
          <w:tcPr>
            <w:tcW w:w="22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95" w:lineRule="auto"/>
              <w:ind w:left="103" w:right="174"/>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未达到计划进度或预计收 益的情况和原因（分具体 项目）</w:t>
            </w:r>
          </w:p>
        </w:tc>
        <w:tc>
          <w:tcPr>
            <w:tcW w:w="8364" w:type="dxa"/>
            <w:gridSpan w:val="10"/>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 </w:t>
            </w:r>
            <w:r>
              <w:rPr>
                <w:rFonts w:ascii="华文细黑" w:hAnsi="华文细黑" w:cs="华文细黑" w:eastAsia="华文细黑" w:hint="default"/>
                <w:sz w:val="18"/>
                <w:szCs w:val="18"/>
              </w:rPr>
              <w:t>数码电子产品零售终端扩建项目：本项目原计划在全国范围内开设数码电子产品专卖店，同时增加</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IT </w:t>
            </w:r>
            <w:r>
              <w:rPr>
                <w:rFonts w:ascii="华文细黑" w:hAnsi="华文细黑" w:cs="华文细黑" w:eastAsia="华文细黑" w:hint="default"/>
                <w:sz w:val="18"/>
                <w:szCs w:val="18"/>
              </w:rPr>
              <w:t>软硬件投资，以支持深圳酷动管理门店数量的增加。期末累计投入金额未达到预期的主要原因是公司不 断优化门店的同时注意控制专卖店的新建成本，扩建项目资金结余所致；</w:t>
            </w:r>
            <w:r>
              <w:rPr>
                <w:rFonts w:ascii="华文细黑" w:hAnsi="华文细黑" w:cs="华文细黑" w:eastAsia="华文细黑" w:hint="default"/>
                <w:sz w:val="18"/>
                <w:szCs w:val="18"/>
              </w:rPr>
              <w:t>2.</w:t>
            </w:r>
            <w:r>
              <w:rPr>
                <w:rFonts w:ascii="华文细黑" w:hAnsi="华文细黑" w:cs="华文细黑" w:eastAsia="华文细黑" w:hint="default"/>
                <w:spacing w:val="38"/>
                <w:sz w:val="18"/>
                <w:szCs w:val="18"/>
              </w:rPr>
              <w:t> </w:t>
            </w:r>
            <w:r>
              <w:rPr>
                <w:rFonts w:ascii="华文细黑" w:hAnsi="华文细黑" w:cs="华文细黑" w:eastAsia="华文细黑" w:hint="default"/>
                <w:sz w:val="18"/>
                <w:szCs w:val="18"/>
              </w:rPr>
              <w:t>产品运营平台扩建项目：本 </w:t>
            </w:r>
            <w:r>
              <w:rPr>
                <w:rFonts w:ascii="华文细黑" w:hAnsi="华文细黑" w:cs="华文细黑" w:eastAsia="华文细黑" w:hint="default"/>
                <w:spacing w:val="-1"/>
                <w:sz w:val="18"/>
                <w:szCs w:val="18"/>
              </w:rPr>
              <w:t>项目期末累计投入金额未达到预期的主要原因是公司出于成本控制考虑，部分投入与公司日常运营共用，</w:t>
            </w:r>
            <w:r>
              <w:rPr>
                <w:rFonts w:ascii="华文细黑" w:hAnsi="华文细黑" w:cs="华文细黑" w:eastAsia="华文细黑" w:hint="default"/>
                <w:spacing w:val="-43"/>
                <w:sz w:val="18"/>
                <w:szCs w:val="18"/>
              </w:rPr>
              <w:t> </w:t>
            </w:r>
            <w:r>
              <w:rPr>
                <w:rFonts w:ascii="华文细黑" w:hAnsi="华文细黑" w:cs="华文细黑" w:eastAsia="华文细黑" w:hint="default"/>
                <w:spacing w:val="-43"/>
                <w:sz w:val="18"/>
                <w:szCs w:val="18"/>
              </w:rPr>
            </w:r>
            <w:r>
              <w:rPr>
                <w:rFonts w:ascii="华文细黑" w:hAnsi="华文细黑" w:cs="华文细黑" w:eastAsia="华文细黑" w:hint="default"/>
                <w:sz w:val="18"/>
                <w:szCs w:val="18"/>
              </w:rPr>
              <w:t>造成项目资金结余；</w:t>
            </w:r>
            <w:r>
              <w:rPr>
                <w:rFonts w:ascii="华文细黑" w:hAnsi="华文细黑" w:cs="华文细黑" w:eastAsia="华文细黑" w:hint="default"/>
                <w:sz w:val="18"/>
                <w:szCs w:val="18"/>
              </w:rPr>
              <w:t>3.</w:t>
            </w:r>
            <w:r>
              <w:rPr>
                <w:rFonts w:ascii="华文细黑" w:hAnsi="华文细黑" w:cs="华文细黑" w:eastAsia="华文细黑" w:hint="default"/>
                <w:spacing w:val="38"/>
                <w:sz w:val="18"/>
                <w:szCs w:val="18"/>
              </w:rPr>
              <w:t> </w:t>
            </w:r>
            <w:r>
              <w:rPr>
                <w:rFonts w:ascii="华文细黑" w:hAnsi="华文细黑" w:cs="华文细黑" w:eastAsia="华文细黑" w:hint="default"/>
                <w:sz w:val="18"/>
                <w:szCs w:val="18"/>
              </w:rPr>
              <w:t>信息系统综合管理平台扩建项目：本项目期末累计投入金额未达到预期的主要原 因是在项目实施过程中公司优化供应商及项目开发方案，节约开支，造成项目资金结余。</w:t>
            </w:r>
          </w:p>
        </w:tc>
      </w:tr>
      <w:tr>
        <w:trPr>
          <w:trHeight w:val="714" w:hRule="exact"/>
        </w:trPr>
        <w:tc>
          <w:tcPr>
            <w:tcW w:w="22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7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项目可行性发生重大变化 的情况说明</w:t>
            </w:r>
          </w:p>
        </w:tc>
        <w:tc>
          <w:tcPr>
            <w:tcW w:w="8364" w:type="dxa"/>
            <w:gridSpan w:val="10"/>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w:t>
            </w:r>
          </w:p>
        </w:tc>
      </w:tr>
      <w:tr>
        <w:trPr>
          <w:trHeight w:val="402" w:hRule="exact"/>
        </w:trPr>
        <w:tc>
          <w:tcPr>
            <w:tcW w:w="227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95" w:lineRule="auto"/>
              <w:ind w:left="103" w:right="17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超募资金的金额、用途及 使用进展情况</w:t>
            </w:r>
          </w:p>
        </w:tc>
        <w:tc>
          <w:tcPr>
            <w:tcW w:w="8364" w:type="dxa"/>
            <w:gridSpan w:val="10"/>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适用</w:t>
            </w:r>
          </w:p>
        </w:tc>
      </w:tr>
      <w:tr>
        <w:trPr>
          <w:trHeight w:val="2274" w:hRule="exact"/>
        </w:trPr>
        <w:tc>
          <w:tcPr>
            <w:tcW w:w="2270" w:type="dxa"/>
            <w:vMerge/>
            <w:tcBorders>
              <w:left w:val="single" w:sz="4" w:space="0" w:color="FFC000"/>
              <w:bottom w:val="single" w:sz="4" w:space="0" w:color="FFC000"/>
              <w:right w:val="single" w:sz="4" w:space="0" w:color="FFC000"/>
            </w:tcBorders>
            <w:shd w:val="clear" w:color="auto" w:fill="FFF8E6"/>
          </w:tcPr>
          <w:p>
            <w:pPr/>
          </w:p>
        </w:tc>
        <w:tc>
          <w:tcPr>
            <w:tcW w:w="8364" w:type="dxa"/>
            <w:gridSpan w:val="10"/>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超募资金</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1,275,631,900.00 </w:t>
            </w:r>
            <w:r>
              <w:rPr>
                <w:rFonts w:ascii="华文细黑" w:hAnsi="华文细黑" w:cs="华文细黑" w:eastAsia="华文细黑" w:hint="default"/>
                <w:sz w:val="18"/>
                <w:szCs w:val="18"/>
              </w:rPr>
              <w:t>元。根据公司</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2009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8</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1"/>
                <w:sz w:val="18"/>
                <w:szCs w:val="18"/>
              </w:rPr>
              <w:t> </w:t>
            </w:r>
            <w:r>
              <w:rPr>
                <w:rFonts w:ascii="华文细黑" w:hAnsi="华文细黑" w:cs="华文细黑" w:eastAsia="华文细黑" w:hint="default"/>
                <w:spacing w:val="1"/>
                <w:sz w:val="18"/>
                <w:szCs w:val="18"/>
              </w:rPr>
              <w:t>1</w:t>
            </w:r>
            <w:r>
              <w:rPr>
                <w:rFonts w:ascii="华文细黑" w:hAnsi="华文细黑" w:cs="华文细黑" w:eastAsia="华文细黑" w:hint="default"/>
                <w:sz w:val="18"/>
                <w:szCs w:val="18"/>
              </w:rPr>
              <w:t>8 </w:t>
            </w:r>
            <w:r>
              <w:rPr>
                <w:rFonts w:ascii="华文细黑" w:hAnsi="华文细黑" w:cs="华文细黑" w:eastAsia="华文细黑" w:hint="default"/>
                <w:sz w:val="18"/>
                <w:szCs w:val="18"/>
              </w:rPr>
              <w:t>日股东大会决议和《招股说明书</w:t>
            </w:r>
            <w:r>
              <w:rPr>
                <w:rFonts w:ascii="华文细黑" w:hAnsi="华文细黑" w:cs="华文细黑" w:eastAsia="华文细黑" w:hint="default"/>
                <w:spacing w:val="-90"/>
                <w:sz w:val="18"/>
                <w:szCs w:val="18"/>
              </w:rPr>
              <w:t>》</w:t>
            </w:r>
            <w:r>
              <w:rPr>
                <w:rFonts w:ascii="华文细黑" w:hAnsi="华文细黑" w:cs="华文细黑" w:eastAsia="华文细黑" w:hint="default"/>
                <w:sz w:val="18"/>
                <w:szCs w:val="18"/>
              </w:rPr>
              <w:t>，超募资金</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用于补充公司业务资金需求。</w:t>
            </w:r>
            <w:r>
              <w:rPr>
                <w:rFonts w:ascii="华文细黑" w:hAnsi="华文细黑" w:cs="华文细黑" w:eastAsia="华文细黑" w:hint="default"/>
                <w:sz w:val="18"/>
                <w:szCs w:val="18"/>
              </w:rPr>
              <w:t>2010</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6"/>
                <w:sz w:val="18"/>
                <w:szCs w:val="18"/>
              </w:rPr>
              <w:t> </w:t>
            </w:r>
            <w:r>
              <w:rPr>
                <w:rFonts w:ascii="华文细黑" w:hAnsi="华文细黑" w:cs="华文细黑" w:eastAsia="华文细黑" w:hint="default"/>
                <w:sz w:val="18"/>
                <w:szCs w:val="18"/>
              </w:rPr>
              <w:t>10</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6"/>
                <w:sz w:val="18"/>
                <w:szCs w:val="18"/>
              </w:rPr>
              <w:t> </w:t>
            </w:r>
            <w:r>
              <w:rPr>
                <w:rFonts w:ascii="华文细黑" w:hAnsi="华文细黑" w:cs="华文细黑" w:eastAsia="华文细黑" w:hint="default"/>
                <w:sz w:val="18"/>
                <w:szCs w:val="18"/>
              </w:rPr>
              <w:t>15</w:t>
            </w:r>
            <w:r>
              <w:rPr>
                <w:rFonts w:ascii="华文细黑" w:hAnsi="华文细黑" w:cs="华文细黑" w:eastAsia="华文细黑" w:hint="default"/>
                <w:spacing w:val="-6"/>
                <w:sz w:val="18"/>
                <w:szCs w:val="18"/>
              </w:rPr>
              <w:t> </w:t>
            </w:r>
            <w:r>
              <w:rPr>
                <w:rFonts w:ascii="华文细黑" w:hAnsi="华文细黑" w:cs="华文细黑" w:eastAsia="华文细黑" w:hint="default"/>
                <w:sz w:val="18"/>
                <w:szCs w:val="18"/>
              </w:rPr>
              <w:t>日，公司</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2010</w:t>
            </w:r>
            <w:r>
              <w:rPr>
                <w:rFonts w:ascii="华文细黑" w:hAnsi="华文细黑" w:cs="华文细黑" w:eastAsia="华文细黑" w:hint="default"/>
                <w:spacing w:val="-6"/>
                <w:sz w:val="18"/>
                <w:szCs w:val="18"/>
              </w:rPr>
              <w:t> </w:t>
            </w:r>
            <w:r>
              <w:rPr>
                <w:rFonts w:ascii="华文细黑" w:hAnsi="华文细黑" w:cs="华文细黑" w:eastAsia="华文细黑" w:hint="default"/>
                <w:sz w:val="18"/>
                <w:szCs w:val="18"/>
              </w:rPr>
              <w:t>年第一次临时股东大会审议通过了《关于</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利用部分超募资金补充募投项目资金缺口的议案</w:t>
            </w:r>
            <w:r>
              <w:rPr>
                <w:rFonts w:ascii="华文细黑" w:hAnsi="华文细黑" w:cs="华文细黑" w:eastAsia="华文细黑" w:hint="default"/>
                <w:spacing w:val="-90"/>
                <w:sz w:val="18"/>
                <w:szCs w:val="18"/>
              </w:rPr>
              <w:t>》</w:t>
            </w:r>
            <w:r>
              <w:rPr>
                <w:rFonts w:ascii="华文细黑" w:hAnsi="华文细黑" w:cs="华文细黑" w:eastAsia="华文细黑" w:hint="default"/>
                <w:sz w:val="18"/>
                <w:szCs w:val="18"/>
              </w:rPr>
              <w:t>，同意利用部分超募资金</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701,987,900.00</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元补充募投</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项目之一补充营运资金项目的资金缺口，</w:t>
            </w:r>
            <w:r>
              <w:rPr>
                <w:rFonts w:ascii="华文细黑" w:hAnsi="华文细黑" w:cs="华文细黑" w:eastAsia="华文细黑" w:hint="default"/>
                <w:sz w:val="18"/>
                <w:szCs w:val="18"/>
              </w:rPr>
              <w:t>2010 </w:t>
            </w:r>
            <w:r>
              <w:rPr>
                <w:rFonts w:ascii="华文细黑" w:hAnsi="华文细黑" w:cs="华文细黑" w:eastAsia="华文细黑" w:hint="default"/>
                <w:sz w:val="18"/>
                <w:szCs w:val="18"/>
              </w:rPr>
              <w:t>年度已使用 </w:t>
            </w:r>
            <w:r>
              <w:rPr>
                <w:rFonts w:ascii="华文细黑" w:hAnsi="华文细黑" w:cs="华文细黑" w:eastAsia="华文细黑" w:hint="default"/>
                <w:sz w:val="18"/>
                <w:szCs w:val="18"/>
              </w:rPr>
              <w:t>698,359,960.00 </w:t>
            </w:r>
            <w:r>
              <w:rPr>
                <w:rFonts w:ascii="华文细黑" w:hAnsi="华文细黑" w:cs="华文细黑" w:eastAsia="华文细黑" w:hint="default"/>
                <w:sz w:val="18"/>
                <w:szCs w:val="18"/>
              </w:rPr>
              <w:t>元。</w:t>
            </w:r>
            <w:r>
              <w:rPr>
                <w:rFonts w:ascii="华文细黑" w:hAnsi="华文细黑" w:cs="华文细黑" w:eastAsia="华文细黑" w:hint="default"/>
                <w:sz w:val="18"/>
                <w:szCs w:val="18"/>
              </w:rPr>
              <w:t>2011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6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30</w:t>
            </w:r>
            <w:r>
              <w:rPr>
                <w:rFonts w:ascii="华文细黑" w:hAnsi="华文细黑" w:cs="华文细黑" w:eastAsia="华文细黑" w:hint="default"/>
                <w:spacing w:val="-11"/>
                <w:sz w:val="18"/>
                <w:szCs w:val="18"/>
              </w:rPr>
              <w:t> </w:t>
            </w:r>
            <w:r>
              <w:rPr>
                <w:rFonts w:ascii="华文细黑" w:hAnsi="华文细黑" w:cs="华文细黑" w:eastAsia="华文细黑" w:hint="default"/>
                <w:sz w:val="18"/>
                <w:szCs w:val="18"/>
              </w:rPr>
              <w:t>日，公</w:t>
            </w:r>
          </w:p>
          <w:p>
            <w:pPr>
              <w:pStyle w:val="TableParagraph"/>
              <w:spacing w:line="295" w:lineRule="auto" w:before="58"/>
              <w:ind w:left="103" w:right="38"/>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司 </w:t>
            </w:r>
            <w:r>
              <w:rPr>
                <w:rFonts w:ascii="华文细黑" w:hAnsi="华文细黑" w:cs="华文细黑" w:eastAsia="华文细黑" w:hint="default"/>
                <w:spacing w:val="-1"/>
                <w:sz w:val="18"/>
                <w:szCs w:val="18"/>
              </w:rPr>
              <w:t>2010</w:t>
            </w:r>
            <w:r>
              <w:rPr>
                <w:rFonts w:ascii="华文细黑" w:hAnsi="华文细黑" w:cs="华文细黑" w:eastAsia="华文细黑" w:hint="default"/>
                <w:sz w:val="18"/>
                <w:szCs w:val="18"/>
              </w:rPr>
              <w:t> </w:t>
            </w:r>
            <w:r>
              <w:rPr>
                <w:rFonts w:ascii="华文细黑" w:hAnsi="华文细黑" w:cs="华文细黑" w:eastAsia="华文细黑" w:hint="default"/>
                <w:spacing w:val="-3"/>
                <w:sz w:val="18"/>
                <w:szCs w:val="18"/>
              </w:rPr>
              <w:t>年度股东大会审议通过了《关于利用超募资金补充募投项目资金缺口的议案》，同意利用超募资</w:t>
            </w:r>
            <w:r>
              <w:rPr>
                <w:rFonts w:ascii="华文细黑" w:hAnsi="华文细黑" w:cs="华文细黑" w:eastAsia="华文细黑" w:hint="default"/>
                <w:spacing w:val="-9"/>
                <w:sz w:val="18"/>
                <w:szCs w:val="18"/>
              </w:rPr>
              <w:t> </w:t>
            </w:r>
            <w:r>
              <w:rPr>
                <w:rFonts w:ascii="华文细黑" w:hAnsi="华文细黑" w:cs="华文细黑" w:eastAsia="华文细黑" w:hint="default"/>
                <w:spacing w:val="-9"/>
                <w:sz w:val="18"/>
                <w:szCs w:val="18"/>
              </w:rPr>
            </w:r>
            <w:r>
              <w:rPr>
                <w:rFonts w:ascii="华文细黑" w:hAnsi="华文细黑" w:cs="华文细黑" w:eastAsia="华文细黑" w:hint="default"/>
                <w:sz w:val="18"/>
                <w:szCs w:val="18"/>
              </w:rPr>
              <w:t>金 </w:t>
            </w:r>
            <w:r>
              <w:rPr>
                <w:rFonts w:ascii="华文细黑" w:hAnsi="华文细黑" w:cs="华文细黑" w:eastAsia="华文细黑" w:hint="default"/>
                <w:sz w:val="18"/>
                <w:szCs w:val="18"/>
              </w:rPr>
              <w:t>590,333,597.39 </w:t>
            </w:r>
            <w:r>
              <w:rPr>
                <w:rFonts w:ascii="华文细黑" w:hAnsi="华文细黑" w:cs="华文细黑" w:eastAsia="华文细黑" w:hint="default"/>
                <w:sz w:val="18"/>
                <w:szCs w:val="18"/>
              </w:rPr>
              <w:t>元补充募投项目—补充营运资金项目之增值分销渠道扩建项目的资金缺口，</w:t>
            </w:r>
            <w:r>
              <w:rPr>
                <w:rFonts w:ascii="华文细黑" w:hAnsi="华文细黑" w:cs="华文细黑" w:eastAsia="华文细黑" w:hint="default"/>
                <w:sz w:val="18"/>
                <w:szCs w:val="18"/>
              </w:rPr>
              <w:t>2011</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 度已使用 </w:t>
            </w:r>
            <w:r>
              <w:rPr>
                <w:rFonts w:ascii="华文细黑" w:hAnsi="华文细黑" w:cs="华文细黑" w:eastAsia="华文细黑" w:hint="default"/>
                <w:sz w:val="18"/>
                <w:szCs w:val="18"/>
              </w:rPr>
              <w:t>588,864,024.80 </w:t>
            </w:r>
            <w:r>
              <w:rPr>
                <w:rFonts w:ascii="华文细黑" w:hAnsi="华文细黑" w:cs="华文细黑" w:eastAsia="华文细黑" w:hint="default"/>
                <w:sz w:val="18"/>
                <w:szCs w:val="18"/>
              </w:rPr>
              <w:t>元。截至 </w:t>
            </w: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12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31 </w:t>
            </w:r>
            <w:r>
              <w:rPr>
                <w:rFonts w:ascii="华文细黑" w:hAnsi="华文细黑" w:cs="华文细黑" w:eastAsia="华文细黑" w:hint="default"/>
                <w:sz w:val="18"/>
                <w:szCs w:val="18"/>
              </w:rPr>
              <w:t>日止，已使用超募资金累计 </w:t>
            </w:r>
            <w:r>
              <w:rPr>
                <w:rFonts w:ascii="华文细黑" w:hAnsi="华文细黑" w:cs="华文细黑" w:eastAsia="华文细黑" w:hint="default"/>
                <w:sz w:val="18"/>
                <w:szCs w:val="18"/>
              </w:rPr>
              <w:t>1,287,223,984.80</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元。</w:t>
            </w:r>
          </w:p>
        </w:tc>
      </w:tr>
      <w:tr>
        <w:trPr>
          <w:trHeight w:val="402" w:hRule="exact"/>
        </w:trPr>
        <w:tc>
          <w:tcPr>
            <w:tcW w:w="227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95" w:lineRule="auto"/>
              <w:ind w:left="103" w:right="17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募集资金投资项目实施地 点变更情况</w:t>
            </w:r>
          </w:p>
        </w:tc>
        <w:tc>
          <w:tcPr>
            <w:tcW w:w="8364" w:type="dxa"/>
            <w:gridSpan w:val="10"/>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不适用</w:t>
            </w:r>
          </w:p>
        </w:tc>
      </w:tr>
      <w:tr>
        <w:trPr>
          <w:trHeight w:val="402" w:hRule="exact"/>
        </w:trPr>
        <w:tc>
          <w:tcPr>
            <w:tcW w:w="2270" w:type="dxa"/>
            <w:vMerge/>
            <w:tcBorders>
              <w:left w:val="single" w:sz="4" w:space="0" w:color="FFC000"/>
              <w:right w:val="single" w:sz="4" w:space="0" w:color="FFC000"/>
            </w:tcBorders>
            <w:shd w:val="clear" w:color="auto" w:fill="FFF8E6"/>
          </w:tcPr>
          <w:p>
            <w:pPr/>
          </w:p>
        </w:tc>
        <w:tc>
          <w:tcPr>
            <w:tcW w:w="8364" w:type="dxa"/>
            <w:gridSpan w:val="10"/>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2270" w:type="dxa"/>
            <w:vMerge/>
            <w:tcBorders>
              <w:left w:val="single" w:sz="4" w:space="0" w:color="FFC000"/>
              <w:bottom w:val="single" w:sz="4" w:space="0" w:color="FFC000"/>
              <w:right w:val="single" w:sz="4" w:space="0" w:color="FFC000"/>
            </w:tcBorders>
            <w:shd w:val="clear" w:color="auto" w:fill="FFF8E6"/>
          </w:tcPr>
          <w:p>
            <w:pPr/>
          </w:p>
        </w:tc>
        <w:tc>
          <w:tcPr>
            <w:tcW w:w="8364" w:type="dxa"/>
            <w:gridSpan w:val="10"/>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227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95" w:lineRule="auto"/>
              <w:ind w:left="103" w:right="17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募集资金投资项目实施方 式调整情况</w:t>
            </w:r>
          </w:p>
        </w:tc>
        <w:tc>
          <w:tcPr>
            <w:tcW w:w="8364" w:type="dxa"/>
            <w:gridSpan w:val="10"/>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不适用</w:t>
            </w:r>
          </w:p>
        </w:tc>
      </w:tr>
      <w:tr>
        <w:trPr>
          <w:trHeight w:val="402" w:hRule="exact"/>
        </w:trPr>
        <w:tc>
          <w:tcPr>
            <w:tcW w:w="2270" w:type="dxa"/>
            <w:vMerge/>
            <w:tcBorders>
              <w:left w:val="single" w:sz="4" w:space="0" w:color="FFC000"/>
              <w:right w:val="single" w:sz="4" w:space="0" w:color="FFC000"/>
            </w:tcBorders>
            <w:shd w:val="clear" w:color="auto" w:fill="FFF8E6"/>
          </w:tcPr>
          <w:p>
            <w:pPr/>
          </w:p>
        </w:tc>
        <w:tc>
          <w:tcPr>
            <w:tcW w:w="8364" w:type="dxa"/>
            <w:gridSpan w:val="10"/>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2270" w:type="dxa"/>
            <w:vMerge/>
            <w:tcBorders>
              <w:left w:val="single" w:sz="4" w:space="0" w:color="FFC000"/>
              <w:bottom w:val="single" w:sz="4" w:space="0" w:color="FFC000"/>
              <w:right w:val="single" w:sz="4" w:space="0" w:color="FFC000"/>
            </w:tcBorders>
            <w:shd w:val="clear" w:color="auto" w:fill="FFF8E6"/>
          </w:tcPr>
          <w:p>
            <w:pPr/>
          </w:p>
        </w:tc>
        <w:tc>
          <w:tcPr>
            <w:tcW w:w="8364" w:type="dxa"/>
            <w:gridSpan w:val="10"/>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227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95" w:lineRule="auto"/>
              <w:ind w:left="103" w:right="17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募集资金投资项目先期投 入及置换情况</w:t>
            </w:r>
          </w:p>
        </w:tc>
        <w:tc>
          <w:tcPr>
            <w:tcW w:w="8364" w:type="dxa"/>
            <w:gridSpan w:val="10"/>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适用</w:t>
            </w:r>
          </w:p>
        </w:tc>
      </w:tr>
      <w:tr>
        <w:trPr>
          <w:trHeight w:val="714" w:hRule="exact"/>
        </w:trPr>
        <w:tc>
          <w:tcPr>
            <w:tcW w:w="2270" w:type="dxa"/>
            <w:vMerge/>
            <w:tcBorders>
              <w:left w:val="single" w:sz="4" w:space="0" w:color="FFC000"/>
              <w:bottom w:val="single" w:sz="4" w:space="0" w:color="FFC000"/>
              <w:right w:val="single" w:sz="4" w:space="0" w:color="FFC000"/>
            </w:tcBorders>
            <w:shd w:val="clear" w:color="auto" w:fill="FFF8E6"/>
          </w:tcPr>
          <w:p>
            <w:pPr/>
          </w:p>
        </w:tc>
        <w:tc>
          <w:tcPr>
            <w:tcW w:w="8364" w:type="dxa"/>
            <w:gridSpan w:val="10"/>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0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截至 </w:t>
            </w: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12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31 </w:t>
            </w:r>
            <w:r>
              <w:rPr>
                <w:rFonts w:ascii="华文细黑" w:hAnsi="华文细黑" w:cs="华文细黑" w:eastAsia="华文细黑" w:hint="default"/>
                <w:sz w:val="18"/>
                <w:szCs w:val="18"/>
              </w:rPr>
              <w:t>日止，公司使用募集资金 </w:t>
            </w:r>
            <w:r>
              <w:rPr>
                <w:rFonts w:ascii="华文细黑" w:hAnsi="华文细黑" w:cs="华文细黑" w:eastAsia="华文细黑" w:hint="default"/>
                <w:sz w:val="18"/>
                <w:szCs w:val="18"/>
              </w:rPr>
              <w:t>477,862,150.27</w:t>
            </w:r>
            <w:r>
              <w:rPr>
                <w:rFonts w:ascii="华文细黑" w:hAnsi="华文细黑" w:cs="华文细黑" w:eastAsia="华文细黑" w:hint="default"/>
                <w:spacing w:val="-25"/>
                <w:sz w:val="18"/>
                <w:szCs w:val="18"/>
              </w:rPr>
              <w:t> </w:t>
            </w:r>
            <w:r>
              <w:rPr>
                <w:rFonts w:ascii="华文细黑" w:hAnsi="华文细黑" w:cs="华文细黑" w:eastAsia="华文细黑" w:hint="default"/>
                <w:sz w:val="18"/>
                <w:szCs w:val="18"/>
              </w:rPr>
              <w:t>元置换已预先投入的募集资金投资项目 的同等金额的自筹资金。</w:t>
            </w:r>
          </w:p>
        </w:tc>
      </w:tr>
    </w:tbl>
    <w:p>
      <w:pPr>
        <w:spacing w:after="0" w:line="295" w:lineRule="auto"/>
        <w:jc w:val="left"/>
        <w:rPr>
          <w:rFonts w:ascii="华文细黑" w:hAnsi="华文细黑" w:cs="华文细黑" w:eastAsia="华文细黑" w:hint="default"/>
          <w:sz w:val="18"/>
          <w:szCs w:val="18"/>
        </w:rPr>
        <w:sectPr>
          <w:pgSz w:w="11910" w:h="16840"/>
          <w:pgMar w:header="917" w:footer="1019" w:top="1100" w:bottom="1200" w:left="60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243" w:type="dxa"/>
        <w:tblLayout w:type="fixed"/>
        <w:tblCellMar>
          <w:top w:w="0" w:type="dxa"/>
          <w:left w:w="0" w:type="dxa"/>
          <w:bottom w:w="0" w:type="dxa"/>
          <w:right w:w="0" w:type="dxa"/>
        </w:tblCellMar>
        <w:tblLook w:val="01E0"/>
      </w:tblPr>
      <w:tblGrid>
        <w:gridCol w:w="2270"/>
        <w:gridCol w:w="8364"/>
      </w:tblGrid>
      <w:tr>
        <w:trPr>
          <w:trHeight w:val="362" w:hRule="exact"/>
        </w:trPr>
        <w:tc>
          <w:tcPr>
            <w:tcW w:w="2270"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8364"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2270" w:type="dxa"/>
            <w:vMerge w:val="restart"/>
            <w:tcBorders>
              <w:top w:val="single" w:sz="4" w:space="0" w:color="FFC000"/>
              <w:left w:val="single" w:sz="4" w:space="0" w:color="FFC000"/>
              <w:right w:val="single" w:sz="4" w:space="0" w:color="FFC000"/>
            </w:tcBorders>
            <w:shd w:val="clear" w:color="auto" w:fill="FFF8E6"/>
          </w:tcPr>
          <w:p>
            <w:pPr>
              <w:pStyle w:val="TableParagraph"/>
              <w:spacing w:line="295" w:lineRule="auto" w:before="84"/>
              <w:ind w:left="103" w:right="17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用闲置募集资金暂时补充 流动资金情况</w:t>
            </w:r>
          </w:p>
        </w:tc>
        <w:tc>
          <w:tcPr>
            <w:tcW w:w="83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不适用</w:t>
            </w:r>
          </w:p>
        </w:tc>
      </w:tr>
      <w:tr>
        <w:trPr>
          <w:trHeight w:val="402" w:hRule="exact"/>
        </w:trPr>
        <w:tc>
          <w:tcPr>
            <w:tcW w:w="2270" w:type="dxa"/>
            <w:vMerge/>
            <w:tcBorders>
              <w:left w:val="single" w:sz="4" w:space="0" w:color="FFC000"/>
              <w:bottom w:val="single" w:sz="4" w:space="0" w:color="FFC000"/>
              <w:right w:val="single" w:sz="4" w:space="0" w:color="FFC000"/>
            </w:tcBorders>
            <w:shd w:val="clear" w:color="auto" w:fill="FFF8E6"/>
          </w:tcPr>
          <w:p>
            <w:pPr/>
          </w:p>
        </w:tc>
        <w:tc>
          <w:tcPr>
            <w:tcW w:w="8364"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2270" w:type="dxa"/>
            <w:vMerge w:val="restart"/>
            <w:tcBorders>
              <w:top w:val="single" w:sz="4" w:space="0" w:color="FFC000"/>
              <w:left w:val="single" w:sz="4" w:space="0" w:color="FFC000"/>
              <w:right w:val="single" w:sz="4" w:space="0" w:color="FFC000"/>
            </w:tcBorders>
            <w:shd w:val="clear" w:color="auto" w:fill="FFF8E6"/>
          </w:tcPr>
          <w:p>
            <w:pPr>
              <w:pStyle w:val="TableParagraph"/>
              <w:spacing w:line="295" w:lineRule="auto" w:before="85"/>
              <w:ind w:left="103" w:right="17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项目实施出现募集资金结 余的金额及原因</w:t>
            </w:r>
          </w:p>
        </w:tc>
        <w:tc>
          <w:tcPr>
            <w:tcW w:w="83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不适用</w:t>
            </w:r>
          </w:p>
        </w:tc>
      </w:tr>
      <w:tr>
        <w:trPr>
          <w:trHeight w:val="402" w:hRule="exact"/>
        </w:trPr>
        <w:tc>
          <w:tcPr>
            <w:tcW w:w="2270" w:type="dxa"/>
            <w:vMerge/>
            <w:tcBorders>
              <w:left w:val="single" w:sz="4" w:space="0" w:color="FFC000"/>
              <w:bottom w:val="single" w:sz="4" w:space="0" w:color="FFC000"/>
              <w:right w:val="single" w:sz="4" w:space="0" w:color="FFC000"/>
            </w:tcBorders>
            <w:shd w:val="clear" w:color="auto" w:fill="FFF8E6"/>
          </w:tcPr>
          <w:p>
            <w:pPr/>
          </w:p>
        </w:tc>
        <w:tc>
          <w:tcPr>
            <w:tcW w:w="8364" w:type="dxa"/>
            <w:tcBorders>
              <w:top w:val="single" w:sz="4" w:space="0" w:color="FFC000"/>
              <w:left w:val="single" w:sz="4" w:space="0" w:color="FFC000"/>
              <w:bottom w:val="single" w:sz="4" w:space="0" w:color="FFC000"/>
              <w:right w:val="single" w:sz="4" w:space="0" w:color="FFC000"/>
            </w:tcBorders>
          </w:tcPr>
          <w:p>
            <w:pPr/>
          </w:p>
        </w:tc>
      </w:tr>
      <w:tr>
        <w:trPr>
          <w:trHeight w:val="754" w:hRule="exact"/>
        </w:trPr>
        <w:tc>
          <w:tcPr>
            <w:tcW w:w="22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60"/>
              <w:ind w:left="103" w:right="17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尚未使用的募集资金用途 及去向</w:t>
            </w:r>
          </w:p>
        </w:tc>
        <w:tc>
          <w:tcPr>
            <w:tcW w:w="83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尚未使用的募集资金存放于银行募集资金监管专户</w:t>
            </w:r>
          </w:p>
        </w:tc>
      </w:tr>
      <w:tr>
        <w:trPr>
          <w:trHeight w:val="755" w:hRule="exact"/>
        </w:trPr>
        <w:tc>
          <w:tcPr>
            <w:tcW w:w="22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60"/>
              <w:ind w:left="103" w:right="17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募集资金使用及披露中存 在的问题或其他情况</w:t>
            </w:r>
          </w:p>
        </w:tc>
        <w:tc>
          <w:tcPr>
            <w:tcW w:w="83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w:t>
            </w:r>
          </w:p>
        </w:tc>
      </w:tr>
    </w:tbl>
    <w:p>
      <w:pPr>
        <w:spacing w:line="240" w:lineRule="auto" w:before="11"/>
        <w:rPr>
          <w:rFonts w:ascii="Times New Roman" w:hAnsi="Times New Roman" w:cs="Times New Roman" w:eastAsia="Times New Roman" w:hint="default"/>
          <w:sz w:val="22"/>
          <w:szCs w:val="22"/>
        </w:rPr>
      </w:pPr>
    </w:p>
    <w:p>
      <w:pPr>
        <w:pStyle w:val="Heading5"/>
        <w:spacing w:line="240" w:lineRule="auto"/>
        <w:ind w:left="674" w:right="6762"/>
        <w:jc w:val="left"/>
        <w:rPr>
          <w:b w:val="0"/>
          <w:bCs w:val="0"/>
        </w:rPr>
      </w:pPr>
      <w:bookmarkStart w:name="（3）募集资金变更项目情况" w:id="72"/>
      <w:bookmarkEnd w:id="72"/>
      <w:r>
        <w:rPr>
          <w:b w:val="0"/>
          <w:bCs w:val="0"/>
        </w:rPr>
      </w:r>
      <w:r>
        <w:rPr/>
        <w:t>（</w:t>
      </w:r>
      <w:r>
        <w:rPr>
          <w:rFonts w:ascii="华文细黑" w:hAnsi="华文细黑" w:cs="华文细黑" w:eastAsia="华文细黑" w:hint="default"/>
        </w:rPr>
        <w:t>3</w:t>
      </w:r>
      <w:r>
        <w:rPr/>
        <w:t>）募集资金变更项目情况</w:t>
      </w:r>
      <w:r>
        <w:rPr>
          <w:b w:val="0"/>
          <w:bCs w:val="0"/>
        </w:rPr>
      </w:r>
    </w:p>
    <w:p>
      <w:pPr>
        <w:spacing w:line="240" w:lineRule="auto" w:before="6"/>
        <w:rPr>
          <w:rFonts w:ascii="华文细黑" w:hAnsi="华文细黑" w:cs="华文细黑" w:eastAsia="华文细黑" w:hint="default"/>
          <w:b/>
          <w:bCs/>
          <w:sz w:val="22"/>
          <w:szCs w:val="22"/>
        </w:rPr>
      </w:pPr>
    </w:p>
    <w:p>
      <w:pPr>
        <w:pStyle w:val="BodyText"/>
        <w:spacing w:line="285" w:lineRule="auto"/>
        <w:ind w:left="674" w:right="6762"/>
        <w:jc w:val="left"/>
      </w:pPr>
      <w:r>
        <w:rPr/>
        <w:t>□ 适用 √</w:t>
      </w:r>
      <w:r>
        <w:rPr>
          <w:spacing w:val="51"/>
        </w:rPr>
        <w:t> </w:t>
      </w:r>
      <w:r>
        <w:rPr/>
        <w:t>不适用</w:t>
      </w:r>
      <w:r>
        <w:rPr/>
        <w:t> 公司报告期不存在募集资金变更项目情况。</w:t>
      </w:r>
    </w:p>
    <w:p>
      <w:pPr>
        <w:spacing w:line="240" w:lineRule="auto" w:before="10"/>
        <w:rPr>
          <w:rFonts w:ascii="华文细黑" w:hAnsi="华文细黑" w:cs="华文细黑" w:eastAsia="华文细黑" w:hint="default"/>
          <w:sz w:val="24"/>
          <w:szCs w:val="24"/>
        </w:rPr>
      </w:pPr>
    </w:p>
    <w:p>
      <w:pPr>
        <w:pStyle w:val="Heading2"/>
        <w:spacing w:line="240" w:lineRule="auto"/>
        <w:ind w:left="674" w:right="6762"/>
        <w:jc w:val="left"/>
        <w:rPr>
          <w:b w:val="0"/>
          <w:bCs w:val="0"/>
        </w:rPr>
      </w:pPr>
      <w:bookmarkStart w:name="六、重大资产和股权出售" w:id="73"/>
      <w:bookmarkEnd w:id="73"/>
      <w:r>
        <w:rPr>
          <w:b w:val="0"/>
          <w:bCs w:val="0"/>
        </w:rPr>
      </w:r>
      <w:r>
        <w:rPr/>
        <w:t>六、重大资产和股权出售</w:t>
      </w:r>
      <w:r>
        <w:rPr>
          <w:b w:val="0"/>
          <w:bCs w:val="0"/>
        </w:rPr>
      </w:r>
    </w:p>
    <w:p>
      <w:pPr>
        <w:spacing w:line="240" w:lineRule="auto" w:before="13"/>
        <w:rPr>
          <w:rFonts w:ascii="华文细黑" w:hAnsi="华文细黑" w:cs="华文细黑" w:eastAsia="华文细黑" w:hint="default"/>
          <w:b/>
          <w:bCs/>
          <w:sz w:val="29"/>
          <w:szCs w:val="29"/>
        </w:rPr>
      </w:pPr>
    </w:p>
    <w:p>
      <w:pPr>
        <w:pStyle w:val="Heading5"/>
        <w:spacing w:line="240" w:lineRule="auto" w:before="0"/>
        <w:ind w:left="674" w:right="6762"/>
        <w:jc w:val="left"/>
        <w:rPr>
          <w:b w:val="0"/>
          <w:bCs w:val="0"/>
        </w:rPr>
      </w:pPr>
      <w:bookmarkStart w:name="1、出售重大资产情况" w:id="74"/>
      <w:bookmarkEnd w:id="74"/>
      <w:r>
        <w:rPr>
          <w:b w:val="0"/>
          <w:bCs w:val="0"/>
        </w:rPr>
      </w:r>
      <w:r>
        <w:rPr>
          <w:rFonts w:ascii="华文细黑" w:hAnsi="华文细黑" w:cs="华文细黑" w:eastAsia="华文细黑" w:hint="default"/>
        </w:rPr>
        <w:t>1</w:t>
      </w:r>
      <w:r>
        <w:rPr/>
        <w:t>、出售重大资产情况</w:t>
      </w:r>
      <w:r>
        <w:rPr>
          <w:b w:val="0"/>
          <w:bCs w:val="0"/>
        </w:rPr>
      </w:r>
    </w:p>
    <w:p>
      <w:pPr>
        <w:spacing w:line="240" w:lineRule="auto" w:before="14"/>
        <w:rPr>
          <w:rFonts w:ascii="华文细黑" w:hAnsi="华文细黑" w:cs="华文细黑" w:eastAsia="华文细黑" w:hint="default"/>
          <w:b/>
          <w:bCs/>
          <w:sz w:val="13"/>
          <w:szCs w:val="13"/>
        </w:rPr>
      </w:pPr>
    </w:p>
    <w:p>
      <w:pPr>
        <w:pStyle w:val="BodyText"/>
        <w:spacing w:line="285" w:lineRule="auto"/>
        <w:ind w:left="674" w:right="8022"/>
        <w:jc w:val="left"/>
      </w:pPr>
      <w:r>
        <w:rPr/>
        <w:t>□ 适用 √</w:t>
      </w:r>
      <w:r>
        <w:rPr>
          <w:spacing w:val="51"/>
        </w:rPr>
        <w:t> </w:t>
      </w:r>
      <w:r>
        <w:rPr/>
        <w:t>不适用</w:t>
      </w:r>
      <w:r>
        <w:rPr/>
        <w:t> 公司报告期未出售重大资产。</w:t>
      </w:r>
    </w:p>
    <w:p>
      <w:pPr>
        <w:pStyle w:val="Heading5"/>
        <w:spacing w:line="240" w:lineRule="auto" w:before="152"/>
        <w:ind w:left="674" w:right="6762"/>
        <w:jc w:val="left"/>
        <w:rPr>
          <w:b w:val="0"/>
          <w:bCs w:val="0"/>
        </w:rPr>
      </w:pPr>
      <w:bookmarkStart w:name="2、出售重大股权情况" w:id="75"/>
      <w:bookmarkEnd w:id="75"/>
      <w:r>
        <w:rPr>
          <w:b w:val="0"/>
          <w:bCs w:val="0"/>
        </w:rPr>
      </w:r>
      <w:r>
        <w:rPr>
          <w:rFonts w:ascii="华文细黑" w:hAnsi="华文细黑" w:cs="华文细黑" w:eastAsia="华文细黑" w:hint="default"/>
        </w:rPr>
        <w:t>2</w:t>
      </w:r>
      <w:r>
        <w:rPr/>
        <w:t>、出售重大股权情况</w:t>
      </w:r>
      <w:r>
        <w:rPr>
          <w:b w:val="0"/>
          <w:bCs w:val="0"/>
        </w:rPr>
      </w:r>
    </w:p>
    <w:p>
      <w:pPr>
        <w:spacing w:line="240" w:lineRule="auto" w:before="12"/>
        <w:rPr>
          <w:rFonts w:ascii="华文细黑" w:hAnsi="华文细黑" w:cs="华文细黑" w:eastAsia="华文细黑" w:hint="default"/>
          <w:b/>
          <w:bCs/>
          <w:sz w:val="13"/>
          <w:szCs w:val="13"/>
        </w:rPr>
      </w:pPr>
    </w:p>
    <w:p>
      <w:pPr>
        <w:pStyle w:val="BodyText"/>
        <w:spacing w:line="240" w:lineRule="auto"/>
        <w:ind w:left="674" w:right="6762"/>
        <w:jc w:val="left"/>
      </w:pPr>
      <w:r>
        <w:rPr/>
        <w:t>□  适用  √</w:t>
      </w:r>
      <w:r>
        <w:rPr>
          <w:spacing w:val="51"/>
        </w:rPr>
        <w:t> </w:t>
      </w:r>
      <w:r>
        <w:rPr/>
        <w:t>不适用</w:t>
      </w:r>
    </w:p>
    <w:p>
      <w:pPr>
        <w:spacing w:line="240" w:lineRule="auto" w:before="5"/>
        <w:rPr>
          <w:rFonts w:ascii="华文细黑" w:hAnsi="华文细黑" w:cs="华文细黑" w:eastAsia="华文细黑" w:hint="default"/>
          <w:sz w:val="19"/>
          <w:szCs w:val="19"/>
        </w:rPr>
      </w:pPr>
    </w:p>
    <w:p>
      <w:pPr>
        <w:pStyle w:val="Heading2"/>
        <w:spacing w:line="240" w:lineRule="auto"/>
        <w:ind w:left="674" w:right="6762"/>
        <w:jc w:val="left"/>
        <w:rPr>
          <w:b w:val="0"/>
          <w:bCs w:val="0"/>
        </w:rPr>
      </w:pPr>
      <w:bookmarkStart w:name="七、主要控股参股公司分析" w:id="76"/>
      <w:bookmarkEnd w:id="76"/>
      <w:r>
        <w:rPr>
          <w:b w:val="0"/>
          <w:bCs w:val="0"/>
        </w:rPr>
      </w:r>
      <w:r>
        <w:rPr/>
        <w:t>七、主要控股参股公司分析</w:t>
      </w:r>
      <w:r>
        <w:rPr>
          <w:b w:val="0"/>
          <w:bCs w:val="0"/>
        </w:rPr>
      </w:r>
    </w:p>
    <w:p>
      <w:pPr>
        <w:spacing w:line="240" w:lineRule="auto" w:before="10"/>
        <w:rPr>
          <w:rFonts w:ascii="华文细黑" w:hAnsi="华文细黑" w:cs="华文细黑" w:eastAsia="华文细黑" w:hint="default"/>
          <w:b/>
          <w:bCs/>
          <w:sz w:val="20"/>
          <w:szCs w:val="20"/>
        </w:rPr>
      </w:pPr>
    </w:p>
    <w:p>
      <w:pPr>
        <w:spacing w:after="0" w:line="240" w:lineRule="auto"/>
        <w:rPr>
          <w:rFonts w:ascii="华文细黑" w:hAnsi="华文细黑" w:cs="华文细黑" w:eastAsia="华文细黑" w:hint="default"/>
          <w:sz w:val="20"/>
          <w:szCs w:val="20"/>
        </w:rPr>
        <w:sectPr>
          <w:pgSz w:w="11910" w:h="16840"/>
          <w:pgMar w:header="917" w:footer="1019" w:top="1100" w:bottom="1200" w:left="460" w:right="0"/>
        </w:sectPr>
      </w:pPr>
    </w:p>
    <w:p>
      <w:pPr>
        <w:pStyle w:val="BodyText"/>
        <w:spacing w:line="240" w:lineRule="auto" w:before="10"/>
        <w:ind w:left="674" w:right="-19"/>
        <w:jc w:val="left"/>
      </w:pPr>
      <w:r>
        <w:rPr/>
        <w:t>√  适用  □</w:t>
      </w:r>
      <w:r>
        <w:rPr>
          <w:spacing w:val="51"/>
        </w:rPr>
        <w:t> </w:t>
      </w:r>
      <w:r>
        <w:rPr/>
        <w:t>不适用</w:t>
      </w:r>
    </w:p>
    <w:p>
      <w:pPr>
        <w:pStyle w:val="BodyText"/>
        <w:spacing w:line="240" w:lineRule="auto" w:before="56"/>
        <w:ind w:left="674" w:right="-19"/>
        <w:jc w:val="left"/>
      </w:pPr>
      <w:r>
        <w:rPr/>
        <w:t>主要子公司及对公司净利润影响达 </w:t>
      </w:r>
      <w:r>
        <w:rPr>
          <w:rFonts w:ascii="华文细黑" w:hAnsi="华文细黑" w:cs="华文细黑" w:eastAsia="华文细黑" w:hint="default"/>
        </w:rPr>
        <w:t>10%</w:t>
      </w:r>
      <w:r>
        <w:rPr/>
        <w:t>以上的参股公司情况</w:t>
      </w:r>
    </w:p>
    <w:p>
      <w:pPr>
        <w:spacing w:line="240" w:lineRule="auto" w:before="0"/>
        <w:rPr>
          <w:rFonts w:ascii="华文细黑" w:hAnsi="华文细黑" w:cs="华文细黑" w:eastAsia="华文细黑" w:hint="default"/>
          <w:sz w:val="18"/>
          <w:szCs w:val="18"/>
        </w:rPr>
      </w:pPr>
      <w:r>
        <w:rPr/>
        <w:br w:type="column"/>
      </w:r>
      <w:r>
        <w:rPr>
          <w:rFonts w:ascii="华文细黑"/>
          <w:sz w:val="18"/>
        </w:rPr>
      </w:r>
    </w:p>
    <w:p>
      <w:pPr>
        <w:spacing w:line="240" w:lineRule="auto" w:before="0"/>
        <w:rPr>
          <w:rFonts w:ascii="华文细黑" w:hAnsi="华文细黑" w:cs="华文细黑" w:eastAsia="华文细黑" w:hint="default"/>
          <w:sz w:val="18"/>
          <w:szCs w:val="18"/>
        </w:rPr>
      </w:pPr>
    </w:p>
    <w:p>
      <w:pPr>
        <w:spacing w:line="240" w:lineRule="auto" w:before="7"/>
        <w:rPr>
          <w:rFonts w:ascii="华文细黑" w:hAnsi="华文细黑" w:cs="华文细黑" w:eastAsia="华文细黑" w:hint="default"/>
          <w:sz w:val="16"/>
          <w:szCs w:val="16"/>
        </w:rPr>
      </w:pPr>
    </w:p>
    <w:p>
      <w:pPr>
        <w:spacing w:before="0"/>
        <w:ind w:left="673" w:right="0" w:firstLine="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单位：元</w:t>
      </w:r>
    </w:p>
    <w:p>
      <w:pPr>
        <w:spacing w:after="0"/>
        <w:jc w:val="left"/>
        <w:rPr>
          <w:rFonts w:ascii="华文细黑" w:hAnsi="华文细黑" w:cs="华文细黑" w:eastAsia="华文细黑" w:hint="default"/>
          <w:sz w:val="18"/>
          <w:szCs w:val="18"/>
        </w:rPr>
        <w:sectPr>
          <w:type w:val="continuous"/>
          <w:pgSz w:w="11910" w:h="16840"/>
          <w:pgMar w:top="240" w:bottom="0" w:left="460" w:right="0"/>
          <w:cols w:num="2" w:equalWidth="0">
            <w:col w:w="6164" w:space="2756"/>
            <w:col w:w="2530"/>
          </w:cols>
        </w:sectPr>
      </w:pPr>
    </w:p>
    <w:p>
      <w:pPr>
        <w:spacing w:line="240" w:lineRule="auto" w:before="13"/>
        <w:rPr>
          <w:rFonts w:ascii="华文细黑" w:hAnsi="华文细黑" w:cs="华文细黑" w:eastAsia="华文细黑" w:hint="default"/>
          <w:sz w:val="6"/>
          <w:szCs w:val="6"/>
        </w:rPr>
      </w:pPr>
    </w:p>
    <w:tbl>
      <w:tblPr>
        <w:tblW w:w="0" w:type="auto"/>
        <w:jc w:val="left"/>
        <w:tblInd w:w="101" w:type="dxa"/>
        <w:tblLayout w:type="fixed"/>
        <w:tblCellMar>
          <w:top w:w="0" w:type="dxa"/>
          <w:left w:w="0" w:type="dxa"/>
          <w:bottom w:w="0" w:type="dxa"/>
          <w:right w:w="0" w:type="dxa"/>
        </w:tblCellMar>
        <w:tblLook w:val="01E0"/>
      </w:tblPr>
      <w:tblGrid>
        <w:gridCol w:w="994"/>
        <w:gridCol w:w="850"/>
        <w:gridCol w:w="992"/>
        <w:gridCol w:w="1134"/>
        <w:gridCol w:w="1419"/>
        <w:gridCol w:w="1417"/>
        <w:gridCol w:w="1560"/>
        <w:gridCol w:w="1274"/>
        <w:gridCol w:w="1276"/>
      </w:tblGrid>
      <w:tr>
        <w:trPr>
          <w:trHeight w:val="713" w:hRule="exact"/>
        </w:trPr>
        <w:tc>
          <w:tcPr>
            <w:tcW w:w="99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3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公司名称</w:t>
            </w:r>
          </w:p>
        </w:tc>
        <w:tc>
          <w:tcPr>
            <w:tcW w:w="85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330" w:right="149"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公司类 型</w:t>
            </w:r>
          </w:p>
        </w:tc>
        <w:tc>
          <w:tcPr>
            <w:tcW w:w="9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3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主要业务</w:t>
            </w:r>
          </w:p>
        </w:tc>
        <w:tc>
          <w:tcPr>
            <w:tcW w:w="11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20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注册资本</w:t>
            </w:r>
          </w:p>
        </w:tc>
        <w:tc>
          <w:tcPr>
            <w:tcW w:w="141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43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总资产</w:t>
            </w:r>
          </w:p>
        </w:tc>
        <w:tc>
          <w:tcPr>
            <w:tcW w:w="14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43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净资产</w:t>
            </w:r>
          </w:p>
        </w:tc>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41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营业收入</w:t>
            </w:r>
          </w:p>
        </w:tc>
        <w:tc>
          <w:tcPr>
            <w:tcW w:w="127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营业利润</w:t>
            </w:r>
          </w:p>
        </w:tc>
        <w:tc>
          <w:tcPr>
            <w:tcW w:w="12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净利润</w:t>
            </w:r>
          </w:p>
        </w:tc>
      </w:tr>
      <w:tr>
        <w:trPr>
          <w:trHeight w:val="1026" w:hRule="exact"/>
        </w:trPr>
        <w:tc>
          <w:tcPr>
            <w:tcW w:w="99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1"/>
              <w:ind w:left="103" w:right="158"/>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 动数码有 限公司</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子公司</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95" w:lineRule="auto"/>
              <w:ind w:left="103" w:right="15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数码电子 产品销售</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95" w:lineRule="auto"/>
              <w:ind w:left="103" w:right="246"/>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16,000</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万</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12"/>
                <w:szCs w:val="12"/>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423,019,653.53</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12"/>
                <w:szCs w:val="12"/>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180,074,551.03</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12"/>
                <w:szCs w:val="12"/>
              </w:rPr>
            </w:pPr>
          </w:p>
          <w:p>
            <w:pPr>
              <w:pStyle w:val="TableParagraph"/>
              <w:spacing w:line="240" w:lineRule="auto"/>
              <w:ind w:right="103"/>
              <w:jc w:val="right"/>
              <w:rPr>
                <w:rFonts w:ascii="华文细黑" w:hAnsi="华文细黑" w:cs="华文细黑" w:eastAsia="华文细黑" w:hint="default"/>
                <w:sz w:val="15"/>
                <w:szCs w:val="15"/>
              </w:rPr>
            </w:pPr>
            <w:r>
              <w:rPr>
                <w:rFonts w:ascii="华文细黑"/>
                <w:spacing w:val="-1"/>
                <w:sz w:val="15"/>
              </w:rPr>
              <w:t>1,497,253,796.83</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12"/>
                <w:szCs w:val="12"/>
              </w:rPr>
            </w:pPr>
          </w:p>
          <w:p>
            <w:pPr>
              <w:pStyle w:val="TableParagraph"/>
              <w:spacing w:line="240" w:lineRule="auto"/>
              <w:ind w:left="99" w:right="0"/>
              <w:jc w:val="center"/>
              <w:rPr>
                <w:rFonts w:ascii="华文细黑" w:hAnsi="华文细黑" w:cs="华文细黑" w:eastAsia="华文细黑" w:hint="default"/>
                <w:sz w:val="15"/>
                <w:szCs w:val="15"/>
              </w:rPr>
            </w:pPr>
            <w:r>
              <w:rPr>
                <w:rFonts w:ascii="华文细黑"/>
                <w:sz w:val="15"/>
              </w:rPr>
              <w:t>15,452,186.81</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12"/>
                <w:szCs w:val="12"/>
              </w:rPr>
            </w:pPr>
          </w:p>
          <w:p>
            <w:pPr>
              <w:pStyle w:val="TableParagraph"/>
              <w:spacing w:line="240" w:lineRule="auto"/>
              <w:ind w:left="186" w:right="0"/>
              <w:jc w:val="center"/>
              <w:rPr>
                <w:rFonts w:ascii="华文细黑" w:hAnsi="华文细黑" w:cs="华文细黑" w:eastAsia="华文细黑" w:hint="default"/>
                <w:sz w:val="15"/>
                <w:szCs w:val="15"/>
              </w:rPr>
            </w:pPr>
            <w:r>
              <w:rPr>
                <w:rFonts w:ascii="华文细黑"/>
                <w:sz w:val="15"/>
              </w:rPr>
              <w:t>9,900,465.14</w:t>
            </w:r>
          </w:p>
        </w:tc>
      </w:tr>
      <w:tr>
        <w:trPr>
          <w:trHeight w:val="1026" w:hRule="exact"/>
        </w:trPr>
        <w:tc>
          <w:tcPr>
            <w:tcW w:w="99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1"/>
              <w:ind w:left="103" w:right="158"/>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西藏酷爱 通信有限 公司</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sz w:val="25"/>
                <w:szCs w:val="25"/>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子公司</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95" w:lineRule="auto"/>
              <w:ind w:left="103" w:right="15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通讯产品 销售</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95" w:lineRule="auto"/>
              <w:ind w:left="103" w:right="246"/>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20,000</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万</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2"/>
              <w:ind w:right="0"/>
              <w:jc w:val="left"/>
              <w:rPr>
                <w:rFonts w:ascii="华文细黑" w:hAnsi="华文细黑" w:cs="华文细黑" w:eastAsia="华文细黑" w:hint="default"/>
                <w:sz w:val="12"/>
                <w:szCs w:val="12"/>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1,254,525,343.26</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2"/>
              <w:ind w:right="0"/>
              <w:jc w:val="left"/>
              <w:rPr>
                <w:rFonts w:ascii="华文细黑" w:hAnsi="华文细黑" w:cs="华文细黑" w:eastAsia="华文细黑" w:hint="default"/>
                <w:sz w:val="12"/>
                <w:szCs w:val="12"/>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811,874,655.17</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2"/>
              <w:ind w:right="0"/>
              <w:jc w:val="left"/>
              <w:rPr>
                <w:rFonts w:ascii="华文细黑" w:hAnsi="华文细黑" w:cs="华文细黑" w:eastAsia="华文细黑" w:hint="default"/>
                <w:sz w:val="12"/>
                <w:szCs w:val="12"/>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10,015,641,906.37</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2"/>
              <w:ind w:right="0"/>
              <w:jc w:val="left"/>
              <w:rPr>
                <w:rFonts w:ascii="华文细黑" w:hAnsi="华文细黑" w:cs="华文细黑" w:eastAsia="华文细黑" w:hint="default"/>
                <w:sz w:val="12"/>
                <w:szCs w:val="12"/>
              </w:rPr>
            </w:pPr>
          </w:p>
          <w:p>
            <w:pPr>
              <w:pStyle w:val="TableParagraph"/>
              <w:spacing w:line="240" w:lineRule="auto"/>
              <w:ind w:left="99" w:right="0"/>
              <w:jc w:val="center"/>
              <w:rPr>
                <w:rFonts w:ascii="华文细黑" w:hAnsi="华文细黑" w:cs="华文细黑" w:eastAsia="华文细黑" w:hint="default"/>
                <w:sz w:val="15"/>
                <w:szCs w:val="15"/>
              </w:rPr>
            </w:pPr>
            <w:r>
              <w:rPr>
                <w:rFonts w:ascii="华文细黑"/>
                <w:sz w:val="15"/>
              </w:rPr>
              <w:t>65,086,000.26</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2"/>
              <w:ind w:right="0"/>
              <w:jc w:val="left"/>
              <w:rPr>
                <w:rFonts w:ascii="华文细黑" w:hAnsi="华文细黑" w:cs="华文细黑" w:eastAsia="华文细黑" w:hint="default"/>
                <w:sz w:val="12"/>
                <w:szCs w:val="12"/>
              </w:rPr>
            </w:pPr>
          </w:p>
          <w:p>
            <w:pPr>
              <w:pStyle w:val="TableParagraph"/>
              <w:spacing w:line="240" w:lineRule="auto"/>
              <w:ind w:left="102" w:right="0"/>
              <w:jc w:val="center"/>
              <w:rPr>
                <w:rFonts w:ascii="华文细黑" w:hAnsi="华文细黑" w:cs="华文细黑" w:eastAsia="华文细黑" w:hint="default"/>
                <w:sz w:val="15"/>
                <w:szCs w:val="15"/>
              </w:rPr>
            </w:pPr>
            <w:r>
              <w:rPr>
                <w:rFonts w:ascii="华文细黑"/>
                <w:sz w:val="15"/>
              </w:rPr>
              <w:t>70,664,837.75</w:t>
            </w:r>
          </w:p>
        </w:tc>
      </w:tr>
      <w:tr>
        <w:trPr>
          <w:trHeight w:val="674" w:hRule="exact"/>
        </w:trPr>
        <w:tc>
          <w:tcPr>
            <w:tcW w:w="99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爱施德</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（香港）</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华文细黑" w:hAnsi="华文细黑" w:cs="华文细黑" w:eastAsia="华文细黑" w:hint="default"/>
                <w:sz w:val="12"/>
                <w:szCs w:val="12"/>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子公司</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通讯产品</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6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港币</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1,000</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
              <w:ind w:right="0"/>
              <w:jc w:val="left"/>
              <w:rPr>
                <w:rFonts w:ascii="华文细黑" w:hAnsi="华文细黑" w:cs="华文细黑" w:eastAsia="华文细黑" w:hint="default"/>
                <w:sz w:val="14"/>
                <w:szCs w:val="14"/>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300,906,766.99</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
              <w:ind w:right="0"/>
              <w:jc w:val="left"/>
              <w:rPr>
                <w:rFonts w:ascii="华文细黑" w:hAnsi="华文细黑" w:cs="华文细黑" w:eastAsia="华文细黑" w:hint="default"/>
                <w:sz w:val="14"/>
                <w:szCs w:val="14"/>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-204,597,595.60</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
              <w:ind w:right="0"/>
              <w:jc w:val="left"/>
              <w:rPr>
                <w:rFonts w:ascii="华文细黑" w:hAnsi="华文细黑" w:cs="华文细黑" w:eastAsia="华文细黑" w:hint="default"/>
                <w:sz w:val="14"/>
                <w:szCs w:val="14"/>
              </w:rPr>
            </w:pPr>
          </w:p>
          <w:p>
            <w:pPr>
              <w:pStyle w:val="TableParagraph"/>
              <w:spacing w:line="240" w:lineRule="auto"/>
              <w:ind w:right="103"/>
              <w:jc w:val="right"/>
              <w:rPr>
                <w:rFonts w:ascii="华文细黑" w:hAnsi="华文细黑" w:cs="华文细黑" w:eastAsia="华文细黑" w:hint="default"/>
                <w:sz w:val="15"/>
                <w:szCs w:val="15"/>
              </w:rPr>
            </w:pPr>
            <w:r>
              <w:rPr>
                <w:rFonts w:ascii="华文细黑"/>
                <w:spacing w:val="-1"/>
                <w:sz w:val="15"/>
              </w:rPr>
              <w:t>102,153,858.25</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15"/>
                <w:szCs w:val="15"/>
              </w:rPr>
            </w:pPr>
          </w:p>
          <w:p>
            <w:pPr>
              <w:pStyle w:val="TableParagraph"/>
              <w:spacing w:line="240" w:lineRule="auto"/>
              <w:ind w:left="49" w:right="0"/>
              <w:jc w:val="center"/>
              <w:rPr>
                <w:rFonts w:ascii="华文细黑" w:hAnsi="华文细黑" w:cs="华文细黑" w:eastAsia="华文细黑" w:hint="default"/>
                <w:sz w:val="15"/>
                <w:szCs w:val="15"/>
              </w:rPr>
            </w:pPr>
            <w:r>
              <w:rPr>
                <w:rFonts w:ascii="华文细黑"/>
                <w:sz w:val="15"/>
              </w:rPr>
              <w:t>-370,718,035.4</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15"/>
                <w:szCs w:val="15"/>
              </w:rPr>
            </w:pPr>
          </w:p>
          <w:p>
            <w:pPr>
              <w:pStyle w:val="TableParagraph"/>
              <w:spacing w:line="240" w:lineRule="auto"/>
              <w:ind w:left="52" w:right="0"/>
              <w:jc w:val="center"/>
              <w:rPr>
                <w:rFonts w:ascii="华文细黑" w:hAnsi="华文细黑" w:cs="华文细黑" w:eastAsia="华文细黑" w:hint="default"/>
                <w:sz w:val="15"/>
                <w:szCs w:val="15"/>
              </w:rPr>
            </w:pPr>
            <w:r>
              <w:rPr>
                <w:rFonts w:ascii="华文细黑"/>
                <w:sz w:val="15"/>
              </w:rPr>
              <w:t>-310,702,006.7</w:t>
            </w:r>
          </w:p>
        </w:tc>
      </w:tr>
    </w:tbl>
    <w:p>
      <w:pPr>
        <w:spacing w:after="0" w:line="240" w:lineRule="auto"/>
        <w:jc w:val="center"/>
        <w:rPr>
          <w:rFonts w:ascii="华文细黑" w:hAnsi="华文细黑" w:cs="华文细黑" w:eastAsia="华文细黑" w:hint="default"/>
          <w:sz w:val="15"/>
          <w:szCs w:val="15"/>
        </w:rPr>
        <w:sectPr>
          <w:type w:val="continuous"/>
          <w:pgSz w:w="11910" w:h="16840"/>
          <w:pgMar w:top="240" w:bottom="0" w:left="460" w:right="0"/>
        </w:sectPr>
      </w:pPr>
    </w:p>
    <w:p>
      <w:pPr>
        <w:spacing w:line="240" w:lineRule="auto" w:before="8"/>
        <w:rPr>
          <w:rFonts w:ascii="华文细黑" w:hAnsi="华文细黑" w:cs="华文细黑" w:eastAsia="华文细黑" w:hint="default"/>
          <w:sz w:val="23"/>
          <w:szCs w:val="23"/>
        </w:rPr>
      </w:pPr>
    </w:p>
    <w:tbl>
      <w:tblPr>
        <w:tblW w:w="0" w:type="auto"/>
        <w:jc w:val="left"/>
        <w:tblInd w:w="102" w:type="dxa"/>
        <w:tblLayout w:type="fixed"/>
        <w:tblCellMar>
          <w:top w:w="0" w:type="dxa"/>
          <w:left w:w="0" w:type="dxa"/>
          <w:bottom w:w="0" w:type="dxa"/>
          <w:right w:w="0" w:type="dxa"/>
        </w:tblCellMar>
        <w:tblLook w:val="01E0"/>
      </w:tblPr>
      <w:tblGrid>
        <w:gridCol w:w="993"/>
        <w:gridCol w:w="850"/>
        <w:gridCol w:w="992"/>
        <w:gridCol w:w="1134"/>
        <w:gridCol w:w="1419"/>
        <w:gridCol w:w="1417"/>
        <w:gridCol w:w="1560"/>
        <w:gridCol w:w="1274"/>
        <w:gridCol w:w="1276"/>
      </w:tblGrid>
      <w:tr>
        <w:trPr>
          <w:trHeight w:val="362" w:hRule="exact"/>
        </w:trPr>
        <w:tc>
          <w:tcPr>
            <w:tcW w:w="9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left="10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有限公司</w:t>
            </w:r>
          </w:p>
        </w:tc>
        <w:tc>
          <w:tcPr>
            <w:tcW w:w="850"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销售</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万</w:t>
            </w:r>
          </w:p>
        </w:tc>
        <w:tc>
          <w:tcPr>
            <w:tcW w:w="1419" w:type="dxa"/>
            <w:tcBorders>
              <w:top w:val="single" w:sz="4" w:space="0" w:color="FFC000"/>
              <w:left w:val="single" w:sz="4" w:space="0" w:color="FFC000"/>
              <w:bottom w:val="single" w:sz="4" w:space="0" w:color="FFC000"/>
              <w:right w:val="single" w:sz="4" w:space="0" w:color="FFC000"/>
            </w:tcBorders>
          </w:tcPr>
          <w:p>
            <w:pPr/>
          </w:p>
        </w:tc>
        <w:tc>
          <w:tcPr>
            <w:tcW w:w="1417" w:type="dxa"/>
            <w:tcBorders>
              <w:top w:val="single" w:sz="4" w:space="0" w:color="FFC000"/>
              <w:left w:val="single" w:sz="4" w:space="0" w:color="FFC000"/>
              <w:bottom w:val="single" w:sz="4" w:space="0" w:color="FFC000"/>
              <w:right w:val="single" w:sz="4" w:space="0" w:color="FFC000"/>
            </w:tcBorders>
          </w:tcPr>
          <w:p>
            <w:pPr/>
          </w:p>
        </w:tc>
        <w:tc>
          <w:tcPr>
            <w:tcW w:w="1560" w:type="dxa"/>
            <w:tcBorders>
              <w:top w:val="single" w:sz="4" w:space="0" w:color="FFC000"/>
              <w:left w:val="single" w:sz="4" w:space="0" w:color="FFC000"/>
              <w:bottom w:val="single" w:sz="4" w:space="0" w:color="FFC000"/>
              <w:right w:val="single" w:sz="4" w:space="0" w:color="FFC000"/>
            </w:tcBorders>
          </w:tcPr>
          <w:p>
            <w:pP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26"/>
              <w:ind w:right="102"/>
              <w:jc w:val="right"/>
              <w:rPr>
                <w:rFonts w:ascii="华文细黑" w:hAnsi="华文细黑" w:cs="华文细黑" w:eastAsia="华文细黑" w:hint="default"/>
                <w:sz w:val="15"/>
                <w:szCs w:val="15"/>
              </w:rPr>
            </w:pPr>
            <w:r>
              <w:rPr>
                <w:rFonts w:ascii="华文细黑"/>
                <w:sz w:val="15"/>
              </w:rPr>
              <w:t>8</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26"/>
              <w:ind w:right="101"/>
              <w:jc w:val="right"/>
              <w:rPr>
                <w:rFonts w:ascii="华文细黑" w:hAnsi="华文细黑" w:cs="华文细黑" w:eastAsia="华文细黑" w:hint="default"/>
                <w:sz w:val="15"/>
                <w:szCs w:val="15"/>
              </w:rPr>
            </w:pPr>
            <w:r>
              <w:rPr>
                <w:rFonts w:ascii="华文细黑"/>
                <w:sz w:val="15"/>
              </w:rPr>
              <w:t>1</w:t>
            </w:r>
          </w:p>
        </w:tc>
      </w:tr>
      <w:tr>
        <w:trPr>
          <w:trHeight w:val="1026" w:hRule="exact"/>
        </w:trPr>
        <w:tc>
          <w:tcPr>
            <w:tcW w:w="9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2" w:right="158"/>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 友互联有 限公司</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子公司</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103" w:right="15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移动通讯 服务</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103" w:right="34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1,000</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万</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2"/>
                <w:szCs w:val="12"/>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163,200,587.10</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2"/>
                <w:szCs w:val="12"/>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21,371,361.85</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2"/>
                <w:szCs w:val="12"/>
              </w:rPr>
            </w:pPr>
          </w:p>
          <w:p>
            <w:pPr>
              <w:pStyle w:val="TableParagraph"/>
              <w:spacing w:line="240" w:lineRule="auto"/>
              <w:ind w:right="103"/>
              <w:jc w:val="right"/>
              <w:rPr>
                <w:rFonts w:ascii="华文细黑" w:hAnsi="华文细黑" w:cs="华文细黑" w:eastAsia="华文细黑" w:hint="default"/>
                <w:sz w:val="15"/>
                <w:szCs w:val="15"/>
              </w:rPr>
            </w:pPr>
            <w:r>
              <w:rPr>
                <w:rFonts w:ascii="华文细黑"/>
                <w:spacing w:val="-1"/>
                <w:sz w:val="15"/>
              </w:rPr>
              <w:t>153,287,987.24</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2"/>
                <w:szCs w:val="12"/>
              </w:rPr>
            </w:pPr>
          </w:p>
          <w:p>
            <w:pPr>
              <w:pStyle w:val="TableParagraph"/>
              <w:spacing w:line="240" w:lineRule="auto"/>
              <w:ind w:right="103"/>
              <w:jc w:val="right"/>
              <w:rPr>
                <w:rFonts w:ascii="华文细黑" w:hAnsi="华文细黑" w:cs="华文细黑" w:eastAsia="华文细黑" w:hint="default"/>
                <w:sz w:val="15"/>
                <w:szCs w:val="15"/>
              </w:rPr>
            </w:pPr>
            <w:r>
              <w:rPr>
                <w:rFonts w:ascii="华文细黑"/>
                <w:spacing w:val="-1"/>
                <w:sz w:val="15"/>
              </w:rPr>
              <w:t>9,099,713.79</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2"/>
                <w:szCs w:val="12"/>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11,045,282.41</w:t>
            </w:r>
          </w:p>
        </w:tc>
      </w:tr>
      <w:tr>
        <w:trPr>
          <w:trHeight w:val="1338" w:hRule="exact"/>
        </w:trPr>
        <w:tc>
          <w:tcPr>
            <w:tcW w:w="9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2" w:right="158"/>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 友金融服 务有限公 司</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子公司</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95" w:lineRule="auto"/>
              <w:ind w:left="103" w:right="15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通讯产品 销售</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95" w:lineRule="auto"/>
              <w:ind w:left="103" w:right="34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1,000</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万</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9"/>
                <w:szCs w:val="9"/>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992,094,056.87</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9"/>
                <w:szCs w:val="9"/>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79,241,144.17</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9"/>
                <w:szCs w:val="9"/>
              </w:rPr>
            </w:pPr>
          </w:p>
          <w:p>
            <w:pPr>
              <w:pStyle w:val="TableParagraph"/>
              <w:spacing w:line="240" w:lineRule="auto"/>
              <w:ind w:right="103"/>
              <w:jc w:val="right"/>
              <w:rPr>
                <w:rFonts w:ascii="华文细黑" w:hAnsi="华文细黑" w:cs="华文细黑" w:eastAsia="华文细黑" w:hint="default"/>
                <w:sz w:val="15"/>
                <w:szCs w:val="15"/>
              </w:rPr>
            </w:pPr>
            <w:r>
              <w:rPr>
                <w:rFonts w:ascii="华文细黑"/>
                <w:spacing w:val="-1"/>
                <w:sz w:val="15"/>
              </w:rPr>
              <w:t>7,713,571,787.71</w:t>
            </w:r>
            <w:r>
              <w:rPr>
                <w:rFonts w:ascii="华文细黑"/>
                <w:sz w:val="15"/>
              </w:rPr>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9"/>
                <w:szCs w:val="9"/>
              </w:rPr>
            </w:pPr>
          </w:p>
          <w:p>
            <w:pPr>
              <w:pStyle w:val="TableParagraph"/>
              <w:spacing w:line="240" w:lineRule="auto"/>
              <w:ind w:right="103"/>
              <w:jc w:val="right"/>
              <w:rPr>
                <w:rFonts w:ascii="华文细黑" w:hAnsi="华文细黑" w:cs="华文细黑" w:eastAsia="华文细黑" w:hint="default"/>
                <w:sz w:val="15"/>
                <w:szCs w:val="15"/>
              </w:rPr>
            </w:pPr>
            <w:r>
              <w:rPr>
                <w:rFonts w:ascii="华文细黑"/>
                <w:spacing w:val="-1"/>
                <w:sz w:val="15"/>
              </w:rPr>
              <w:t>52,904,841.99</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9"/>
                <w:szCs w:val="9"/>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39,265,918.56</w:t>
            </w:r>
          </w:p>
        </w:tc>
      </w:tr>
      <w:tr>
        <w:trPr>
          <w:trHeight w:val="1650" w:hRule="exact"/>
        </w:trPr>
        <w:tc>
          <w:tcPr>
            <w:tcW w:w="9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2" w:right="158"/>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江西赣江 新区爱施 德网络小 额贷款有 限公司</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5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子公司</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95" w:lineRule="auto"/>
              <w:ind w:left="103" w:right="15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小额贷款 服务</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95" w:lineRule="auto"/>
              <w:ind w:left="103" w:right="146"/>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100,000</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万</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2"/>
              <w:ind w:right="0"/>
              <w:jc w:val="left"/>
              <w:rPr>
                <w:rFonts w:ascii="华文细黑" w:hAnsi="华文细黑" w:cs="华文细黑" w:eastAsia="华文细黑" w:hint="default"/>
                <w:sz w:val="20"/>
                <w:szCs w:val="20"/>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1,101,855,961.31</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2"/>
              <w:ind w:right="0"/>
              <w:jc w:val="left"/>
              <w:rPr>
                <w:rFonts w:ascii="华文细黑" w:hAnsi="华文细黑" w:cs="华文细黑" w:eastAsia="华文细黑" w:hint="default"/>
                <w:sz w:val="20"/>
                <w:szCs w:val="20"/>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1,078,725,544.18</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2"/>
              <w:ind w:right="0"/>
              <w:jc w:val="left"/>
              <w:rPr>
                <w:rFonts w:ascii="华文细黑" w:hAnsi="华文细黑" w:cs="华文细黑" w:eastAsia="华文细黑" w:hint="default"/>
                <w:sz w:val="20"/>
                <w:szCs w:val="20"/>
              </w:rPr>
            </w:pPr>
          </w:p>
          <w:p>
            <w:pPr>
              <w:pStyle w:val="TableParagraph"/>
              <w:spacing w:line="240" w:lineRule="auto"/>
              <w:ind w:right="103"/>
              <w:jc w:val="right"/>
              <w:rPr>
                <w:rFonts w:ascii="华文细黑" w:hAnsi="华文细黑" w:cs="华文细黑" w:eastAsia="华文细黑" w:hint="default"/>
                <w:sz w:val="15"/>
                <w:szCs w:val="15"/>
              </w:rPr>
            </w:pPr>
            <w:r>
              <w:rPr>
                <w:rFonts w:ascii="华文细黑"/>
                <w:spacing w:val="-1"/>
                <w:sz w:val="15"/>
              </w:rPr>
              <w:t>145,219,358.17</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2"/>
              <w:ind w:right="0"/>
              <w:jc w:val="left"/>
              <w:rPr>
                <w:rFonts w:ascii="华文细黑" w:hAnsi="华文细黑" w:cs="华文细黑" w:eastAsia="华文细黑" w:hint="default"/>
                <w:sz w:val="20"/>
                <w:szCs w:val="20"/>
              </w:rPr>
            </w:pPr>
          </w:p>
          <w:p>
            <w:pPr>
              <w:pStyle w:val="TableParagraph"/>
              <w:spacing w:line="240" w:lineRule="auto"/>
              <w:ind w:right="103"/>
              <w:jc w:val="right"/>
              <w:rPr>
                <w:rFonts w:ascii="华文细黑" w:hAnsi="华文细黑" w:cs="华文细黑" w:eastAsia="华文细黑" w:hint="default"/>
                <w:sz w:val="15"/>
                <w:szCs w:val="15"/>
              </w:rPr>
            </w:pPr>
            <w:r>
              <w:rPr>
                <w:rFonts w:ascii="华文细黑"/>
                <w:spacing w:val="-1"/>
                <w:sz w:val="15"/>
              </w:rPr>
              <w:t>82,701,453.21</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2"/>
              <w:ind w:right="0"/>
              <w:jc w:val="left"/>
              <w:rPr>
                <w:rFonts w:ascii="华文细黑" w:hAnsi="华文细黑" w:cs="华文细黑" w:eastAsia="华文细黑" w:hint="default"/>
                <w:sz w:val="20"/>
                <w:szCs w:val="20"/>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62,272,859.37</w:t>
            </w:r>
          </w:p>
        </w:tc>
      </w:tr>
      <w:tr>
        <w:trPr>
          <w:trHeight w:val="1026" w:hRule="exact"/>
        </w:trPr>
        <w:tc>
          <w:tcPr>
            <w:tcW w:w="9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2" w:right="158"/>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深圳市一 号机科技 有限公司</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子公司</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103" w:right="15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通讯产品 销售</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103" w:right="396"/>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1000</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万</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2"/>
                <w:szCs w:val="12"/>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117,120,641.33</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2"/>
                <w:szCs w:val="12"/>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-4,388,096.31</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2"/>
                <w:szCs w:val="12"/>
              </w:rPr>
            </w:pPr>
          </w:p>
          <w:p>
            <w:pPr>
              <w:pStyle w:val="TableParagraph"/>
              <w:spacing w:line="240" w:lineRule="auto"/>
              <w:ind w:right="103"/>
              <w:jc w:val="right"/>
              <w:rPr>
                <w:rFonts w:ascii="华文细黑" w:hAnsi="华文细黑" w:cs="华文细黑" w:eastAsia="华文细黑" w:hint="default"/>
                <w:sz w:val="15"/>
                <w:szCs w:val="15"/>
              </w:rPr>
            </w:pPr>
            <w:r>
              <w:rPr>
                <w:rFonts w:ascii="华文细黑"/>
                <w:spacing w:val="-1"/>
                <w:sz w:val="15"/>
              </w:rPr>
              <w:t>122,392,627.40</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2"/>
                <w:szCs w:val="12"/>
              </w:rPr>
            </w:pPr>
          </w:p>
          <w:p>
            <w:pPr>
              <w:pStyle w:val="TableParagraph"/>
              <w:spacing w:line="240" w:lineRule="auto"/>
              <w:ind w:right="103"/>
              <w:jc w:val="right"/>
              <w:rPr>
                <w:rFonts w:ascii="华文细黑" w:hAnsi="华文细黑" w:cs="华文细黑" w:eastAsia="华文细黑" w:hint="default"/>
                <w:sz w:val="15"/>
                <w:szCs w:val="15"/>
              </w:rPr>
            </w:pPr>
            <w:r>
              <w:rPr>
                <w:rFonts w:ascii="华文细黑"/>
                <w:spacing w:val="-1"/>
                <w:sz w:val="15"/>
              </w:rPr>
              <w:t>-14,388,160.05</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2"/>
                <w:szCs w:val="12"/>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-14,388,096.31</w:t>
            </w:r>
          </w:p>
        </w:tc>
      </w:tr>
    </w:tbl>
    <w:p>
      <w:pPr>
        <w:spacing w:line="240" w:lineRule="auto" w:before="11"/>
        <w:rPr>
          <w:rFonts w:ascii="华文细黑" w:hAnsi="华文细黑" w:cs="华文细黑" w:eastAsia="华文细黑" w:hint="default"/>
          <w:sz w:val="5"/>
          <w:szCs w:val="5"/>
        </w:rPr>
      </w:pPr>
    </w:p>
    <w:p>
      <w:pPr>
        <w:pStyle w:val="BodyText"/>
        <w:spacing w:line="240" w:lineRule="auto" w:before="10"/>
        <w:ind w:left="674" w:right="6762"/>
        <w:jc w:val="left"/>
      </w:pPr>
      <w:r>
        <w:rPr/>
        <w:t>报告期内取得和处置子公司的情况</w:t>
      </w:r>
    </w:p>
    <w:p>
      <w:pPr>
        <w:spacing w:line="240" w:lineRule="auto" w:before="0"/>
        <w:rPr>
          <w:rFonts w:ascii="华文细黑" w:hAnsi="华文细黑" w:cs="华文细黑" w:eastAsia="华文细黑" w:hint="default"/>
          <w:sz w:val="15"/>
          <w:szCs w:val="15"/>
        </w:rPr>
      </w:pPr>
    </w:p>
    <w:p>
      <w:pPr>
        <w:pStyle w:val="BodyText"/>
        <w:spacing w:line="240" w:lineRule="auto"/>
        <w:ind w:left="674" w:right="6762"/>
        <w:jc w:val="left"/>
      </w:pPr>
      <w:r>
        <w:rPr/>
        <w:t>√  适用  □</w:t>
      </w:r>
      <w:r>
        <w:rPr>
          <w:spacing w:val="51"/>
        </w:rPr>
        <w:t> </w:t>
      </w:r>
      <w:r>
        <w:rPr/>
        <w:t>不适用</w:t>
      </w:r>
    </w:p>
    <w:p>
      <w:pPr>
        <w:spacing w:line="240" w:lineRule="auto" w:before="4"/>
        <w:rPr>
          <w:rFonts w:ascii="华文细黑" w:hAnsi="华文细黑" w:cs="华文细黑" w:eastAsia="华文细黑" w:hint="default"/>
          <w:sz w:val="11"/>
          <w:szCs w:val="11"/>
        </w:rPr>
      </w:pPr>
    </w:p>
    <w:tbl>
      <w:tblPr>
        <w:tblW w:w="0" w:type="auto"/>
        <w:jc w:val="left"/>
        <w:tblInd w:w="557" w:type="dxa"/>
        <w:tblLayout w:type="fixed"/>
        <w:tblCellMar>
          <w:top w:w="0" w:type="dxa"/>
          <w:left w:w="0" w:type="dxa"/>
          <w:bottom w:w="0" w:type="dxa"/>
          <w:right w:w="0" w:type="dxa"/>
        </w:tblCellMar>
        <w:tblLook w:val="01E0"/>
      </w:tblPr>
      <w:tblGrid>
        <w:gridCol w:w="3464"/>
        <w:gridCol w:w="2915"/>
        <w:gridCol w:w="3191"/>
      </w:tblGrid>
      <w:tr>
        <w:trPr>
          <w:trHeight w:val="402" w:hRule="exact"/>
        </w:trPr>
        <w:tc>
          <w:tcPr>
            <w:tcW w:w="34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公司名称</w:t>
            </w:r>
          </w:p>
        </w:tc>
        <w:tc>
          <w:tcPr>
            <w:tcW w:w="291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9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报告期内取得和处置子公司方式</w:t>
            </w:r>
          </w:p>
        </w:tc>
        <w:tc>
          <w:tcPr>
            <w:tcW w:w="319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41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对整体生产经营和业绩的影响</w:t>
            </w:r>
          </w:p>
        </w:tc>
      </w:tr>
      <w:tr>
        <w:trPr>
          <w:trHeight w:val="402" w:hRule="exact"/>
        </w:trPr>
        <w:tc>
          <w:tcPr>
            <w:tcW w:w="34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江西爱保保险代理有限公司</w:t>
            </w:r>
          </w:p>
        </w:tc>
        <w:tc>
          <w:tcPr>
            <w:tcW w:w="29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新设取得</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无重要影响</w:t>
            </w:r>
          </w:p>
        </w:tc>
      </w:tr>
      <w:tr>
        <w:trPr>
          <w:trHeight w:val="402" w:hRule="exact"/>
        </w:trPr>
        <w:tc>
          <w:tcPr>
            <w:tcW w:w="34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江西爱施德保险经纪有限公司</w:t>
            </w:r>
          </w:p>
        </w:tc>
        <w:tc>
          <w:tcPr>
            <w:tcW w:w="29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新设取得</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无重要影响</w:t>
            </w:r>
          </w:p>
        </w:tc>
      </w:tr>
      <w:tr>
        <w:trPr>
          <w:trHeight w:val="402" w:hRule="exact"/>
        </w:trPr>
        <w:tc>
          <w:tcPr>
            <w:tcW w:w="34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长沙酷动数码产品有限公司</w:t>
            </w:r>
          </w:p>
        </w:tc>
        <w:tc>
          <w:tcPr>
            <w:tcW w:w="29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新设取得</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无重要影响</w:t>
            </w:r>
          </w:p>
        </w:tc>
      </w:tr>
      <w:tr>
        <w:trPr>
          <w:trHeight w:val="402" w:hRule="exact"/>
        </w:trPr>
        <w:tc>
          <w:tcPr>
            <w:tcW w:w="34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深圳金石创新科技有限公司</w:t>
            </w:r>
          </w:p>
        </w:tc>
        <w:tc>
          <w:tcPr>
            <w:tcW w:w="29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非同一控制下企业合并</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无重要影响</w:t>
            </w:r>
          </w:p>
        </w:tc>
      </w:tr>
      <w:tr>
        <w:trPr>
          <w:trHeight w:val="402" w:hRule="exact"/>
        </w:trPr>
        <w:tc>
          <w:tcPr>
            <w:tcW w:w="34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展弘实业有限公司</w:t>
            </w:r>
          </w:p>
        </w:tc>
        <w:tc>
          <w:tcPr>
            <w:tcW w:w="29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非同一控制下企业合并</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无重要影响</w:t>
            </w:r>
          </w:p>
        </w:tc>
      </w:tr>
      <w:tr>
        <w:trPr>
          <w:trHeight w:val="714" w:hRule="exact"/>
        </w:trPr>
        <w:tc>
          <w:tcPr>
            <w:tcW w:w="34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22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南京一号机商务信息咨询合伙企业</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有限 合伙</w:t>
            </w:r>
            <w:r>
              <w:rPr>
                <w:rFonts w:ascii="华文细黑" w:hAnsi="华文细黑" w:cs="华文细黑" w:eastAsia="华文细黑" w:hint="default"/>
                <w:sz w:val="18"/>
                <w:szCs w:val="18"/>
              </w:rPr>
              <w:t>)</w:t>
            </w:r>
          </w:p>
        </w:tc>
        <w:tc>
          <w:tcPr>
            <w:tcW w:w="29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新设取得</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无重要影响</w:t>
            </w:r>
          </w:p>
        </w:tc>
      </w:tr>
      <w:tr>
        <w:trPr>
          <w:trHeight w:val="402" w:hRule="exact"/>
        </w:trPr>
        <w:tc>
          <w:tcPr>
            <w:tcW w:w="34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北京威丰科技有限公司</w:t>
            </w:r>
          </w:p>
        </w:tc>
        <w:tc>
          <w:tcPr>
            <w:tcW w:w="29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非同一控制下企业合并</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无重要影响</w:t>
            </w:r>
          </w:p>
        </w:tc>
      </w:tr>
      <w:tr>
        <w:trPr>
          <w:trHeight w:val="402" w:hRule="exact"/>
        </w:trPr>
        <w:tc>
          <w:tcPr>
            <w:tcW w:w="34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深圳市彩梦物联有限合伙企</w:t>
            </w:r>
            <w:r>
              <w:rPr>
                <w:rFonts w:ascii="华文细黑" w:hAnsi="华文细黑" w:cs="华文细黑" w:eastAsia="华文细黑" w:hint="default"/>
                <w:spacing w:val="-83"/>
                <w:sz w:val="18"/>
                <w:szCs w:val="18"/>
              </w:rPr>
              <w:t>业</w:t>
            </w:r>
            <w:r>
              <w:rPr>
                <w:rFonts w:ascii="华文细黑" w:hAnsi="华文细黑" w:cs="华文细黑" w:eastAsia="华文细黑" w:hint="default"/>
                <w:sz w:val="18"/>
                <w:szCs w:val="18"/>
              </w:rPr>
              <w:t>（有限合伙）</w:t>
            </w:r>
          </w:p>
        </w:tc>
        <w:tc>
          <w:tcPr>
            <w:tcW w:w="29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新设取得</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无重要影响</w:t>
            </w:r>
          </w:p>
        </w:tc>
      </w:tr>
      <w:tr>
        <w:trPr>
          <w:trHeight w:val="402" w:hRule="exact"/>
        </w:trPr>
        <w:tc>
          <w:tcPr>
            <w:tcW w:w="34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南京一号机通讯设备有限公司</w:t>
            </w:r>
          </w:p>
        </w:tc>
        <w:tc>
          <w:tcPr>
            <w:tcW w:w="29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新设取得</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无重要影响</w:t>
            </w:r>
          </w:p>
        </w:tc>
      </w:tr>
      <w:tr>
        <w:trPr>
          <w:trHeight w:val="402" w:hRule="exact"/>
        </w:trPr>
        <w:tc>
          <w:tcPr>
            <w:tcW w:w="34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北京聚美华科技有限公司</w:t>
            </w:r>
          </w:p>
        </w:tc>
        <w:tc>
          <w:tcPr>
            <w:tcW w:w="29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新设取得</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无重要影响</w:t>
            </w:r>
          </w:p>
        </w:tc>
      </w:tr>
      <w:tr>
        <w:trPr>
          <w:trHeight w:val="402" w:hRule="exact"/>
        </w:trPr>
        <w:tc>
          <w:tcPr>
            <w:tcW w:w="34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爱施德全球贸易有限公司</w:t>
            </w:r>
          </w:p>
        </w:tc>
        <w:tc>
          <w:tcPr>
            <w:tcW w:w="29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新设取得；股权转让后权益法核算</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无重要影响</w:t>
            </w:r>
          </w:p>
        </w:tc>
      </w:tr>
      <w:tr>
        <w:trPr>
          <w:trHeight w:val="402" w:hRule="exact"/>
        </w:trPr>
        <w:tc>
          <w:tcPr>
            <w:tcW w:w="34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江西爱施德通信科技有限公司</w:t>
            </w:r>
          </w:p>
        </w:tc>
        <w:tc>
          <w:tcPr>
            <w:tcW w:w="29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注销</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无重要影响</w:t>
            </w:r>
          </w:p>
        </w:tc>
      </w:tr>
      <w:tr>
        <w:trPr>
          <w:trHeight w:val="402" w:hRule="exact"/>
        </w:trPr>
        <w:tc>
          <w:tcPr>
            <w:tcW w:w="34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西藏晟祥通讯器材有限公司</w:t>
            </w:r>
          </w:p>
        </w:tc>
        <w:tc>
          <w:tcPr>
            <w:tcW w:w="29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注销</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无重要影响</w:t>
            </w:r>
          </w:p>
        </w:tc>
      </w:tr>
      <w:tr>
        <w:trPr>
          <w:trHeight w:val="402" w:hRule="exact"/>
        </w:trPr>
        <w:tc>
          <w:tcPr>
            <w:tcW w:w="34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温州酷动数码科技有限公司</w:t>
            </w:r>
          </w:p>
        </w:tc>
        <w:tc>
          <w:tcPr>
            <w:tcW w:w="29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注销</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无重要影响</w:t>
            </w:r>
          </w:p>
        </w:tc>
      </w:tr>
      <w:tr>
        <w:trPr>
          <w:trHeight w:val="402" w:hRule="exact"/>
        </w:trPr>
        <w:tc>
          <w:tcPr>
            <w:tcW w:w="34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芜湖乐动数码产品贸易有限公司</w:t>
            </w:r>
          </w:p>
        </w:tc>
        <w:tc>
          <w:tcPr>
            <w:tcW w:w="29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注销</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无重要影响</w:t>
            </w:r>
          </w:p>
        </w:tc>
      </w:tr>
      <w:tr>
        <w:trPr>
          <w:trHeight w:val="402" w:hRule="exact"/>
        </w:trPr>
        <w:tc>
          <w:tcPr>
            <w:tcW w:w="34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北京数意数码科技有限公司</w:t>
            </w:r>
          </w:p>
        </w:tc>
        <w:tc>
          <w:tcPr>
            <w:tcW w:w="29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注销</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无重要影响</w:t>
            </w:r>
          </w:p>
        </w:tc>
      </w:tr>
    </w:tbl>
    <w:p>
      <w:pPr>
        <w:spacing w:after="0" w:line="240" w:lineRule="auto"/>
        <w:jc w:val="left"/>
        <w:rPr>
          <w:rFonts w:ascii="华文细黑" w:hAnsi="华文细黑" w:cs="华文细黑" w:eastAsia="华文细黑" w:hint="default"/>
          <w:sz w:val="18"/>
          <w:szCs w:val="18"/>
        </w:rPr>
        <w:sectPr>
          <w:pgSz w:w="11910" w:h="16840"/>
          <w:pgMar w:header="917" w:footer="1019" w:top="1100" w:bottom="1200" w:left="460" w:right="0"/>
        </w:sectPr>
      </w:pPr>
    </w:p>
    <w:p>
      <w:pPr>
        <w:spacing w:line="240" w:lineRule="auto" w:before="8"/>
        <w:rPr>
          <w:rFonts w:ascii="华文细黑" w:hAnsi="华文细黑" w:cs="华文细黑" w:eastAsia="华文细黑" w:hint="default"/>
          <w:sz w:val="23"/>
          <w:szCs w:val="23"/>
        </w:rPr>
      </w:pPr>
    </w:p>
    <w:tbl>
      <w:tblPr>
        <w:tblW w:w="0" w:type="auto"/>
        <w:jc w:val="left"/>
        <w:tblInd w:w="117" w:type="dxa"/>
        <w:tblLayout w:type="fixed"/>
        <w:tblCellMar>
          <w:top w:w="0" w:type="dxa"/>
          <w:left w:w="0" w:type="dxa"/>
          <w:bottom w:w="0" w:type="dxa"/>
          <w:right w:w="0" w:type="dxa"/>
        </w:tblCellMar>
        <w:tblLook w:val="01E0"/>
      </w:tblPr>
      <w:tblGrid>
        <w:gridCol w:w="3463"/>
        <w:gridCol w:w="2916"/>
        <w:gridCol w:w="3191"/>
      </w:tblGrid>
      <w:tr>
        <w:trPr>
          <w:trHeight w:val="402" w:hRule="exact"/>
        </w:trPr>
        <w:tc>
          <w:tcPr>
            <w:tcW w:w="34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广州市合烁数码科技有限公司</w:t>
            </w:r>
          </w:p>
        </w:tc>
        <w:tc>
          <w:tcPr>
            <w:tcW w:w="2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注销</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无重要影响</w:t>
            </w:r>
          </w:p>
        </w:tc>
      </w:tr>
      <w:tr>
        <w:trPr>
          <w:trHeight w:val="402" w:hRule="exact"/>
        </w:trPr>
        <w:tc>
          <w:tcPr>
            <w:tcW w:w="34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武汉市酷爱星通信科技有限责任公司</w:t>
            </w:r>
          </w:p>
        </w:tc>
        <w:tc>
          <w:tcPr>
            <w:tcW w:w="2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注销</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无重要影响</w:t>
            </w:r>
          </w:p>
        </w:tc>
      </w:tr>
      <w:tr>
        <w:trPr>
          <w:trHeight w:val="402" w:hRule="exact"/>
        </w:trPr>
        <w:tc>
          <w:tcPr>
            <w:tcW w:w="34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共青城酷陕投资管理合伙企</w:t>
            </w:r>
            <w:r>
              <w:rPr>
                <w:rFonts w:ascii="华文细黑" w:hAnsi="华文细黑" w:cs="华文细黑" w:eastAsia="华文细黑" w:hint="default"/>
                <w:spacing w:val="-83"/>
                <w:sz w:val="18"/>
                <w:szCs w:val="18"/>
              </w:rPr>
              <w:t>业</w:t>
            </w:r>
            <w:r>
              <w:rPr>
                <w:rFonts w:ascii="华文细黑" w:hAnsi="华文细黑" w:cs="华文细黑" w:eastAsia="华文细黑" w:hint="default"/>
                <w:sz w:val="18"/>
                <w:szCs w:val="18"/>
              </w:rPr>
              <w:t>（有限合伙）</w:t>
            </w:r>
          </w:p>
        </w:tc>
        <w:tc>
          <w:tcPr>
            <w:tcW w:w="2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注销</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无重要影响</w:t>
            </w:r>
          </w:p>
        </w:tc>
      </w:tr>
      <w:tr>
        <w:trPr>
          <w:trHeight w:val="402" w:hRule="exact"/>
        </w:trPr>
        <w:tc>
          <w:tcPr>
            <w:tcW w:w="34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共青城酷鄂投资管理合伙企</w:t>
            </w:r>
            <w:r>
              <w:rPr>
                <w:rFonts w:ascii="华文细黑" w:hAnsi="华文细黑" w:cs="华文细黑" w:eastAsia="华文细黑" w:hint="default"/>
                <w:spacing w:val="-83"/>
                <w:sz w:val="18"/>
                <w:szCs w:val="18"/>
              </w:rPr>
              <w:t>业</w:t>
            </w:r>
            <w:r>
              <w:rPr>
                <w:rFonts w:ascii="华文细黑" w:hAnsi="华文细黑" w:cs="华文细黑" w:eastAsia="华文细黑" w:hint="default"/>
                <w:sz w:val="18"/>
                <w:szCs w:val="18"/>
              </w:rPr>
              <w:t>（有限合伙）</w:t>
            </w:r>
          </w:p>
        </w:tc>
        <w:tc>
          <w:tcPr>
            <w:tcW w:w="2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注销</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无重要影响</w:t>
            </w:r>
          </w:p>
        </w:tc>
      </w:tr>
      <w:tr>
        <w:trPr>
          <w:trHeight w:val="402" w:hRule="exact"/>
        </w:trPr>
        <w:tc>
          <w:tcPr>
            <w:tcW w:w="34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共青城酷浙投资管理合伙企</w:t>
            </w:r>
            <w:r>
              <w:rPr>
                <w:rFonts w:ascii="华文细黑" w:hAnsi="华文细黑" w:cs="华文细黑" w:eastAsia="华文细黑" w:hint="default"/>
                <w:spacing w:val="-83"/>
                <w:sz w:val="18"/>
                <w:szCs w:val="18"/>
              </w:rPr>
              <w:t>业</w:t>
            </w:r>
            <w:r>
              <w:rPr>
                <w:rFonts w:ascii="华文细黑" w:hAnsi="华文细黑" w:cs="华文细黑" w:eastAsia="华文细黑" w:hint="default"/>
                <w:sz w:val="18"/>
                <w:szCs w:val="18"/>
              </w:rPr>
              <w:t>（有限合伙）</w:t>
            </w:r>
          </w:p>
        </w:tc>
        <w:tc>
          <w:tcPr>
            <w:tcW w:w="2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注销</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无重要影响</w:t>
            </w:r>
          </w:p>
        </w:tc>
      </w:tr>
      <w:tr>
        <w:trPr>
          <w:trHeight w:val="402" w:hRule="exact"/>
        </w:trPr>
        <w:tc>
          <w:tcPr>
            <w:tcW w:w="34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长沙酷爱炫供应链管理有限责任公司</w:t>
            </w:r>
          </w:p>
        </w:tc>
        <w:tc>
          <w:tcPr>
            <w:tcW w:w="2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注销</w:t>
            </w:r>
          </w:p>
        </w:tc>
        <w:tc>
          <w:tcPr>
            <w:tcW w:w="31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无重要影响</w:t>
            </w:r>
          </w:p>
        </w:tc>
      </w:tr>
    </w:tbl>
    <w:p>
      <w:pPr>
        <w:spacing w:line="240" w:lineRule="auto" w:before="11"/>
        <w:rPr>
          <w:rFonts w:ascii="华文细黑" w:hAnsi="华文细黑" w:cs="华文细黑" w:eastAsia="华文细黑" w:hint="default"/>
          <w:sz w:val="26"/>
          <w:szCs w:val="26"/>
        </w:rPr>
      </w:pPr>
    </w:p>
    <w:p>
      <w:pPr>
        <w:pStyle w:val="Heading2"/>
        <w:spacing w:line="396" w:lineRule="exact"/>
        <w:ind w:right="1023"/>
        <w:jc w:val="left"/>
        <w:rPr>
          <w:b w:val="0"/>
          <w:bCs w:val="0"/>
        </w:rPr>
      </w:pPr>
      <w:bookmarkStart w:name="八、公司控制的结构化主体情况" w:id="77"/>
      <w:bookmarkEnd w:id="77"/>
      <w:r>
        <w:rPr>
          <w:b w:val="0"/>
          <w:bCs w:val="0"/>
        </w:rPr>
      </w:r>
      <w:r>
        <w:rPr/>
        <w:t>八、公司控制的结构化主体情况</w:t>
      </w:r>
      <w:r>
        <w:rPr>
          <w:b w:val="0"/>
          <w:bCs w:val="0"/>
        </w:rPr>
      </w:r>
    </w:p>
    <w:p>
      <w:pPr>
        <w:spacing w:line="240" w:lineRule="auto" w:before="0"/>
        <w:rPr>
          <w:rFonts w:ascii="华文细黑" w:hAnsi="华文细黑" w:cs="华文细黑" w:eastAsia="华文细黑" w:hint="default"/>
          <w:b/>
          <w:bCs/>
          <w:sz w:val="30"/>
          <w:szCs w:val="30"/>
        </w:rPr>
      </w:pPr>
    </w:p>
    <w:p>
      <w:pPr>
        <w:pStyle w:val="BodyText"/>
        <w:spacing w:line="240" w:lineRule="auto"/>
        <w:ind w:left="234" w:right="1023"/>
        <w:jc w:val="left"/>
      </w:pPr>
      <w:r>
        <w:rPr/>
        <w:t>□  适用  √</w:t>
      </w:r>
      <w:r>
        <w:rPr>
          <w:spacing w:val="51"/>
        </w:rPr>
        <w:t> </w:t>
      </w:r>
      <w:r>
        <w:rPr/>
        <w:t>不适用</w:t>
      </w:r>
    </w:p>
    <w:p>
      <w:pPr>
        <w:spacing w:line="240" w:lineRule="auto" w:before="12"/>
        <w:rPr>
          <w:rFonts w:ascii="华文细黑" w:hAnsi="华文细黑" w:cs="华文细黑" w:eastAsia="华文细黑" w:hint="default"/>
          <w:sz w:val="27"/>
          <w:szCs w:val="27"/>
        </w:rPr>
      </w:pPr>
    </w:p>
    <w:p>
      <w:pPr>
        <w:pStyle w:val="Heading2"/>
        <w:spacing w:line="240" w:lineRule="auto"/>
        <w:ind w:right="1023"/>
        <w:jc w:val="left"/>
        <w:rPr>
          <w:b w:val="0"/>
          <w:bCs w:val="0"/>
        </w:rPr>
      </w:pPr>
      <w:bookmarkStart w:name="九、公司未来发展的展望" w:id="78"/>
      <w:bookmarkEnd w:id="78"/>
      <w:r>
        <w:rPr>
          <w:b w:val="0"/>
          <w:bCs w:val="0"/>
        </w:rPr>
      </w:r>
      <w:r>
        <w:rPr/>
        <w:t>九、公司未来发展的展望</w:t>
      </w:r>
      <w:r>
        <w:rPr>
          <w:b w:val="0"/>
          <w:bCs w:val="0"/>
        </w:rPr>
      </w:r>
    </w:p>
    <w:p>
      <w:pPr>
        <w:spacing w:line="240" w:lineRule="auto" w:before="0"/>
        <w:rPr>
          <w:rFonts w:ascii="华文细黑" w:hAnsi="华文细黑" w:cs="华文细黑" w:eastAsia="华文细黑" w:hint="default"/>
          <w:b/>
          <w:bCs/>
          <w:sz w:val="39"/>
          <w:szCs w:val="39"/>
        </w:rPr>
      </w:pPr>
    </w:p>
    <w:p>
      <w:pPr>
        <w:pStyle w:val="Heading4"/>
        <w:spacing w:line="240" w:lineRule="auto"/>
        <w:ind w:left="654" w:right="1023"/>
        <w:jc w:val="left"/>
        <w:rPr>
          <w:b w:val="0"/>
          <w:bCs w:val="0"/>
        </w:rPr>
      </w:pPr>
      <w:bookmarkStart w:name="（一）2019年发展环境" w:id="79"/>
      <w:bookmarkEnd w:id="79"/>
      <w:r>
        <w:rPr>
          <w:b w:val="0"/>
          <w:bCs w:val="0"/>
        </w:rPr>
      </w:r>
      <w:r>
        <w:rPr/>
        <w:t>（一）</w:t>
      </w:r>
      <w:r>
        <w:rPr>
          <w:rFonts w:ascii="华文细黑" w:hAnsi="华文细黑" w:cs="华文细黑" w:eastAsia="华文细黑" w:hint="default"/>
        </w:rPr>
        <w:t>2019</w:t>
      </w:r>
      <w:r>
        <w:rPr/>
        <w:t>年发展环境</w:t>
      </w:r>
      <w:r>
        <w:rPr>
          <w:b w:val="0"/>
          <w:bCs w:val="0"/>
        </w:rPr>
      </w:r>
    </w:p>
    <w:p>
      <w:pPr>
        <w:spacing w:line="240" w:lineRule="auto" w:before="8"/>
        <w:rPr>
          <w:rFonts w:ascii="华文细黑" w:hAnsi="华文细黑" w:cs="华文细黑" w:eastAsia="华文细黑" w:hint="default"/>
          <w:b/>
          <w:bCs/>
          <w:sz w:val="27"/>
          <w:szCs w:val="27"/>
        </w:rPr>
      </w:pPr>
    </w:p>
    <w:p>
      <w:pPr>
        <w:pStyle w:val="BodyText"/>
        <w:spacing w:line="379" w:lineRule="auto"/>
        <w:ind w:left="234" w:right="1131" w:firstLine="420"/>
        <w:jc w:val="both"/>
      </w:pPr>
      <w:r>
        <w:rPr>
          <w:rFonts w:ascii="华文细黑" w:hAnsi="华文细黑" w:cs="华文细黑" w:eastAsia="华文细黑" w:hint="default"/>
          <w:spacing w:val="-2"/>
        </w:rPr>
        <w:t>2019</w:t>
      </w:r>
      <w:r>
        <w:rPr>
          <w:spacing w:val="-2"/>
        </w:rPr>
        <w:t>年是新中国成立</w:t>
      </w:r>
      <w:r>
        <w:rPr>
          <w:rFonts w:ascii="华文细黑" w:hAnsi="华文细黑" w:cs="华文细黑" w:eastAsia="华文细黑" w:hint="default"/>
          <w:spacing w:val="-2"/>
        </w:rPr>
        <w:t>70</w:t>
      </w:r>
      <w:r>
        <w:rPr>
          <w:spacing w:val="-2"/>
        </w:rPr>
        <w:t>周年，也是全面建成小康社会关键之年。中央经济工作会议强调，要坚持稳中</w:t>
      </w:r>
      <w:r>
        <w:rPr/>
        <w:t> </w:t>
      </w:r>
      <w:r>
        <w:rPr>
          <w:spacing w:val="-1"/>
        </w:rPr>
        <w:t>求进的工作总基调，继续采取积极的财政政策，实施更大规模的减税降费，推行稳健且松紧适度的货币政</w:t>
      </w:r>
      <w:r>
        <w:rPr>
          <w:spacing w:val="-31"/>
        </w:rPr>
        <w:t> </w:t>
      </w:r>
      <w:r>
        <w:rPr>
          <w:spacing w:val="-31"/>
        </w:rPr>
      </w:r>
      <w:r>
        <w:rPr>
          <w:spacing w:val="-1"/>
        </w:rPr>
        <w:t>策，保持流动性合理充裕，解决好民营企业融资难融资贵问题。虽然，中国经济进入转型期，但我们仍处</w:t>
      </w:r>
      <w:r>
        <w:rPr>
          <w:spacing w:val="-31"/>
        </w:rPr>
        <w:t> </w:t>
      </w:r>
      <w:r>
        <w:rPr>
          <w:spacing w:val="-31"/>
        </w:rPr>
      </w:r>
      <w:r>
        <w:rPr/>
        <w:t>于且并将长期处于战略机遇期，有足够的韧性和巨大的发展潜力。</w:t>
      </w:r>
    </w:p>
    <w:p>
      <w:pPr>
        <w:spacing w:line="240" w:lineRule="auto" w:before="13"/>
        <w:rPr>
          <w:rFonts w:ascii="华文细黑" w:hAnsi="华文细黑" w:cs="华文细黑" w:eastAsia="华文细黑" w:hint="default"/>
          <w:sz w:val="13"/>
          <w:szCs w:val="13"/>
        </w:rPr>
      </w:pPr>
    </w:p>
    <w:p>
      <w:pPr>
        <w:pStyle w:val="BodyText"/>
        <w:spacing w:line="379" w:lineRule="auto"/>
        <w:ind w:left="234" w:right="1023" w:firstLine="420"/>
        <w:jc w:val="left"/>
      </w:pPr>
      <w:r>
        <w:rPr/>
        <w:t>特别是在通信领域，第五代移动通信技术（</w:t>
      </w:r>
      <w:r>
        <w:rPr>
          <w:rFonts w:ascii="华文细黑" w:hAnsi="华文细黑" w:cs="华文细黑" w:eastAsia="华文细黑" w:hint="default"/>
        </w:rPr>
        <w:t>5G</w:t>
      </w:r>
      <w:r>
        <w:rPr/>
        <w:t>）不断突破，</w:t>
      </w:r>
      <w:r>
        <w:rPr>
          <w:rFonts w:ascii="华文细黑" w:hAnsi="华文细黑" w:cs="华文细黑" w:eastAsia="华文细黑" w:hint="default"/>
        </w:rPr>
        <w:t>5G</w:t>
      </w:r>
      <w:r>
        <w:rPr/>
        <w:t>智能终端相继面世，物联网平台支撑 </w:t>
      </w:r>
      <w:r>
        <w:rPr>
          <w:spacing w:val="-3"/>
        </w:rPr>
        <w:t>能力持续提升，为公司所在的智能终端分销、零售、通信服务及供应链金融等领域的跨跃式发展积蓄力量。</w:t>
      </w:r>
    </w:p>
    <w:p>
      <w:pPr>
        <w:spacing w:line="240" w:lineRule="auto" w:before="13"/>
        <w:rPr>
          <w:rFonts w:ascii="华文细黑" w:hAnsi="华文细黑" w:cs="华文细黑" w:eastAsia="华文细黑" w:hint="default"/>
          <w:sz w:val="13"/>
          <w:szCs w:val="13"/>
        </w:rPr>
      </w:pPr>
    </w:p>
    <w:p>
      <w:pPr>
        <w:pStyle w:val="BodyText"/>
        <w:spacing w:line="379" w:lineRule="auto"/>
        <w:ind w:left="234" w:right="1017" w:firstLine="420"/>
        <w:jc w:val="left"/>
      </w:pPr>
      <w:r>
        <w:rPr>
          <w:spacing w:val="-3"/>
        </w:rPr>
        <w:t>爱施德，作为优秀民营企业的代表，获得了“改革开放四十周年深圳民营经济突出贡献企业”的荣誉，</w:t>
      </w:r>
      <w:r>
        <w:rPr/>
        <w:t> 必将在新一轮的改革开放中获得更多红利和发展。</w:t>
      </w:r>
    </w:p>
    <w:p>
      <w:pPr>
        <w:spacing w:line="240" w:lineRule="auto" w:before="8"/>
        <w:rPr>
          <w:rFonts w:ascii="华文细黑" w:hAnsi="华文细黑" w:cs="华文细黑" w:eastAsia="华文细黑" w:hint="default"/>
          <w:sz w:val="17"/>
          <w:szCs w:val="17"/>
        </w:rPr>
      </w:pPr>
    </w:p>
    <w:p>
      <w:pPr>
        <w:pStyle w:val="Heading4"/>
        <w:spacing w:line="240" w:lineRule="auto"/>
        <w:ind w:left="654" w:right="1023"/>
        <w:jc w:val="left"/>
        <w:rPr>
          <w:b w:val="0"/>
          <w:bCs w:val="0"/>
        </w:rPr>
      </w:pPr>
      <w:bookmarkStart w:name="（二）公司的发展战略和展望" w:id="80"/>
      <w:bookmarkEnd w:id="80"/>
      <w:r>
        <w:rPr>
          <w:b w:val="0"/>
          <w:bCs w:val="0"/>
        </w:rPr>
      </w:r>
      <w:r>
        <w:rPr/>
        <w:t>（二）公司的发展战略和展望</w:t>
      </w:r>
      <w:r>
        <w:rPr>
          <w:b w:val="0"/>
          <w:bCs w:val="0"/>
        </w:rPr>
      </w:r>
    </w:p>
    <w:p>
      <w:pPr>
        <w:spacing w:line="240" w:lineRule="auto" w:before="8"/>
        <w:rPr>
          <w:rFonts w:ascii="华文细黑" w:hAnsi="华文细黑" w:cs="华文细黑" w:eastAsia="华文细黑" w:hint="default"/>
          <w:b/>
          <w:bCs/>
          <w:sz w:val="27"/>
          <w:szCs w:val="27"/>
        </w:rPr>
      </w:pPr>
    </w:p>
    <w:p>
      <w:pPr>
        <w:pStyle w:val="BodyText"/>
        <w:spacing w:line="379" w:lineRule="auto"/>
        <w:ind w:left="234" w:right="1017" w:firstLine="420"/>
        <w:jc w:val="left"/>
      </w:pPr>
      <w:r>
        <w:rPr>
          <w:spacing w:val="-3"/>
        </w:rPr>
        <w:t>公司将继续把握行业趋势，最大限度地发挥爱施德核心业务优势，“坚定信念，凝心聚力，稳中求进，</w:t>
      </w:r>
      <w:r>
        <w:rPr/>
        <w:t> </w:t>
      </w:r>
      <w:r>
        <w:rPr>
          <w:spacing w:val="-6"/>
        </w:rPr>
        <w:t>持续发展”，持续“构建能力、提升效率”，通过对三大智慧平台的布局，打造大智能连接产业生态，成为</w:t>
      </w:r>
      <w:r>
        <w:rPr>
          <w:spacing w:val="-8"/>
        </w:rPr>
        <w:t> </w:t>
      </w:r>
      <w:r>
        <w:rPr>
          <w:spacing w:val="-8"/>
        </w:rPr>
      </w:r>
      <w:r>
        <w:rPr/>
        <w:t>智能终端领域最具价值的供应链、通信技术和零售服务商。</w:t>
      </w:r>
    </w:p>
    <w:p>
      <w:pPr>
        <w:spacing w:line="240" w:lineRule="auto" w:before="8"/>
        <w:rPr>
          <w:rFonts w:ascii="华文细黑" w:hAnsi="华文细黑" w:cs="华文细黑" w:eastAsia="华文细黑" w:hint="default"/>
          <w:sz w:val="17"/>
          <w:szCs w:val="17"/>
        </w:rPr>
      </w:pPr>
    </w:p>
    <w:p>
      <w:pPr>
        <w:pStyle w:val="Heading4"/>
        <w:spacing w:line="240" w:lineRule="auto"/>
        <w:ind w:left="654" w:right="1023"/>
        <w:jc w:val="left"/>
        <w:rPr>
          <w:b w:val="0"/>
          <w:bCs w:val="0"/>
        </w:rPr>
      </w:pPr>
      <w:bookmarkStart w:name="（三）公司所在行业的发展趋势和关键经营举措" w:id="81"/>
      <w:bookmarkEnd w:id="81"/>
      <w:r>
        <w:rPr>
          <w:b w:val="0"/>
          <w:bCs w:val="0"/>
        </w:rPr>
      </w:r>
      <w:r>
        <w:rPr/>
        <w:t>（三）公司所在行业的发展趋势和关键经营举措</w:t>
      </w:r>
      <w:r>
        <w:rPr>
          <w:b w:val="0"/>
          <w:bCs w:val="0"/>
        </w:rPr>
      </w:r>
    </w:p>
    <w:p>
      <w:pPr>
        <w:spacing w:line="240" w:lineRule="auto" w:before="8"/>
        <w:rPr>
          <w:rFonts w:ascii="华文细黑" w:hAnsi="华文细黑" w:cs="华文细黑" w:eastAsia="华文细黑" w:hint="default"/>
          <w:b/>
          <w:bCs/>
          <w:sz w:val="27"/>
          <w:szCs w:val="27"/>
        </w:rPr>
      </w:pPr>
    </w:p>
    <w:p>
      <w:pPr>
        <w:pStyle w:val="Heading5"/>
        <w:spacing w:line="240" w:lineRule="auto" w:before="0"/>
        <w:ind w:left="654" w:right="1023"/>
        <w:jc w:val="left"/>
        <w:rPr>
          <w:b w:val="0"/>
          <w:bCs w:val="0"/>
        </w:rPr>
      </w:pPr>
      <w:bookmarkStart w:name="1、智能手机即将迎来新一轮换机潮，带来发展新机遇" w:id="82"/>
      <w:bookmarkEnd w:id="82"/>
      <w:r>
        <w:rPr>
          <w:b w:val="0"/>
          <w:bCs w:val="0"/>
        </w:rPr>
      </w:r>
      <w:r>
        <w:rPr>
          <w:rFonts w:ascii="华文细黑" w:hAnsi="华文细黑" w:cs="华文细黑" w:eastAsia="华文细黑" w:hint="default"/>
        </w:rPr>
        <w:t>1</w:t>
      </w:r>
      <w:r>
        <w:rPr/>
        <w:t>、智能手机即将迎来新一轮换机潮，带来发展新机遇</w:t>
      </w:r>
      <w:r>
        <w:rPr>
          <w:b w:val="0"/>
          <w:bCs w:val="0"/>
        </w:rPr>
      </w:r>
    </w:p>
    <w:p>
      <w:pPr>
        <w:spacing w:after="0" w:line="240" w:lineRule="auto"/>
        <w:jc w:val="left"/>
        <w:sectPr>
          <w:pgSz w:w="11910" w:h="16840"/>
          <w:pgMar w:header="917" w:footer="1019" w:top="1100" w:bottom="1200" w:left="900" w:right="0"/>
        </w:sectPr>
      </w:pPr>
    </w:p>
    <w:p>
      <w:pPr>
        <w:spacing w:line="240" w:lineRule="auto" w:before="7"/>
        <w:rPr>
          <w:rFonts w:ascii="华文细黑" w:hAnsi="华文细黑" w:cs="华文细黑" w:eastAsia="华文细黑" w:hint="default"/>
          <w:b/>
          <w:bCs/>
          <w:sz w:val="26"/>
          <w:szCs w:val="26"/>
        </w:rPr>
      </w:pPr>
    </w:p>
    <w:p>
      <w:pPr>
        <w:pStyle w:val="BodyText"/>
        <w:spacing w:line="379" w:lineRule="auto" w:before="10"/>
        <w:ind w:left="154" w:right="1110" w:firstLine="420"/>
        <w:jc w:val="both"/>
      </w:pPr>
      <w:r>
        <w:rPr>
          <w:rFonts w:ascii="华文细黑" w:hAnsi="华文细黑" w:cs="华文细黑" w:eastAsia="华文细黑" w:hint="default"/>
          <w:spacing w:val="-1"/>
        </w:rPr>
        <w:t>2019</w:t>
      </w:r>
      <w:r>
        <w:rPr>
          <w:spacing w:val="-1"/>
        </w:rPr>
        <w:t>年是</w:t>
      </w:r>
      <w:r>
        <w:rPr>
          <w:rFonts w:ascii="华文细黑" w:hAnsi="华文细黑" w:cs="华文细黑" w:eastAsia="华文细黑" w:hint="default"/>
          <w:spacing w:val="-1"/>
        </w:rPr>
        <w:t>5G</w:t>
      </w:r>
      <w:r>
        <w:rPr>
          <w:spacing w:val="-1"/>
        </w:rPr>
        <w:t>手机元年，各手机品牌厂商相继发布其新机型，</w:t>
      </w:r>
      <w:r>
        <w:rPr>
          <w:rFonts w:ascii="华文细黑" w:hAnsi="华文细黑" w:cs="华文细黑" w:eastAsia="华文细黑" w:hint="default"/>
          <w:spacing w:val="-1"/>
        </w:rPr>
        <w:t>5G</w:t>
      </w:r>
      <w:r>
        <w:rPr>
          <w:spacing w:val="-1"/>
        </w:rPr>
        <w:t>手机和折叠屏柔性屏手机成为智能手</w:t>
      </w:r>
      <w:r>
        <w:rPr/>
        <w:t> </w:t>
      </w:r>
      <w:r>
        <w:rPr>
          <w:spacing w:val="-6"/>
        </w:rPr>
        <w:t>机创新的两大主线，而后置三摄甚至四摄、无线充电等微创新仍在继续，并且渗透率将进一步提升。在</w:t>
      </w:r>
      <w:r>
        <w:rPr>
          <w:rFonts w:ascii="华文细黑" w:hAnsi="华文细黑" w:cs="华文细黑" w:eastAsia="华文细黑" w:hint="default"/>
          <w:spacing w:val="-6"/>
        </w:rPr>
        <w:t>2019</w:t>
      </w:r>
      <w:r>
        <w:rPr>
          <w:rFonts w:ascii="华文细黑" w:hAnsi="华文细黑" w:cs="华文细黑" w:eastAsia="华文细黑" w:hint="default"/>
          <w:spacing w:val="-39"/>
        </w:rPr>
        <w:t> </w:t>
      </w:r>
      <w:r>
        <w:rPr/>
        <w:t>年，三星和华为相继推出</w:t>
      </w:r>
      <w:r>
        <w:rPr>
          <w:rFonts w:ascii="华文细黑" w:hAnsi="华文细黑" w:cs="华文细黑" w:eastAsia="华文细黑" w:hint="default"/>
        </w:rPr>
        <w:t>5G</w:t>
      </w:r>
      <w:r>
        <w:rPr/>
        <w:t>可折叠手机新品，预计全年出货量达百万级，随着出货规模放大，技术的不</w:t>
      </w:r>
      <w:r>
        <w:rPr>
          <w:spacing w:val="32"/>
        </w:rPr>
        <w:t> </w:t>
      </w:r>
      <w:r>
        <w:rPr>
          <w:spacing w:val="32"/>
        </w:rPr>
      </w:r>
      <w:r>
        <w:rPr>
          <w:spacing w:val="-1"/>
        </w:rPr>
        <w:t>断成熟和新应用场景的出现，将引领启动智能手机的新一轮换机潮，智能手机供应链服务商也有望迎来新</w:t>
      </w:r>
      <w:r>
        <w:rPr>
          <w:spacing w:val="-29"/>
        </w:rPr>
        <w:t> </w:t>
      </w:r>
      <w:r>
        <w:rPr>
          <w:spacing w:val="-29"/>
        </w:rPr>
      </w:r>
      <w:r>
        <w:rPr/>
        <w:t>的发展机遇。公司作为行业领先的智能手机分销服务商，将继续与手机头部品牌厂商保持战略合作关系， 在覆盖全国的销售网络和强大的服务能力支撑下，为</w:t>
      </w:r>
      <w:r>
        <w:rPr>
          <w:rFonts w:ascii="华文细黑" w:hAnsi="华文细黑" w:cs="华文细黑" w:eastAsia="华文细黑" w:hint="default"/>
        </w:rPr>
        <w:t>5G</w:t>
      </w:r>
      <w:r>
        <w:rPr/>
        <w:t>换机潮的到来做好准备。</w:t>
      </w:r>
    </w:p>
    <w:p>
      <w:pPr>
        <w:spacing w:line="240" w:lineRule="auto" w:before="13"/>
        <w:rPr>
          <w:rFonts w:ascii="华文细黑" w:hAnsi="华文细黑" w:cs="华文细黑" w:eastAsia="华文细黑" w:hint="default"/>
          <w:sz w:val="13"/>
          <w:szCs w:val="13"/>
        </w:rPr>
      </w:pPr>
    </w:p>
    <w:p>
      <w:pPr>
        <w:pStyle w:val="Heading5"/>
        <w:spacing w:line="240" w:lineRule="auto" w:before="0"/>
        <w:ind w:left="574" w:right="1217"/>
        <w:jc w:val="left"/>
        <w:rPr>
          <w:b w:val="0"/>
          <w:bCs w:val="0"/>
        </w:rPr>
      </w:pPr>
      <w:r>
        <w:rPr>
          <w:rFonts w:ascii="华文细黑" w:hAnsi="华文细黑" w:cs="华文细黑" w:eastAsia="华文细黑" w:hint="default"/>
        </w:rPr>
        <w:t>2</w:t>
      </w:r>
      <w:r>
        <w:rPr/>
        <w:t>、伴随中国智能手机出海，海外供应链服务赢得新突破</w:t>
      </w:r>
      <w:r>
        <w:rPr>
          <w:b w:val="0"/>
          <w:bCs w:val="0"/>
        </w:rPr>
      </w:r>
    </w:p>
    <w:p>
      <w:pPr>
        <w:spacing w:line="240" w:lineRule="auto" w:before="3"/>
        <w:rPr>
          <w:rFonts w:ascii="华文细黑" w:hAnsi="华文细黑" w:cs="华文细黑" w:eastAsia="华文细黑" w:hint="default"/>
          <w:b/>
          <w:bCs/>
          <w:sz w:val="23"/>
          <w:szCs w:val="23"/>
        </w:rPr>
      </w:pPr>
    </w:p>
    <w:p>
      <w:pPr>
        <w:pStyle w:val="BodyText"/>
        <w:spacing w:line="379" w:lineRule="auto"/>
        <w:ind w:left="154" w:right="1130" w:firstLine="420"/>
        <w:jc w:val="both"/>
      </w:pPr>
      <w:r>
        <w:rPr>
          <w:spacing w:val="-1"/>
        </w:rPr>
        <w:t>中国手机品牌依靠优秀的产品品质和营销策略，国产手机从“后起”到“赶超”，在国内和国外两个</w:t>
      </w:r>
      <w:r>
        <w:rPr/>
        <w:t> </w:t>
      </w:r>
      <w:r>
        <w:rPr>
          <w:spacing w:val="-1"/>
        </w:rPr>
        <w:t>市场都实现了与国际优质品牌的同台竞争甚至超越，对全球整体市场销量增长贡献巨大。在国产手机相继</w:t>
      </w:r>
      <w:r>
        <w:rPr>
          <w:spacing w:val="-29"/>
        </w:rPr>
        <w:t> </w:t>
      </w:r>
      <w:r>
        <w:rPr>
          <w:spacing w:val="-29"/>
        </w:rPr>
      </w:r>
      <w:r>
        <w:rPr>
          <w:spacing w:val="-1"/>
        </w:rPr>
        <w:t>出海的机遇引导下，爱施德通过创新的商业模式，与国内知名手机品牌厂商深度合作，一起深耕海外增量</w:t>
      </w:r>
      <w:r>
        <w:rPr>
          <w:spacing w:val="-31"/>
        </w:rPr>
        <w:t> </w:t>
      </w:r>
      <w:r>
        <w:rPr>
          <w:spacing w:val="-31"/>
        </w:rPr>
      </w:r>
      <w:r>
        <w:rPr/>
        <w:t>市场，一起谋求新的战略合作，赢得了海外上下游客户的信任，布局了基于</w:t>
      </w:r>
      <w:r>
        <w:rPr>
          <w:rFonts w:ascii="华文细黑" w:hAnsi="华文细黑" w:cs="华文细黑" w:eastAsia="华文细黑" w:hint="default"/>
        </w:rPr>
        <w:t>IT</w:t>
      </w:r>
      <w:r>
        <w:rPr/>
        <w:t>支撑的海外销售服务体系，</w:t>
      </w:r>
      <w:r>
        <w:rPr>
          <w:spacing w:val="-8"/>
        </w:rPr>
        <w:t> </w:t>
      </w:r>
      <w:r>
        <w:rPr>
          <w:spacing w:val="-8"/>
        </w:rPr>
      </w:r>
      <w:r>
        <w:rPr/>
        <w:t>实现了海外供应链服务的新突破。</w:t>
      </w:r>
    </w:p>
    <w:p>
      <w:pPr>
        <w:spacing w:line="240" w:lineRule="auto" w:before="13"/>
        <w:rPr>
          <w:rFonts w:ascii="华文细黑" w:hAnsi="华文细黑" w:cs="华文细黑" w:eastAsia="华文细黑" w:hint="default"/>
          <w:sz w:val="13"/>
          <w:szCs w:val="13"/>
        </w:rPr>
      </w:pPr>
    </w:p>
    <w:p>
      <w:pPr>
        <w:pStyle w:val="Heading5"/>
        <w:spacing w:line="240" w:lineRule="auto" w:before="0"/>
        <w:ind w:left="574" w:right="1217"/>
        <w:jc w:val="left"/>
        <w:rPr>
          <w:b w:val="0"/>
          <w:bCs w:val="0"/>
        </w:rPr>
      </w:pPr>
      <w:bookmarkStart w:name="3、强监管下的金融及供应链服务业，定会实现健康发展" w:id="83"/>
      <w:bookmarkEnd w:id="83"/>
      <w:r>
        <w:rPr>
          <w:b w:val="0"/>
          <w:bCs w:val="0"/>
        </w:rPr>
      </w:r>
      <w:r>
        <w:rPr>
          <w:rFonts w:ascii="华文细黑" w:hAnsi="华文细黑" w:cs="华文细黑" w:eastAsia="华文细黑" w:hint="default"/>
        </w:rPr>
        <w:t>3</w:t>
      </w:r>
      <w:r>
        <w:rPr/>
        <w:t>、强监管下的金融及供应链服务业，定会实现健康发展</w:t>
      </w:r>
      <w:r>
        <w:rPr>
          <w:b w:val="0"/>
          <w:bCs w:val="0"/>
        </w:rPr>
      </w:r>
    </w:p>
    <w:p>
      <w:pPr>
        <w:spacing w:line="240" w:lineRule="auto" w:before="3"/>
        <w:rPr>
          <w:rFonts w:ascii="华文细黑" w:hAnsi="华文细黑" w:cs="华文细黑" w:eastAsia="华文细黑" w:hint="default"/>
          <w:b/>
          <w:bCs/>
          <w:sz w:val="23"/>
          <w:szCs w:val="23"/>
        </w:rPr>
      </w:pPr>
    </w:p>
    <w:p>
      <w:pPr>
        <w:pStyle w:val="BodyText"/>
        <w:spacing w:line="379" w:lineRule="auto"/>
        <w:ind w:left="154" w:right="1130" w:firstLine="420"/>
        <w:jc w:val="both"/>
      </w:pPr>
      <w:r>
        <w:rPr>
          <w:spacing w:val="-1"/>
        </w:rPr>
        <w:t>经过国家去杠杆和市场洗牌后，具有小贷资质的正规机构将迎来在良性市场环境下的崛起机会。公司</w:t>
      </w:r>
      <w:r>
        <w:rPr/>
        <w:t> </w:t>
      </w:r>
      <w:r>
        <w:rPr>
          <w:spacing w:val="-1"/>
        </w:rPr>
        <w:t>在网络小贷牌照的支撑下，聚焦海内外智能终端供应链场景，构建上下游客户白名单，进行有资金指定用</w:t>
      </w:r>
      <w:r>
        <w:rPr>
          <w:spacing w:val="-31"/>
        </w:rPr>
        <w:t> </w:t>
      </w:r>
      <w:r>
        <w:rPr>
          <w:spacing w:val="-31"/>
        </w:rPr>
      </w:r>
      <w:r>
        <w:rPr/>
        <w:t>途、有场景、有抵押、有目标客户群体的金融及供应链服务业务，将在新的金融环境下稳健发展。</w:t>
      </w:r>
    </w:p>
    <w:p>
      <w:pPr>
        <w:spacing w:line="240" w:lineRule="auto" w:before="13"/>
        <w:rPr>
          <w:rFonts w:ascii="华文细黑" w:hAnsi="华文细黑" w:cs="华文细黑" w:eastAsia="华文细黑" w:hint="default"/>
          <w:sz w:val="13"/>
          <w:szCs w:val="13"/>
        </w:rPr>
      </w:pPr>
    </w:p>
    <w:p>
      <w:pPr>
        <w:pStyle w:val="Heading5"/>
        <w:spacing w:line="240" w:lineRule="auto" w:before="0"/>
        <w:ind w:left="574" w:right="1217"/>
        <w:jc w:val="left"/>
        <w:rPr>
          <w:b w:val="0"/>
          <w:bCs w:val="0"/>
        </w:rPr>
      </w:pPr>
      <w:bookmarkStart w:name="4、物联网连接数在5G时代规模放量，激发物联网大发展" w:id="84"/>
      <w:bookmarkEnd w:id="84"/>
      <w:r>
        <w:rPr>
          <w:b w:val="0"/>
          <w:bCs w:val="0"/>
        </w:rPr>
      </w:r>
      <w:r>
        <w:rPr>
          <w:rFonts w:ascii="华文细黑" w:hAnsi="华文细黑" w:cs="华文细黑" w:eastAsia="华文细黑" w:hint="default"/>
        </w:rPr>
        <w:t>4</w:t>
      </w:r>
      <w:r>
        <w:rPr/>
        <w:t>、物联网连接数在</w:t>
      </w:r>
      <w:r>
        <w:rPr>
          <w:rFonts w:ascii="华文细黑" w:hAnsi="华文细黑" w:cs="华文细黑" w:eastAsia="华文细黑" w:hint="default"/>
        </w:rPr>
        <w:t>5G</w:t>
      </w:r>
      <w:r>
        <w:rPr/>
        <w:t>时代规模放量，激发物联网大发展</w:t>
      </w:r>
      <w:r>
        <w:rPr>
          <w:b w:val="0"/>
          <w:bCs w:val="0"/>
        </w:rPr>
      </w:r>
    </w:p>
    <w:p>
      <w:pPr>
        <w:spacing w:line="240" w:lineRule="auto" w:before="3"/>
        <w:rPr>
          <w:rFonts w:ascii="华文细黑" w:hAnsi="华文细黑" w:cs="华文细黑" w:eastAsia="华文细黑" w:hint="default"/>
          <w:b/>
          <w:bCs/>
          <w:sz w:val="23"/>
          <w:szCs w:val="23"/>
        </w:rPr>
      </w:pPr>
    </w:p>
    <w:p>
      <w:pPr>
        <w:pStyle w:val="BodyText"/>
        <w:spacing w:line="379" w:lineRule="auto"/>
        <w:ind w:left="154" w:right="1127" w:firstLine="420"/>
        <w:jc w:val="both"/>
      </w:pPr>
      <w:r>
        <w:rPr/>
        <w:t>随着中国</w:t>
      </w:r>
      <w:r>
        <w:rPr>
          <w:rFonts w:ascii="华文细黑" w:hAnsi="华文细黑" w:cs="华文细黑" w:eastAsia="华文细黑" w:hint="default"/>
        </w:rPr>
        <w:t>5G</w:t>
      </w:r>
      <w:r>
        <w:rPr/>
        <w:t>在</w:t>
      </w:r>
      <w:r>
        <w:rPr>
          <w:rFonts w:ascii="华文细黑" w:hAnsi="华文细黑" w:cs="华文细黑" w:eastAsia="华文细黑" w:hint="default"/>
        </w:rPr>
        <w:t>2019</w:t>
      </w:r>
      <w:r>
        <w:rPr/>
        <w:t>年试商用，</w:t>
      </w:r>
      <w:r>
        <w:rPr>
          <w:rFonts w:ascii="华文细黑" w:hAnsi="华文细黑" w:cs="华文细黑" w:eastAsia="华文细黑" w:hint="default"/>
        </w:rPr>
        <w:t>2020</w:t>
      </w:r>
      <w:r>
        <w:rPr/>
        <w:t>年规模商用，其催生的物联网应用也将随之爆发。因其高速率、 </w:t>
      </w:r>
      <w:r>
        <w:rPr>
          <w:spacing w:val="2"/>
        </w:rPr>
        <w:t>多连接、低时延和高可控等核心特点，网联无人机、车联网、智能制造、远程医疗等应用将成为</w:t>
      </w:r>
      <w:r>
        <w:rPr>
          <w:rFonts w:ascii="华文细黑" w:hAnsi="华文细黑" w:cs="华文细黑" w:eastAsia="华文细黑" w:hint="default"/>
          <w:spacing w:val="2"/>
        </w:rPr>
        <w:t>5G</w:t>
      </w:r>
      <w:r>
        <w:rPr>
          <w:spacing w:val="2"/>
        </w:rPr>
        <w:t>物联</w:t>
      </w:r>
      <w:r>
        <w:rPr>
          <w:spacing w:val="-47"/>
        </w:rPr>
        <w:t> </w:t>
      </w:r>
      <w:r>
        <w:rPr>
          <w:spacing w:val="-2"/>
        </w:rPr>
        <w:t>网的典型场景。据相关报告统计，</w:t>
      </w:r>
      <w:r>
        <w:rPr>
          <w:rFonts w:ascii="华文细黑" w:hAnsi="华文细黑" w:cs="华文细黑" w:eastAsia="华文细黑" w:hint="default"/>
          <w:spacing w:val="-2"/>
        </w:rPr>
        <w:t>2018</w:t>
      </w:r>
      <w:r>
        <w:rPr>
          <w:spacing w:val="-2"/>
        </w:rPr>
        <w:t>年我国蜂窝物联网连接数净增量为</w:t>
      </w:r>
      <w:r>
        <w:rPr>
          <w:rFonts w:ascii="华文细黑" w:hAnsi="华文细黑" w:cs="华文细黑" w:eastAsia="华文细黑" w:hint="default"/>
          <w:spacing w:val="-2"/>
        </w:rPr>
        <w:t>3.77</w:t>
      </w:r>
      <w:r>
        <w:rPr>
          <w:spacing w:val="-2"/>
        </w:rPr>
        <w:t>亿，增长呈加速趋势，并预</w:t>
      </w:r>
      <w:r>
        <w:rPr>
          <w:spacing w:val="-8"/>
        </w:rPr>
        <w:t> </w:t>
      </w:r>
      <w:r>
        <w:rPr>
          <w:spacing w:val="-8"/>
        </w:rPr>
      </w:r>
      <w:r>
        <w:rPr>
          <w:spacing w:val="-2"/>
        </w:rPr>
        <w:t>计在</w:t>
      </w:r>
      <w:r>
        <w:rPr>
          <w:rFonts w:ascii="华文细黑" w:hAnsi="华文细黑" w:cs="华文细黑" w:eastAsia="华文细黑" w:hint="default"/>
          <w:spacing w:val="-2"/>
        </w:rPr>
        <w:t>2019</w:t>
      </w:r>
      <w:r>
        <w:rPr>
          <w:spacing w:val="-2"/>
        </w:rPr>
        <w:t>年实现</w:t>
      </w:r>
      <w:r>
        <w:rPr>
          <w:rFonts w:ascii="华文细黑" w:hAnsi="华文细黑" w:cs="华文细黑" w:eastAsia="华文细黑" w:hint="default"/>
          <w:spacing w:val="-2"/>
        </w:rPr>
        <w:t>54</w:t>
      </w:r>
      <w:r>
        <w:rPr>
          <w:spacing w:val="-2"/>
        </w:rPr>
        <w:t>亿物联网连接数，增长</w:t>
      </w:r>
      <w:r>
        <w:rPr>
          <w:rFonts w:ascii="华文细黑" w:hAnsi="华文细黑" w:cs="华文细黑" w:eastAsia="华文细黑" w:hint="default"/>
          <w:spacing w:val="-2"/>
        </w:rPr>
        <w:t>76%</w:t>
      </w:r>
      <w:r>
        <w:rPr>
          <w:spacing w:val="-2"/>
        </w:rPr>
        <w:t>。蜂窝物联网连接数的规模放量将为包含虚商在内的物联网</w:t>
      </w:r>
      <w:r>
        <w:rPr>
          <w:spacing w:val="-21"/>
        </w:rPr>
        <w:t> </w:t>
      </w:r>
      <w:r>
        <w:rPr>
          <w:spacing w:val="-21"/>
        </w:rPr>
      </w:r>
      <w:r>
        <w:rPr>
          <w:spacing w:val="-1"/>
        </w:rPr>
        <w:t>运营商带来一个巨大的增量市场。公司作为持有三网移动转售正式资质的虚拟运营商，业务已成功延伸至</w:t>
      </w:r>
      <w:r>
        <w:rPr>
          <w:spacing w:val="-29"/>
        </w:rPr>
        <w:t> </w:t>
      </w:r>
      <w:r>
        <w:rPr>
          <w:spacing w:val="-29"/>
        </w:rPr>
      </w:r>
      <w:r>
        <w:rPr/>
        <w:t>物联网领域，为公司的可持续发展做出战略性布局。</w:t>
      </w:r>
    </w:p>
    <w:p>
      <w:pPr>
        <w:spacing w:line="240" w:lineRule="auto" w:before="13"/>
        <w:rPr>
          <w:rFonts w:ascii="华文细黑" w:hAnsi="华文细黑" w:cs="华文细黑" w:eastAsia="华文细黑" w:hint="default"/>
          <w:sz w:val="13"/>
          <w:szCs w:val="13"/>
        </w:rPr>
      </w:pPr>
    </w:p>
    <w:p>
      <w:pPr>
        <w:pStyle w:val="Heading5"/>
        <w:spacing w:line="240" w:lineRule="auto" w:before="0"/>
        <w:ind w:left="574" w:right="1217"/>
        <w:jc w:val="left"/>
        <w:rPr>
          <w:b w:val="0"/>
          <w:bCs w:val="0"/>
        </w:rPr>
      </w:pPr>
      <w:bookmarkStart w:name="5、新零售引领消费升级，创造零售新规模" w:id="85"/>
      <w:bookmarkEnd w:id="85"/>
      <w:r>
        <w:rPr>
          <w:b w:val="0"/>
          <w:bCs w:val="0"/>
        </w:rPr>
      </w:r>
      <w:r>
        <w:rPr>
          <w:rFonts w:ascii="华文细黑" w:hAnsi="华文细黑" w:cs="华文细黑" w:eastAsia="华文细黑" w:hint="default"/>
        </w:rPr>
        <w:t>5</w:t>
      </w:r>
      <w:r>
        <w:rPr/>
        <w:t>、新零售引领消费升级，创造零售新规模</w:t>
      </w:r>
      <w:r>
        <w:rPr>
          <w:b w:val="0"/>
          <w:bCs w:val="0"/>
        </w:rPr>
      </w:r>
    </w:p>
    <w:p>
      <w:pPr>
        <w:spacing w:line="240" w:lineRule="auto" w:before="3"/>
        <w:rPr>
          <w:rFonts w:ascii="华文细黑" w:hAnsi="华文细黑" w:cs="华文细黑" w:eastAsia="华文细黑" w:hint="default"/>
          <w:b/>
          <w:bCs/>
          <w:sz w:val="23"/>
          <w:szCs w:val="23"/>
        </w:rPr>
      </w:pPr>
    </w:p>
    <w:p>
      <w:pPr>
        <w:pStyle w:val="BodyText"/>
        <w:spacing w:line="379" w:lineRule="auto"/>
        <w:ind w:left="154" w:right="1017" w:firstLine="420"/>
        <w:jc w:val="left"/>
      </w:pPr>
      <w:r>
        <w:rPr>
          <w:spacing w:val="-3"/>
        </w:rPr>
        <w:t>近年来，在以“新零售”为主旋律的强势革新下，人货场正在进行着结构性调整，实体零售逐步复苏，</w:t>
      </w:r>
      <w:r>
        <w:rPr/>
        <w:t> 互联网巨头和互联网手机品牌不约而同开始重视线下渠道。随着新资本和黑科技的涌入，手机门店呈现出 跨界融合、线上线下一体化、商品泛智能化等趋势。这些趋势展现出一个基本的商业逻辑就是零售商开始</w:t>
      </w:r>
    </w:p>
    <w:p>
      <w:pPr>
        <w:spacing w:after="0" w:line="379" w:lineRule="auto"/>
        <w:jc w:val="left"/>
        <w:sectPr>
          <w:pgSz w:w="11910" w:h="16840"/>
          <w:pgMar w:header="917" w:footer="1019" w:top="1100" w:bottom="1200" w:left="980" w:right="0"/>
        </w:sectPr>
      </w:pPr>
    </w:p>
    <w:p>
      <w:pPr>
        <w:spacing w:line="240" w:lineRule="auto" w:before="7"/>
        <w:rPr>
          <w:rFonts w:ascii="华文细黑" w:hAnsi="华文细黑" w:cs="华文细黑" w:eastAsia="华文细黑" w:hint="default"/>
          <w:sz w:val="26"/>
          <w:szCs w:val="26"/>
        </w:rPr>
      </w:pPr>
    </w:p>
    <w:p>
      <w:pPr>
        <w:pStyle w:val="BodyText"/>
        <w:spacing w:line="379" w:lineRule="auto" w:before="10"/>
        <w:ind w:left="234" w:right="1129"/>
        <w:jc w:val="both"/>
      </w:pPr>
      <w:r>
        <w:rPr>
          <w:spacing w:val="-1"/>
        </w:rPr>
        <w:t>从售卖产品向经营用户转变，进而建立消费粘性，形成消费闭环，最终在更加高效的零售服务中创造新的</w:t>
      </w:r>
      <w:r>
        <w:rPr>
          <w:spacing w:val="-31"/>
        </w:rPr>
        <w:t> </w:t>
      </w:r>
      <w:r>
        <w:rPr>
          <w:spacing w:val="-31"/>
        </w:rPr>
      </w:r>
      <w:r>
        <w:rPr>
          <w:spacing w:val="-14"/>
        </w:rPr>
        <w:t>规模空间。公司积极打造智慧零售平台，通过“酷动（</w:t>
      </w:r>
      <w:r>
        <w:rPr>
          <w:rFonts w:ascii="华文细黑" w:hAnsi="华文细黑" w:cs="华文细黑" w:eastAsia="华文细黑" w:hint="default"/>
          <w:spacing w:val="-14"/>
        </w:rPr>
        <w:t>Coodoo</w:t>
      </w:r>
      <w:r>
        <w:rPr>
          <w:spacing w:val="-14"/>
        </w:rPr>
        <w:t>）”、“由你购（</w:t>
      </w:r>
      <w:r>
        <w:rPr>
          <w:rFonts w:ascii="华文细黑" w:hAnsi="华文细黑" w:cs="华文细黑" w:eastAsia="华文细黑" w:hint="default"/>
          <w:spacing w:val="-14"/>
        </w:rPr>
        <w:t>YNG</w:t>
      </w:r>
      <w:r>
        <w:rPr>
          <w:spacing w:val="-14"/>
        </w:rPr>
        <w:t>）”、“一号机”和“爱</w:t>
      </w:r>
      <w:r>
        <w:rPr/>
        <w:t> </w:t>
      </w:r>
      <w:r>
        <w:rPr>
          <w:spacing w:val="-1"/>
        </w:rPr>
        <w:t>保科技”四大零售品牌布局了融合线上线下、贯穿售前售后的新零售体系，为公司的可持续规模发展注入</w:t>
      </w:r>
      <w:r>
        <w:rPr>
          <w:spacing w:val="-31"/>
        </w:rPr>
        <w:t> </w:t>
      </w:r>
      <w:r>
        <w:rPr>
          <w:spacing w:val="-31"/>
        </w:rPr>
      </w:r>
      <w:r>
        <w:rPr/>
        <w:t>新动力。</w:t>
      </w:r>
    </w:p>
    <w:p>
      <w:pPr>
        <w:spacing w:line="240" w:lineRule="auto" w:before="13"/>
        <w:rPr>
          <w:rFonts w:ascii="华文细黑" w:hAnsi="华文细黑" w:cs="华文细黑" w:eastAsia="华文细黑" w:hint="default"/>
          <w:sz w:val="13"/>
          <w:szCs w:val="13"/>
        </w:rPr>
      </w:pPr>
    </w:p>
    <w:p>
      <w:pPr>
        <w:pStyle w:val="Heading5"/>
        <w:spacing w:line="240" w:lineRule="auto" w:before="0"/>
        <w:ind w:left="654" w:right="1023"/>
        <w:jc w:val="left"/>
        <w:rPr>
          <w:b w:val="0"/>
          <w:bCs w:val="0"/>
        </w:rPr>
      </w:pPr>
      <w:bookmarkStart w:name="6、公司继续推进队伍建设和管理创新" w:id="86"/>
      <w:bookmarkEnd w:id="86"/>
      <w:r>
        <w:rPr>
          <w:b w:val="0"/>
          <w:bCs w:val="0"/>
        </w:rPr>
      </w:r>
      <w:r>
        <w:rPr>
          <w:rFonts w:ascii="华文细黑" w:hAnsi="华文细黑" w:cs="华文细黑" w:eastAsia="华文细黑" w:hint="default"/>
        </w:rPr>
        <w:t>6</w:t>
      </w:r>
      <w:r>
        <w:rPr/>
        <w:t>、公司继续推进队伍建设和管理创新</w:t>
      </w:r>
      <w:r>
        <w:rPr>
          <w:b w:val="0"/>
          <w:bCs w:val="0"/>
        </w:rPr>
      </w:r>
    </w:p>
    <w:p>
      <w:pPr>
        <w:spacing w:line="240" w:lineRule="auto" w:before="3"/>
        <w:rPr>
          <w:rFonts w:ascii="华文细黑" w:hAnsi="华文细黑" w:cs="华文细黑" w:eastAsia="华文细黑" w:hint="default"/>
          <w:b/>
          <w:bCs/>
          <w:sz w:val="23"/>
          <w:szCs w:val="23"/>
        </w:rPr>
      </w:pPr>
    </w:p>
    <w:p>
      <w:pPr>
        <w:pStyle w:val="BodyText"/>
        <w:spacing w:line="379" w:lineRule="auto"/>
        <w:ind w:left="234" w:right="1023" w:firstLine="420"/>
        <w:jc w:val="left"/>
      </w:pPr>
      <w:r>
        <w:rPr>
          <w:spacing w:val="-1"/>
        </w:rPr>
        <w:t>公司在队伍建设方面，持续推进和完善合伙人机制、干部培养机制、“年轻化”建设和员工关怀体系</w:t>
      </w:r>
      <w:r>
        <w:rPr/>
        <w:t> 建设。在管理创新方面，公司创造性地实施业务跟投机制和价值创造考核体系，将事业合伙人、责任共担 </w:t>
      </w:r>
      <w:r>
        <w:rPr>
          <w:spacing w:val="-2"/>
        </w:rPr>
        <w:t>和收益共享的理念贯彻到核心团队；坚定实施分销团队网格化运营，充分应用</w:t>
      </w:r>
      <w:r>
        <w:rPr>
          <w:rFonts w:ascii="华文细黑" w:hAnsi="华文细黑" w:cs="华文细黑" w:eastAsia="华文细黑" w:hint="default"/>
          <w:spacing w:val="-2"/>
        </w:rPr>
        <w:t>SFA</w:t>
      </w:r>
      <w:r>
        <w:rPr>
          <w:spacing w:val="-2"/>
        </w:rPr>
        <w:t>和云签章等信息化工具，</w:t>
      </w:r>
      <w:r>
        <w:rPr>
          <w:spacing w:val="-27"/>
        </w:rPr>
        <w:t> </w:t>
      </w:r>
      <w:r>
        <w:rPr>
          <w:spacing w:val="-27"/>
        </w:rPr>
      </w:r>
      <w:r>
        <w:rPr/>
        <w:t>坚持信息化赋能和效率提升；不断深化组织架构改革，秉持“集团做轻，产业做强”的原则，推进职能支</w:t>
      </w:r>
      <w:r>
        <w:rPr/>
        <w:t> 撑平台化，后端职责前移，共同聚焦业务发展。</w:t>
      </w:r>
    </w:p>
    <w:p>
      <w:pPr>
        <w:spacing w:line="240" w:lineRule="auto" w:before="13"/>
        <w:rPr>
          <w:rFonts w:ascii="华文细黑" w:hAnsi="华文细黑" w:cs="华文细黑" w:eastAsia="华文细黑" w:hint="default"/>
          <w:sz w:val="13"/>
          <w:szCs w:val="13"/>
        </w:rPr>
      </w:pPr>
    </w:p>
    <w:p>
      <w:pPr>
        <w:pStyle w:val="BodyText"/>
        <w:spacing w:line="379" w:lineRule="auto"/>
        <w:ind w:left="234" w:right="1131" w:firstLine="420"/>
        <w:jc w:val="both"/>
      </w:pPr>
      <w:r>
        <w:rPr>
          <w:spacing w:val="-1"/>
        </w:rPr>
        <w:t>随着经济转型升级稳步推进，供给侧结构性改革继续深化，改革开放力度不断加强，经济与产业结构</w:t>
      </w:r>
      <w:r>
        <w:rPr/>
        <w:t> 持续优化，中国在众多高新技术产业的发展上展现出了巨大的潜力和前景。</w:t>
      </w:r>
      <w:r>
        <w:rPr>
          <w:rFonts w:ascii="华文细黑" w:hAnsi="华文细黑" w:cs="华文细黑" w:eastAsia="华文细黑" w:hint="default"/>
        </w:rPr>
        <w:t>5G</w:t>
      </w:r>
      <w:r>
        <w:rPr/>
        <w:t>时代已然到来，中国领跑</w:t>
      </w:r>
      <w:r>
        <w:rPr>
          <w:spacing w:val="39"/>
        </w:rPr>
        <w:t> </w:t>
      </w:r>
      <w:r>
        <w:rPr>
          <w:spacing w:val="39"/>
        </w:rPr>
      </w:r>
      <w:r>
        <w:rPr>
          <w:spacing w:val="-1"/>
        </w:rPr>
        <w:t>全球，将依靠更快的传输速度、更低的时延及海量的数据连接对社会发展带来变革，驱动新的业务场景和</w:t>
      </w:r>
      <w:r>
        <w:rPr>
          <w:spacing w:val="-31"/>
        </w:rPr>
        <w:t> </w:t>
      </w:r>
      <w:r>
        <w:rPr>
          <w:spacing w:val="-31"/>
        </w:rPr>
      </w:r>
      <w:r>
        <w:rPr/>
        <w:t>新的业务形态，带来新的市场价值。在</w:t>
      </w:r>
      <w:r>
        <w:rPr>
          <w:rFonts w:ascii="华文细黑" w:hAnsi="华文细黑" w:cs="华文细黑" w:eastAsia="华文细黑" w:hint="default"/>
        </w:rPr>
        <w:t>5G</w:t>
      </w:r>
      <w:r>
        <w:rPr/>
        <w:t>时代，公司将坚持“稳中求进，持续发展”的工作总基调，持</w:t>
      </w:r>
      <w:r>
        <w:rPr>
          <w:spacing w:val="35"/>
        </w:rPr>
        <w:t> </w:t>
      </w:r>
      <w:r>
        <w:rPr>
          <w:spacing w:val="35"/>
        </w:rPr>
      </w:r>
      <w:r>
        <w:rPr>
          <w:spacing w:val="-1"/>
        </w:rPr>
        <w:t>续优化三大智慧平台，打造大智能连接产业生态。弘扬“以创业创新为核心的奋斗者精神”和“以价值创</w:t>
      </w:r>
      <w:r>
        <w:rPr>
          <w:spacing w:val="-31"/>
        </w:rPr>
        <w:t> </w:t>
      </w:r>
      <w:r>
        <w:rPr>
          <w:spacing w:val="-31"/>
        </w:rPr>
      </w:r>
      <w:r>
        <w:rPr>
          <w:spacing w:val="-9"/>
        </w:rPr>
        <w:t>造为核心的实干家精神”，</w:t>
      </w:r>
      <w:r>
        <w:rPr>
          <w:spacing w:val="43"/>
        </w:rPr>
        <w:t> </w:t>
      </w:r>
      <w:r>
        <w:rPr>
          <w:spacing w:val="-3"/>
        </w:rPr>
        <w:t>抓住“</w:t>
      </w:r>
      <w:r>
        <w:rPr>
          <w:rFonts w:ascii="华文细黑" w:hAnsi="华文细黑" w:cs="华文细黑" w:eastAsia="华文细黑" w:hint="default"/>
          <w:spacing w:val="-3"/>
        </w:rPr>
        <w:t>5G</w:t>
      </w:r>
      <w:r>
        <w:rPr>
          <w:spacing w:val="-3"/>
        </w:rPr>
        <w:t>时代”智能终端升级万物互联的大机遇实现爱施德的大发展，为“基</w:t>
      </w:r>
      <w:r>
        <w:rPr/>
        <w:t> 业长青”的企业愿景而砥砺前行。</w:t>
      </w:r>
    </w:p>
    <w:p>
      <w:pPr>
        <w:spacing w:line="240" w:lineRule="auto" w:before="1"/>
        <w:rPr>
          <w:rFonts w:ascii="华文细黑" w:hAnsi="华文细黑" w:cs="华文细黑" w:eastAsia="华文细黑" w:hint="default"/>
          <w:sz w:val="24"/>
          <w:szCs w:val="24"/>
        </w:rPr>
      </w:pPr>
    </w:p>
    <w:p>
      <w:pPr>
        <w:pStyle w:val="Heading2"/>
        <w:spacing w:line="240" w:lineRule="auto"/>
        <w:ind w:right="0"/>
        <w:jc w:val="both"/>
        <w:rPr>
          <w:b w:val="0"/>
          <w:bCs w:val="0"/>
        </w:rPr>
      </w:pPr>
      <w:bookmarkStart w:name="十、接待调研、沟通、采访等活动" w:id="87"/>
      <w:bookmarkEnd w:id="87"/>
      <w:r>
        <w:rPr>
          <w:b w:val="0"/>
          <w:bCs w:val="0"/>
        </w:rPr>
      </w:r>
      <w:r>
        <w:rPr/>
        <w:t>十、接待调研、沟通、采访等活动</w:t>
      </w:r>
      <w:r>
        <w:rPr>
          <w:b w:val="0"/>
          <w:bCs w:val="0"/>
        </w:rPr>
      </w:r>
    </w:p>
    <w:p>
      <w:pPr>
        <w:spacing w:line="240" w:lineRule="auto" w:before="0"/>
        <w:rPr>
          <w:rFonts w:ascii="华文细黑" w:hAnsi="华文细黑" w:cs="华文细黑" w:eastAsia="华文细黑" w:hint="default"/>
          <w:b/>
          <w:bCs/>
          <w:sz w:val="30"/>
          <w:szCs w:val="30"/>
        </w:rPr>
      </w:pPr>
    </w:p>
    <w:p>
      <w:pPr>
        <w:pStyle w:val="Heading5"/>
        <w:spacing w:line="240" w:lineRule="auto" w:before="0"/>
        <w:ind w:right="0"/>
        <w:jc w:val="both"/>
        <w:rPr>
          <w:b w:val="0"/>
          <w:bCs w:val="0"/>
        </w:rPr>
      </w:pPr>
      <w:bookmarkStart w:name="1、报告期内接待调研、沟通、采访等活动登记表" w:id="88"/>
      <w:bookmarkEnd w:id="88"/>
      <w:r>
        <w:rPr>
          <w:b w:val="0"/>
          <w:bCs w:val="0"/>
        </w:rPr>
      </w:r>
      <w:r>
        <w:rPr>
          <w:rFonts w:ascii="华文细黑" w:hAnsi="华文细黑" w:cs="华文细黑" w:eastAsia="华文细黑" w:hint="default"/>
        </w:rPr>
        <w:t>1</w:t>
      </w:r>
      <w:r>
        <w:rPr/>
        <w:t>、报告期内接待调研、沟通、采访等活动登记表</w:t>
      </w:r>
      <w:r>
        <w:rPr>
          <w:b w:val="0"/>
          <w:bCs w:val="0"/>
        </w:rPr>
      </w:r>
    </w:p>
    <w:p>
      <w:pPr>
        <w:spacing w:line="240" w:lineRule="auto" w:before="6"/>
        <w:rPr>
          <w:rFonts w:ascii="华文细黑" w:hAnsi="华文细黑" w:cs="华文细黑" w:eastAsia="华文细黑" w:hint="default"/>
          <w:b/>
          <w:bCs/>
          <w:sz w:val="22"/>
          <w:szCs w:val="22"/>
        </w:rPr>
      </w:pPr>
    </w:p>
    <w:p>
      <w:pPr>
        <w:pStyle w:val="BodyText"/>
        <w:spacing w:line="240" w:lineRule="auto"/>
        <w:ind w:left="234" w:right="0"/>
        <w:jc w:val="both"/>
      </w:pPr>
      <w:r>
        <w:rPr/>
        <w:t>√  适用  □</w:t>
      </w:r>
      <w:r>
        <w:rPr>
          <w:spacing w:val="51"/>
        </w:rPr>
        <w:t> </w:t>
      </w:r>
      <w:r>
        <w:rPr/>
        <w:t>不适用</w:t>
      </w:r>
    </w:p>
    <w:p>
      <w:pPr>
        <w:spacing w:line="240" w:lineRule="auto" w:before="11"/>
        <w:rPr>
          <w:rFonts w:ascii="华文细黑" w:hAnsi="华文细黑" w:cs="华文细黑" w:eastAsia="华文细黑" w:hint="default"/>
          <w:sz w:val="5"/>
          <w:szCs w:val="5"/>
        </w:rPr>
      </w:pPr>
    </w:p>
    <w:tbl>
      <w:tblPr>
        <w:tblW w:w="0" w:type="auto"/>
        <w:jc w:val="left"/>
        <w:tblInd w:w="117" w:type="dxa"/>
        <w:tblLayout w:type="fixed"/>
        <w:tblCellMar>
          <w:top w:w="0" w:type="dxa"/>
          <w:left w:w="0" w:type="dxa"/>
          <w:bottom w:w="0" w:type="dxa"/>
          <w:right w:w="0" w:type="dxa"/>
        </w:tblCellMar>
        <w:tblLook w:val="01E0"/>
      </w:tblPr>
      <w:tblGrid>
        <w:gridCol w:w="2178"/>
        <w:gridCol w:w="2045"/>
        <w:gridCol w:w="1843"/>
        <w:gridCol w:w="3503"/>
      </w:tblGrid>
      <w:tr>
        <w:trPr>
          <w:trHeight w:val="401" w:hRule="exact"/>
        </w:trPr>
        <w:tc>
          <w:tcPr>
            <w:tcW w:w="21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接待时间</w:t>
            </w:r>
          </w:p>
        </w:tc>
        <w:tc>
          <w:tcPr>
            <w:tcW w:w="20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65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接待方式</w:t>
            </w:r>
          </w:p>
        </w:tc>
        <w:tc>
          <w:tcPr>
            <w:tcW w:w="184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37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接待对象类型</w:t>
            </w:r>
          </w:p>
        </w:tc>
        <w:tc>
          <w:tcPr>
            <w:tcW w:w="350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93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调研的基本情况索引</w:t>
            </w:r>
          </w:p>
        </w:tc>
      </w:tr>
      <w:tr>
        <w:trPr>
          <w:trHeight w:val="403" w:hRule="exact"/>
        </w:trPr>
        <w:tc>
          <w:tcPr>
            <w:tcW w:w="217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04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18</w:t>
            </w:r>
            <w:r>
              <w:rPr>
                <w:rFonts w:ascii="华文细黑" w:hAnsi="华文细黑" w:cs="华文细黑" w:eastAsia="华文细黑" w:hint="default"/>
                <w:spacing w:val="-6"/>
                <w:sz w:val="18"/>
                <w:szCs w:val="18"/>
              </w:rPr>
              <w:t> </w:t>
            </w:r>
            <w:r>
              <w:rPr>
                <w:rFonts w:ascii="华文细黑" w:hAnsi="华文细黑" w:cs="华文细黑" w:eastAsia="华文细黑" w:hint="default"/>
                <w:sz w:val="18"/>
                <w:szCs w:val="18"/>
              </w:rPr>
              <w:t>日</w:t>
            </w:r>
          </w:p>
        </w:tc>
        <w:tc>
          <w:tcPr>
            <w:tcW w:w="20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实地调研</w:t>
            </w:r>
          </w:p>
        </w:tc>
        <w:tc>
          <w:tcPr>
            <w:tcW w:w="18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机构</w:t>
            </w:r>
          </w:p>
        </w:tc>
        <w:tc>
          <w:tcPr>
            <w:tcW w:w="35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巨潮资讯网（</w:t>
            </w:r>
            <w:hyperlink r:id="rId21">
              <w:r>
                <w:rPr>
                  <w:rFonts w:ascii="华文细黑" w:hAnsi="华文细黑" w:cs="华文细黑" w:eastAsia="华文细黑" w:hint="default"/>
                  <w:sz w:val="18"/>
                  <w:szCs w:val="18"/>
                </w:rPr>
                <w:t>www.cninfo.com.cn</w:t>
              </w:r>
            </w:hyperlink>
            <w:r>
              <w:rPr>
                <w:rFonts w:ascii="华文细黑" w:hAnsi="华文细黑" w:cs="华文细黑" w:eastAsia="华文细黑" w:hint="default"/>
                <w:sz w:val="18"/>
                <w:szCs w:val="18"/>
              </w:rPr>
              <w:t>）</w:t>
            </w:r>
          </w:p>
        </w:tc>
      </w:tr>
    </w:tbl>
    <w:p>
      <w:pPr>
        <w:spacing w:after="0" w:line="240" w:lineRule="auto"/>
        <w:jc w:val="left"/>
        <w:rPr>
          <w:rFonts w:ascii="华文细黑" w:hAnsi="华文细黑" w:cs="华文细黑" w:eastAsia="华文细黑" w:hint="default"/>
          <w:sz w:val="18"/>
          <w:szCs w:val="18"/>
        </w:rPr>
        <w:sectPr>
          <w:pgSz w:w="11910" w:h="16840"/>
          <w:pgMar w:header="917" w:footer="1019" w:top="1100" w:bottom="1200" w:left="900" w:right="0"/>
        </w:sect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4"/>
        <w:rPr>
          <w:rFonts w:ascii="华文细黑" w:hAnsi="华文细黑" w:cs="华文细黑" w:eastAsia="华文细黑" w:hint="default"/>
          <w:sz w:val="14"/>
          <w:szCs w:val="14"/>
        </w:rPr>
      </w:pPr>
    </w:p>
    <w:p>
      <w:pPr>
        <w:pStyle w:val="Heading1"/>
        <w:spacing w:line="416" w:lineRule="exact"/>
        <w:ind w:left="3852" w:right="1023"/>
        <w:jc w:val="left"/>
        <w:rPr>
          <w:b w:val="0"/>
          <w:bCs w:val="0"/>
        </w:rPr>
      </w:pPr>
      <w:bookmarkStart w:name="第五节 重要事项" w:id="89"/>
      <w:bookmarkEnd w:id="89"/>
      <w:r>
        <w:rPr>
          <w:b w:val="0"/>
          <w:bCs w:val="0"/>
        </w:rPr>
      </w:r>
      <w:bookmarkStart w:name="_bookmark3" w:id="90"/>
      <w:bookmarkEnd w:id="90"/>
      <w:r>
        <w:rPr>
          <w:b w:val="0"/>
          <w:bCs w:val="0"/>
        </w:rPr>
      </w:r>
      <w:r>
        <w:rPr/>
        <w:t>第五节</w:t>
      </w:r>
      <w:r>
        <w:rPr>
          <w:spacing w:val="79"/>
        </w:rPr>
        <w:t> </w:t>
      </w:r>
      <w:r>
        <w:rPr/>
        <w:t>重要事项</w:t>
      </w:r>
      <w:r>
        <w:rPr>
          <w:b w:val="0"/>
          <w:bCs w:val="0"/>
        </w:rPr>
      </w:r>
    </w:p>
    <w:p>
      <w:pPr>
        <w:spacing w:line="240" w:lineRule="auto" w:before="4"/>
        <w:rPr>
          <w:rFonts w:ascii="华文细黑" w:hAnsi="华文细黑" w:cs="华文细黑" w:eastAsia="华文细黑" w:hint="default"/>
          <w:b/>
          <w:bCs/>
          <w:sz w:val="41"/>
          <w:szCs w:val="41"/>
        </w:rPr>
      </w:pPr>
    </w:p>
    <w:p>
      <w:pPr>
        <w:pStyle w:val="Heading2"/>
        <w:spacing w:line="240" w:lineRule="auto"/>
        <w:ind w:right="1023"/>
        <w:jc w:val="left"/>
        <w:rPr>
          <w:b w:val="0"/>
          <w:bCs w:val="0"/>
        </w:rPr>
      </w:pPr>
      <w:bookmarkStart w:name="一、公司普通股利润分配及资本公积金转增股本情况" w:id="91"/>
      <w:bookmarkEnd w:id="91"/>
      <w:r>
        <w:rPr>
          <w:b w:val="0"/>
          <w:bCs w:val="0"/>
        </w:rPr>
      </w:r>
      <w:r>
        <w:rPr/>
        <w:t>一、公司普通股利润分配及资本公积金转增股本情况</w:t>
      </w:r>
      <w:r>
        <w:rPr>
          <w:b w:val="0"/>
          <w:bCs w:val="0"/>
        </w:rPr>
      </w:r>
    </w:p>
    <w:p>
      <w:pPr>
        <w:spacing w:line="240" w:lineRule="auto" w:before="8"/>
        <w:rPr>
          <w:rFonts w:ascii="华文细黑" w:hAnsi="华文细黑" w:cs="华文细黑" w:eastAsia="华文细黑" w:hint="default"/>
          <w:b/>
          <w:bCs/>
          <w:sz w:val="35"/>
          <w:szCs w:val="35"/>
        </w:rPr>
      </w:pPr>
    </w:p>
    <w:p>
      <w:pPr>
        <w:pStyle w:val="Heading5"/>
        <w:spacing w:line="240" w:lineRule="auto" w:before="0"/>
        <w:ind w:right="1023"/>
        <w:jc w:val="left"/>
        <w:rPr>
          <w:b w:val="0"/>
          <w:bCs w:val="0"/>
        </w:rPr>
      </w:pPr>
      <w:r>
        <w:rPr/>
        <w:t>报告期内普通股利润分配政策，特别是现金分红政策的制定、执行或调整情况</w:t>
      </w:r>
      <w:r>
        <w:rPr>
          <w:b w:val="0"/>
          <w:bCs w:val="0"/>
        </w:rPr>
      </w:r>
    </w:p>
    <w:p>
      <w:pPr>
        <w:spacing w:line="240" w:lineRule="auto" w:before="13"/>
        <w:rPr>
          <w:rFonts w:ascii="华文细黑" w:hAnsi="华文细黑" w:cs="华文细黑" w:eastAsia="华文细黑" w:hint="default"/>
          <w:b/>
          <w:bCs/>
          <w:sz w:val="14"/>
          <w:szCs w:val="14"/>
        </w:rPr>
      </w:pPr>
    </w:p>
    <w:p>
      <w:pPr>
        <w:pStyle w:val="BodyText"/>
        <w:spacing w:line="240" w:lineRule="auto"/>
        <w:ind w:left="234" w:right="1023"/>
        <w:jc w:val="left"/>
      </w:pPr>
      <w:r>
        <w:rPr/>
        <w:t>√  适用  □</w:t>
      </w:r>
      <w:r>
        <w:rPr>
          <w:spacing w:val="51"/>
        </w:rPr>
        <w:t> </w:t>
      </w:r>
      <w:r>
        <w:rPr/>
        <w:t>不适用</w:t>
      </w:r>
    </w:p>
    <w:p>
      <w:pPr>
        <w:spacing w:line="240" w:lineRule="auto" w:before="13"/>
        <w:rPr>
          <w:rFonts w:ascii="华文细黑" w:hAnsi="华文细黑" w:cs="华文细黑" w:eastAsia="华文细黑" w:hint="default"/>
          <w:sz w:val="14"/>
          <w:szCs w:val="14"/>
        </w:rPr>
      </w:pPr>
    </w:p>
    <w:p>
      <w:pPr>
        <w:pStyle w:val="BodyText"/>
        <w:spacing w:line="379" w:lineRule="auto"/>
        <w:ind w:left="234" w:right="1116" w:firstLine="420"/>
        <w:jc w:val="left"/>
      </w:pPr>
      <w:r>
        <w:rPr/>
        <w:t>根据中国证监会《上市公司监管指引第</w:t>
      </w:r>
      <w:r>
        <w:rPr>
          <w:rFonts w:ascii="华文细黑" w:hAnsi="华文细黑" w:cs="华文细黑" w:eastAsia="华文细黑" w:hint="default"/>
        </w:rPr>
        <w:t>3</w:t>
      </w:r>
      <w:r>
        <w:rPr/>
        <w:t>号</w:t>
      </w:r>
      <w:r>
        <w:rPr>
          <w:rFonts w:ascii="华文细黑" w:hAnsi="华文细黑" w:cs="华文细黑" w:eastAsia="华文细黑" w:hint="default"/>
        </w:rPr>
        <w:t>-</w:t>
      </w:r>
      <w:r>
        <w:rPr/>
        <w:t>上市公司现金分红》等相关规定要求，公司已在《公司章 程》中制定了清晰的利润分配政策，明确公司股东的合理投资回报，维护公司股东的利益。</w:t>
      </w:r>
    </w:p>
    <w:p>
      <w:pPr>
        <w:spacing w:line="240" w:lineRule="auto" w:before="0"/>
        <w:rPr>
          <w:rFonts w:ascii="华文细黑" w:hAnsi="华文细黑" w:cs="华文细黑" w:eastAsia="华文细黑" w:hint="default"/>
          <w:sz w:val="2"/>
          <w:szCs w:val="2"/>
        </w:rPr>
      </w:pPr>
    </w:p>
    <w:tbl>
      <w:tblPr>
        <w:tblW w:w="0" w:type="auto"/>
        <w:jc w:val="left"/>
        <w:tblInd w:w="117" w:type="dxa"/>
        <w:tblLayout w:type="fixed"/>
        <w:tblCellMar>
          <w:top w:w="0" w:type="dxa"/>
          <w:left w:w="0" w:type="dxa"/>
          <w:bottom w:w="0" w:type="dxa"/>
          <w:right w:w="0" w:type="dxa"/>
        </w:tblCellMar>
        <w:tblLook w:val="01E0"/>
      </w:tblPr>
      <w:tblGrid>
        <w:gridCol w:w="8046"/>
        <w:gridCol w:w="1523"/>
      </w:tblGrid>
      <w:tr>
        <w:trPr>
          <w:trHeight w:val="402" w:hRule="exact"/>
        </w:trPr>
        <w:tc>
          <w:tcPr>
            <w:tcW w:w="9569"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现金分红政策的专项说明</w:t>
            </w:r>
          </w:p>
        </w:tc>
      </w:tr>
      <w:tr>
        <w:trPr>
          <w:trHeight w:val="402" w:hRule="exact"/>
        </w:trPr>
        <w:tc>
          <w:tcPr>
            <w:tcW w:w="804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是否符合公司章程的规定或股东大会决议的要求：</w:t>
            </w:r>
          </w:p>
        </w:tc>
        <w:tc>
          <w:tcPr>
            <w:tcW w:w="152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402" w:hRule="exact"/>
        </w:trPr>
        <w:tc>
          <w:tcPr>
            <w:tcW w:w="804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分红标准和比例是否明确和清晰：</w:t>
            </w:r>
          </w:p>
        </w:tc>
        <w:tc>
          <w:tcPr>
            <w:tcW w:w="152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402" w:hRule="exact"/>
        </w:trPr>
        <w:tc>
          <w:tcPr>
            <w:tcW w:w="804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相关的决策程序和机制是否完备：</w:t>
            </w:r>
          </w:p>
        </w:tc>
        <w:tc>
          <w:tcPr>
            <w:tcW w:w="152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402" w:hRule="exact"/>
        </w:trPr>
        <w:tc>
          <w:tcPr>
            <w:tcW w:w="804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独立董事是否履职尽责并发挥了应有的作用：</w:t>
            </w:r>
          </w:p>
        </w:tc>
        <w:tc>
          <w:tcPr>
            <w:tcW w:w="152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402" w:hRule="exact"/>
        </w:trPr>
        <w:tc>
          <w:tcPr>
            <w:tcW w:w="804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中小股东是否有充分表达意见和诉求的机会，其合法权益是否得到了充分保护：</w:t>
            </w:r>
          </w:p>
        </w:tc>
        <w:tc>
          <w:tcPr>
            <w:tcW w:w="152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402" w:hRule="exact"/>
        </w:trPr>
        <w:tc>
          <w:tcPr>
            <w:tcW w:w="804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现金分红政策进行调整或变更的，条件及程序是否合规、透明：</w:t>
            </w:r>
          </w:p>
        </w:tc>
        <w:tc>
          <w:tcPr>
            <w:tcW w:w="152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bl>
    <w:p>
      <w:pPr>
        <w:spacing w:line="240" w:lineRule="auto" w:before="10"/>
        <w:rPr>
          <w:rFonts w:ascii="华文细黑" w:hAnsi="华文细黑" w:cs="华文细黑" w:eastAsia="华文细黑" w:hint="default"/>
          <w:sz w:val="5"/>
          <w:szCs w:val="5"/>
        </w:rPr>
      </w:pPr>
    </w:p>
    <w:p>
      <w:pPr>
        <w:pStyle w:val="Heading5"/>
        <w:spacing w:line="240" w:lineRule="auto"/>
        <w:ind w:right="1023"/>
        <w:jc w:val="left"/>
        <w:rPr>
          <w:b w:val="0"/>
          <w:bCs w:val="0"/>
        </w:rPr>
      </w:pPr>
      <w:r>
        <w:rPr>
          <w:w w:val="99"/>
        </w:rPr>
        <w:t>公司近</w:t>
      </w:r>
      <w:r>
        <w:rPr/>
        <w:t> </w:t>
      </w:r>
      <w:r>
        <w:rPr>
          <w:rFonts w:ascii="华文细黑" w:hAnsi="华文细黑" w:cs="华文细黑" w:eastAsia="华文细黑" w:hint="default"/>
          <w:w w:val="99"/>
        </w:rPr>
        <w:t>3</w:t>
      </w:r>
      <w:r>
        <w:rPr>
          <w:rFonts w:ascii="华文细黑" w:hAnsi="华文细黑" w:cs="华文细黑" w:eastAsia="华文细黑" w:hint="default"/>
        </w:rPr>
        <w:t> </w:t>
      </w:r>
      <w:r>
        <w:rPr>
          <w:w w:val="99"/>
        </w:rPr>
        <w:t>年（</w:t>
      </w:r>
      <w:r>
        <w:rPr>
          <w:spacing w:val="1"/>
          <w:w w:val="99"/>
        </w:rPr>
        <w:t>包</w:t>
      </w:r>
      <w:r>
        <w:rPr>
          <w:w w:val="99"/>
        </w:rPr>
        <w:t>括本报告</w:t>
      </w:r>
      <w:r>
        <w:rPr>
          <w:spacing w:val="1"/>
          <w:w w:val="99"/>
        </w:rPr>
        <w:t>期</w:t>
      </w:r>
      <w:r>
        <w:rPr>
          <w:w w:val="99"/>
        </w:rPr>
        <w:t>）的普通</w:t>
      </w:r>
      <w:r>
        <w:rPr>
          <w:spacing w:val="1"/>
          <w:w w:val="99"/>
        </w:rPr>
        <w:t>股</w:t>
      </w:r>
      <w:r>
        <w:rPr>
          <w:w w:val="99"/>
        </w:rPr>
        <w:t>股利分配</w:t>
      </w:r>
      <w:r>
        <w:rPr>
          <w:spacing w:val="1"/>
          <w:w w:val="99"/>
        </w:rPr>
        <w:t>方</w:t>
      </w:r>
      <w:r>
        <w:rPr>
          <w:w w:val="99"/>
        </w:rPr>
        <w:t>案（预</w:t>
      </w:r>
      <w:r>
        <w:rPr>
          <w:spacing w:val="1"/>
          <w:w w:val="99"/>
        </w:rPr>
        <w:t>案</w:t>
      </w:r>
      <w:r>
        <w:rPr>
          <w:spacing w:val="-106"/>
          <w:w w:val="99"/>
        </w:rPr>
        <w:t>）</w:t>
      </w:r>
      <w:r>
        <w:rPr>
          <w:w w:val="99"/>
        </w:rPr>
        <w:t>、资本公积</w:t>
      </w:r>
      <w:r>
        <w:rPr>
          <w:spacing w:val="1"/>
          <w:w w:val="99"/>
        </w:rPr>
        <w:t>金</w:t>
      </w:r>
      <w:r>
        <w:rPr>
          <w:w w:val="99"/>
        </w:rPr>
        <w:t>转增股本</w:t>
      </w:r>
      <w:r>
        <w:rPr>
          <w:spacing w:val="1"/>
          <w:w w:val="99"/>
        </w:rPr>
        <w:t>方</w:t>
      </w:r>
      <w:r>
        <w:rPr>
          <w:w w:val="99"/>
        </w:rPr>
        <w:t>案（预案</w:t>
      </w:r>
      <w:r>
        <w:rPr>
          <w:spacing w:val="1"/>
          <w:w w:val="99"/>
        </w:rPr>
        <w:t>）</w:t>
      </w:r>
      <w:r>
        <w:rPr>
          <w:w w:val="99"/>
        </w:rPr>
        <w:t>情况</w:t>
      </w:r>
      <w:r>
        <w:rPr>
          <w:b w:val="0"/>
          <w:bCs w:val="0"/>
        </w:rPr>
      </w:r>
    </w:p>
    <w:p>
      <w:pPr>
        <w:spacing w:line="240" w:lineRule="auto" w:before="3"/>
        <w:rPr>
          <w:rFonts w:ascii="华文细黑" w:hAnsi="华文细黑" w:cs="华文细黑" w:eastAsia="华文细黑" w:hint="default"/>
          <w:b/>
          <w:bCs/>
          <w:sz w:val="23"/>
          <w:szCs w:val="23"/>
        </w:rPr>
      </w:pPr>
    </w:p>
    <w:p>
      <w:pPr>
        <w:pStyle w:val="BodyText"/>
        <w:spacing w:line="379" w:lineRule="auto"/>
        <w:ind w:left="234" w:right="1044" w:firstLine="436"/>
        <w:jc w:val="both"/>
      </w:pPr>
      <w:r>
        <w:rPr/>
        <w:t>根据大华会计师事务所（特殊普通合伙）审计报告，公司</w:t>
      </w:r>
      <w:r>
        <w:rPr>
          <w:rFonts w:ascii="华文细黑" w:hAnsi="华文细黑" w:cs="华文细黑" w:eastAsia="华文细黑" w:hint="default"/>
        </w:rPr>
        <w:t>2016</w:t>
      </w:r>
      <w:r>
        <w:rPr/>
        <w:t>年度母公司净利润</w:t>
      </w:r>
      <w:r>
        <w:rPr>
          <w:rFonts w:ascii="华文细黑" w:hAnsi="华文细黑" w:cs="华文细黑" w:eastAsia="华文细黑" w:hint="default"/>
        </w:rPr>
        <w:t>53,846,921.69</w:t>
      </w:r>
      <w:r>
        <w:rPr/>
        <w:t>元， 根据《公司法》和《公司章程》的有关规定，提取法定盈余公积金</w:t>
      </w:r>
      <w:r>
        <w:rPr>
          <w:rFonts w:ascii="华文细黑" w:hAnsi="华文细黑" w:cs="华文细黑" w:eastAsia="华文细黑" w:hint="default"/>
        </w:rPr>
        <w:t>5,384,692.17</w:t>
      </w:r>
      <w:r>
        <w:rPr/>
        <w:t>元后，加上年初未分配利 润</w:t>
      </w:r>
      <w:r>
        <w:rPr>
          <w:rFonts w:ascii="华文细黑" w:hAnsi="华文细黑" w:cs="华文细黑" w:eastAsia="华文细黑" w:hint="default"/>
        </w:rPr>
        <w:t>1,253,931,827.72</w:t>
      </w:r>
      <w:r>
        <w:rPr/>
        <w:t>元，截至</w:t>
      </w:r>
      <w:r>
        <w:rPr>
          <w:rFonts w:ascii="华文细黑" w:hAnsi="华文细黑" w:cs="华文细黑" w:eastAsia="华文细黑" w:hint="default"/>
        </w:rPr>
        <w:t>2016</w:t>
      </w:r>
      <w:r>
        <w:rPr/>
        <w:t>年</w:t>
      </w:r>
      <w:r>
        <w:rPr>
          <w:rFonts w:ascii="华文细黑" w:hAnsi="华文细黑" w:cs="华文细黑" w:eastAsia="华文细黑" w:hint="default"/>
        </w:rPr>
        <w:t>12</w:t>
      </w:r>
      <w:r>
        <w:rPr/>
        <w:t>月</w:t>
      </w:r>
      <w:r>
        <w:rPr>
          <w:rFonts w:ascii="华文细黑" w:hAnsi="华文细黑" w:cs="华文细黑" w:eastAsia="华文细黑" w:hint="default"/>
        </w:rPr>
        <w:t>31</w:t>
      </w:r>
      <w:r>
        <w:rPr/>
        <w:t>日，公司可供股东分配的利润为</w:t>
      </w:r>
      <w:r>
        <w:rPr>
          <w:rFonts w:ascii="华文细黑" w:hAnsi="华文细黑" w:cs="华文细黑" w:eastAsia="华文细黑" w:hint="default"/>
        </w:rPr>
        <w:t>1,302,394,057.24</w:t>
      </w:r>
      <w:r>
        <w:rPr/>
        <w:t>元。根据公 司章程规定，在不损害公司持续经营能力的前提下，公司在任一连续三年中以现金方式累计分配的利润不 得少于该三年实现的年均可分配利润的</w:t>
      </w:r>
      <w:r>
        <w:rPr>
          <w:rFonts w:ascii="华文细黑" w:hAnsi="华文细黑" w:cs="华文细黑" w:eastAsia="华文细黑" w:hint="default"/>
        </w:rPr>
        <w:t>30%</w:t>
      </w:r>
      <w:r>
        <w:rPr/>
        <w:t>，在符合公司利润分配政策、保证公司正常经营和长远发展的 前提下，公司</w:t>
      </w:r>
      <w:r>
        <w:rPr>
          <w:rFonts w:ascii="华文细黑" w:hAnsi="华文细黑" w:cs="华文细黑" w:eastAsia="华文细黑" w:hint="default"/>
        </w:rPr>
        <w:t>2016</w:t>
      </w:r>
      <w:r>
        <w:rPr/>
        <w:t>年度利润分配的方案为：以</w:t>
      </w:r>
      <w:r>
        <w:rPr>
          <w:rFonts w:ascii="华文细黑" w:hAnsi="华文细黑" w:cs="华文细黑" w:eastAsia="华文细黑" w:hint="default"/>
        </w:rPr>
        <w:t>2016</w:t>
      </w:r>
      <w:r>
        <w:rPr/>
        <w:t>年</w:t>
      </w:r>
      <w:r>
        <w:rPr>
          <w:rFonts w:ascii="华文细黑" w:hAnsi="华文细黑" w:cs="华文细黑" w:eastAsia="华文细黑" w:hint="default"/>
        </w:rPr>
        <w:t>12</w:t>
      </w:r>
      <w:r>
        <w:rPr/>
        <w:t>月</w:t>
      </w:r>
      <w:r>
        <w:rPr>
          <w:rFonts w:ascii="华文细黑" w:hAnsi="华文细黑" w:cs="华文细黑" w:eastAsia="华文细黑" w:hint="default"/>
        </w:rPr>
        <w:t>31</w:t>
      </w:r>
      <w:r>
        <w:rPr/>
        <w:t>日的总股本</w:t>
      </w:r>
      <w:r>
        <w:rPr>
          <w:rFonts w:ascii="华文细黑" w:hAnsi="华文细黑" w:cs="华文细黑" w:eastAsia="华文细黑" w:hint="default"/>
        </w:rPr>
        <w:t>1,032,734,839</w:t>
      </w:r>
      <w:r>
        <w:rPr/>
        <w:t>股为基数，每</w:t>
      </w:r>
      <w:r>
        <w:rPr>
          <w:rFonts w:ascii="华文细黑" w:hAnsi="华文细黑" w:cs="华文细黑" w:eastAsia="华文细黑" w:hint="default"/>
        </w:rPr>
        <w:t>10</w:t>
      </w:r>
      <w:r>
        <w:rPr/>
        <w:t>股 派发现金红利</w:t>
      </w:r>
      <w:r>
        <w:rPr>
          <w:rFonts w:ascii="华文细黑" w:hAnsi="华文细黑" w:cs="华文细黑" w:eastAsia="华文细黑" w:hint="default"/>
        </w:rPr>
        <w:t>1.5 </w:t>
      </w:r>
      <w:r>
        <w:rPr>
          <w:rFonts w:ascii="华文细黑" w:hAnsi="华文细黑" w:cs="华文细黑" w:eastAsia="华文细黑" w:hint="default"/>
          <w:spacing w:val="30"/>
        </w:rPr>
        <w:t> </w:t>
      </w:r>
      <w:r>
        <w:rPr>
          <w:spacing w:val="-3"/>
        </w:rPr>
        <w:t>元（含税），共计派发现金红利</w:t>
      </w:r>
      <w:r>
        <w:rPr>
          <w:rFonts w:ascii="华文细黑" w:hAnsi="华文细黑" w:cs="华文细黑" w:eastAsia="华文细黑" w:hint="default"/>
          <w:spacing w:val="-3"/>
        </w:rPr>
        <w:t>154,910,225.85</w:t>
      </w:r>
      <w:r>
        <w:rPr>
          <w:spacing w:val="-3"/>
        </w:rPr>
        <w:t>元，不送红股，不以资本公积转增股本。</w:t>
      </w:r>
    </w:p>
    <w:p>
      <w:pPr>
        <w:spacing w:line="240" w:lineRule="auto" w:before="13"/>
        <w:rPr>
          <w:rFonts w:ascii="华文细黑" w:hAnsi="华文细黑" w:cs="华文细黑" w:eastAsia="华文细黑" w:hint="default"/>
          <w:sz w:val="13"/>
          <w:szCs w:val="13"/>
        </w:rPr>
      </w:pPr>
    </w:p>
    <w:p>
      <w:pPr>
        <w:pStyle w:val="BodyText"/>
        <w:spacing w:line="379" w:lineRule="auto"/>
        <w:ind w:left="234" w:right="1120" w:firstLine="436"/>
        <w:jc w:val="left"/>
      </w:pPr>
      <w:r>
        <w:rPr>
          <w:spacing w:val="-2"/>
        </w:rPr>
        <w:t>根据瑞华会计师事务所（特殊普通合伙）审计报告，公司</w:t>
      </w:r>
      <w:r>
        <w:rPr>
          <w:rFonts w:ascii="华文细黑" w:hAnsi="华文细黑" w:cs="华文细黑" w:eastAsia="华文细黑" w:hint="default"/>
          <w:spacing w:val="-2"/>
        </w:rPr>
        <w:t>2017</w:t>
      </w:r>
      <w:r>
        <w:rPr>
          <w:spacing w:val="-2"/>
        </w:rPr>
        <w:t>年度母公司实现净利润</w:t>
      </w:r>
      <w:r>
        <w:rPr>
          <w:rFonts w:ascii="华文细黑" w:hAnsi="华文细黑" w:cs="华文细黑" w:eastAsia="华文细黑" w:hint="default"/>
          <w:spacing w:val="-2"/>
        </w:rPr>
        <w:t>156,130,826.29</w:t>
      </w:r>
      <w:r>
        <w:rPr>
          <w:rFonts w:ascii="华文细黑" w:hAnsi="华文细黑" w:cs="华文细黑" w:eastAsia="华文细黑" w:hint="default"/>
        </w:rPr>
        <w:t> </w:t>
      </w:r>
      <w:r>
        <w:rPr/>
        <w:t>元，根据《公司法》和《公司章程》的有关规定，提取法定盈余公积金</w:t>
      </w:r>
      <w:r>
        <w:rPr>
          <w:rFonts w:ascii="华文细黑" w:hAnsi="华文细黑" w:cs="华文细黑" w:eastAsia="华文细黑" w:hint="default"/>
        </w:rPr>
        <w:t>15,613,082.63</w:t>
      </w:r>
      <w:r>
        <w:rPr/>
        <w:t>元</w:t>
      </w:r>
      <w:r>
        <w:rPr>
          <w:rFonts w:ascii="华文细黑" w:hAnsi="华文细黑" w:cs="华文细黑" w:eastAsia="华文细黑" w:hint="default"/>
        </w:rPr>
        <w:t>,</w:t>
      </w:r>
      <w:r>
        <w:rPr/>
        <w:t>分配</w:t>
      </w:r>
      <w:r>
        <w:rPr>
          <w:rFonts w:ascii="华文细黑" w:hAnsi="华文细黑" w:cs="华文细黑" w:eastAsia="华文细黑" w:hint="default"/>
        </w:rPr>
        <w:t>2016</w:t>
      </w:r>
      <w:r>
        <w:rPr/>
        <w:t>年股利 </w:t>
      </w:r>
      <w:r>
        <w:rPr>
          <w:rFonts w:ascii="华文细黑" w:hAnsi="华文细黑" w:cs="华文细黑" w:eastAsia="华文细黑" w:hint="default"/>
          <w:spacing w:val="-1"/>
        </w:rPr>
        <w:t>154,910,225.85</w:t>
      </w:r>
      <w:r>
        <w:rPr>
          <w:spacing w:val="-1"/>
        </w:rPr>
        <w:t>元，加上年初未分配利润</w:t>
      </w:r>
      <w:r>
        <w:rPr>
          <w:rFonts w:ascii="华文细黑" w:hAnsi="华文细黑" w:cs="华文细黑" w:eastAsia="华文细黑" w:hint="default"/>
          <w:spacing w:val="-1"/>
        </w:rPr>
        <w:t>1,302,394,057.24</w:t>
      </w:r>
      <w:r>
        <w:rPr>
          <w:spacing w:val="-1"/>
        </w:rPr>
        <w:t>元，截至</w:t>
      </w:r>
      <w:r>
        <w:rPr>
          <w:rFonts w:ascii="华文细黑" w:hAnsi="华文细黑" w:cs="华文细黑" w:eastAsia="华文细黑" w:hint="default"/>
          <w:spacing w:val="-1"/>
        </w:rPr>
        <w:t>2017</w:t>
      </w:r>
      <w:r>
        <w:rPr>
          <w:spacing w:val="-1"/>
        </w:rPr>
        <w:t>年</w:t>
      </w:r>
      <w:r>
        <w:rPr>
          <w:rFonts w:ascii="华文细黑" w:hAnsi="华文细黑" w:cs="华文细黑" w:eastAsia="华文细黑" w:hint="default"/>
          <w:spacing w:val="-1"/>
        </w:rPr>
        <w:t>12</w:t>
      </w:r>
      <w:r>
        <w:rPr>
          <w:spacing w:val="-1"/>
        </w:rPr>
        <w:t>月</w:t>
      </w:r>
      <w:r>
        <w:rPr>
          <w:rFonts w:ascii="华文细黑" w:hAnsi="华文细黑" w:cs="华文细黑" w:eastAsia="华文细黑" w:hint="default"/>
          <w:spacing w:val="-1"/>
        </w:rPr>
        <w:t>31</w:t>
      </w:r>
      <w:r>
        <w:rPr>
          <w:spacing w:val="-1"/>
        </w:rPr>
        <w:t>日，母公司可供股东分</w:t>
      </w:r>
      <w:r>
        <w:rPr>
          <w:spacing w:val="-37"/>
        </w:rPr>
        <w:t> </w:t>
      </w:r>
      <w:r>
        <w:rPr>
          <w:spacing w:val="-37"/>
        </w:rPr>
      </w:r>
      <w:r>
        <w:rPr/>
        <w:t>配的利润为</w:t>
      </w:r>
      <w:r>
        <w:rPr>
          <w:rFonts w:ascii="华文细黑" w:hAnsi="华文细黑" w:cs="华文细黑" w:eastAsia="华文细黑" w:hint="default"/>
        </w:rPr>
        <w:t>1,288,001,575.05</w:t>
      </w:r>
      <w:r>
        <w:rPr/>
        <w:t>元，母公司期末资本公积</w:t>
      </w:r>
      <w:r>
        <w:rPr>
          <w:rFonts w:ascii="华文细黑" w:hAnsi="华文细黑" w:cs="华文细黑" w:eastAsia="华文细黑" w:hint="default"/>
        </w:rPr>
        <w:t>1,915,869,719.80</w:t>
      </w:r>
      <w:r>
        <w:rPr/>
        <w:t>元。根据公司章程规定，在不损 </w:t>
      </w:r>
      <w:r>
        <w:rPr>
          <w:spacing w:val="-1"/>
        </w:rPr>
        <w:t>害公司持续经营能力的前提下，公司在任一连续三年中以现金方式累计分配的利润不得少于该三年实现的</w:t>
      </w:r>
      <w:r>
        <w:rPr>
          <w:spacing w:val="-29"/>
        </w:rPr>
        <w:t> </w:t>
      </w:r>
      <w:r>
        <w:rPr>
          <w:spacing w:val="-29"/>
        </w:rPr>
      </w:r>
      <w:r>
        <w:rPr>
          <w:spacing w:val="-1"/>
        </w:rPr>
        <w:t>年均可分配利润的</w:t>
      </w:r>
      <w:r>
        <w:rPr>
          <w:rFonts w:ascii="华文细黑" w:hAnsi="华文细黑" w:cs="华文细黑" w:eastAsia="华文细黑" w:hint="default"/>
          <w:spacing w:val="-1"/>
        </w:rPr>
        <w:t>30%</w:t>
      </w:r>
      <w:r>
        <w:rPr>
          <w:spacing w:val="-1"/>
        </w:rPr>
        <w:t>，在符合公司利润分配政策、保证公司正常经营和长远发展的前提下，公司</w:t>
      </w:r>
      <w:r>
        <w:rPr>
          <w:rFonts w:ascii="华文细黑" w:hAnsi="华文细黑" w:cs="华文细黑" w:eastAsia="华文细黑" w:hint="default"/>
          <w:spacing w:val="-1"/>
        </w:rPr>
        <w:t>2017</w:t>
      </w:r>
      <w:r>
        <w:rPr>
          <w:spacing w:val="-1"/>
        </w:rPr>
        <w:t>年</w:t>
      </w:r>
    </w:p>
    <w:p>
      <w:pPr>
        <w:spacing w:after="0" w:line="379" w:lineRule="auto"/>
        <w:jc w:val="left"/>
        <w:sectPr>
          <w:pgSz w:w="11910" w:h="16840"/>
          <w:pgMar w:header="917" w:footer="1019" w:top="1100" w:bottom="1200" w:left="900" w:right="0"/>
        </w:sectPr>
      </w:pPr>
    </w:p>
    <w:p>
      <w:pPr>
        <w:spacing w:line="240" w:lineRule="auto" w:before="7"/>
        <w:rPr>
          <w:rFonts w:ascii="华文细黑" w:hAnsi="华文细黑" w:cs="华文细黑" w:eastAsia="华文细黑" w:hint="default"/>
          <w:sz w:val="26"/>
          <w:szCs w:val="26"/>
        </w:rPr>
      </w:pPr>
    </w:p>
    <w:p>
      <w:pPr>
        <w:pStyle w:val="BodyText"/>
        <w:spacing w:line="379" w:lineRule="auto" w:before="10"/>
        <w:ind w:left="234" w:right="1129"/>
        <w:jc w:val="both"/>
      </w:pPr>
      <w:r>
        <w:rPr>
          <w:spacing w:val="-3"/>
        </w:rPr>
        <w:t>度利润分配及资本公积金转增股本的方案为：以</w:t>
      </w:r>
      <w:r>
        <w:rPr>
          <w:spacing w:val="9"/>
        </w:rPr>
        <w:t> </w:t>
      </w:r>
      <w:r>
        <w:rPr>
          <w:rFonts w:ascii="华文细黑" w:hAnsi="华文细黑" w:cs="华文细黑" w:eastAsia="华文细黑" w:hint="default"/>
        </w:rPr>
        <w:t>2017</w:t>
      </w:r>
      <w:r>
        <w:rPr/>
        <w:t>年</w:t>
      </w:r>
      <w:r>
        <w:rPr>
          <w:rFonts w:ascii="华文细黑" w:hAnsi="华文细黑" w:cs="华文细黑" w:eastAsia="华文细黑" w:hint="default"/>
        </w:rPr>
        <w:t>12</w:t>
      </w:r>
      <w:r>
        <w:rPr/>
        <w:t>月</w:t>
      </w:r>
      <w:r>
        <w:rPr>
          <w:rFonts w:ascii="华文细黑" w:hAnsi="华文细黑" w:cs="华文细黑" w:eastAsia="华文细黑" w:hint="default"/>
        </w:rPr>
        <w:t>31</w:t>
      </w:r>
      <w:r>
        <w:rPr/>
        <w:t>日的总股本</w:t>
      </w:r>
      <w:r>
        <w:rPr>
          <w:rFonts w:ascii="华文细黑" w:hAnsi="华文细黑" w:cs="华文细黑" w:eastAsia="华文细黑" w:hint="default"/>
        </w:rPr>
        <w:t>1,032,734,839</w:t>
      </w:r>
      <w:r>
        <w:rPr/>
        <w:t>股为基数，每</w:t>
      </w:r>
      <w:r>
        <w:rPr>
          <w:rFonts w:ascii="华文细黑" w:hAnsi="华文细黑" w:cs="华文细黑" w:eastAsia="华文细黑" w:hint="default"/>
        </w:rPr>
        <w:t>10 </w:t>
      </w:r>
      <w:r>
        <w:rPr>
          <w:spacing w:val="-3"/>
        </w:rPr>
        <w:t>股派发现金红利</w:t>
      </w:r>
      <w:r>
        <w:rPr>
          <w:rFonts w:ascii="华文细黑" w:hAnsi="华文细黑" w:cs="华文细黑" w:eastAsia="华文细黑" w:hint="default"/>
          <w:spacing w:val="-3"/>
        </w:rPr>
        <w:t>2</w:t>
      </w:r>
      <w:r>
        <w:rPr>
          <w:spacing w:val="-3"/>
        </w:rPr>
        <w:t>元（含税），共计派发现金红利</w:t>
      </w:r>
      <w:r>
        <w:rPr>
          <w:rFonts w:ascii="华文细黑" w:hAnsi="华文细黑" w:cs="华文细黑" w:eastAsia="华文细黑" w:hint="default"/>
          <w:spacing w:val="-3"/>
        </w:rPr>
        <w:t>206,546,967.80</w:t>
      </w:r>
      <w:r>
        <w:rPr>
          <w:spacing w:val="-3"/>
        </w:rPr>
        <w:t>元，同时以资本公积转增股本，每</w:t>
      </w:r>
      <w:r>
        <w:rPr>
          <w:rFonts w:ascii="华文细黑" w:hAnsi="华文细黑" w:cs="华文细黑" w:eastAsia="华文细黑" w:hint="default"/>
          <w:spacing w:val="-3"/>
        </w:rPr>
        <w:t>10</w:t>
      </w:r>
      <w:r>
        <w:rPr>
          <w:spacing w:val="-3"/>
        </w:rPr>
        <w:t>股转</w:t>
      </w:r>
      <w:r>
        <w:rPr>
          <w:spacing w:val="-36"/>
        </w:rPr>
        <w:t> </w:t>
      </w:r>
      <w:r>
        <w:rPr/>
        <w:t>增</w:t>
      </w:r>
      <w:r>
        <w:rPr>
          <w:rFonts w:ascii="华文细黑" w:hAnsi="华文细黑" w:cs="华文细黑" w:eastAsia="华文细黑" w:hint="default"/>
        </w:rPr>
        <w:t>2</w:t>
      </w:r>
      <w:r>
        <w:rPr/>
        <w:t>股，共计转增股本</w:t>
      </w:r>
      <w:r>
        <w:rPr>
          <w:rFonts w:ascii="华文细黑" w:hAnsi="华文细黑" w:cs="华文细黑" w:eastAsia="华文细黑" w:hint="default"/>
        </w:rPr>
        <w:t>206,546,967</w:t>
      </w:r>
      <w:r>
        <w:rPr/>
        <w:t>股</w:t>
      </w:r>
      <w:r>
        <w:rPr>
          <w:rFonts w:ascii="华文细黑" w:hAnsi="华文细黑" w:cs="华文细黑" w:eastAsia="华文细黑" w:hint="default"/>
        </w:rPr>
        <w:t>,</w:t>
      </w:r>
      <w:r>
        <w:rPr>
          <w:rFonts w:ascii="华文细黑" w:hAnsi="华文细黑" w:cs="华文细黑" w:eastAsia="华文细黑" w:hint="default"/>
          <w:spacing w:val="51"/>
        </w:rPr>
        <w:t> </w:t>
      </w:r>
      <w:r>
        <w:rPr/>
        <w:t>转增后公司总股本为</w:t>
      </w:r>
      <w:r>
        <w:rPr>
          <w:rFonts w:ascii="华文细黑" w:hAnsi="华文细黑" w:cs="华文细黑" w:eastAsia="华文细黑" w:hint="default"/>
        </w:rPr>
        <w:t>1,239,281,806</w:t>
      </w:r>
      <w:r>
        <w:rPr/>
        <w:t>股。</w:t>
      </w:r>
    </w:p>
    <w:p>
      <w:pPr>
        <w:spacing w:line="240" w:lineRule="auto" w:before="13"/>
        <w:rPr>
          <w:rFonts w:ascii="华文细黑" w:hAnsi="华文细黑" w:cs="华文细黑" w:eastAsia="华文细黑" w:hint="default"/>
          <w:sz w:val="13"/>
          <w:szCs w:val="13"/>
        </w:rPr>
      </w:pPr>
    </w:p>
    <w:p>
      <w:pPr>
        <w:pStyle w:val="BodyText"/>
        <w:spacing w:line="379" w:lineRule="auto"/>
        <w:ind w:left="234" w:right="1130" w:firstLine="436"/>
        <w:jc w:val="both"/>
      </w:pPr>
      <w:r>
        <w:rPr>
          <w:spacing w:val="-2"/>
        </w:rPr>
        <w:t>根据瑞华会计师事务所（特殊普通合伙）审计报告，公司</w:t>
      </w:r>
      <w:r>
        <w:rPr>
          <w:rFonts w:ascii="华文细黑" w:hAnsi="华文细黑" w:cs="华文细黑" w:eastAsia="华文细黑" w:hint="default"/>
          <w:spacing w:val="-2"/>
        </w:rPr>
        <w:t>2018</w:t>
      </w:r>
      <w:r>
        <w:rPr>
          <w:spacing w:val="-2"/>
        </w:rPr>
        <w:t>年度母公司实现净利润</w:t>
      </w:r>
      <w:r>
        <w:rPr>
          <w:rFonts w:ascii="华文细黑" w:hAnsi="华文细黑" w:cs="华文细黑" w:eastAsia="华文细黑" w:hint="default"/>
          <w:spacing w:val="-2"/>
        </w:rPr>
        <w:t>178,810,622.31</w:t>
      </w:r>
      <w:r>
        <w:rPr>
          <w:rFonts w:ascii="华文细黑" w:hAnsi="华文细黑" w:cs="华文细黑" w:eastAsia="华文细黑" w:hint="default"/>
        </w:rPr>
        <w:t> </w:t>
      </w:r>
      <w:r>
        <w:rPr>
          <w:spacing w:val="-2"/>
        </w:rPr>
        <w:t>元，根据《公司法》和《公司章程》的有关规定，按</w:t>
      </w:r>
      <w:r>
        <w:rPr>
          <w:rFonts w:ascii="华文细黑" w:hAnsi="华文细黑" w:cs="华文细黑" w:eastAsia="华文细黑" w:hint="default"/>
          <w:spacing w:val="-2"/>
        </w:rPr>
        <w:t>2018</w:t>
      </w:r>
      <w:r>
        <w:rPr>
          <w:spacing w:val="-2"/>
        </w:rPr>
        <w:t>年度公司实现净利润的</w:t>
      </w:r>
      <w:r>
        <w:rPr>
          <w:rFonts w:ascii="华文细黑" w:hAnsi="华文细黑" w:cs="华文细黑" w:eastAsia="华文细黑" w:hint="default"/>
          <w:spacing w:val="-2"/>
        </w:rPr>
        <w:t>10</w:t>
      </w:r>
      <w:r>
        <w:rPr>
          <w:spacing w:val="-2"/>
        </w:rPr>
        <w:t>％提取法定盈余公积金</w:t>
      </w:r>
      <w:r>
        <w:rPr>
          <w:spacing w:val="-49"/>
        </w:rPr>
        <w:t> </w:t>
      </w:r>
      <w:r>
        <w:rPr>
          <w:spacing w:val="-49"/>
        </w:rPr>
      </w:r>
      <w:r>
        <w:rPr>
          <w:rFonts w:ascii="华文细黑" w:hAnsi="华文细黑" w:cs="华文细黑" w:eastAsia="华文细黑" w:hint="default"/>
        </w:rPr>
        <w:t>17,881,062.23</w:t>
      </w:r>
      <w:r>
        <w:rPr/>
        <w:t>元，分配</w:t>
      </w:r>
      <w:r>
        <w:rPr>
          <w:rFonts w:ascii="华文细黑" w:hAnsi="华文细黑" w:cs="华文细黑" w:eastAsia="华文细黑" w:hint="default"/>
        </w:rPr>
        <w:t>2017</w:t>
      </w:r>
      <w:r>
        <w:rPr/>
        <w:t>年股利</w:t>
      </w:r>
      <w:r>
        <w:rPr>
          <w:rFonts w:ascii="华文细黑" w:hAnsi="华文细黑" w:cs="华文细黑" w:eastAsia="华文细黑" w:hint="default"/>
        </w:rPr>
        <w:t>206,546,967.80</w:t>
      </w:r>
      <w:r>
        <w:rPr/>
        <w:t>元，加上年初未分配利润</w:t>
      </w:r>
      <w:r>
        <w:rPr>
          <w:rFonts w:ascii="华文细黑" w:hAnsi="华文细黑" w:cs="华文细黑" w:eastAsia="华文细黑" w:hint="default"/>
        </w:rPr>
        <w:t>1,288,001,575.05</w:t>
      </w:r>
      <w:r>
        <w:rPr/>
        <w:t>元，截至</w:t>
      </w:r>
    </w:p>
    <w:p>
      <w:pPr>
        <w:pStyle w:val="BodyText"/>
        <w:spacing w:line="379" w:lineRule="auto" w:before="40"/>
        <w:ind w:left="234" w:right="1130"/>
        <w:jc w:val="both"/>
      </w:pPr>
      <w:r>
        <w:rPr>
          <w:rFonts w:ascii="华文细黑" w:hAnsi="华文细黑" w:cs="华文细黑" w:eastAsia="华文细黑" w:hint="default"/>
          <w:spacing w:val="-1"/>
        </w:rPr>
        <w:t>2018</w:t>
      </w:r>
      <w:r>
        <w:rPr>
          <w:spacing w:val="-1"/>
        </w:rPr>
        <w:t>年</w:t>
      </w:r>
      <w:r>
        <w:rPr>
          <w:rFonts w:ascii="华文细黑" w:hAnsi="华文细黑" w:cs="华文细黑" w:eastAsia="华文细黑" w:hint="default"/>
          <w:spacing w:val="-1"/>
        </w:rPr>
        <w:t>12</w:t>
      </w:r>
      <w:r>
        <w:rPr>
          <w:spacing w:val="-1"/>
        </w:rPr>
        <w:t>月</w:t>
      </w:r>
      <w:r>
        <w:rPr>
          <w:rFonts w:ascii="华文细黑" w:hAnsi="华文细黑" w:cs="华文细黑" w:eastAsia="华文细黑" w:hint="default"/>
          <w:spacing w:val="-1"/>
        </w:rPr>
        <w:t>31</w:t>
      </w:r>
      <w:r>
        <w:rPr>
          <w:spacing w:val="-1"/>
        </w:rPr>
        <w:t>日，公司可供股东分配的利润为</w:t>
      </w:r>
      <w:r>
        <w:rPr>
          <w:rFonts w:ascii="华文细黑" w:hAnsi="华文细黑" w:cs="华文细黑" w:eastAsia="华文细黑" w:hint="default"/>
          <w:spacing w:val="-1"/>
        </w:rPr>
        <w:t>1,242,384,167.33</w:t>
      </w:r>
      <w:r>
        <w:rPr>
          <w:spacing w:val="-1"/>
        </w:rPr>
        <w:t>元，资本公积</w:t>
      </w:r>
      <w:r>
        <w:rPr>
          <w:rFonts w:ascii="华文细黑" w:hAnsi="华文细黑" w:cs="华文细黑" w:eastAsia="华文细黑" w:hint="default"/>
          <w:spacing w:val="-1"/>
        </w:rPr>
        <w:t>1,709,322,752.80</w:t>
      </w:r>
      <w:r>
        <w:rPr>
          <w:spacing w:val="-1"/>
        </w:rPr>
        <w:t>元。根据</w:t>
      </w:r>
      <w:r>
        <w:rPr/>
        <w:t> </w:t>
      </w:r>
      <w:r>
        <w:rPr/>
      </w:r>
      <w:r>
        <w:rPr>
          <w:spacing w:val="-1"/>
        </w:rPr>
        <w:t>公司章程规定，在不损害公司持续经营能力的前提下，公司在任一连续三年中以现金方式累计分配的利润</w:t>
      </w:r>
      <w:r>
        <w:rPr>
          <w:spacing w:val="-29"/>
        </w:rPr>
        <w:t> </w:t>
      </w:r>
      <w:r>
        <w:rPr>
          <w:spacing w:val="-29"/>
        </w:rPr>
      </w:r>
      <w:r>
        <w:rPr/>
        <w:t>不得少于该三年实现的年均可分配利润的</w:t>
      </w:r>
      <w:r>
        <w:rPr>
          <w:rFonts w:ascii="华文细黑" w:hAnsi="华文细黑" w:cs="华文细黑" w:eastAsia="华文细黑" w:hint="default"/>
        </w:rPr>
        <w:t>30%</w:t>
      </w:r>
      <w:r>
        <w:rPr/>
        <w:t>，在符合公司利润分配政策、保证公司正常经营和长远发展 的前提下，公司</w:t>
      </w:r>
      <w:r>
        <w:rPr>
          <w:rFonts w:ascii="华文细黑" w:hAnsi="华文细黑" w:cs="华文细黑" w:eastAsia="华文细黑" w:hint="default"/>
        </w:rPr>
        <w:t>2018</w:t>
      </w:r>
      <w:r>
        <w:rPr/>
        <w:t>年度利润分配预案为：以</w:t>
      </w:r>
      <w:r>
        <w:rPr>
          <w:spacing w:val="50"/>
        </w:rPr>
        <w:t> </w:t>
      </w:r>
      <w:r>
        <w:rPr>
          <w:rFonts w:ascii="华文细黑" w:hAnsi="华文细黑" w:cs="华文细黑" w:eastAsia="华文细黑" w:hint="default"/>
        </w:rPr>
        <w:t>2018</w:t>
      </w:r>
      <w:r>
        <w:rPr/>
        <w:t>年</w:t>
      </w:r>
      <w:r>
        <w:rPr>
          <w:rFonts w:ascii="华文细黑" w:hAnsi="华文细黑" w:cs="华文细黑" w:eastAsia="华文细黑" w:hint="default"/>
        </w:rPr>
        <w:t>12</w:t>
      </w:r>
      <w:r>
        <w:rPr/>
        <w:t>月</w:t>
      </w:r>
      <w:r>
        <w:rPr>
          <w:rFonts w:ascii="华文细黑" w:hAnsi="华文细黑" w:cs="华文细黑" w:eastAsia="华文细黑" w:hint="default"/>
        </w:rPr>
        <w:t>31</w:t>
      </w:r>
      <w:r>
        <w:rPr/>
        <w:t>日的总股本</w:t>
      </w:r>
      <w:r>
        <w:rPr>
          <w:rFonts w:ascii="华文细黑" w:hAnsi="华文细黑" w:cs="华文细黑" w:eastAsia="华文细黑" w:hint="default"/>
        </w:rPr>
        <w:t>1,239,281,806</w:t>
      </w:r>
      <w:r>
        <w:rPr/>
        <w:t>股为基数，每</w:t>
      </w:r>
      <w:r>
        <w:rPr>
          <w:rFonts w:ascii="华文细黑" w:hAnsi="华文细黑" w:cs="华文细黑" w:eastAsia="华文细黑" w:hint="default"/>
        </w:rPr>
        <w:t>10 </w:t>
      </w:r>
      <w:r>
        <w:rPr>
          <w:spacing w:val="-3"/>
        </w:rPr>
        <w:t>股派发现金红利</w:t>
      </w:r>
      <w:r>
        <w:rPr>
          <w:rFonts w:ascii="华文细黑" w:hAnsi="华文细黑" w:cs="华文细黑" w:eastAsia="华文细黑" w:hint="default"/>
          <w:spacing w:val="-3"/>
        </w:rPr>
        <w:t>2</w:t>
      </w:r>
      <w:r>
        <w:rPr>
          <w:spacing w:val="-3"/>
        </w:rPr>
        <w:t>元（含税），共计派发现金红利</w:t>
      </w:r>
      <w:r>
        <w:rPr>
          <w:rFonts w:ascii="华文细黑" w:hAnsi="华文细黑" w:cs="华文细黑" w:eastAsia="华文细黑" w:hint="default"/>
          <w:spacing w:val="-3"/>
        </w:rPr>
        <w:t>247,856,361.20</w:t>
      </w:r>
      <w:r>
        <w:rPr>
          <w:spacing w:val="-3"/>
        </w:rPr>
        <w:t>元，本次利润分配完成后，剩余未分配利</w:t>
      </w:r>
      <w:r>
        <w:rPr>
          <w:spacing w:val="-17"/>
        </w:rPr>
        <w:t> </w:t>
      </w:r>
      <w:r>
        <w:rPr>
          <w:spacing w:val="-17"/>
        </w:rPr>
      </w:r>
      <w:r>
        <w:rPr/>
        <w:t>润人民币</w:t>
      </w:r>
      <w:r>
        <w:rPr>
          <w:spacing w:val="50"/>
        </w:rPr>
        <w:t> </w:t>
      </w:r>
      <w:r>
        <w:rPr>
          <w:rFonts w:ascii="华文细黑" w:hAnsi="华文细黑" w:cs="华文细黑" w:eastAsia="华文细黑" w:hint="default"/>
        </w:rPr>
        <w:t>994,527,806.13</w:t>
      </w:r>
      <w:r>
        <w:rPr/>
        <w:t>元结转以后年度分配。</w:t>
      </w:r>
    </w:p>
    <w:p>
      <w:pPr>
        <w:spacing w:after="0" w:line="379" w:lineRule="auto"/>
        <w:jc w:val="both"/>
        <w:sectPr>
          <w:pgSz w:w="11910" w:h="16840"/>
          <w:pgMar w:header="917" w:footer="1019" w:top="1100" w:bottom="1200" w:left="900" w:right="0"/>
        </w:sectPr>
      </w:pPr>
    </w:p>
    <w:p>
      <w:pPr>
        <w:pStyle w:val="Heading5"/>
        <w:spacing w:line="240" w:lineRule="auto" w:before="3"/>
        <w:ind w:right="-19"/>
        <w:jc w:val="left"/>
        <w:rPr>
          <w:b w:val="0"/>
          <w:bCs w:val="0"/>
        </w:rPr>
      </w:pPr>
      <w:r>
        <w:rPr/>
        <w:t>公司近三年（包括本报告期）普通股现金分红情况表</w:t>
      </w:r>
      <w:r>
        <w:rPr>
          <w:b w:val="0"/>
          <w:bCs w:val="0"/>
        </w:rPr>
      </w:r>
    </w:p>
    <w:p>
      <w:pPr>
        <w:spacing w:line="240" w:lineRule="auto" w:before="0"/>
        <w:rPr>
          <w:rFonts w:ascii="华文细黑" w:hAnsi="华文细黑" w:cs="华文细黑" w:eastAsia="华文细黑" w:hint="default"/>
          <w:b/>
          <w:bCs/>
          <w:sz w:val="18"/>
          <w:szCs w:val="18"/>
        </w:rPr>
      </w:pPr>
      <w:r>
        <w:rPr/>
        <w:br w:type="column"/>
      </w:r>
      <w:r>
        <w:rPr>
          <w:rFonts w:ascii="华文细黑"/>
          <w:b/>
          <w:sz w:val="18"/>
        </w:rPr>
      </w:r>
    </w:p>
    <w:p>
      <w:pPr>
        <w:spacing w:before="128"/>
        <w:ind w:left="233" w:right="0" w:firstLine="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单位：元</w:t>
      </w:r>
    </w:p>
    <w:p>
      <w:pPr>
        <w:spacing w:after="0"/>
        <w:jc w:val="left"/>
        <w:rPr>
          <w:rFonts w:ascii="华文细黑" w:hAnsi="华文细黑" w:cs="华文细黑" w:eastAsia="华文细黑" w:hint="default"/>
          <w:sz w:val="18"/>
          <w:szCs w:val="18"/>
        </w:rPr>
        <w:sectPr>
          <w:type w:val="continuous"/>
          <w:pgSz w:w="11910" w:h="16840"/>
          <w:pgMar w:top="240" w:bottom="0" w:left="900" w:right="0"/>
          <w:cols w:num="2" w:equalWidth="0">
            <w:col w:w="5070" w:space="3849"/>
            <w:col w:w="2091"/>
          </w:cols>
        </w:sectPr>
      </w:pPr>
    </w:p>
    <w:p>
      <w:pPr>
        <w:spacing w:line="240" w:lineRule="auto" w:before="12"/>
        <w:rPr>
          <w:rFonts w:ascii="华文细黑" w:hAnsi="华文细黑" w:cs="华文细黑" w:eastAsia="华文细黑" w:hint="default"/>
          <w:sz w:val="6"/>
          <w:szCs w:val="6"/>
        </w:rPr>
      </w:pPr>
    </w:p>
    <w:tbl>
      <w:tblPr>
        <w:tblW w:w="0" w:type="auto"/>
        <w:jc w:val="left"/>
        <w:tblInd w:w="117" w:type="dxa"/>
        <w:tblLayout w:type="fixed"/>
        <w:tblCellMar>
          <w:top w:w="0" w:type="dxa"/>
          <w:left w:w="0" w:type="dxa"/>
          <w:bottom w:w="0" w:type="dxa"/>
          <w:right w:w="0" w:type="dxa"/>
        </w:tblCellMar>
        <w:tblLook w:val="01E0"/>
      </w:tblPr>
      <w:tblGrid>
        <w:gridCol w:w="988"/>
        <w:gridCol w:w="1530"/>
        <w:gridCol w:w="1650"/>
        <w:gridCol w:w="976"/>
        <w:gridCol w:w="794"/>
        <w:gridCol w:w="1066"/>
        <w:gridCol w:w="1500"/>
        <w:gridCol w:w="1064"/>
      </w:tblGrid>
      <w:tr>
        <w:trPr>
          <w:trHeight w:val="2898" w:hRule="exact"/>
        </w:trPr>
        <w:tc>
          <w:tcPr>
            <w:tcW w:w="98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4"/>
              <w:ind w:right="0"/>
              <w:jc w:val="left"/>
              <w:rPr>
                <w:rFonts w:ascii="华文细黑" w:hAnsi="华文细黑" w:cs="华文细黑" w:eastAsia="华文细黑" w:hint="default"/>
                <w:sz w:val="19"/>
                <w:szCs w:val="19"/>
              </w:rPr>
            </w:pPr>
          </w:p>
          <w:p>
            <w:pPr>
              <w:pStyle w:val="TableParagraph"/>
              <w:spacing w:line="240" w:lineRule="auto"/>
              <w:ind w:left="12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分红年度</w:t>
            </w:r>
          </w:p>
        </w:tc>
        <w:tc>
          <w:tcPr>
            <w:tcW w:w="153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3"/>
              <w:ind w:right="0"/>
              <w:jc w:val="left"/>
              <w:rPr>
                <w:rFonts w:ascii="华文细黑" w:hAnsi="华文细黑" w:cs="华文细黑" w:eastAsia="华文细黑" w:hint="default"/>
                <w:sz w:val="26"/>
                <w:szCs w:val="26"/>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现金分红金额</w:t>
            </w:r>
          </w:p>
          <w:p>
            <w:pPr>
              <w:pStyle w:val="TableParagraph"/>
              <w:spacing w:line="240" w:lineRule="auto" w:before="59"/>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（含税）</w:t>
            </w:r>
          </w:p>
        </w:tc>
        <w:tc>
          <w:tcPr>
            <w:tcW w:w="165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2"/>
              <w:ind w:right="0"/>
              <w:jc w:val="left"/>
              <w:rPr>
                <w:rFonts w:ascii="华文细黑" w:hAnsi="华文细黑" w:cs="华文细黑" w:eastAsia="华文细黑" w:hint="default"/>
                <w:sz w:val="22"/>
                <w:szCs w:val="22"/>
              </w:rPr>
            </w:pPr>
          </w:p>
          <w:p>
            <w:pPr>
              <w:pStyle w:val="TableParagraph"/>
              <w:spacing w:line="295" w:lineRule="auto"/>
              <w:ind w:left="189" w:right="189"/>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分红年度合并报 表中归属于上市 公司普通股股东 的净利润</w:t>
            </w:r>
          </w:p>
        </w:tc>
        <w:tc>
          <w:tcPr>
            <w:tcW w:w="9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122" w:right="121"/>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现金分红 金额占合 并报表中 归属于上 市公司普 通股股东 的净利润 的比率</w:t>
            </w:r>
          </w:p>
        </w:tc>
        <w:tc>
          <w:tcPr>
            <w:tcW w:w="79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
              <w:ind w:right="0"/>
              <w:jc w:val="left"/>
              <w:rPr>
                <w:rFonts w:ascii="华文细黑" w:hAnsi="华文细黑" w:cs="华文细黑" w:eastAsia="华文细黑" w:hint="default"/>
                <w:sz w:val="24"/>
                <w:szCs w:val="24"/>
              </w:rPr>
            </w:pPr>
          </w:p>
          <w:p>
            <w:pPr>
              <w:pStyle w:val="TableParagraph"/>
              <w:spacing w:line="295" w:lineRule="auto"/>
              <w:ind w:left="121" w:right="12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以其他 方式</w:t>
            </w:r>
          </w:p>
          <w:p>
            <w:pPr>
              <w:pStyle w:val="TableParagraph"/>
              <w:spacing w:line="295" w:lineRule="auto" w:before="13"/>
              <w:ind w:left="121" w:right="12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（如回 购股 份）现 金分红 的金额</w:t>
            </w:r>
          </w:p>
        </w:tc>
        <w:tc>
          <w:tcPr>
            <w:tcW w:w="106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66" w:right="167"/>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以其他方 式现金分 红金额占 合并报表 中归属于 上市公司 普通股股 东的净利 润的比例</w:t>
            </w:r>
          </w:p>
        </w:tc>
        <w:tc>
          <w:tcPr>
            <w:tcW w:w="150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3"/>
              <w:ind w:right="0"/>
              <w:jc w:val="left"/>
              <w:rPr>
                <w:rFonts w:ascii="华文细黑" w:hAnsi="华文细黑" w:cs="华文细黑" w:eastAsia="华文细黑" w:hint="default"/>
                <w:sz w:val="26"/>
                <w:szCs w:val="26"/>
              </w:rPr>
            </w:pPr>
          </w:p>
          <w:p>
            <w:pPr>
              <w:pStyle w:val="TableParagraph"/>
              <w:spacing w:line="240" w:lineRule="auto"/>
              <w:ind w:left="20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现金分红总额</w:t>
            </w:r>
          </w:p>
          <w:p>
            <w:pPr>
              <w:pStyle w:val="TableParagraph"/>
              <w:spacing w:line="240" w:lineRule="auto" w:before="59"/>
              <w:ind w:left="11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（含其他方式）</w:t>
            </w:r>
          </w:p>
        </w:tc>
        <w:tc>
          <w:tcPr>
            <w:tcW w:w="10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1" w:right="101" w:hanging="3"/>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现金分红 </w:t>
            </w:r>
            <w:r>
              <w:rPr>
                <w:rFonts w:ascii="华文细黑" w:hAnsi="华文细黑" w:cs="华文细黑" w:eastAsia="华文细黑" w:hint="default"/>
                <w:spacing w:val="-11"/>
                <w:sz w:val="18"/>
                <w:szCs w:val="18"/>
              </w:rPr>
              <w:t>总额（含其</w:t>
            </w:r>
            <w:r>
              <w:rPr>
                <w:rFonts w:ascii="华文细黑" w:hAnsi="华文细黑" w:cs="华文细黑" w:eastAsia="华文细黑" w:hint="default"/>
                <w:sz w:val="18"/>
                <w:szCs w:val="18"/>
              </w:rPr>
              <w:t> </w:t>
            </w:r>
            <w:r>
              <w:rPr>
                <w:rFonts w:ascii="华文细黑" w:hAnsi="华文细黑" w:cs="华文细黑" w:eastAsia="华文细黑" w:hint="default"/>
                <w:spacing w:val="-11"/>
                <w:sz w:val="18"/>
                <w:szCs w:val="18"/>
              </w:rPr>
              <w:t>他方式）占</w:t>
            </w:r>
            <w:r>
              <w:rPr>
                <w:rFonts w:ascii="华文细黑" w:hAnsi="华文细黑" w:cs="华文细黑" w:eastAsia="华文细黑" w:hint="default"/>
                <w:sz w:val="18"/>
                <w:szCs w:val="18"/>
              </w:rPr>
              <w:t> 合并报表 中归属于 上市公司 普通股股 东的净利 润的比率</w:t>
            </w:r>
          </w:p>
        </w:tc>
      </w:tr>
      <w:tr>
        <w:trPr>
          <w:trHeight w:val="402" w:hRule="exact"/>
        </w:trPr>
        <w:tc>
          <w:tcPr>
            <w:tcW w:w="9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15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247,856,361.20</w:t>
            </w:r>
          </w:p>
        </w:tc>
        <w:tc>
          <w:tcPr>
            <w:tcW w:w="16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-92,720,082.99</w:t>
            </w:r>
          </w:p>
        </w:tc>
        <w:tc>
          <w:tcPr>
            <w:tcW w:w="976" w:type="dxa"/>
            <w:tcBorders>
              <w:top w:val="single" w:sz="4" w:space="0" w:color="FFC000"/>
              <w:left w:val="single" w:sz="4" w:space="0" w:color="FFC000"/>
              <w:bottom w:val="single" w:sz="4" w:space="0" w:color="FFC000"/>
              <w:right w:val="single" w:sz="4" w:space="0" w:color="FFC000"/>
            </w:tcBorders>
          </w:tcPr>
          <w:p>
            <w:pPr/>
          </w:p>
        </w:tc>
        <w:tc>
          <w:tcPr>
            <w:tcW w:w="794" w:type="dxa"/>
            <w:tcBorders>
              <w:top w:val="single" w:sz="4" w:space="0" w:color="FFC000"/>
              <w:left w:val="single" w:sz="4" w:space="0" w:color="FFC000"/>
              <w:bottom w:val="single" w:sz="4" w:space="0" w:color="FFC000"/>
              <w:right w:val="single" w:sz="4" w:space="0" w:color="FFC000"/>
            </w:tcBorders>
          </w:tcPr>
          <w:p>
            <w:pPr/>
          </w:p>
        </w:tc>
        <w:tc>
          <w:tcPr>
            <w:tcW w:w="1066" w:type="dxa"/>
            <w:tcBorders>
              <w:top w:val="single" w:sz="4" w:space="0" w:color="FFC000"/>
              <w:left w:val="single" w:sz="4" w:space="0" w:color="FFC000"/>
              <w:bottom w:val="single" w:sz="4" w:space="0" w:color="FFC000"/>
              <w:right w:val="single" w:sz="4" w:space="0" w:color="FFC000"/>
            </w:tcBorders>
          </w:tcPr>
          <w:p>
            <w:pPr/>
          </w:p>
        </w:tc>
        <w:tc>
          <w:tcPr>
            <w:tcW w:w="15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247,856,361.20</w:t>
            </w:r>
          </w:p>
        </w:tc>
        <w:tc>
          <w:tcPr>
            <w:tcW w:w="1064"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9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2017</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15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206,546,967.80</w:t>
            </w:r>
          </w:p>
        </w:tc>
        <w:tc>
          <w:tcPr>
            <w:tcW w:w="16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378,967,619.06</w:t>
            </w:r>
          </w:p>
        </w:tc>
        <w:tc>
          <w:tcPr>
            <w:tcW w:w="9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54.50%</w:t>
            </w:r>
          </w:p>
        </w:tc>
        <w:tc>
          <w:tcPr>
            <w:tcW w:w="794" w:type="dxa"/>
            <w:tcBorders>
              <w:top w:val="single" w:sz="4" w:space="0" w:color="FFC000"/>
              <w:left w:val="single" w:sz="4" w:space="0" w:color="FFC000"/>
              <w:bottom w:val="single" w:sz="4" w:space="0" w:color="FFC000"/>
              <w:right w:val="single" w:sz="4" w:space="0" w:color="FFC000"/>
            </w:tcBorders>
          </w:tcPr>
          <w:p>
            <w:pPr/>
          </w:p>
        </w:tc>
        <w:tc>
          <w:tcPr>
            <w:tcW w:w="1066" w:type="dxa"/>
            <w:tcBorders>
              <w:top w:val="single" w:sz="4" w:space="0" w:color="FFC000"/>
              <w:left w:val="single" w:sz="4" w:space="0" w:color="FFC000"/>
              <w:bottom w:val="single" w:sz="4" w:space="0" w:color="FFC000"/>
              <w:right w:val="single" w:sz="4" w:space="0" w:color="FFC000"/>
            </w:tcBorders>
          </w:tcPr>
          <w:p>
            <w:pPr/>
          </w:p>
        </w:tc>
        <w:tc>
          <w:tcPr>
            <w:tcW w:w="15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206,546,967.80</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54.50%</w:t>
            </w:r>
          </w:p>
        </w:tc>
      </w:tr>
      <w:tr>
        <w:trPr>
          <w:trHeight w:val="402" w:hRule="exact"/>
        </w:trPr>
        <w:tc>
          <w:tcPr>
            <w:tcW w:w="9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2016</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15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154,910,225.85</w:t>
            </w:r>
          </w:p>
        </w:tc>
        <w:tc>
          <w:tcPr>
            <w:tcW w:w="16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187,751,905.53</w:t>
            </w:r>
          </w:p>
        </w:tc>
        <w:tc>
          <w:tcPr>
            <w:tcW w:w="9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82.51%</w:t>
            </w:r>
          </w:p>
        </w:tc>
        <w:tc>
          <w:tcPr>
            <w:tcW w:w="794" w:type="dxa"/>
            <w:tcBorders>
              <w:top w:val="single" w:sz="4" w:space="0" w:color="FFC000"/>
              <w:left w:val="single" w:sz="4" w:space="0" w:color="FFC000"/>
              <w:bottom w:val="single" w:sz="4" w:space="0" w:color="FFC000"/>
              <w:right w:val="single" w:sz="4" w:space="0" w:color="FFC000"/>
            </w:tcBorders>
          </w:tcPr>
          <w:p>
            <w:pPr/>
          </w:p>
        </w:tc>
        <w:tc>
          <w:tcPr>
            <w:tcW w:w="1066" w:type="dxa"/>
            <w:tcBorders>
              <w:top w:val="single" w:sz="4" w:space="0" w:color="FFC000"/>
              <w:left w:val="single" w:sz="4" w:space="0" w:color="FFC000"/>
              <w:bottom w:val="single" w:sz="4" w:space="0" w:color="FFC000"/>
              <w:right w:val="single" w:sz="4" w:space="0" w:color="FFC000"/>
            </w:tcBorders>
          </w:tcPr>
          <w:p>
            <w:pPr/>
          </w:p>
        </w:tc>
        <w:tc>
          <w:tcPr>
            <w:tcW w:w="15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154,910,225.85</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82.51%</w:t>
            </w:r>
          </w:p>
        </w:tc>
      </w:tr>
    </w:tbl>
    <w:p>
      <w:pPr>
        <w:spacing w:line="240" w:lineRule="auto" w:before="11"/>
        <w:rPr>
          <w:rFonts w:ascii="华文细黑" w:hAnsi="华文细黑" w:cs="华文细黑" w:eastAsia="华文细黑" w:hint="default"/>
          <w:sz w:val="5"/>
          <w:szCs w:val="5"/>
        </w:rPr>
      </w:pPr>
    </w:p>
    <w:p>
      <w:pPr>
        <w:pStyle w:val="BodyText"/>
        <w:spacing w:line="240" w:lineRule="auto" w:before="10"/>
        <w:ind w:left="234" w:right="1023"/>
        <w:jc w:val="left"/>
      </w:pPr>
      <w:r>
        <w:rPr/>
        <w:t>公司报告期内盈利且母公司可供普通股股东分配利润为正但未提出普通股现金红利分配预案</w:t>
      </w:r>
    </w:p>
    <w:p>
      <w:pPr>
        <w:spacing w:line="240" w:lineRule="auto" w:before="0"/>
        <w:rPr>
          <w:rFonts w:ascii="华文细黑" w:hAnsi="华文细黑" w:cs="华文细黑" w:eastAsia="华文细黑" w:hint="default"/>
          <w:sz w:val="15"/>
          <w:szCs w:val="15"/>
        </w:rPr>
      </w:pPr>
    </w:p>
    <w:p>
      <w:pPr>
        <w:pStyle w:val="BodyText"/>
        <w:spacing w:line="240" w:lineRule="auto"/>
        <w:ind w:left="234" w:right="1023"/>
        <w:jc w:val="left"/>
      </w:pPr>
      <w:r>
        <w:rPr/>
        <w:t>□  适用  √</w:t>
      </w:r>
      <w:r>
        <w:rPr>
          <w:spacing w:val="51"/>
        </w:rPr>
        <w:t> </w:t>
      </w:r>
      <w:r>
        <w:rPr/>
        <w:t>不适用</w:t>
      </w:r>
    </w:p>
    <w:p>
      <w:pPr>
        <w:spacing w:after="0" w:line="240" w:lineRule="auto"/>
        <w:jc w:val="left"/>
        <w:sectPr>
          <w:type w:val="continuous"/>
          <w:pgSz w:w="11910" w:h="16840"/>
          <w:pgMar w:top="240" w:bottom="0" w:left="900" w:right="0"/>
        </w:sectPr>
      </w:pPr>
    </w:p>
    <w:p>
      <w:pPr>
        <w:spacing w:line="240" w:lineRule="auto" w:before="2"/>
        <w:rPr>
          <w:rFonts w:ascii="华文细黑" w:hAnsi="华文细黑" w:cs="华文细黑" w:eastAsia="华文细黑" w:hint="default"/>
          <w:sz w:val="29"/>
          <w:szCs w:val="29"/>
        </w:rPr>
      </w:pPr>
    </w:p>
    <w:p>
      <w:pPr>
        <w:pStyle w:val="Heading2"/>
        <w:spacing w:line="396" w:lineRule="exact"/>
        <w:ind w:left="1014" w:right="0"/>
        <w:jc w:val="left"/>
        <w:rPr>
          <w:b w:val="0"/>
          <w:bCs w:val="0"/>
        </w:rPr>
      </w:pPr>
      <w:bookmarkStart w:name="二、本报告期利润分配及资本公积金转增股本预案" w:id="92"/>
      <w:bookmarkEnd w:id="92"/>
      <w:r>
        <w:rPr>
          <w:b w:val="0"/>
          <w:bCs w:val="0"/>
        </w:rPr>
      </w:r>
      <w:r>
        <w:rPr/>
        <w:t>二、本报告期利润分配及资本公积金转增股本预案</w:t>
      </w:r>
      <w:r>
        <w:rPr>
          <w:b w:val="0"/>
          <w:bCs w:val="0"/>
        </w:rPr>
      </w:r>
    </w:p>
    <w:p>
      <w:pPr>
        <w:spacing w:line="240" w:lineRule="auto" w:before="0"/>
        <w:rPr>
          <w:rFonts w:ascii="华文细黑" w:hAnsi="华文细黑" w:cs="华文细黑" w:eastAsia="华文细黑" w:hint="default"/>
          <w:b/>
          <w:bCs/>
          <w:sz w:val="30"/>
          <w:szCs w:val="30"/>
        </w:rPr>
      </w:pPr>
    </w:p>
    <w:p>
      <w:pPr>
        <w:pStyle w:val="BodyText"/>
        <w:spacing w:line="240" w:lineRule="auto"/>
        <w:ind w:left="1014" w:right="0"/>
        <w:jc w:val="left"/>
      </w:pPr>
      <w:r>
        <w:rPr/>
        <w:t>√  适用  □</w:t>
      </w:r>
      <w:r>
        <w:rPr>
          <w:spacing w:val="51"/>
        </w:rPr>
        <w:t> </w:t>
      </w:r>
      <w:r>
        <w:rPr/>
        <w:t>不适用</w:t>
      </w:r>
    </w:p>
    <w:p>
      <w:pPr>
        <w:spacing w:line="240" w:lineRule="auto" w:before="11"/>
        <w:rPr>
          <w:rFonts w:ascii="华文细黑" w:hAnsi="华文细黑" w:cs="华文细黑" w:eastAsia="华文细黑" w:hint="default"/>
          <w:sz w:val="5"/>
          <w:szCs w:val="5"/>
        </w:rPr>
      </w:pPr>
    </w:p>
    <w:tbl>
      <w:tblPr>
        <w:tblW w:w="0" w:type="auto"/>
        <w:jc w:val="left"/>
        <w:tblInd w:w="1009" w:type="dxa"/>
        <w:tblLayout w:type="fixed"/>
        <w:tblCellMar>
          <w:top w:w="0" w:type="dxa"/>
          <w:left w:w="0" w:type="dxa"/>
          <w:bottom w:w="0" w:type="dxa"/>
          <w:right w:w="0" w:type="dxa"/>
        </w:tblCellMar>
        <w:tblLook w:val="01E0"/>
      </w:tblPr>
      <w:tblGrid>
        <w:gridCol w:w="3784"/>
        <w:gridCol w:w="5784"/>
      </w:tblGrid>
      <w:tr>
        <w:trPr>
          <w:trHeight w:val="323" w:hRule="exact"/>
        </w:trPr>
        <w:tc>
          <w:tcPr>
            <w:tcW w:w="3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每 </w:t>
            </w:r>
            <w:r>
              <w:rPr>
                <w:rFonts w:ascii="华文细黑" w:hAnsi="华文细黑" w:cs="华文细黑" w:eastAsia="华文细黑" w:hint="default"/>
                <w:sz w:val="18"/>
                <w:szCs w:val="18"/>
              </w:rPr>
              <w:t>10</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股送红股数（股）</w:t>
            </w:r>
          </w:p>
        </w:tc>
        <w:tc>
          <w:tcPr>
            <w:tcW w:w="578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
              <w:ind w:right="20"/>
              <w:jc w:val="right"/>
              <w:rPr>
                <w:rFonts w:ascii="华文细黑" w:hAnsi="华文细黑" w:cs="华文细黑" w:eastAsia="华文细黑" w:hint="default"/>
                <w:sz w:val="18"/>
                <w:szCs w:val="18"/>
              </w:rPr>
            </w:pPr>
            <w:r>
              <w:rPr>
                <w:rFonts w:ascii="华文细黑"/>
                <w:sz w:val="18"/>
              </w:rPr>
              <w:t>0</w:t>
            </w:r>
          </w:p>
        </w:tc>
      </w:tr>
      <w:tr>
        <w:trPr>
          <w:trHeight w:val="322" w:hRule="exact"/>
        </w:trPr>
        <w:tc>
          <w:tcPr>
            <w:tcW w:w="3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53" w:lineRule="exact"/>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每</w:t>
            </w:r>
            <w:r>
              <w:rPr>
                <w:rFonts w:ascii="华文细黑" w:hAnsi="华文细黑" w:cs="华文细黑" w:eastAsia="华文细黑" w:hint="default"/>
                <w:spacing w:val="-1"/>
                <w:sz w:val="18"/>
                <w:szCs w:val="18"/>
              </w:rPr>
              <w:t> </w:t>
            </w:r>
            <w:r>
              <w:rPr>
                <w:rFonts w:ascii="华文细黑" w:hAnsi="华文细黑" w:cs="华文细黑" w:eastAsia="华文细黑" w:hint="default"/>
                <w:spacing w:val="-1"/>
                <w:sz w:val="18"/>
                <w:szCs w:val="18"/>
              </w:rPr>
              <w:t>1</w:t>
            </w:r>
            <w:r>
              <w:rPr>
                <w:rFonts w:ascii="华文细黑" w:hAnsi="华文细黑" w:cs="华文细黑" w:eastAsia="华文细黑" w:hint="default"/>
                <w:sz w:val="18"/>
                <w:szCs w:val="18"/>
              </w:rPr>
              <w:t>0</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股派息</w:t>
            </w:r>
            <w:r>
              <w:rPr>
                <w:rFonts w:ascii="华文细黑" w:hAnsi="华文细黑" w:cs="华文细黑" w:eastAsia="华文细黑" w:hint="default"/>
                <w:spacing w:val="1"/>
                <w:sz w:val="18"/>
                <w:szCs w:val="18"/>
              </w:rPr>
              <w:t>数</w:t>
            </w:r>
            <w:r>
              <w:rPr>
                <w:rFonts w:ascii="华文细黑" w:hAnsi="华文细黑" w:cs="华文细黑" w:eastAsia="华文细黑" w:hint="default"/>
                <w:sz w:val="18"/>
                <w:szCs w:val="18"/>
              </w:rPr>
              <w:t>（元</w:t>
            </w:r>
            <w:r>
              <w:rPr>
                <w:rFonts w:ascii="华文细黑" w:hAnsi="华文细黑" w:cs="华文细黑" w:eastAsia="华文细黑" w:hint="default"/>
                <w:spacing w:val="-90"/>
                <w:sz w:val="18"/>
                <w:szCs w:val="18"/>
              </w:rPr>
              <w:t>）</w:t>
            </w:r>
            <w:r>
              <w:rPr>
                <w:rFonts w:ascii="华文细黑" w:hAnsi="华文细黑" w:cs="华文细黑" w:eastAsia="华文细黑" w:hint="default"/>
                <w:sz w:val="18"/>
                <w:szCs w:val="18"/>
              </w:rPr>
              <w:t>（含税）</w:t>
            </w:r>
          </w:p>
        </w:tc>
        <w:tc>
          <w:tcPr>
            <w:tcW w:w="5784" w:type="dxa"/>
            <w:tcBorders>
              <w:top w:val="single" w:sz="4" w:space="0" w:color="FFC000"/>
              <w:left w:val="single" w:sz="13" w:space="0" w:color="FFF8E6"/>
              <w:bottom w:val="single" w:sz="4" w:space="0" w:color="FFC000"/>
              <w:right w:val="single" w:sz="4" w:space="0" w:color="FFC000"/>
            </w:tcBorders>
          </w:tcPr>
          <w:p>
            <w:pPr>
              <w:pStyle w:val="TableParagraph"/>
              <w:spacing w:line="253" w:lineRule="exact"/>
              <w:ind w:right="20"/>
              <w:jc w:val="right"/>
              <w:rPr>
                <w:rFonts w:ascii="华文细黑" w:hAnsi="华文细黑" w:cs="华文细黑" w:eastAsia="华文细黑" w:hint="default"/>
                <w:sz w:val="18"/>
                <w:szCs w:val="18"/>
              </w:rPr>
            </w:pPr>
            <w:r>
              <w:rPr>
                <w:rFonts w:ascii="华文细黑"/>
                <w:w w:val="95"/>
                <w:sz w:val="18"/>
              </w:rPr>
              <w:t>2.00</w:t>
            </w:r>
          </w:p>
        </w:tc>
      </w:tr>
      <w:tr>
        <w:trPr>
          <w:trHeight w:val="322" w:hRule="exact"/>
        </w:trPr>
        <w:tc>
          <w:tcPr>
            <w:tcW w:w="3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53" w:lineRule="exact"/>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每 </w:t>
            </w:r>
            <w:r>
              <w:rPr>
                <w:rFonts w:ascii="华文细黑" w:hAnsi="华文细黑" w:cs="华文细黑" w:eastAsia="华文细黑" w:hint="default"/>
                <w:sz w:val="18"/>
                <w:szCs w:val="18"/>
              </w:rPr>
              <w:t>10</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股转增数（股）</w:t>
            </w:r>
          </w:p>
        </w:tc>
        <w:tc>
          <w:tcPr>
            <w:tcW w:w="5784" w:type="dxa"/>
            <w:tcBorders>
              <w:top w:val="single" w:sz="4" w:space="0" w:color="FFC000"/>
              <w:left w:val="single" w:sz="13" w:space="0" w:color="FFF8E6"/>
              <w:bottom w:val="single" w:sz="4" w:space="0" w:color="FFC000"/>
              <w:right w:val="single" w:sz="4" w:space="0" w:color="FFC000"/>
            </w:tcBorders>
          </w:tcPr>
          <w:p>
            <w:pPr>
              <w:pStyle w:val="TableParagraph"/>
              <w:spacing w:line="253" w:lineRule="exact"/>
              <w:ind w:right="20"/>
              <w:jc w:val="right"/>
              <w:rPr>
                <w:rFonts w:ascii="华文细黑" w:hAnsi="华文细黑" w:cs="华文细黑" w:eastAsia="华文细黑" w:hint="default"/>
                <w:sz w:val="18"/>
                <w:szCs w:val="18"/>
              </w:rPr>
            </w:pPr>
            <w:r>
              <w:rPr>
                <w:rFonts w:ascii="华文细黑"/>
                <w:sz w:val="18"/>
              </w:rPr>
              <w:t>0</w:t>
            </w:r>
          </w:p>
        </w:tc>
      </w:tr>
      <w:tr>
        <w:trPr>
          <w:trHeight w:val="322" w:hRule="exact"/>
        </w:trPr>
        <w:tc>
          <w:tcPr>
            <w:tcW w:w="3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分配预案的股本基数（股）</w:t>
            </w:r>
          </w:p>
        </w:tc>
        <w:tc>
          <w:tcPr>
            <w:tcW w:w="578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1,239,281,806</w:t>
            </w:r>
          </w:p>
        </w:tc>
      </w:tr>
      <w:tr>
        <w:trPr>
          <w:trHeight w:val="322" w:hRule="exact"/>
        </w:trPr>
        <w:tc>
          <w:tcPr>
            <w:tcW w:w="3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53" w:lineRule="exact"/>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现金分红总额（元</w:t>
            </w:r>
            <w:r>
              <w:rPr>
                <w:rFonts w:ascii="华文细黑" w:hAnsi="华文细黑" w:cs="华文细黑" w:eastAsia="华文细黑" w:hint="default"/>
                <w:spacing w:val="-90"/>
                <w:sz w:val="18"/>
                <w:szCs w:val="18"/>
              </w:rPr>
              <w:t>）</w:t>
            </w:r>
            <w:r>
              <w:rPr>
                <w:rFonts w:ascii="华文细黑" w:hAnsi="华文细黑" w:cs="华文细黑" w:eastAsia="华文细黑" w:hint="default"/>
                <w:sz w:val="18"/>
                <w:szCs w:val="18"/>
              </w:rPr>
              <w:t>（含税）</w:t>
            </w:r>
          </w:p>
        </w:tc>
        <w:tc>
          <w:tcPr>
            <w:tcW w:w="5784" w:type="dxa"/>
            <w:tcBorders>
              <w:top w:val="single" w:sz="4" w:space="0" w:color="FFC000"/>
              <w:left w:val="single" w:sz="13" w:space="0" w:color="FFF8E6"/>
              <w:bottom w:val="single" w:sz="4" w:space="0" w:color="FFC000"/>
              <w:right w:val="single" w:sz="4" w:space="0" w:color="FFC000"/>
            </w:tcBorders>
          </w:tcPr>
          <w:p>
            <w:pPr>
              <w:pStyle w:val="TableParagraph"/>
              <w:spacing w:line="253" w:lineRule="exact"/>
              <w:ind w:right="20"/>
              <w:jc w:val="right"/>
              <w:rPr>
                <w:rFonts w:ascii="华文细黑" w:hAnsi="华文细黑" w:cs="华文细黑" w:eastAsia="华文细黑" w:hint="default"/>
                <w:sz w:val="18"/>
                <w:szCs w:val="18"/>
              </w:rPr>
            </w:pPr>
            <w:r>
              <w:rPr>
                <w:rFonts w:ascii="华文细黑"/>
                <w:sz w:val="18"/>
              </w:rPr>
              <w:t>247,856,361.20</w:t>
            </w:r>
          </w:p>
        </w:tc>
      </w:tr>
      <w:tr>
        <w:trPr>
          <w:trHeight w:val="322" w:hRule="exact"/>
        </w:trPr>
        <w:tc>
          <w:tcPr>
            <w:tcW w:w="3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53" w:lineRule="exact"/>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可分配利润（元）</w:t>
            </w:r>
          </w:p>
        </w:tc>
        <w:tc>
          <w:tcPr>
            <w:tcW w:w="5784" w:type="dxa"/>
            <w:tcBorders>
              <w:top w:val="single" w:sz="4" w:space="0" w:color="FFC000"/>
              <w:left w:val="single" w:sz="13" w:space="0" w:color="FFF8E6"/>
              <w:bottom w:val="single" w:sz="4" w:space="0" w:color="FFC000"/>
              <w:right w:val="single" w:sz="4" w:space="0" w:color="FFC000"/>
            </w:tcBorders>
          </w:tcPr>
          <w:p>
            <w:pPr>
              <w:pStyle w:val="TableParagraph"/>
              <w:spacing w:line="253" w:lineRule="exact"/>
              <w:ind w:right="20"/>
              <w:jc w:val="right"/>
              <w:rPr>
                <w:rFonts w:ascii="华文细黑" w:hAnsi="华文细黑" w:cs="华文细黑" w:eastAsia="华文细黑" w:hint="default"/>
                <w:sz w:val="18"/>
                <w:szCs w:val="18"/>
              </w:rPr>
            </w:pPr>
            <w:r>
              <w:rPr>
                <w:rFonts w:ascii="华文细黑"/>
                <w:spacing w:val="-1"/>
                <w:sz w:val="18"/>
              </w:rPr>
              <w:t>1,242,384,167.33</w:t>
            </w:r>
          </w:p>
        </w:tc>
      </w:tr>
      <w:tr>
        <w:trPr>
          <w:trHeight w:val="322" w:hRule="exact"/>
        </w:trPr>
        <w:tc>
          <w:tcPr>
            <w:tcW w:w="3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现金分红占利润分配总额的比例</w:t>
            </w:r>
          </w:p>
        </w:tc>
        <w:tc>
          <w:tcPr>
            <w:tcW w:w="578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ind w:right="21"/>
              <w:jc w:val="right"/>
              <w:rPr>
                <w:rFonts w:ascii="华文细黑" w:hAnsi="华文细黑" w:cs="华文细黑" w:eastAsia="华文细黑" w:hint="default"/>
                <w:sz w:val="18"/>
                <w:szCs w:val="18"/>
              </w:rPr>
            </w:pPr>
            <w:r>
              <w:rPr>
                <w:rFonts w:ascii="华文细黑"/>
                <w:spacing w:val="-1"/>
                <w:w w:val="95"/>
                <w:sz w:val="18"/>
              </w:rPr>
              <w:t>100%</w:t>
            </w:r>
            <w:r>
              <w:rPr>
                <w:rFonts w:ascii="华文细黑"/>
                <w:w w:val="95"/>
                <w:sz w:val="18"/>
              </w:rPr>
            </w:r>
          </w:p>
        </w:tc>
      </w:tr>
      <w:tr>
        <w:trPr>
          <w:trHeight w:val="322" w:hRule="exact"/>
        </w:trPr>
        <w:tc>
          <w:tcPr>
            <w:tcW w:w="3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53" w:lineRule="exact"/>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本次现金分红情况</w:t>
            </w:r>
          </w:p>
        </w:tc>
        <w:tc>
          <w:tcPr>
            <w:tcW w:w="5784" w:type="dxa"/>
            <w:tcBorders>
              <w:top w:val="single" w:sz="4" w:space="0" w:color="FFC000"/>
              <w:left w:val="single" w:sz="13" w:space="0" w:color="FFF8E6"/>
              <w:bottom w:val="single" w:sz="4" w:space="0" w:color="FFC000"/>
              <w:right w:val="single" w:sz="4" w:space="0" w:color="FFC000"/>
            </w:tcBorders>
          </w:tcPr>
          <w:p>
            <w:pPr>
              <w:pStyle w:val="TableParagraph"/>
              <w:spacing w:line="253" w:lineRule="exact"/>
              <w:ind w:right="2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r>
      <w:tr>
        <w:trPr>
          <w:trHeight w:val="322" w:hRule="exact"/>
        </w:trPr>
        <w:tc>
          <w:tcPr>
            <w:tcW w:w="9569" w:type="dxa"/>
            <w:gridSpan w:val="2"/>
            <w:tcBorders>
              <w:top w:val="single" w:sz="4" w:space="0" w:color="FFC000"/>
              <w:left w:val="single" w:sz="4" w:space="0" w:color="FFC000"/>
              <w:bottom w:val="single" w:sz="4" w:space="0" w:color="FFC000"/>
              <w:right w:val="single" w:sz="4" w:space="0" w:color="FFC000"/>
            </w:tcBorders>
          </w:tcPr>
          <w:p>
            <w:pPr>
              <w:pStyle w:val="TableParagraph"/>
              <w:spacing w:line="253" w:lineRule="exact"/>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r>
      <w:tr>
        <w:trPr>
          <w:trHeight w:val="322" w:hRule="exact"/>
        </w:trPr>
        <w:tc>
          <w:tcPr>
            <w:tcW w:w="9569"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left="288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利润分配或资本公积金转增预案的详细情况说明</w:t>
            </w:r>
          </w:p>
        </w:tc>
      </w:tr>
      <w:tr>
        <w:trPr>
          <w:trHeight w:val="2506" w:hRule="exact"/>
        </w:trPr>
        <w:tc>
          <w:tcPr>
            <w:tcW w:w="9569" w:type="dxa"/>
            <w:gridSpan w:val="2"/>
            <w:tcBorders>
              <w:top w:val="single" w:sz="4" w:space="0" w:color="FFC000"/>
              <w:left w:val="single" w:sz="4" w:space="0" w:color="FFC000"/>
              <w:bottom w:val="single" w:sz="4" w:space="0" w:color="FFC000"/>
              <w:right w:val="single" w:sz="4" w:space="0" w:color="FFC000"/>
            </w:tcBorders>
          </w:tcPr>
          <w:p>
            <w:pPr>
              <w:pStyle w:val="TableParagraph"/>
              <w:spacing w:line="253" w:lineRule="exact"/>
              <w:ind w:left="38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根据瑞华会计师计师事务所（特殊普通合伙）审计报告，公司</w:t>
            </w:r>
            <w:r>
              <w:rPr>
                <w:rFonts w:ascii="华文细黑" w:hAnsi="华文细黑" w:cs="华文细黑" w:eastAsia="华文细黑" w:hint="default"/>
                <w:spacing w:val="-11"/>
                <w:sz w:val="18"/>
                <w:szCs w:val="18"/>
              </w:rPr>
              <w:t> </w:t>
            </w:r>
            <w:r>
              <w:rPr>
                <w:rFonts w:ascii="华文细黑" w:hAnsi="华文细黑" w:cs="华文细黑" w:eastAsia="华文细黑" w:hint="default"/>
                <w:sz w:val="18"/>
                <w:szCs w:val="18"/>
              </w:rPr>
              <w:t>2018</w:t>
            </w:r>
            <w:r>
              <w:rPr>
                <w:rFonts w:ascii="华文细黑" w:hAnsi="华文细黑" w:cs="华文细黑" w:eastAsia="华文细黑" w:hint="default"/>
                <w:spacing w:val="-12"/>
                <w:sz w:val="18"/>
                <w:szCs w:val="18"/>
              </w:rPr>
              <w:t> </w:t>
            </w:r>
            <w:r>
              <w:rPr>
                <w:rFonts w:ascii="华文细黑" w:hAnsi="华文细黑" w:cs="华文细黑" w:eastAsia="华文细黑" w:hint="default"/>
                <w:sz w:val="18"/>
                <w:szCs w:val="18"/>
              </w:rPr>
              <w:t>年度母公司实现净利润</w:t>
            </w:r>
            <w:r>
              <w:rPr>
                <w:rFonts w:ascii="华文细黑" w:hAnsi="华文细黑" w:cs="华文细黑" w:eastAsia="华文细黑" w:hint="default"/>
                <w:spacing w:val="-12"/>
                <w:sz w:val="18"/>
                <w:szCs w:val="18"/>
              </w:rPr>
              <w:t> </w:t>
            </w:r>
            <w:r>
              <w:rPr>
                <w:rFonts w:ascii="华文细黑" w:hAnsi="华文细黑" w:cs="华文细黑" w:eastAsia="华文细黑" w:hint="default"/>
                <w:sz w:val="18"/>
                <w:szCs w:val="18"/>
              </w:rPr>
              <w:t>178,810,622.31</w:t>
            </w:r>
            <w:r>
              <w:rPr>
                <w:rFonts w:ascii="华文细黑" w:hAnsi="华文细黑" w:cs="华文细黑" w:eastAsia="华文细黑" w:hint="default"/>
                <w:spacing w:val="-12"/>
                <w:sz w:val="18"/>
                <w:szCs w:val="18"/>
              </w:rPr>
              <w:t> </w:t>
            </w:r>
            <w:r>
              <w:rPr>
                <w:rFonts w:ascii="华文细黑" w:hAnsi="华文细黑" w:cs="华文细黑" w:eastAsia="华文细黑" w:hint="default"/>
                <w:spacing w:val="-4"/>
                <w:sz w:val="18"/>
                <w:szCs w:val="18"/>
              </w:rPr>
              <w:t>元，根据</w:t>
            </w:r>
          </w:p>
          <w:p>
            <w:pPr>
              <w:pStyle w:val="TableParagraph"/>
              <w:spacing w:line="240" w:lineRule="auto" w:before="58"/>
              <w:ind w:left="22" w:right="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《公司法》和《公司章程》的有关规定，按 </w:t>
            </w: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年度公司实现净利润的 </w:t>
            </w:r>
            <w:r>
              <w:rPr>
                <w:rFonts w:ascii="华文细黑" w:hAnsi="华文细黑" w:cs="华文细黑" w:eastAsia="华文细黑" w:hint="default"/>
                <w:sz w:val="18"/>
                <w:szCs w:val="18"/>
              </w:rPr>
              <w:t>10</w:t>
            </w:r>
            <w:r>
              <w:rPr>
                <w:rFonts w:ascii="华文细黑" w:hAnsi="华文细黑" w:cs="华文细黑" w:eastAsia="华文细黑" w:hint="default"/>
                <w:sz w:val="18"/>
                <w:szCs w:val="18"/>
              </w:rPr>
              <w:t>％提取法定盈余公积金 </w:t>
            </w:r>
            <w:r>
              <w:rPr>
                <w:rFonts w:ascii="华文细黑" w:hAnsi="华文细黑" w:cs="华文细黑" w:eastAsia="华文细黑" w:hint="default"/>
                <w:sz w:val="18"/>
                <w:szCs w:val="18"/>
              </w:rPr>
              <w:t>17,881,062.23</w:t>
            </w:r>
            <w:r>
              <w:rPr>
                <w:rFonts w:ascii="华文细黑" w:hAnsi="华文细黑" w:cs="华文细黑" w:eastAsia="华文细黑" w:hint="default"/>
                <w:spacing w:val="-28"/>
                <w:sz w:val="18"/>
                <w:szCs w:val="18"/>
              </w:rPr>
              <w:t> </w:t>
            </w:r>
            <w:r>
              <w:rPr>
                <w:rFonts w:ascii="华文细黑" w:hAnsi="华文细黑" w:cs="华文细黑" w:eastAsia="华文细黑" w:hint="default"/>
                <w:sz w:val="18"/>
                <w:szCs w:val="18"/>
              </w:rPr>
              <w:t>元，分</w:t>
            </w:r>
          </w:p>
          <w:p>
            <w:pPr>
              <w:pStyle w:val="TableParagraph"/>
              <w:spacing w:line="240" w:lineRule="auto" w:before="58"/>
              <w:ind w:left="22" w:right="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配 </w:t>
            </w:r>
            <w:r>
              <w:rPr>
                <w:rFonts w:ascii="华文细黑" w:hAnsi="华文细黑" w:cs="华文细黑" w:eastAsia="华文细黑" w:hint="default"/>
                <w:sz w:val="18"/>
                <w:szCs w:val="18"/>
              </w:rPr>
              <w:t>2017 </w:t>
            </w:r>
            <w:r>
              <w:rPr>
                <w:rFonts w:ascii="华文细黑" w:hAnsi="华文细黑" w:cs="华文细黑" w:eastAsia="华文细黑" w:hint="default"/>
                <w:sz w:val="18"/>
                <w:szCs w:val="18"/>
              </w:rPr>
              <w:t>年股利 </w:t>
            </w:r>
            <w:r>
              <w:rPr>
                <w:rFonts w:ascii="华文细黑" w:hAnsi="华文细黑" w:cs="华文细黑" w:eastAsia="华文细黑" w:hint="default"/>
                <w:sz w:val="18"/>
                <w:szCs w:val="18"/>
              </w:rPr>
              <w:t>206,546,967.80 </w:t>
            </w:r>
            <w:r>
              <w:rPr>
                <w:rFonts w:ascii="华文细黑" w:hAnsi="华文细黑" w:cs="华文细黑" w:eastAsia="华文细黑" w:hint="default"/>
                <w:spacing w:val="-3"/>
                <w:sz w:val="18"/>
                <w:szCs w:val="18"/>
              </w:rPr>
              <w:t>元，加上年初未分配利润 </w:t>
            </w:r>
            <w:r>
              <w:rPr>
                <w:rFonts w:ascii="华文细黑" w:hAnsi="华文细黑" w:cs="华文细黑" w:eastAsia="华文细黑" w:hint="default"/>
                <w:sz w:val="18"/>
                <w:szCs w:val="18"/>
              </w:rPr>
              <w:t>1,288,001,575.05 </w:t>
            </w:r>
            <w:r>
              <w:rPr>
                <w:rFonts w:ascii="华文细黑" w:hAnsi="华文细黑" w:cs="华文细黑" w:eastAsia="华文细黑" w:hint="default"/>
                <w:spacing w:val="-8"/>
                <w:sz w:val="18"/>
                <w:szCs w:val="18"/>
              </w:rPr>
              <w:t>元，截至 </w:t>
            </w: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12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31</w:t>
            </w:r>
            <w:r>
              <w:rPr>
                <w:rFonts w:ascii="华文细黑" w:hAnsi="华文细黑" w:cs="华文细黑" w:eastAsia="华文细黑" w:hint="default"/>
                <w:spacing w:val="10"/>
                <w:sz w:val="18"/>
                <w:szCs w:val="18"/>
              </w:rPr>
              <w:t> </w:t>
            </w:r>
            <w:r>
              <w:rPr>
                <w:rFonts w:ascii="华文细黑" w:hAnsi="华文细黑" w:cs="华文细黑" w:eastAsia="华文细黑" w:hint="default"/>
                <w:spacing w:val="-4"/>
                <w:sz w:val="18"/>
                <w:szCs w:val="18"/>
              </w:rPr>
              <w:t>日，公司可供股东</w:t>
            </w:r>
          </w:p>
          <w:p>
            <w:pPr>
              <w:pStyle w:val="TableParagraph"/>
              <w:spacing w:line="295" w:lineRule="auto" w:before="58"/>
              <w:ind w:left="22" w:right="22"/>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分配的利润为 </w:t>
            </w:r>
            <w:r>
              <w:rPr>
                <w:rFonts w:ascii="华文细黑" w:hAnsi="华文细黑" w:cs="华文细黑" w:eastAsia="华文细黑" w:hint="default"/>
                <w:sz w:val="18"/>
                <w:szCs w:val="18"/>
              </w:rPr>
              <w:t>1,242,384,167.33 </w:t>
            </w:r>
            <w:r>
              <w:rPr>
                <w:rFonts w:ascii="华文细黑" w:hAnsi="华文细黑" w:cs="华文细黑" w:eastAsia="华文细黑" w:hint="default"/>
                <w:sz w:val="18"/>
                <w:szCs w:val="18"/>
              </w:rPr>
              <w:t>元，资本公积 </w:t>
            </w:r>
            <w:r>
              <w:rPr>
                <w:rFonts w:ascii="华文细黑" w:hAnsi="华文细黑" w:cs="华文细黑" w:eastAsia="华文细黑" w:hint="default"/>
                <w:sz w:val="18"/>
                <w:szCs w:val="18"/>
              </w:rPr>
              <w:t>1,709,322,752.80</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元。根据公司章程规定，在不损害公司持续经营能力的 前提下，公司在任一连续三年中以现金方式累计分配的利润不得少于该三年实现的年均可分配利润的</w:t>
            </w:r>
            <w:r>
              <w:rPr>
                <w:rFonts w:ascii="华文细黑" w:hAnsi="华文细黑" w:cs="华文细黑" w:eastAsia="华文细黑" w:hint="default"/>
                <w:spacing w:val="-19"/>
                <w:sz w:val="18"/>
                <w:szCs w:val="18"/>
              </w:rPr>
              <w:t> </w:t>
            </w:r>
            <w:r>
              <w:rPr>
                <w:rFonts w:ascii="华文细黑" w:hAnsi="华文细黑" w:cs="华文细黑" w:eastAsia="华文细黑" w:hint="default"/>
                <w:spacing w:val="-3"/>
                <w:sz w:val="18"/>
                <w:szCs w:val="18"/>
              </w:rPr>
              <w:t>30%</w:t>
            </w:r>
            <w:r>
              <w:rPr>
                <w:rFonts w:ascii="华文细黑" w:hAnsi="华文细黑" w:cs="华文细黑" w:eastAsia="华文细黑" w:hint="default"/>
                <w:spacing w:val="-3"/>
                <w:sz w:val="18"/>
                <w:szCs w:val="18"/>
              </w:rPr>
              <w:t>，在符合公司利</w:t>
            </w:r>
            <w:r>
              <w:rPr>
                <w:rFonts w:ascii="华文细黑" w:hAnsi="华文细黑" w:cs="华文细黑" w:eastAsia="华文细黑" w:hint="default"/>
                <w:sz w:val="18"/>
                <w:szCs w:val="18"/>
              </w:rPr>
              <w:t> 润分配政策、保证公司正常经营和长远发展的前提下，公司 </w:t>
            </w: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年度利润分配预案为：以  </w:t>
            </w: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12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31</w:t>
            </w:r>
            <w:r>
              <w:rPr>
                <w:rFonts w:ascii="华文细黑" w:hAnsi="华文细黑" w:cs="华文细黑" w:eastAsia="华文细黑" w:hint="default"/>
                <w:spacing w:val="-19"/>
                <w:sz w:val="18"/>
                <w:szCs w:val="18"/>
              </w:rPr>
              <w:t> </w:t>
            </w:r>
            <w:r>
              <w:rPr>
                <w:rFonts w:ascii="华文细黑" w:hAnsi="华文细黑" w:cs="华文细黑" w:eastAsia="华文细黑" w:hint="default"/>
                <w:sz w:val="18"/>
                <w:szCs w:val="18"/>
              </w:rPr>
              <w:t>日的总股本</w:t>
            </w:r>
          </w:p>
          <w:p>
            <w:pPr>
              <w:pStyle w:val="TableParagraph"/>
              <w:spacing w:line="240" w:lineRule="auto" w:before="13"/>
              <w:ind w:left="22" w:right="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1,239,281,806</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股为基数</w:t>
            </w:r>
            <w:r>
              <w:rPr>
                <w:rFonts w:ascii="华文细黑" w:hAnsi="华文细黑" w:cs="华文细黑" w:eastAsia="华文细黑" w:hint="default"/>
                <w:spacing w:val="-17"/>
                <w:sz w:val="18"/>
                <w:szCs w:val="18"/>
              </w:rPr>
              <w:t>，</w:t>
            </w:r>
            <w:r>
              <w:rPr>
                <w:rFonts w:ascii="华文细黑" w:hAnsi="华文细黑" w:cs="华文细黑" w:eastAsia="华文细黑" w:hint="default"/>
                <w:sz w:val="18"/>
                <w:szCs w:val="18"/>
              </w:rPr>
              <w:t>每</w:t>
            </w:r>
            <w:r>
              <w:rPr>
                <w:rFonts w:ascii="华文细黑" w:hAnsi="华文细黑" w:cs="华文细黑" w:eastAsia="华文细黑" w:hint="default"/>
                <w:spacing w:val="-1"/>
                <w:sz w:val="18"/>
                <w:szCs w:val="18"/>
              </w:rPr>
              <w:t> </w:t>
            </w:r>
            <w:r>
              <w:rPr>
                <w:rFonts w:ascii="华文细黑" w:hAnsi="华文细黑" w:cs="华文细黑" w:eastAsia="华文细黑" w:hint="default"/>
                <w:spacing w:val="1"/>
                <w:sz w:val="18"/>
                <w:szCs w:val="18"/>
              </w:rPr>
              <w:t>1</w:t>
            </w:r>
            <w:r>
              <w:rPr>
                <w:rFonts w:ascii="华文细黑" w:hAnsi="华文细黑" w:cs="华文细黑" w:eastAsia="华文细黑" w:hint="default"/>
                <w:sz w:val="18"/>
                <w:szCs w:val="18"/>
              </w:rPr>
              <w:t>0</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股派发现金</w:t>
            </w:r>
            <w:r>
              <w:rPr>
                <w:rFonts w:ascii="华文细黑" w:hAnsi="华文细黑" w:cs="华文细黑" w:eastAsia="华文细黑" w:hint="default"/>
                <w:spacing w:val="1"/>
                <w:sz w:val="18"/>
                <w:szCs w:val="18"/>
              </w:rPr>
              <w:t>红</w:t>
            </w:r>
            <w:r>
              <w:rPr>
                <w:rFonts w:ascii="华文细黑" w:hAnsi="华文细黑" w:cs="华文细黑" w:eastAsia="华文细黑" w:hint="default"/>
                <w:sz w:val="18"/>
                <w:szCs w:val="18"/>
              </w:rPr>
              <w:t>利</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2</w:t>
            </w:r>
            <w:r>
              <w:rPr>
                <w:rFonts w:ascii="华文细黑" w:hAnsi="华文细黑" w:cs="华文细黑" w:eastAsia="华文细黑" w:hint="default"/>
                <w:spacing w:val="-1"/>
                <w:sz w:val="18"/>
                <w:szCs w:val="18"/>
              </w:rPr>
              <w:t> </w:t>
            </w:r>
            <w:r>
              <w:rPr>
                <w:rFonts w:ascii="华文细黑" w:hAnsi="华文细黑" w:cs="华文细黑" w:eastAsia="华文细黑" w:hint="default"/>
                <w:spacing w:val="-17"/>
                <w:sz w:val="18"/>
                <w:szCs w:val="18"/>
              </w:rPr>
              <w:t>元</w:t>
            </w:r>
            <w:r>
              <w:rPr>
                <w:rFonts w:ascii="华文细黑" w:hAnsi="华文细黑" w:cs="华文细黑" w:eastAsia="华文细黑" w:hint="default"/>
                <w:sz w:val="18"/>
                <w:szCs w:val="18"/>
              </w:rPr>
              <w:t>（含税</w:t>
            </w:r>
            <w:r>
              <w:rPr>
                <w:rFonts w:ascii="华文细黑" w:hAnsi="华文细黑" w:cs="华文细黑" w:eastAsia="华文细黑" w:hint="default"/>
                <w:spacing w:val="-89"/>
                <w:sz w:val="18"/>
                <w:szCs w:val="18"/>
              </w:rPr>
              <w:t>）</w:t>
            </w:r>
            <w:r>
              <w:rPr>
                <w:rFonts w:ascii="华文细黑" w:hAnsi="华文细黑" w:cs="华文细黑" w:eastAsia="华文细黑" w:hint="default"/>
                <w:spacing w:val="-17"/>
                <w:sz w:val="18"/>
                <w:szCs w:val="18"/>
              </w:rPr>
              <w:t>，</w:t>
            </w:r>
            <w:r>
              <w:rPr>
                <w:rFonts w:ascii="华文细黑" w:hAnsi="华文细黑" w:cs="华文细黑" w:eastAsia="华文细黑" w:hint="default"/>
                <w:sz w:val="18"/>
                <w:szCs w:val="18"/>
              </w:rPr>
              <w:t>共计派发现金红利</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247,856,361.20</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元</w:t>
            </w:r>
            <w:r>
              <w:rPr>
                <w:rFonts w:ascii="华文细黑" w:hAnsi="华文细黑" w:cs="华文细黑" w:eastAsia="华文细黑" w:hint="default"/>
                <w:spacing w:val="-16"/>
                <w:sz w:val="18"/>
                <w:szCs w:val="18"/>
              </w:rPr>
              <w:t>，</w:t>
            </w:r>
            <w:r>
              <w:rPr>
                <w:rFonts w:ascii="华文细黑" w:hAnsi="华文细黑" w:cs="华文细黑" w:eastAsia="华文细黑" w:hint="default"/>
                <w:sz w:val="18"/>
                <w:szCs w:val="18"/>
              </w:rPr>
              <w:t>本次利润分配完成</w:t>
            </w:r>
          </w:p>
          <w:p>
            <w:pPr>
              <w:pStyle w:val="TableParagraph"/>
              <w:spacing w:line="240" w:lineRule="auto" w:before="58"/>
              <w:ind w:left="22" w:right="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后，剩余未分配利润人民币  </w:t>
            </w:r>
            <w:r>
              <w:rPr>
                <w:rFonts w:ascii="华文细黑" w:hAnsi="华文细黑" w:cs="华文细黑" w:eastAsia="华文细黑" w:hint="default"/>
                <w:sz w:val="18"/>
                <w:szCs w:val="18"/>
              </w:rPr>
              <w:t>994,527,806.13 </w:t>
            </w:r>
            <w:r>
              <w:rPr>
                <w:rFonts w:ascii="华文细黑" w:hAnsi="华文细黑" w:cs="华文细黑" w:eastAsia="华文细黑" w:hint="default"/>
                <w:sz w:val="18"/>
                <w:szCs w:val="18"/>
              </w:rPr>
              <w:t>元结转以后年度分配。</w:t>
            </w:r>
          </w:p>
        </w:tc>
      </w:tr>
    </w:tbl>
    <w:p>
      <w:pPr>
        <w:spacing w:line="240" w:lineRule="auto" w:before="11"/>
        <w:rPr>
          <w:rFonts w:ascii="华文细黑" w:hAnsi="华文细黑" w:cs="华文细黑" w:eastAsia="华文细黑" w:hint="default"/>
          <w:sz w:val="26"/>
          <w:szCs w:val="26"/>
        </w:rPr>
      </w:pPr>
    </w:p>
    <w:p>
      <w:pPr>
        <w:pStyle w:val="Heading2"/>
        <w:spacing w:line="396" w:lineRule="exact"/>
        <w:ind w:left="1014" w:right="0"/>
        <w:jc w:val="left"/>
        <w:rPr>
          <w:b w:val="0"/>
          <w:bCs w:val="0"/>
        </w:rPr>
      </w:pPr>
      <w:bookmarkStart w:name="三、承诺事项履行情况" w:id="93"/>
      <w:bookmarkEnd w:id="93"/>
      <w:r>
        <w:rPr>
          <w:b w:val="0"/>
          <w:bCs w:val="0"/>
        </w:rPr>
      </w:r>
      <w:r>
        <w:rPr/>
        <w:t>三、承诺事项履行情况</w:t>
      </w:r>
      <w:r>
        <w:rPr>
          <w:b w:val="0"/>
          <w:bCs w:val="0"/>
        </w:rPr>
      </w:r>
    </w:p>
    <w:p>
      <w:pPr>
        <w:spacing w:line="240" w:lineRule="auto" w:before="0"/>
        <w:rPr>
          <w:rFonts w:ascii="华文细黑" w:hAnsi="华文细黑" w:cs="华文细黑" w:eastAsia="华文细黑" w:hint="default"/>
          <w:b/>
          <w:bCs/>
          <w:sz w:val="30"/>
          <w:szCs w:val="30"/>
        </w:rPr>
      </w:pPr>
    </w:p>
    <w:p>
      <w:pPr>
        <w:pStyle w:val="Heading5"/>
        <w:spacing w:line="254" w:lineRule="auto" w:before="0"/>
        <w:ind w:left="1014" w:right="0"/>
        <w:jc w:val="left"/>
        <w:rPr>
          <w:b w:val="0"/>
          <w:bCs w:val="0"/>
        </w:rPr>
      </w:pPr>
      <w:bookmarkStart w:name="1、公司实际控制人、股东、关联方、收购人以及公司等承诺相关方在报告期内履行完毕及" w:id="94"/>
      <w:bookmarkEnd w:id="94"/>
      <w:r>
        <w:rPr>
          <w:b w:val="0"/>
          <w:bCs w:val="0"/>
        </w:rPr>
      </w:r>
      <w:r>
        <w:rPr>
          <w:rFonts w:ascii="华文细黑" w:hAnsi="华文细黑" w:cs="华文细黑" w:eastAsia="华文细黑" w:hint="default"/>
        </w:rPr>
        <w:t>1</w:t>
      </w:r>
      <w:r>
        <w:rPr/>
        <w:t>、公司实际控制人、股东、关联方、收购人以及公司等承诺相关方在报告期内履行完毕及截至报告期末</w:t>
      </w:r>
      <w:r>
        <w:rPr>
          <w:spacing w:val="-2"/>
        </w:rPr>
        <w:t> </w:t>
      </w:r>
      <w:r>
        <w:rPr>
          <w:spacing w:val="-2"/>
        </w:rPr>
      </w:r>
      <w:r>
        <w:rPr/>
        <w:t>尚未履行完毕的承诺事项</w:t>
      </w:r>
      <w:r>
        <w:rPr>
          <w:b w:val="0"/>
          <w:bCs w:val="0"/>
        </w:rPr>
      </w:r>
    </w:p>
    <w:p>
      <w:pPr>
        <w:spacing w:line="240" w:lineRule="auto" w:before="7"/>
        <w:rPr>
          <w:rFonts w:ascii="华文细黑" w:hAnsi="华文细黑" w:cs="华文细黑" w:eastAsia="华文细黑" w:hint="default"/>
          <w:b/>
          <w:bCs/>
          <w:sz w:val="21"/>
          <w:szCs w:val="21"/>
        </w:rPr>
      </w:pPr>
    </w:p>
    <w:p>
      <w:pPr>
        <w:pStyle w:val="BodyText"/>
        <w:spacing w:line="240" w:lineRule="auto"/>
        <w:ind w:left="1014" w:right="0"/>
        <w:jc w:val="left"/>
      </w:pPr>
      <w:r>
        <w:rPr/>
        <w:t>√  适用  □</w:t>
      </w:r>
      <w:r>
        <w:rPr>
          <w:spacing w:val="51"/>
        </w:rPr>
        <w:t> </w:t>
      </w:r>
      <w:r>
        <w:rPr/>
        <w:t>不适用</w:t>
      </w:r>
    </w:p>
    <w:p>
      <w:pPr>
        <w:spacing w:line="240" w:lineRule="auto" w:before="12"/>
        <w:rPr>
          <w:rFonts w:ascii="华文细黑" w:hAnsi="华文细黑" w:cs="华文细黑" w:eastAsia="华文细黑" w:hint="default"/>
          <w:sz w:val="5"/>
          <w:szCs w:val="5"/>
        </w:rPr>
      </w:pPr>
    </w:p>
    <w:tbl>
      <w:tblPr>
        <w:tblW w:w="0" w:type="auto"/>
        <w:jc w:val="left"/>
        <w:tblInd w:w="101" w:type="dxa"/>
        <w:tblLayout w:type="fixed"/>
        <w:tblCellMar>
          <w:top w:w="0" w:type="dxa"/>
          <w:left w:w="0" w:type="dxa"/>
          <w:bottom w:w="0" w:type="dxa"/>
          <w:right w:w="0" w:type="dxa"/>
        </w:tblCellMar>
        <w:tblLook w:val="01E0"/>
      </w:tblPr>
      <w:tblGrid>
        <w:gridCol w:w="1349"/>
        <w:gridCol w:w="1350"/>
        <w:gridCol w:w="1066"/>
        <w:gridCol w:w="3975"/>
        <w:gridCol w:w="1036"/>
        <w:gridCol w:w="974"/>
        <w:gridCol w:w="1560"/>
      </w:tblGrid>
      <w:tr>
        <w:trPr>
          <w:trHeight w:val="402" w:hRule="exact"/>
        </w:trPr>
        <w:tc>
          <w:tcPr>
            <w:tcW w:w="134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30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承诺事由</w:t>
            </w:r>
          </w:p>
        </w:tc>
        <w:tc>
          <w:tcPr>
            <w:tcW w:w="135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承诺方</w:t>
            </w:r>
          </w:p>
        </w:tc>
        <w:tc>
          <w:tcPr>
            <w:tcW w:w="106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6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承诺类型</w:t>
            </w:r>
          </w:p>
        </w:tc>
        <w:tc>
          <w:tcPr>
            <w:tcW w:w="397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承诺内容</w:t>
            </w:r>
          </w:p>
        </w:tc>
        <w:tc>
          <w:tcPr>
            <w:tcW w:w="10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5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承诺时间</w:t>
            </w:r>
          </w:p>
        </w:tc>
        <w:tc>
          <w:tcPr>
            <w:tcW w:w="97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承诺期限</w:t>
            </w:r>
          </w:p>
        </w:tc>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履行情况</w:t>
            </w:r>
          </w:p>
        </w:tc>
      </w:tr>
      <w:tr>
        <w:trPr>
          <w:trHeight w:val="1962" w:hRule="exact"/>
        </w:trPr>
        <w:tc>
          <w:tcPr>
            <w:tcW w:w="134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9"/>
              <w:ind w:right="0"/>
              <w:jc w:val="left"/>
              <w:rPr>
                <w:rFonts w:ascii="华文细黑" w:hAnsi="华文细黑" w:cs="华文细黑" w:eastAsia="华文细黑" w:hint="default"/>
                <w:sz w:val="18"/>
                <w:szCs w:val="18"/>
              </w:rPr>
            </w:pPr>
          </w:p>
          <w:p>
            <w:pPr>
              <w:pStyle w:val="TableParagraph"/>
              <w:spacing w:line="295" w:lineRule="auto"/>
              <w:ind w:left="102" w:right="155"/>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首次公开发行 或再融资时所 作承诺</w:t>
            </w:r>
          </w:p>
        </w:tc>
        <w:tc>
          <w:tcPr>
            <w:tcW w:w="13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95" w:lineRule="auto"/>
              <w:ind w:left="103" w:right="155"/>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公司董事、监 事、高级管理 人员</w:t>
            </w:r>
          </w:p>
        </w:tc>
        <w:tc>
          <w:tcPr>
            <w:tcW w:w="10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95" w:lineRule="auto" w:before="155"/>
              <w:ind w:left="103" w:right="23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股份限售 承诺</w:t>
            </w:r>
          </w:p>
        </w:tc>
        <w:tc>
          <w:tcPr>
            <w:tcW w:w="3975"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01"/>
              <w:jc w:val="both"/>
              <w:rPr>
                <w:rFonts w:ascii="华文细黑" w:hAnsi="华文细黑" w:cs="华文细黑" w:eastAsia="华文细黑" w:hint="default"/>
                <w:sz w:val="18"/>
                <w:szCs w:val="18"/>
              </w:rPr>
            </w:pPr>
            <w:r>
              <w:rPr>
                <w:rFonts w:ascii="华文细黑" w:hAnsi="华文细黑" w:cs="华文细黑" w:eastAsia="华文细黑" w:hint="default"/>
                <w:spacing w:val="-2"/>
                <w:sz w:val="18"/>
                <w:szCs w:val="18"/>
              </w:rPr>
              <w:t>在任职期间持有公司股票的，每年转让的股份不</w:t>
            </w:r>
            <w:r>
              <w:rPr>
                <w:rFonts w:ascii="华文细黑" w:hAnsi="华文细黑" w:cs="华文细黑" w:eastAsia="华文细黑" w:hint="default"/>
                <w:spacing w:val="-25"/>
                <w:sz w:val="18"/>
                <w:szCs w:val="18"/>
              </w:rPr>
              <w:t> </w:t>
            </w:r>
            <w:r>
              <w:rPr>
                <w:rFonts w:ascii="华文细黑" w:hAnsi="华文细黑" w:cs="华文细黑" w:eastAsia="华文细黑" w:hint="default"/>
                <w:spacing w:val="-25"/>
                <w:sz w:val="18"/>
                <w:szCs w:val="18"/>
              </w:rPr>
            </w:r>
            <w:r>
              <w:rPr>
                <w:rFonts w:ascii="华文细黑" w:hAnsi="华文细黑" w:cs="华文细黑" w:eastAsia="华文细黑" w:hint="default"/>
                <w:sz w:val="18"/>
                <w:szCs w:val="18"/>
              </w:rPr>
              <w:t>超过其所持股份总数的</w:t>
            </w:r>
            <w:r>
              <w:rPr>
                <w:rFonts w:ascii="华文细黑" w:hAnsi="华文细黑" w:cs="华文细黑" w:eastAsia="华文细黑" w:hint="default"/>
                <w:spacing w:val="2"/>
                <w:sz w:val="18"/>
                <w:szCs w:val="18"/>
              </w:rPr>
              <w:t> </w:t>
            </w:r>
            <w:r>
              <w:rPr>
                <w:rFonts w:ascii="华文细黑" w:hAnsi="华文细黑" w:cs="华文细黑" w:eastAsia="华文细黑" w:hint="default"/>
                <w:spacing w:val="-8"/>
                <w:sz w:val="18"/>
                <w:szCs w:val="18"/>
              </w:rPr>
              <w:t>25%</w:t>
            </w:r>
            <w:r>
              <w:rPr>
                <w:rFonts w:ascii="华文细黑" w:hAnsi="华文细黑" w:cs="华文细黑" w:eastAsia="华文细黑" w:hint="default"/>
                <w:spacing w:val="-8"/>
                <w:sz w:val="18"/>
                <w:szCs w:val="18"/>
              </w:rPr>
              <w:t>，离职后半年内不得</w:t>
            </w:r>
            <w:r>
              <w:rPr>
                <w:rFonts w:ascii="华文细黑" w:hAnsi="华文细黑" w:cs="华文细黑" w:eastAsia="华文细黑" w:hint="default"/>
                <w:sz w:val="18"/>
                <w:szCs w:val="18"/>
              </w:rPr>
              <w:t> 转让其所持有的公司股份；在申报离任  </w:t>
            </w:r>
            <w:r>
              <w:rPr>
                <w:rFonts w:ascii="华文细黑" w:hAnsi="华文细黑" w:cs="华文细黑" w:eastAsia="华文细黑" w:hint="default"/>
                <w:sz w:val="18"/>
                <w:szCs w:val="18"/>
              </w:rPr>
              <w:t>6  </w:t>
            </w:r>
            <w:r>
              <w:rPr>
                <w:rFonts w:ascii="华文细黑" w:hAnsi="华文细黑" w:cs="华文细黑" w:eastAsia="华文细黑" w:hint="default"/>
                <w:sz w:val="18"/>
                <w:szCs w:val="18"/>
              </w:rPr>
              <w:t>个月</w:t>
            </w:r>
          </w:p>
          <w:p>
            <w:pPr>
              <w:pStyle w:val="TableParagraph"/>
              <w:spacing w:line="295" w:lineRule="auto" w:before="13"/>
              <w:ind w:left="103" w:right="24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后的 </w:t>
            </w:r>
            <w:r>
              <w:rPr>
                <w:rFonts w:ascii="华文细黑" w:hAnsi="华文细黑" w:cs="华文细黑" w:eastAsia="华文细黑" w:hint="default"/>
                <w:sz w:val="18"/>
                <w:szCs w:val="18"/>
              </w:rPr>
              <w:t>12</w:t>
            </w:r>
            <w:r>
              <w:rPr>
                <w:rFonts w:ascii="华文细黑" w:hAnsi="华文细黑" w:cs="华文细黑" w:eastAsia="华文细黑" w:hint="default"/>
                <w:spacing w:val="42"/>
                <w:sz w:val="18"/>
                <w:szCs w:val="18"/>
              </w:rPr>
              <w:t> </w:t>
            </w:r>
            <w:r>
              <w:rPr>
                <w:rFonts w:ascii="华文细黑" w:hAnsi="华文细黑" w:cs="华文细黑" w:eastAsia="华文细黑" w:hint="default"/>
                <w:sz w:val="18"/>
                <w:szCs w:val="18"/>
              </w:rPr>
              <w:t>个月内通过证券交易所挂牌交易出售 公司股票数量占所持有公司股票总数的比例不 超过</w:t>
            </w:r>
            <w:r>
              <w:rPr>
                <w:rFonts w:ascii="华文细黑" w:hAnsi="华文细黑" w:cs="华文细黑" w:eastAsia="华文细黑" w:hint="default"/>
                <w:spacing w:val="41"/>
                <w:sz w:val="18"/>
                <w:szCs w:val="18"/>
              </w:rPr>
              <w:t> </w:t>
            </w:r>
            <w:r>
              <w:rPr>
                <w:rFonts w:ascii="华文细黑" w:hAnsi="华文细黑" w:cs="华文细黑" w:eastAsia="华文细黑" w:hint="default"/>
                <w:sz w:val="18"/>
                <w:szCs w:val="18"/>
              </w:rPr>
              <w:t>50%</w:t>
            </w:r>
            <w:r>
              <w:rPr>
                <w:rFonts w:ascii="华文细黑" w:hAnsi="华文细黑" w:cs="华文细黑" w:eastAsia="华文细黑" w:hint="default"/>
                <w:sz w:val="18"/>
                <w:szCs w:val="18"/>
              </w:rPr>
              <w:t>。</w:t>
            </w:r>
          </w:p>
        </w:tc>
        <w:tc>
          <w:tcPr>
            <w:tcW w:w="10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2010</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05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17</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95" w:lineRule="auto"/>
              <w:ind w:left="103" w:right="13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任期期间 及离职后 </w:t>
            </w:r>
            <w:r>
              <w:rPr>
                <w:rFonts w:ascii="华文细黑" w:hAnsi="华文细黑" w:cs="华文细黑" w:eastAsia="华文细黑" w:hint="default"/>
                <w:sz w:val="18"/>
                <w:szCs w:val="18"/>
              </w:rPr>
              <w:t>18</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个月 内</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95" w:lineRule="auto"/>
              <w:ind w:left="103" w:right="185"/>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截至本报告披露 之日，承诺人均 遵守了以上承诺</w:t>
            </w:r>
          </w:p>
        </w:tc>
      </w:tr>
      <w:tr>
        <w:trPr>
          <w:trHeight w:val="1650" w:hRule="exact"/>
        </w:trPr>
        <w:tc>
          <w:tcPr>
            <w:tcW w:w="1349" w:type="dxa"/>
            <w:vMerge/>
            <w:tcBorders>
              <w:left w:val="single" w:sz="4" w:space="0" w:color="FFC000"/>
              <w:right w:val="single" w:sz="4" w:space="0" w:color="FFC000"/>
            </w:tcBorders>
            <w:shd w:val="clear" w:color="auto" w:fill="FFF8E6"/>
          </w:tcPr>
          <w:p>
            <w:pPr/>
          </w:p>
        </w:tc>
        <w:tc>
          <w:tcPr>
            <w:tcW w:w="1350"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先锋创业有限 </w:t>
            </w:r>
            <w:r>
              <w:rPr>
                <w:rFonts w:ascii="华文细黑" w:hAnsi="华文细黑" w:cs="华文细黑" w:eastAsia="华文细黑" w:hint="default"/>
                <w:spacing w:val="-6"/>
                <w:sz w:val="18"/>
                <w:szCs w:val="18"/>
              </w:rPr>
              <w:t>公司、唐进波、</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新余爱乐投资 管理中心（有 限合伙）</w:t>
            </w:r>
          </w:p>
        </w:tc>
        <w:tc>
          <w:tcPr>
            <w:tcW w:w="10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95" w:lineRule="auto"/>
              <w:ind w:left="103" w:right="23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股份限售 承诺</w:t>
            </w:r>
          </w:p>
        </w:tc>
        <w:tc>
          <w:tcPr>
            <w:tcW w:w="3975"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01"/>
              <w:jc w:val="both"/>
              <w:rPr>
                <w:rFonts w:ascii="华文细黑" w:hAnsi="华文细黑" w:cs="华文细黑" w:eastAsia="华文细黑" w:hint="default"/>
                <w:sz w:val="18"/>
                <w:szCs w:val="18"/>
              </w:rPr>
            </w:pPr>
            <w:r>
              <w:rPr>
                <w:rFonts w:ascii="华文细黑" w:hAnsi="华文细黑" w:cs="华文细黑" w:eastAsia="华文细黑" w:hint="default"/>
                <w:spacing w:val="-2"/>
                <w:sz w:val="18"/>
                <w:szCs w:val="18"/>
              </w:rPr>
              <w:t>本次非公开发行的股份，自新增股份上市之日起</w:t>
            </w:r>
            <w:r>
              <w:rPr>
                <w:rFonts w:ascii="华文细黑" w:hAnsi="华文细黑" w:cs="华文细黑" w:eastAsia="华文细黑" w:hint="default"/>
                <w:spacing w:val="-25"/>
                <w:sz w:val="18"/>
                <w:szCs w:val="18"/>
              </w:rPr>
              <w:t> </w:t>
            </w:r>
            <w:r>
              <w:rPr>
                <w:rFonts w:ascii="华文细黑" w:hAnsi="华文细黑" w:cs="华文细黑" w:eastAsia="华文细黑" w:hint="default"/>
                <w:spacing w:val="-25"/>
                <w:sz w:val="18"/>
                <w:szCs w:val="18"/>
              </w:rPr>
            </w:r>
            <w:r>
              <w:rPr>
                <w:rFonts w:ascii="华文细黑" w:hAnsi="华文细黑" w:cs="华文细黑" w:eastAsia="华文细黑" w:hint="default"/>
                <w:sz w:val="18"/>
                <w:szCs w:val="18"/>
              </w:rPr>
              <w:t>36</w:t>
            </w:r>
            <w:r>
              <w:rPr>
                <w:rFonts w:ascii="华文细黑" w:hAnsi="华文细黑" w:cs="华文细黑" w:eastAsia="华文细黑" w:hint="default"/>
                <w:spacing w:val="7"/>
                <w:sz w:val="18"/>
                <w:szCs w:val="18"/>
              </w:rPr>
              <w:t> </w:t>
            </w:r>
            <w:r>
              <w:rPr>
                <w:rFonts w:ascii="华文细黑" w:hAnsi="华文细黑" w:cs="华文细黑" w:eastAsia="华文细黑" w:hint="default"/>
                <w:spacing w:val="-5"/>
                <w:sz w:val="18"/>
                <w:szCs w:val="18"/>
              </w:rPr>
              <w:t>个月内不得转让。根据相关法律、法规或其承</w:t>
            </w:r>
            <w:r>
              <w:rPr>
                <w:rFonts w:ascii="华文细黑" w:hAnsi="华文细黑" w:cs="华文细黑" w:eastAsia="华文细黑" w:hint="default"/>
                <w:spacing w:val="-42"/>
                <w:sz w:val="18"/>
                <w:szCs w:val="18"/>
              </w:rPr>
              <w:t> </w:t>
            </w:r>
            <w:r>
              <w:rPr>
                <w:rFonts w:ascii="华文细黑" w:hAnsi="华文细黑" w:cs="华文细黑" w:eastAsia="华文细黑" w:hint="default"/>
                <w:spacing w:val="-42"/>
                <w:sz w:val="18"/>
                <w:szCs w:val="18"/>
              </w:rPr>
            </w:r>
            <w:r>
              <w:rPr>
                <w:rFonts w:ascii="华文细黑" w:hAnsi="华文细黑" w:cs="华文细黑" w:eastAsia="华文细黑" w:hint="default"/>
                <w:spacing w:val="-2"/>
                <w:sz w:val="18"/>
                <w:szCs w:val="18"/>
              </w:rPr>
              <w:t>诺，认购本次非公开发行股票的特定投资者持有</w:t>
            </w:r>
            <w:r>
              <w:rPr>
                <w:rFonts w:ascii="华文细黑" w:hAnsi="华文细黑" w:cs="华文细黑" w:eastAsia="华文细黑" w:hint="default"/>
                <w:spacing w:val="-25"/>
                <w:sz w:val="18"/>
                <w:szCs w:val="18"/>
              </w:rPr>
              <w:t> </w:t>
            </w:r>
            <w:r>
              <w:rPr>
                <w:rFonts w:ascii="华文细黑" w:hAnsi="华文细黑" w:cs="华文细黑" w:eastAsia="华文细黑" w:hint="default"/>
                <w:spacing w:val="-25"/>
                <w:sz w:val="18"/>
                <w:szCs w:val="18"/>
              </w:rPr>
            </w:r>
            <w:r>
              <w:rPr>
                <w:rFonts w:ascii="华文细黑" w:hAnsi="华文细黑" w:cs="华文细黑" w:eastAsia="华文细黑" w:hint="default"/>
                <w:spacing w:val="-2"/>
                <w:sz w:val="18"/>
                <w:szCs w:val="18"/>
              </w:rPr>
              <w:t>股份的锁定期另有规定或约定的，则服从相关规</w:t>
            </w:r>
            <w:r>
              <w:rPr>
                <w:rFonts w:ascii="华文细黑" w:hAnsi="华文细黑" w:cs="华文细黑" w:eastAsia="华文细黑" w:hint="default"/>
                <w:spacing w:val="-25"/>
                <w:sz w:val="18"/>
                <w:szCs w:val="18"/>
              </w:rPr>
              <w:t> </w:t>
            </w:r>
            <w:r>
              <w:rPr>
                <w:rFonts w:ascii="华文细黑" w:hAnsi="华文细黑" w:cs="华文细黑" w:eastAsia="华文细黑" w:hint="default"/>
                <w:spacing w:val="-25"/>
                <w:sz w:val="18"/>
                <w:szCs w:val="18"/>
              </w:rPr>
            </w:r>
            <w:r>
              <w:rPr>
                <w:rFonts w:ascii="华文细黑" w:hAnsi="华文细黑" w:cs="华文细黑" w:eastAsia="华文细黑" w:hint="default"/>
                <w:sz w:val="18"/>
                <w:szCs w:val="18"/>
              </w:rPr>
              <w:t>定或约定。</w:t>
            </w:r>
          </w:p>
        </w:tc>
        <w:tc>
          <w:tcPr>
            <w:tcW w:w="10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2016</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7"/>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07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22</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36</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个月</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95" w:lineRule="auto"/>
              <w:ind w:left="103" w:right="185"/>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截至本报告披露 之日，承诺人均 遵守了以上承诺</w:t>
            </w:r>
          </w:p>
        </w:tc>
      </w:tr>
      <w:tr>
        <w:trPr>
          <w:trHeight w:val="402" w:hRule="exact"/>
        </w:trPr>
        <w:tc>
          <w:tcPr>
            <w:tcW w:w="1349" w:type="dxa"/>
            <w:vMerge/>
            <w:tcBorders>
              <w:left w:val="single" w:sz="4" w:space="0" w:color="FFC000"/>
              <w:bottom w:val="single" w:sz="4" w:space="0" w:color="FFC000"/>
              <w:right w:val="single" w:sz="4" w:space="0" w:color="FFC000"/>
            </w:tcBorders>
            <w:shd w:val="clear" w:color="auto" w:fill="FFF8E6"/>
          </w:tcPr>
          <w:p>
            <w:pPr/>
          </w:p>
        </w:tc>
        <w:tc>
          <w:tcPr>
            <w:tcW w:w="13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0"/>
              <w:ind w:left="90" w:right="0"/>
              <w:jc w:val="center"/>
              <w:rPr>
                <w:rFonts w:ascii="华文细黑" w:hAnsi="华文细黑" w:cs="华文细黑" w:eastAsia="华文细黑" w:hint="default"/>
                <w:sz w:val="18"/>
                <w:szCs w:val="18"/>
              </w:rPr>
            </w:pPr>
            <w:r>
              <w:rPr>
                <w:rFonts w:ascii="华文细黑" w:hAnsi="华文细黑" w:cs="华文细黑" w:eastAsia="华文细黑" w:hint="default"/>
                <w:spacing w:val="-6"/>
                <w:sz w:val="18"/>
                <w:szCs w:val="18"/>
              </w:rPr>
              <w:t>余斌、罗筱溪、</w:t>
            </w:r>
          </w:p>
        </w:tc>
        <w:tc>
          <w:tcPr>
            <w:tcW w:w="10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股份限售</w:t>
            </w:r>
          </w:p>
        </w:tc>
        <w:tc>
          <w:tcPr>
            <w:tcW w:w="397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通过新余爱乐投资管理中心（有限合伙）认购公</w:t>
            </w:r>
          </w:p>
        </w:tc>
        <w:tc>
          <w:tcPr>
            <w:tcW w:w="10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2016</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9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36</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个月</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0"/>
              <w:ind w:right="8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截至本报告披露</w:t>
            </w:r>
          </w:p>
        </w:tc>
      </w:tr>
    </w:tbl>
    <w:p>
      <w:pPr>
        <w:spacing w:after="0" w:line="240" w:lineRule="auto"/>
        <w:jc w:val="center"/>
        <w:rPr>
          <w:rFonts w:ascii="华文细黑" w:hAnsi="华文细黑" w:cs="华文细黑" w:eastAsia="华文细黑" w:hint="default"/>
          <w:sz w:val="18"/>
          <w:szCs w:val="18"/>
        </w:rPr>
        <w:sectPr>
          <w:pgSz w:w="11910" w:h="16840"/>
          <w:pgMar w:header="917" w:footer="1019" w:top="1100" w:bottom="1200" w:left="1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1" w:type="dxa"/>
        <w:tblLayout w:type="fixed"/>
        <w:tblCellMar>
          <w:top w:w="0" w:type="dxa"/>
          <w:left w:w="0" w:type="dxa"/>
          <w:bottom w:w="0" w:type="dxa"/>
          <w:right w:w="0" w:type="dxa"/>
        </w:tblCellMar>
        <w:tblLook w:val="01E0"/>
      </w:tblPr>
      <w:tblGrid>
        <w:gridCol w:w="1349"/>
        <w:gridCol w:w="1350"/>
        <w:gridCol w:w="1066"/>
        <w:gridCol w:w="3975"/>
        <w:gridCol w:w="1036"/>
        <w:gridCol w:w="974"/>
        <w:gridCol w:w="1560"/>
      </w:tblGrid>
      <w:tr>
        <w:trPr>
          <w:trHeight w:val="674" w:hRule="exact"/>
        </w:trPr>
        <w:tc>
          <w:tcPr>
            <w:tcW w:w="1349"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350"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ind w:left="103" w:right="11"/>
              <w:jc w:val="left"/>
              <w:rPr>
                <w:rFonts w:ascii="华文细黑" w:hAnsi="华文细黑" w:cs="华文细黑" w:eastAsia="华文细黑" w:hint="default"/>
                <w:sz w:val="18"/>
                <w:szCs w:val="18"/>
              </w:rPr>
            </w:pPr>
            <w:r>
              <w:rPr>
                <w:rFonts w:ascii="华文细黑" w:hAnsi="华文细黑" w:cs="华文细黑" w:eastAsia="华文细黑" w:hint="default"/>
                <w:spacing w:val="-6"/>
                <w:sz w:val="18"/>
                <w:szCs w:val="18"/>
              </w:rPr>
              <w:t>米泽东、陈亮、</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杨治、吴学军</w:t>
            </w:r>
          </w:p>
        </w:tc>
        <w:tc>
          <w:tcPr>
            <w:tcW w:w="10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承诺</w:t>
            </w:r>
          </w:p>
        </w:tc>
        <w:tc>
          <w:tcPr>
            <w:tcW w:w="3975"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2"/>
                <w:sz w:val="18"/>
                <w:szCs w:val="18"/>
              </w:rPr>
              <w:t>司非公开发行的股票，自本次非公开发行结束之</w:t>
            </w:r>
            <w:r>
              <w:rPr>
                <w:rFonts w:ascii="华文细黑" w:hAnsi="华文细黑" w:cs="华文细黑" w:eastAsia="华文细黑" w:hint="default"/>
                <w:spacing w:val="-25"/>
                <w:sz w:val="18"/>
                <w:szCs w:val="18"/>
              </w:rPr>
              <w:t> </w:t>
            </w:r>
            <w:r>
              <w:rPr>
                <w:rFonts w:ascii="华文细黑" w:hAnsi="华文细黑" w:cs="华文细黑" w:eastAsia="华文细黑" w:hint="default"/>
                <w:spacing w:val="-25"/>
                <w:sz w:val="18"/>
                <w:szCs w:val="18"/>
              </w:rPr>
            </w:r>
            <w:r>
              <w:rPr>
                <w:rFonts w:ascii="华文细黑" w:hAnsi="华文细黑" w:cs="华文细黑" w:eastAsia="华文细黑" w:hint="default"/>
                <w:sz w:val="18"/>
                <w:szCs w:val="18"/>
              </w:rPr>
              <w:t>日起三十六个月内不得转让。</w:t>
            </w:r>
          </w:p>
        </w:tc>
        <w:tc>
          <w:tcPr>
            <w:tcW w:w="1036" w:type="dxa"/>
            <w:tcBorders>
              <w:top w:val="single" w:sz="4" w:space="0" w:color="FFC000"/>
              <w:left w:val="single" w:sz="4" w:space="0" w:color="FFC000"/>
              <w:bottom w:val="single" w:sz="4" w:space="0" w:color="FFC000"/>
              <w:right w:val="single" w:sz="4" w:space="0" w:color="FFC000"/>
            </w:tcBorders>
          </w:tcPr>
          <w:p>
            <w:pPr>
              <w:pStyle w:val="TableParagraph"/>
              <w:spacing w:line="253" w:lineRule="exact"/>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07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22</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74" w:type="dxa"/>
            <w:tcBorders>
              <w:top w:val="single" w:sz="4" w:space="0" w:color="FFC000"/>
              <w:left w:val="single" w:sz="4" w:space="0" w:color="FFC000"/>
              <w:bottom w:val="single" w:sz="4" w:space="0" w:color="FFC000"/>
              <w:right w:val="single" w:sz="4" w:space="0" w:color="FFC000"/>
            </w:tcBorders>
          </w:tcPr>
          <w:p>
            <w:pP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ind w:left="103" w:right="185"/>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之日，承诺人均 遵守了以上承诺</w:t>
            </w:r>
          </w:p>
        </w:tc>
      </w:tr>
      <w:tr>
        <w:trPr>
          <w:trHeight w:val="402" w:hRule="exact"/>
        </w:trPr>
        <w:tc>
          <w:tcPr>
            <w:tcW w:w="134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股权激励承诺</w:t>
            </w:r>
          </w:p>
        </w:tc>
        <w:tc>
          <w:tcPr>
            <w:tcW w:w="1350" w:type="dxa"/>
            <w:tcBorders>
              <w:top w:val="single" w:sz="4" w:space="0" w:color="FFC000"/>
              <w:left w:val="single" w:sz="4" w:space="0" w:color="FFC000"/>
              <w:bottom w:val="single" w:sz="4" w:space="0" w:color="FFC000"/>
              <w:right w:val="single" w:sz="4" w:space="0" w:color="FFC000"/>
            </w:tcBorders>
          </w:tcPr>
          <w:p>
            <w:pPr/>
          </w:p>
        </w:tc>
        <w:tc>
          <w:tcPr>
            <w:tcW w:w="1066" w:type="dxa"/>
            <w:tcBorders>
              <w:top w:val="single" w:sz="4" w:space="0" w:color="FFC000"/>
              <w:left w:val="single" w:sz="4" w:space="0" w:color="FFC000"/>
              <w:bottom w:val="single" w:sz="4" w:space="0" w:color="FFC000"/>
              <w:right w:val="single" w:sz="4" w:space="0" w:color="FFC000"/>
            </w:tcBorders>
          </w:tcPr>
          <w:p>
            <w:pPr/>
          </w:p>
        </w:tc>
        <w:tc>
          <w:tcPr>
            <w:tcW w:w="3975" w:type="dxa"/>
            <w:tcBorders>
              <w:top w:val="single" w:sz="4" w:space="0" w:color="FFC000"/>
              <w:left w:val="single" w:sz="4" w:space="0" w:color="FFC000"/>
              <w:bottom w:val="single" w:sz="4" w:space="0" w:color="FFC000"/>
              <w:right w:val="single" w:sz="4" w:space="0" w:color="FFC000"/>
            </w:tcBorders>
          </w:tcPr>
          <w:p>
            <w:pPr/>
          </w:p>
        </w:tc>
        <w:tc>
          <w:tcPr>
            <w:tcW w:w="1036" w:type="dxa"/>
            <w:tcBorders>
              <w:top w:val="single" w:sz="4" w:space="0" w:color="FFC000"/>
              <w:left w:val="single" w:sz="4" w:space="0" w:color="FFC000"/>
              <w:bottom w:val="single" w:sz="4" w:space="0" w:color="FFC000"/>
              <w:right w:val="single" w:sz="4" w:space="0" w:color="FFC000"/>
            </w:tcBorders>
          </w:tcPr>
          <w:p>
            <w:pPr/>
          </w:p>
        </w:tc>
        <w:tc>
          <w:tcPr>
            <w:tcW w:w="974" w:type="dxa"/>
            <w:tcBorders>
              <w:top w:val="single" w:sz="4" w:space="0" w:color="FFC000"/>
              <w:left w:val="single" w:sz="4" w:space="0" w:color="FFC000"/>
              <w:bottom w:val="single" w:sz="4" w:space="0" w:color="FFC000"/>
              <w:right w:val="single" w:sz="4" w:space="0" w:color="FFC000"/>
            </w:tcBorders>
          </w:tcPr>
          <w:p>
            <w:pPr/>
          </w:p>
        </w:tc>
        <w:tc>
          <w:tcPr>
            <w:tcW w:w="1560" w:type="dxa"/>
            <w:tcBorders>
              <w:top w:val="single" w:sz="4" w:space="0" w:color="FFC000"/>
              <w:left w:val="single" w:sz="4" w:space="0" w:color="FFC000"/>
              <w:bottom w:val="single" w:sz="4" w:space="0" w:color="FFC000"/>
              <w:right w:val="single" w:sz="4" w:space="0" w:color="FFC000"/>
            </w:tcBorders>
          </w:tcPr>
          <w:p>
            <w:pPr/>
          </w:p>
        </w:tc>
      </w:tr>
      <w:tr>
        <w:trPr>
          <w:trHeight w:val="1962" w:hRule="exact"/>
        </w:trPr>
        <w:tc>
          <w:tcPr>
            <w:tcW w:w="134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5"/>
                <w:szCs w:val="25"/>
              </w:rPr>
            </w:pPr>
          </w:p>
          <w:p>
            <w:pPr>
              <w:pStyle w:val="TableParagraph"/>
              <w:spacing w:line="295" w:lineRule="auto"/>
              <w:ind w:left="102" w:right="155"/>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其他对公司中 小股东所作承 诺</w:t>
            </w:r>
          </w:p>
        </w:tc>
        <w:tc>
          <w:tcPr>
            <w:tcW w:w="1350"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55"/>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 投资集团有限 公司、深圳市 全球星实业有 限公司、黄绍 武</w:t>
            </w:r>
          </w:p>
        </w:tc>
        <w:tc>
          <w:tcPr>
            <w:tcW w:w="10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关于同业 </w:t>
            </w:r>
            <w:r>
              <w:rPr>
                <w:rFonts w:ascii="华文细黑" w:hAnsi="华文细黑" w:cs="华文细黑" w:eastAsia="华文细黑" w:hint="default"/>
                <w:spacing w:val="-11"/>
                <w:sz w:val="18"/>
                <w:szCs w:val="18"/>
              </w:rPr>
              <w:t>竞争、关联</w:t>
            </w:r>
            <w:r>
              <w:rPr>
                <w:rFonts w:ascii="华文细黑" w:hAnsi="华文细黑" w:cs="华文细黑" w:eastAsia="华文细黑" w:hint="default"/>
                <w:spacing w:val="-41"/>
                <w:sz w:val="18"/>
                <w:szCs w:val="18"/>
              </w:rPr>
              <w:t> </w:t>
            </w:r>
            <w:r>
              <w:rPr>
                <w:rFonts w:ascii="华文细黑" w:hAnsi="华文细黑" w:cs="华文细黑" w:eastAsia="华文细黑" w:hint="default"/>
                <w:spacing w:val="-41"/>
                <w:sz w:val="18"/>
                <w:szCs w:val="18"/>
              </w:rPr>
            </w:r>
            <w:r>
              <w:rPr>
                <w:rFonts w:ascii="华文细黑" w:hAnsi="华文细黑" w:cs="华文细黑" w:eastAsia="华文细黑" w:hint="default"/>
                <w:spacing w:val="-11"/>
                <w:sz w:val="18"/>
                <w:szCs w:val="18"/>
              </w:rPr>
              <w:t>交易、资金</w:t>
            </w:r>
            <w:r>
              <w:rPr>
                <w:rFonts w:ascii="华文细黑" w:hAnsi="华文细黑" w:cs="华文细黑" w:eastAsia="华文细黑" w:hint="default"/>
                <w:spacing w:val="-41"/>
                <w:sz w:val="18"/>
                <w:szCs w:val="18"/>
              </w:rPr>
              <w:t> </w:t>
            </w:r>
            <w:r>
              <w:rPr>
                <w:rFonts w:ascii="华文细黑" w:hAnsi="华文细黑" w:cs="华文细黑" w:eastAsia="华文细黑" w:hint="default"/>
                <w:spacing w:val="-41"/>
                <w:sz w:val="18"/>
                <w:szCs w:val="18"/>
              </w:rPr>
            </w:r>
            <w:r>
              <w:rPr>
                <w:rFonts w:ascii="华文细黑" w:hAnsi="华文细黑" w:cs="华文细黑" w:eastAsia="华文细黑" w:hint="default"/>
                <w:sz w:val="18"/>
                <w:szCs w:val="18"/>
              </w:rPr>
              <w:t>占用方面 的承诺</w:t>
            </w:r>
          </w:p>
        </w:tc>
        <w:tc>
          <w:tcPr>
            <w:tcW w:w="3975"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8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本人</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本公司及本人</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本公司所控制的企业将来不 会以任何方式直接或间接从事与公司相竞争的 </w:t>
            </w:r>
            <w:r>
              <w:rPr>
                <w:rFonts w:ascii="华文细黑" w:hAnsi="华文细黑" w:cs="华文细黑" w:eastAsia="华文细黑" w:hint="default"/>
                <w:spacing w:val="-2"/>
                <w:sz w:val="18"/>
                <w:szCs w:val="18"/>
              </w:rPr>
              <w:t>业务，不会直接或间接投资、收购竞争企业，也</w:t>
            </w:r>
            <w:r>
              <w:rPr>
                <w:rFonts w:ascii="华文细黑" w:hAnsi="华文细黑" w:cs="华文细黑" w:eastAsia="华文细黑" w:hint="default"/>
                <w:spacing w:val="-27"/>
                <w:sz w:val="18"/>
                <w:szCs w:val="18"/>
              </w:rPr>
              <w:t> </w:t>
            </w:r>
            <w:r>
              <w:rPr>
                <w:rFonts w:ascii="华文细黑" w:hAnsi="华文细黑" w:cs="华文细黑" w:eastAsia="华文细黑" w:hint="default"/>
                <w:spacing w:val="-27"/>
                <w:sz w:val="18"/>
                <w:szCs w:val="18"/>
              </w:rPr>
            </w:r>
            <w:r>
              <w:rPr>
                <w:rFonts w:ascii="华文细黑" w:hAnsi="华文细黑" w:cs="华文细黑" w:eastAsia="华文细黑" w:hint="default"/>
                <w:sz w:val="18"/>
                <w:szCs w:val="18"/>
              </w:rPr>
              <w:t>不会以任何方式为竞争企业提供任何业务上的 </w:t>
            </w:r>
            <w:r>
              <w:rPr>
                <w:rFonts w:ascii="华文细黑" w:hAnsi="华文细黑" w:cs="华文细黑" w:eastAsia="华文细黑" w:hint="default"/>
                <w:spacing w:val="-2"/>
                <w:sz w:val="18"/>
                <w:szCs w:val="18"/>
              </w:rPr>
              <w:t>帮助。如因未履行避免同业竞争的承诺而给公司</w:t>
            </w:r>
            <w:r>
              <w:rPr>
                <w:rFonts w:ascii="华文细黑" w:hAnsi="华文细黑" w:cs="华文细黑" w:eastAsia="华文细黑" w:hint="default"/>
                <w:spacing w:val="-25"/>
                <w:sz w:val="18"/>
                <w:szCs w:val="18"/>
              </w:rPr>
              <w:t> </w:t>
            </w:r>
            <w:r>
              <w:rPr>
                <w:rFonts w:ascii="华文细黑" w:hAnsi="华文细黑" w:cs="华文细黑" w:eastAsia="华文细黑" w:hint="default"/>
                <w:spacing w:val="-25"/>
                <w:sz w:val="18"/>
                <w:szCs w:val="18"/>
              </w:rPr>
            </w:r>
            <w:r>
              <w:rPr>
                <w:rFonts w:ascii="华文细黑" w:hAnsi="华文细黑" w:cs="华文细黑" w:eastAsia="华文细黑" w:hint="default"/>
                <w:sz w:val="18"/>
                <w:szCs w:val="18"/>
              </w:rPr>
              <w:t>造成损失，将对公司遭受的全部损失作出赔偿。</w:t>
            </w:r>
          </w:p>
        </w:tc>
        <w:tc>
          <w:tcPr>
            <w:tcW w:w="10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2008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07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18</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长期</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95" w:lineRule="auto"/>
              <w:ind w:left="103" w:right="185"/>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截至本报告披露 之日，承诺人均 遵守了以上承诺</w:t>
            </w:r>
          </w:p>
        </w:tc>
      </w:tr>
      <w:tr>
        <w:trPr>
          <w:trHeight w:val="3210" w:hRule="exact"/>
        </w:trPr>
        <w:tc>
          <w:tcPr>
            <w:tcW w:w="1349" w:type="dxa"/>
            <w:vMerge/>
            <w:tcBorders>
              <w:left w:val="single" w:sz="4" w:space="0" w:color="FFC000"/>
              <w:right w:val="single" w:sz="4" w:space="0" w:color="FFC000"/>
            </w:tcBorders>
            <w:shd w:val="clear" w:color="auto" w:fill="FFF8E6"/>
          </w:tcPr>
          <w:p>
            <w:pPr/>
          </w:p>
        </w:tc>
        <w:tc>
          <w:tcPr>
            <w:tcW w:w="13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黄绍武</w:t>
            </w:r>
          </w:p>
        </w:tc>
        <w:tc>
          <w:tcPr>
            <w:tcW w:w="10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其他承诺</w:t>
            </w:r>
          </w:p>
        </w:tc>
        <w:tc>
          <w:tcPr>
            <w:tcW w:w="3975"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7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自本承诺函出具之日，本人将善意使用控制权， 严格履行控股股东、实际控制人的诚信义务、信 息披露义务及其他义务，不利用控制地位及关联 关系损害公司和社会公众股股东的利益，不通过 任何方式影响公司的独立性，不通过任何方式影 响公司的独立决策，不通过任何方式使利益在公 司与天音控股之间不正常流动，不利用与黄绍文 之间的亲属关系损害天音控股的利益。本人将严 格履行上述承诺，若违反上述承诺，本人将承担 一切责任。</w:t>
            </w:r>
          </w:p>
        </w:tc>
        <w:tc>
          <w:tcPr>
            <w:tcW w:w="10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2009</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02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16</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长期</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95" w:lineRule="auto"/>
              <w:ind w:left="103" w:right="185"/>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截至本报告披露 之日，承诺人均 遵守了以上承诺</w:t>
            </w:r>
          </w:p>
        </w:tc>
      </w:tr>
      <w:tr>
        <w:trPr>
          <w:trHeight w:val="7539" w:hRule="exact"/>
        </w:trPr>
        <w:tc>
          <w:tcPr>
            <w:tcW w:w="1349" w:type="dxa"/>
            <w:vMerge/>
            <w:tcBorders>
              <w:left w:val="single" w:sz="4" w:space="0" w:color="FFC000"/>
              <w:bottom w:val="single" w:sz="4" w:space="0" w:color="FFC000"/>
              <w:right w:val="single" w:sz="4" w:space="0" w:color="FFC000"/>
            </w:tcBorders>
            <w:shd w:val="clear" w:color="auto" w:fill="FFF8E6"/>
          </w:tcPr>
          <w:p>
            <w:pPr/>
          </w:p>
        </w:tc>
        <w:tc>
          <w:tcPr>
            <w:tcW w:w="13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95" w:lineRule="auto" w:before="140"/>
              <w:ind w:left="103" w:right="155"/>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深圳市爱施德 股份有限公司</w:t>
            </w:r>
          </w:p>
        </w:tc>
        <w:tc>
          <w:tcPr>
            <w:tcW w:w="10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5"/>
                <w:szCs w:val="25"/>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分红承诺</w:t>
            </w:r>
          </w:p>
        </w:tc>
        <w:tc>
          <w:tcPr>
            <w:tcW w:w="3975"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、利润分配的形式，公司可以采取现金、股票 或者现金股票相结合的方式进行利润分配。在公 司盈利且不影响公司正常生产经营所需现金流 情况下，公司将优先采用现金方式进行利润分 配；</w:t>
            </w: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、利润分配的期间间隔，公司原则上按年 进行利润分配，并可以进行中期利润分配和特别 利润分配；</w:t>
            </w:r>
            <w:r>
              <w:rPr>
                <w:rFonts w:ascii="华文细黑" w:hAnsi="华文细黑" w:cs="华文细黑" w:eastAsia="华文细黑" w:hint="default"/>
                <w:sz w:val="18"/>
                <w:szCs w:val="18"/>
              </w:rPr>
              <w:t>3</w:t>
            </w:r>
            <w:r>
              <w:rPr>
                <w:rFonts w:ascii="华文细黑" w:hAnsi="华文细黑" w:cs="华文细黑" w:eastAsia="华文细黑" w:hint="default"/>
                <w:sz w:val="18"/>
                <w:szCs w:val="18"/>
              </w:rPr>
              <w:t>、利润分配的顺序，公司将在可分 配利润范围内，充分考虑投资者的需要，并根据 有关法律、法规和公司章程，以公司缴纳所得税 </w:t>
            </w:r>
            <w:r>
              <w:rPr>
                <w:rFonts w:ascii="华文细黑" w:hAnsi="华文细黑" w:cs="华文细黑" w:eastAsia="华文细黑" w:hint="default"/>
                <w:spacing w:val="-6"/>
                <w:sz w:val="18"/>
                <w:szCs w:val="18"/>
              </w:rPr>
              <w:t>后的利润，按顺序分配；</w:t>
            </w:r>
            <w:r>
              <w:rPr>
                <w:rFonts w:ascii="华文细黑" w:hAnsi="华文细黑" w:cs="华文细黑" w:eastAsia="华文细黑" w:hint="default"/>
                <w:spacing w:val="-6"/>
                <w:sz w:val="18"/>
                <w:szCs w:val="18"/>
              </w:rPr>
              <w:t>4</w:t>
            </w:r>
            <w:r>
              <w:rPr>
                <w:rFonts w:ascii="华文细黑" w:hAnsi="华文细黑" w:cs="华文细黑" w:eastAsia="华文细黑" w:hint="default"/>
                <w:spacing w:val="-6"/>
                <w:sz w:val="18"/>
                <w:szCs w:val="18"/>
              </w:rPr>
              <w:t>、现金分红条件，（</w:t>
            </w:r>
            <w:r>
              <w:rPr>
                <w:rFonts w:ascii="华文细黑" w:hAnsi="华文细黑" w:cs="华文细黑" w:eastAsia="华文细黑" w:hint="default"/>
                <w:spacing w:val="-6"/>
                <w:sz w:val="18"/>
                <w:szCs w:val="18"/>
              </w:rPr>
              <w:t>1</w:t>
            </w:r>
            <w:r>
              <w:rPr>
                <w:rFonts w:ascii="华文细黑" w:hAnsi="华文细黑" w:cs="华文细黑" w:eastAsia="华文细黑" w:hint="default"/>
                <w:spacing w:val="-6"/>
                <w:sz w:val="18"/>
                <w:szCs w:val="18"/>
              </w:rPr>
              <w:t>）</w:t>
            </w:r>
            <w:r>
              <w:rPr>
                <w:rFonts w:ascii="华文细黑" w:hAnsi="华文细黑" w:cs="华文细黑" w:eastAsia="华文细黑" w:hint="default"/>
                <w:spacing w:val="-41"/>
                <w:sz w:val="18"/>
                <w:szCs w:val="18"/>
              </w:rPr>
              <w:t> </w:t>
            </w:r>
            <w:r>
              <w:rPr>
                <w:rFonts w:ascii="华文细黑" w:hAnsi="华文细黑" w:cs="华文细黑" w:eastAsia="华文细黑" w:hint="default"/>
                <w:sz w:val="18"/>
                <w:szCs w:val="18"/>
              </w:rPr>
              <w:t>公司该年度或半年度实现的可分配利润（即公司</w:t>
            </w:r>
            <w:r>
              <w:rPr>
                <w:rFonts w:ascii="华文细黑" w:hAnsi="华文细黑" w:cs="华文细黑" w:eastAsia="华文细黑" w:hint="default"/>
                <w:sz w:val="18"/>
                <w:szCs w:val="18"/>
              </w:rPr>
              <w:t> 弥补亏损、提取公积金后所余的税后利润）为正 值、且现金流充裕，实施现金分红不会影响公司 </w:t>
            </w:r>
            <w:r>
              <w:rPr>
                <w:rFonts w:ascii="华文细黑" w:hAnsi="华文细黑" w:cs="华文细黑" w:eastAsia="华文细黑" w:hint="default"/>
                <w:spacing w:val="-6"/>
                <w:sz w:val="18"/>
                <w:szCs w:val="18"/>
              </w:rPr>
              <w:t>后续持续经营。（</w:t>
            </w:r>
            <w:r>
              <w:rPr>
                <w:rFonts w:ascii="华文细黑" w:hAnsi="华文细黑" w:cs="华文细黑" w:eastAsia="华文细黑" w:hint="default"/>
                <w:spacing w:val="-6"/>
                <w:sz w:val="18"/>
                <w:szCs w:val="18"/>
              </w:rPr>
              <w:t>2</w:t>
            </w:r>
            <w:r>
              <w:rPr>
                <w:rFonts w:ascii="华文细黑" w:hAnsi="华文细黑" w:cs="华文细黑" w:eastAsia="华文细黑" w:hint="default"/>
                <w:spacing w:val="-6"/>
                <w:sz w:val="18"/>
                <w:szCs w:val="18"/>
              </w:rPr>
              <w:t>）公司累计可供分配利润为正</w:t>
            </w:r>
            <w:r>
              <w:rPr>
                <w:rFonts w:ascii="华文细黑" w:hAnsi="华文细黑" w:cs="华文细黑" w:eastAsia="华文细黑" w:hint="default"/>
                <w:spacing w:val="-36"/>
                <w:sz w:val="18"/>
                <w:szCs w:val="18"/>
              </w:rPr>
              <w:t> </w:t>
            </w:r>
            <w:r>
              <w:rPr>
                <w:rFonts w:ascii="华文细黑" w:hAnsi="华文细黑" w:cs="华文细黑" w:eastAsia="华文细黑" w:hint="default"/>
                <w:spacing w:val="-36"/>
                <w:sz w:val="18"/>
                <w:szCs w:val="18"/>
              </w:rPr>
            </w:r>
            <w:r>
              <w:rPr>
                <w:rFonts w:ascii="华文细黑" w:hAnsi="华文细黑" w:cs="华文细黑" w:eastAsia="华文细黑" w:hint="default"/>
                <w:spacing w:val="-6"/>
                <w:sz w:val="18"/>
                <w:szCs w:val="18"/>
              </w:rPr>
              <w:t>值。（</w:t>
            </w:r>
            <w:r>
              <w:rPr>
                <w:rFonts w:ascii="华文细黑" w:hAnsi="华文细黑" w:cs="华文细黑" w:eastAsia="华文细黑" w:hint="default"/>
                <w:spacing w:val="-6"/>
                <w:sz w:val="18"/>
                <w:szCs w:val="18"/>
              </w:rPr>
              <w:t>3</w:t>
            </w:r>
            <w:r>
              <w:rPr>
                <w:rFonts w:ascii="华文细黑" w:hAnsi="华文细黑" w:cs="华文细黑" w:eastAsia="华文细黑" w:hint="default"/>
                <w:spacing w:val="-6"/>
                <w:sz w:val="18"/>
                <w:szCs w:val="18"/>
              </w:rPr>
              <w:t>）审计机构对公司的该年度财务报告出具</w:t>
            </w:r>
            <w:r>
              <w:rPr>
                <w:rFonts w:ascii="华文细黑" w:hAnsi="华文细黑" w:cs="华文细黑" w:eastAsia="华文细黑" w:hint="default"/>
                <w:spacing w:val="-36"/>
                <w:sz w:val="18"/>
                <w:szCs w:val="18"/>
              </w:rPr>
              <w:t> </w:t>
            </w:r>
            <w:r>
              <w:rPr>
                <w:rFonts w:ascii="华文细黑" w:hAnsi="华文细黑" w:cs="华文细黑" w:eastAsia="华文细黑" w:hint="default"/>
                <w:spacing w:val="-36"/>
                <w:sz w:val="18"/>
                <w:szCs w:val="18"/>
              </w:rPr>
            </w:r>
            <w:r>
              <w:rPr>
                <w:rFonts w:ascii="华文细黑" w:hAnsi="华文细黑" w:cs="华文细黑" w:eastAsia="华文细黑" w:hint="default"/>
                <w:spacing w:val="-6"/>
                <w:sz w:val="18"/>
                <w:szCs w:val="18"/>
              </w:rPr>
              <w:t>标准无保留意见的审计报告。（</w:t>
            </w:r>
            <w:r>
              <w:rPr>
                <w:rFonts w:ascii="华文细黑" w:hAnsi="华文细黑" w:cs="华文细黑" w:eastAsia="华文细黑" w:hint="default"/>
                <w:spacing w:val="-6"/>
                <w:sz w:val="18"/>
                <w:szCs w:val="18"/>
              </w:rPr>
              <w:t>4</w:t>
            </w:r>
            <w:r>
              <w:rPr>
                <w:rFonts w:ascii="华文细黑" w:hAnsi="华文细黑" w:cs="华文细黑" w:eastAsia="华文细黑" w:hint="default"/>
                <w:spacing w:val="-6"/>
                <w:sz w:val="18"/>
                <w:szCs w:val="18"/>
              </w:rPr>
              <w:t>）公司未来十二</w:t>
            </w:r>
            <w:r>
              <w:rPr>
                <w:rFonts w:ascii="华文细黑" w:hAnsi="华文细黑" w:cs="华文细黑" w:eastAsia="华文细黑" w:hint="default"/>
                <w:spacing w:val="-36"/>
                <w:sz w:val="18"/>
                <w:szCs w:val="18"/>
              </w:rPr>
              <w:t> </w:t>
            </w:r>
            <w:r>
              <w:rPr>
                <w:rFonts w:ascii="华文细黑" w:hAnsi="华文细黑" w:cs="华文细黑" w:eastAsia="华文细黑" w:hint="default"/>
                <w:spacing w:val="-36"/>
                <w:sz w:val="18"/>
                <w:szCs w:val="18"/>
              </w:rPr>
            </w:r>
            <w:r>
              <w:rPr>
                <w:rFonts w:ascii="华文细黑" w:hAnsi="华文细黑" w:cs="华文细黑" w:eastAsia="华文细黑" w:hint="default"/>
                <w:sz w:val="18"/>
                <w:szCs w:val="18"/>
              </w:rPr>
              <w:t>个月无重大投资计划或重大现金支出等事项发 </w:t>
            </w:r>
            <w:r>
              <w:rPr>
                <w:rFonts w:ascii="华文细黑" w:hAnsi="华文细黑" w:cs="华文细黑" w:eastAsia="华文细黑" w:hint="default"/>
                <w:spacing w:val="-5"/>
                <w:sz w:val="18"/>
                <w:szCs w:val="18"/>
              </w:rPr>
              <w:t>生（募集资金项目除外）。重大投资计划或重大</w:t>
            </w:r>
            <w:r>
              <w:rPr>
                <w:rFonts w:ascii="华文细黑" w:hAnsi="华文细黑" w:cs="华文细黑" w:eastAsia="华文细黑" w:hint="default"/>
                <w:spacing w:val="-30"/>
                <w:sz w:val="18"/>
                <w:szCs w:val="18"/>
              </w:rPr>
              <w:t> </w:t>
            </w:r>
            <w:r>
              <w:rPr>
                <w:rFonts w:ascii="华文细黑" w:hAnsi="华文细黑" w:cs="华文细黑" w:eastAsia="华文细黑" w:hint="default"/>
                <w:spacing w:val="-30"/>
                <w:sz w:val="18"/>
                <w:szCs w:val="18"/>
              </w:rPr>
            </w:r>
            <w:r>
              <w:rPr>
                <w:rFonts w:ascii="华文细黑" w:hAnsi="华文细黑" w:cs="华文细黑" w:eastAsia="华文细黑" w:hint="default"/>
                <w:sz w:val="18"/>
                <w:szCs w:val="18"/>
              </w:rPr>
              <w:t>现金支出是指公司未来十二个月内拟对外投资、 收购资产、购买设备、建筑物的累计支出达到或</w:t>
            </w:r>
            <w:r>
              <w:rPr>
                <w:rFonts w:ascii="华文细黑" w:hAnsi="华文细黑" w:cs="华文细黑" w:eastAsia="华文细黑" w:hint="default"/>
                <w:sz w:val="18"/>
                <w:szCs w:val="18"/>
              </w:rPr>
              <w:t> </w:t>
            </w:r>
            <w:r>
              <w:rPr>
                <w:rFonts w:ascii="华文细黑" w:hAnsi="华文细黑" w:cs="华文细黑" w:eastAsia="华文细黑" w:hint="default"/>
                <w:spacing w:val="-2"/>
                <w:sz w:val="18"/>
                <w:szCs w:val="18"/>
              </w:rPr>
              <w:t>超过公司最近一期经审计总资产的百分之十；</w:t>
            </w:r>
            <w:r>
              <w:rPr>
                <w:rFonts w:ascii="华文细黑" w:hAnsi="华文细黑" w:cs="华文细黑" w:eastAsia="华文细黑" w:hint="default"/>
                <w:spacing w:val="-2"/>
                <w:sz w:val="18"/>
                <w:szCs w:val="18"/>
              </w:rPr>
              <w:t>5</w:t>
            </w:r>
            <w:r>
              <w:rPr>
                <w:rFonts w:ascii="华文细黑" w:hAnsi="华文细黑" w:cs="华文细黑" w:eastAsia="华文细黑" w:hint="default"/>
                <w:spacing w:val="-2"/>
                <w:sz w:val="18"/>
                <w:szCs w:val="18"/>
              </w:rPr>
              <w:t>、</w:t>
            </w:r>
            <w:r>
              <w:rPr>
                <w:rFonts w:ascii="华文细黑" w:hAnsi="华文细黑" w:cs="华文细黑" w:eastAsia="华文细黑" w:hint="default"/>
                <w:spacing w:val="-33"/>
                <w:sz w:val="18"/>
                <w:szCs w:val="18"/>
              </w:rPr>
              <w:t> </w:t>
            </w:r>
            <w:r>
              <w:rPr>
                <w:rFonts w:ascii="华文细黑" w:hAnsi="华文细黑" w:cs="华文细黑" w:eastAsia="华文细黑" w:hint="default"/>
                <w:sz w:val="18"/>
                <w:szCs w:val="18"/>
              </w:rPr>
              <w:t>现金分红比例，在不损害公司持续经营能力的前</w:t>
            </w:r>
            <w:r>
              <w:rPr>
                <w:rFonts w:ascii="华文细黑" w:hAnsi="华文细黑" w:cs="华文细黑" w:eastAsia="华文细黑" w:hint="default"/>
                <w:sz w:val="18"/>
                <w:szCs w:val="18"/>
              </w:rPr>
              <w:t> 提下，公司在任一连续三年中以现金方式累计分 配的利润不得少于该三年实现的年均可分配利</w:t>
            </w:r>
          </w:p>
        </w:tc>
        <w:tc>
          <w:tcPr>
            <w:tcW w:w="10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2015</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07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29</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5"/>
                <w:szCs w:val="25"/>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36</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个月</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95" w:lineRule="auto"/>
              <w:ind w:left="103" w:right="185"/>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截至本报告披露 之日，公司遵守 了以上承诺</w:t>
            </w:r>
          </w:p>
        </w:tc>
      </w:tr>
    </w:tbl>
    <w:p>
      <w:pPr>
        <w:spacing w:after="0" w:line="295" w:lineRule="auto"/>
        <w:jc w:val="both"/>
        <w:rPr>
          <w:rFonts w:ascii="华文细黑" w:hAnsi="华文细黑" w:cs="华文细黑" w:eastAsia="华文细黑" w:hint="default"/>
          <w:sz w:val="18"/>
          <w:szCs w:val="18"/>
        </w:rPr>
        <w:sectPr>
          <w:pgSz w:w="11910" w:h="16840"/>
          <w:pgMar w:header="917" w:footer="1019" w:top="1100" w:bottom="1200" w:left="1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1" w:type="dxa"/>
        <w:tblLayout w:type="fixed"/>
        <w:tblCellMar>
          <w:top w:w="0" w:type="dxa"/>
          <w:left w:w="0" w:type="dxa"/>
          <w:bottom w:w="0" w:type="dxa"/>
          <w:right w:w="0" w:type="dxa"/>
        </w:tblCellMar>
        <w:tblLook w:val="01E0"/>
      </w:tblPr>
      <w:tblGrid>
        <w:gridCol w:w="1349"/>
        <w:gridCol w:w="1350"/>
        <w:gridCol w:w="1066"/>
        <w:gridCol w:w="3975"/>
        <w:gridCol w:w="1036"/>
        <w:gridCol w:w="974"/>
        <w:gridCol w:w="1560"/>
      </w:tblGrid>
      <w:tr>
        <w:trPr>
          <w:trHeight w:val="3171" w:hRule="exact"/>
        </w:trPr>
        <w:tc>
          <w:tcPr>
            <w:tcW w:w="1349"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350" w:type="dxa"/>
            <w:tcBorders>
              <w:top w:val="single" w:sz="4" w:space="0" w:color="FFC000"/>
              <w:left w:val="single" w:sz="4" w:space="0" w:color="FFC000"/>
              <w:bottom w:val="single" w:sz="4" w:space="0" w:color="FFC000"/>
              <w:right w:val="single" w:sz="4" w:space="0" w:color="FFC000"/>
            </w:tcBorders>
          </w:tcPr>
          <w:p>
            <w:pPr/>
          </w:p>
        </w:tc>
        <w:tc>
          <w:tcPr>
            <w:tcW w:w="1066" w:type="dxa"/>
            <w:tcBorders>
              <w:top w:val="single" w:sz="4" w:space="0" w:color="FFC000"/>
              <w:left w:val="single" w:sz="4" w:space="0" w:color="FFC000"/>
              <w:bottom w:val="single" w:sz="4" w:space="0" w:color="FFC000"/>
              <w:right w:val="single" w:sz="4" w:space="0" w:color="FFC000"/>
            </w:tcBorders>
          </w:tcPr>
          <w:p>
            <w:pPr/>
          </w:p>
        </w:tc>
        <w:tc>
          <w:tcPr>
            <w:tcW w:w="3975"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润的</w:t>
            </w:r>
            <w:r>
              <w:rPr>
                <w:rFonts w:ascii="华文细黑" w:hAnsi="华文细黑" w:cs="华文细黑" w:eastAsia="华文细黑" w:hint="default"/>
                <w:spacing w:val="7"/>
                <w:sz w:val="18"/>
                <w:szCs w:val="18"/>
              </w:rPr>
              <w:t> </w:t>
            </w:r>
            <w:r>
              <w:rPr>
                <w:rFonts w:ascii="华文细黑" w:hAnsi="华文细黑" w:cs="华文细黑" w:eastAsia="华文细黑" w:hint="default"/>
                <w:spacing w:val="-3"/>
                <w:sz w:val="18"/>
                <w:szCs w:val="18"/>
              </w:rPr>
              <w:t>30%</w:t>
            </w:r>
            <w:r>
              <w:rPr>
                <w:rFonts w:ascii="华文细黑" w:hAnsi="华文细黑" w:cs="华文细黑" w:eastAsia="华文细黑" w:hint="default"/>
                <w:spacing w:val="-3"/>
                <w:sz w:val="18"/>
                <w:szCs w:val="18"/>
              </w:rPr>
              <w:t>。具体的分红比例由董事会根据公司年</w:t>
            </w:r>
            <w:r>
              <w:rPr>
                <w:rFonts w:ascii="华文细黑" w:hAnsi="华文细黑" w:cs="华文细黑" w:eastAsia="华文细黑" w:hint="default"/>
                <w:spacing w:val="-42"/>
                <w:sz w:val="18"/>
                <w:szCs w:val="18"/>
              </w:rPr>
              <w:t> </w:t>
            </w:r>
            <w:r>
              <w:rPr>
                <w:rFonts w:ascii="华文细黑" w:hAnsi="华文细黑" w:cs="华文细黑" w:eastAsia="华文细黑" w:hint="default"/>
                <w:spacing w:val="-42"/>
                <w:sz w:val="18"/>
                <w:szCs w:val="18"/>
              </w:rPr>
            </w:r>
            <w:r>
              <w:rPr>
                <w:rFonts w:ascii="华文细黑" w:hAnsi="华文细黑" w:cs="华文细黑" w:eastAsia="华文细黑" w:hint="default"/>
                <w:spacing w:val="-2"/>
                <w:sz w:val="18"/>
                <w:szCs w:val="18"/>
              </w:rPr>
              <w:t>度盈利状况和未来资金使用计划提出预案。公司</w:t>
            </w:r>
            <w:r>
              <w:rPr>
                <w:rFonts w:ascii="华文细黑" w:hAnsi="华文细黑" w:cs="华文细黑" w:eastAsia="华文细黑" w:hint="default"/>
                <w:spacing w:val="-25"/>
                <w:sz w:val="18"/>
                <w:szCs w:val="18"/>
              </w:rPr>
              <w:t> </w:t>
            </w:r>
            <w:r>
              <w:rPr>
                <w:rFonts w:ascii="华文细黑" w:hAnsi="华文细黑" w:cs="华文细黑" w:eastAsia="华文细黑" w:hint="default"/>
                <w:spacing w:val="-25"/>
                <w:sz w:val="18"/>
                <w:szCs w:val="18"/>
              </w:rPr>
            </w:r>
            <w:r>
              <w:rPr>
                <w:rFonts w:ascii="华文细黑" w:hAnsi="华文细黑" w:cs="华文细黑" w:eastAsia="华文细黑" w:hint="default"/>
                <w:spacing w:val="-2"/>
                <w:sz w:val="18"/>
                <w:szCs w:val="18"/>
              </w:rPr>
              <w:t>董事会将综合考虑所处行业特点、发展阶段、自</w:t>
            </w:r>
            <w:r>
              <w:rPr>
                <w:rFonts w:ascii="华文细黑" w:hAnsi="华文细黑" w:cs="华文细黑" w:eastAsia="华文细黑" w:hint="default"/>
                <w:spacing w:val="-25"/>
                <w:sz w:val="18"/>
                <w:szCs w:val="18"/>
              </w:rPr>
              <w:t> </w:t>
            </w:r>
            <w:r>
              <w:rPr>
                <w:rFonts w:ascii="华文细黑" w:hAnsi="华文细黑" w:cs="华文细黑" w:eastAsia="华文细黑" w:hint="default"/>
                <w:spacing w:val="-25"/>
                <w:sz w:val="18"/>
                <w:szCs w:val="18"/>
              </w:rPr>
            </w:r>
            <w:r>
              <w:rPr>
                <w:rFonts w:ascii="华文细黑" w:hAnsi="华文细黑" w:cs="华文细黑" w:eastAsia="华文细黑" w:hint="default"/>
                <w:spacing w:val="-2"/>
                <w:sz w:val="18"/>
                <w:szCs w:val="18"/>
              </w:rPr>
              <w:t>身经营模式、盈利水平以及是否有重大资金支出</w:t>
            </w:r>
            <w:r>
              <w:rPr>
                <w:rFonts w:ascii="华文细黑" w:hAnsi="华文细黑" w:cs="华文细黑" w:eastAsia="华文细黑" w:hint="default"/>
                <w:spacing w:val="-25"/>
                <w:sz w:val="18"/>
                <w:szCs w:val="18"/>
              </w:rPr>
              <w:t> </w:t>
            </w:r>
            <w:r>
              <w:rPr>
                <w:rFonts w:ascii="华文细黑" w:hAnsi="华文细黑" w:cs="华文细黑" w:eastAsia="华文细黑" w:hint="default"/>
                <w:spacing w:val="-25"/>
                <w:sz w:val="18"/>
                <w:szCs w:val="18"/>
              </w:rPr>
            </w:r>
            <w:r>
              <w:rPr>
                <w:rFonts w:ascii="华文细黑" w:hAnsi="华文细黑" w:cs="华文细黑" w:eastAsia="华文细黑" w:hint="default"/>
                <w:spacing w:val="-2"/>
                <w:sz w:val="18"/>
                <w:szCs w:val="18"/>
              </w:rPr>
              <w:t>安排等因素，区分下列情形，并按照公司章程规</w:t>
            </w:r>
            <w:r>
              <w:rPr>
                <w:rFonts w:ascii="华文细黑" w:hAnsi="华文细黑" w:cs="华文细黑" w:eastAsia="华文细黑" w:hint="default"/>
                <w:spacing w:val="-25"/>
                <w:sz w:val="18"/>
                <w:szCs w:val="18"/>
              </w:rPr>
              <w:t> </w:t>
            </w:r>
            <w:r>
              <w:rPr>
                <w:rFonts w:ascii="华文细黑" w:hAnsi="华文细黑" w:cs="华文细黑" w:eastAsia="华文细黑" w:hint="default"/>
                <w:spacing w:val="-25"/>
                <w:sz w:val="18"/>
                <w:szCs w:val="18"/>
              </w:rPr>
            </w:r>
            <w:r>
              <w:rPr>
                <w:rFonts w:ascii="华文细黑" w:hAnsi="华文细黑" w:cs="华文细黑" w:eastAsia="华文细黑" w:hint="default"/>
                <w:sz w:val="18"/>
                <w:szCs w:val="18"/>
              </w:rPr>
              <w:t>定的程序，提出差异化的现金分红政策；</w:t>
            </w:r>
            <w:r>
              <w:rPr>
                <w:rFonts w:ascii="华文细黑" w:hAnsi="华文细黑" w:cs="华文细黑" w:eastAsia="华文细黑" w:hint="default"/>
                <w:sz w:val="18"/>
                <w:szCs w:val="18"/>
              </w:rPr>
              <w:t>6</w:t>
            </w:r>
            <w:r>
              <w:rPr>
                <w:rFonts w:ascii="华文细黑" w:hAnsi="华文细黑" w:cs="华文细黑" w:eastAsia="华文细黑" w:hint="default"/>
                <w:sz w:val="18"/>
                <w:szCs w:val="18"/>
              </w:rPr>
              <w:t>、股 票股利分配条件公司根据盈利情况和现金流状 </w:t>
            </w:r>
            <w:r>
              <w:rPr>
                <w:rFonts w:ascii="华文细黑" w:hAnsi="华文细黑" w:cs="华文细黑" w:eastAsia="华文细黑" w:hint="default"/>
                <w:spacing w:val="-2"/>
                <w:sz w:val="18"/>
                <w:szCs w:val="18"/>
              </w:rPr>
              <w:t>况，为满足股本扩张的需要或合理调整股本规模</w:t>
            </w:r>
            <w:r>
              <w:rPr>
                <w:rFonts w:ascii="华文细黑" w:hAnsi="华文细黑" w:cs="华文细黑" w:eastAsia="华文细黑" w:hint="default"/>
                <w:spacing w:val="-25"/>
                <w:sz w:val="18"/>
                <w:szCs w:val="18"/>
              </w:rPr>
              <w:t> </w:t>
            </w:r>
            <w:r>
              <w:rPr>
                <w:rFonts w:ascii="华文细黑" w:hAnsi="华文细黑" w:cs="华文细黑" w:eastAsia="华文细黑" w:hint="default"/>
                <w:spacing w:val="-25"/>
                <w:sz w:val="18"/>
                <w:szCs w:val="18"/>
              </w:rPr>
            </w:r>
            <w:r>
              <w:rPr>
                <w:rFonts w:ascii="华文细黑" w:hAnsi="华文细黑" w:cs="华文细黑" w:eastAsia="华文细黑" w:hint="default"/>
                <w:sz w:val="18"/>
                <w:szCs w:val="18"/>
              </w:rPr>
              <w:t>和股权结构，可以在满足上述现金分红的条件 下，采取股票股利的方式分配利润。</w:t>
            </w:r>
          </w:p>
        </w:tc>
        <w:tc>
          <w:tcPr>
            <w:tcW w:w="1036" w:type="dxa"/>
            <w:tcBorders>
              <w:top w:val="single" w:sz="4" w:space="0" w:color="FFC000"/>
              <w:left w:val="single" w:sz="4" w:space="0" w:color="FFC000"/>
              <w:bottom w:val="single" w:sz="4" w:space="0" w:color="FFC000"/>
              <w:right w:val="single" w:sz="4" w:space="0" w:color="FFC000"/>
            </w:tcBorders>
          </w:tcPr>
          <w:p>
            <w:pPr/>
          </w:p>
        </w:tc>
        <w:tc>
          <w:tcPr>
            <w:tcW w:w="974" w:type="dxa"/>
            <w:tcBorders>
              <w:top w:val="single" w:sz="4" w:space="0" w:color="FFC000"/>
              <w:left w:val="single" w:sz="4" w:space="0" w:color="FFC000"/>
              <w:bottom w:val="single" w:sz="4" w:space="0" w:color="FFC000"/>
              <w:right w:val="single" w:sz="4" w:space="0" w:color="FFC000"/>
            </w:tcBorders>
          </w:tcPr>
          <w:p>
            <w:pPr/>
          </w:p>
        </w:tc>
        <w:tc>
          <w:tcPr>
            <w:tcW w:w="1560" w:type="dxa"/>
            <w:tcBorders>
              <w:top w:val="single" w:sz="4" w:space="0" w:color="FFC000"/>
              <w:left w:val="single" w:sz="4" w:space="0" w:color="FFC000"/>
              <w:bottom w:val="single" w:sz="4" w:space="0" w:color="FFC000"/>
              <w:right w:val="single" w:sz="4" w:space="0" w:color="FFC000"/>
            </w:tcBorders>
          </w:tcPr>
          <w:p>
            <w:pPr/>
          </w:p>
        </w:tc>
      </w:tr>
      <w:tr>
        <w:trPr>
          <w:trHeight w:val="714" w:hRule="exact"/>
        </w:trPr>
        <w:tc>
          <w:tcPr>
            <w:tcW w:w="134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2" w:right="155"/>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承诺是否按时 履行</w:t>
            </w:r>
          </w:p>
        </w:tc>
        <w:tc>
          <w:tcPr>
            <w:tcW w:w="9962" w:type="dxa"/>
            <w:gridSpan w:val="6"/>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2274" w:hRule="exact"/>
        </w:trPr>
        <w:tc>
          <w:tcPr>
            <w:tcW w:w="134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2" w:right="155"/>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如承诺超期未 履行完毕的， 应当详细说明 未完成履行的 具体原因及下 一步的工作计 划</w:t>
            </w:r>
          </w:p>
        </w:tc>
        <w:tc>
          <w:tcPr>
            <w:tcW w:w="9962" w:type="dxa"/>
            <w:gridSpan w:val="6"/>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pacing w:val="-2"/>
                <w:sz w:val="18"/>
                <w:szCs w:val="18"/>
              </w:rPr>
              <w:t>公司报告期不存在公司、股东、实际控制人、收购人、董事、监事、高级管理人员或其他关联方超期未履行完毕的承诺事项。</w:t>
            </w:r>
          </w:p>
        </w:tc>
      </w:tr>
    </w:tbl>
    <w:p>
      <w:pPr>
        <w:spacing w:line="240" w:lineRule="auto" w:before="11"/>
        <w:rPr>
          <w:rFonts w:ascii="Times New Roman" w:hAnsi="Times New Roman" w:cs="Times New Roman" w:eastAsia="Times New Roman" w:hint="default"/>
          <w:sz w:val="22"/>
          <w:szCs w:val="22"/>
        </w:rPr>
      </w:pPr>
    </w:p>
    <w:p>
      <w:pPr>
        <w:pStyle w:val="Heading5"/>
        <w:spacing w:line="254" w:lineRule="auto"/>
        <w:ind w:left="1014" w:right="0"/>
        <w:jc w:val="left"/>
        <w:rPr>
          <w:b w:val="0"/>
          <w:bCs w:val="0"/>
        </w:rPr>
      </w:pPr>
      <w:bookmarkStart w:name="2、公司资产或项目存在盈利预测，且报告期仍处在盈利预测期间，公司就资产或项目达到" w:id="95"/>
      <w:bookmarkEnd w:id="95"/>
      <w:r>
        <w:rPr>
          <w:b w:val="0"/>
          <w:bCs w:val="0"/>
        </w:rPr>
      </w:r>
      <w:r>
        <w:rPr>
          <w:rFonts w:ascii="华文细黑" w:hAnsi="华文细黑" w:cs="华文细黑" w:eastAsia="华文细黑" w:hint="default"/>
        </w:rPr>
        <w:t>2</w:t>
      </w:r>
      <w:r>
        <w:rPr/>
        <w:t>、公司资产或项目存在盈利预测，且报告期仍处在盈利预测期间，公司就资产或项目达到原盈利预测及</w:t>
      </w:r>
      <w:r>
        <w:rPr>
          <w:spacing w:val="-2"/>
        </w:rPr>
        <w:t> </w:t>
      </w:r>
      <w:r>
        <w:rPr>
          <w:spacing w:val="-2"/>
        </w:rPr>
      </w:r>
      <w:r>
        <w:rPr/>
        <w:t>其原因做出说明</w:t>
      </w:r>
      <w:r>
        <w:rPr>
          <w:b w:val="0"/>
          <w:bCs w:val="0"/>
        </w:rPr>
      </w:r>
    </w:p>
    <w:p>
      <w:pPr>
        <w:spacing w:line="240" w:lineRule="auto" w:before="7"/>
        <w:rPr>
          <w:rFonts w:ascii="华文细黑" w:hAnsi="华文细黑" w:cs="华文细黑" w:eastAsia="华文细黑" w:hint="default"/>
          <w:b/>
          <w:bCs/>
          <w:sz w:val="21"/>
          <w:szCs w:val="21"/>
        </w:rPr>
      </w:pPr>
    </w:p>
    <w:p>
      <w:pPr>
        <w:pStyle w:val="BodyText"/>
        <w:spacing w:line="240" w:lineRule="auto"/>
        <w:ind w:left="1014" w:right="0"/>
        <w:jc w:val="left"/>
      </w:pPr>
      <w:r>
        <w:rPr/>
        <w:t>□  适用  √</w:t>
      </w:r>
      <w:r>
        <w:rPr>
          <w:spacing w:val="51"/>
        </w:rPr>
        <w:t> </w:t>
      </w:r>
      <w:r>
        <w:rPr/>
        <w:t>不适用</w:t>
      </w:r>
    </w:p>
    <w:p>
      <w:pPr>
        <w:spacing w:line="240" w:lineRule="auto" w:before="11"/>
        <w:rPr>
          <w:rFonts w:ascii="华文细黑" w:hAnsi="华文细黑" w:cs="华文细黑" w:eastAsia="华文细黑" w:hint="default"/>
          <w:sz w:val="27"/>
          <w:szCs w:val="27"/>
        </w:rPr>
      </w:pPr>
    </w:p>
    <w:p>
      <w:pPr>
        <w:pStyle w:val="Heading2"/>
        <w:spacing w:line="240" w:lineRule="auto"/>
        <w:ind w:left="1014" w:right="0"/>
        <w:jc w:val="left"/>
        <w:rPr>
          <w:b w:val="0"/>
          <w:bCs w:val="0"/>
        </w:rPr>
      </w:pPr>
      <w:bookmarkStart w:name="四、控股股东及其关联方对上市公司的非经营性占用资金情况" w:id="96"/>
      <w:bookmarkEnd w:id="96"/>
      <w:r>
        <w:rPr>
          <w:b w:val="0"/>
          <w:bCs w:val="0"/>
        </w:rPr>
      </w:r>
      <w:r>
        <w:rPr/>
        <w:t>四、控股股东及其关联方对上市公司的非经营性占用资金情况</w:t>
      </w:r>
      <w:r>
        <w:rPr>
          <w:b w:val="0"/>
          <w:bCs w:val="0"/>
        </w:rPr>
      </w:r>
    </w:p>
    <w:p>
      <w:pPr>
        <w:spacing w:line="240" w:lineRule="auto" w:before="0"/>
        <w:rPr>
          <w:rFonts w:ascii="华文细黑" w:hAnsi="华文细黑" w:cs="华文细黑" w:eastAsia="华文细黑" w:hint="default"/>
          <w:b/>
          <w:bCs/>
          <w:sz w:val="30"/>
          <w:szCs w:val="30"/>
        </w:rPr>
      </w:pPr>
    </w:p>
    <w:p>
      <w:pPr>
        <w:pStyle w:val="BodyText"/>
        <w:spacing w:line="285" w:lineRule="auto"/>
        <w:ind w:left="1014" w:right="4032"/>
        <w:jc w:val="left"/>
      </w:pPr>
      <w:r>
        <w:rPr/>
        <w:t>□ 适用 √</w:t>
      </w:r>
      <w:r>
        <w:rPr>
          <w:spacing w:val="51"/>
        </w:rPr>
        <w:t> </w:t>
      </w:r>
      <w:r>
        <w:rPr/>
        <w:t>不适用</w:t>
      </w:r>
      <w:r>
        <w:rPr/>
        <w:t> 公司报告期不存在控股股东及其关联方对上市公司的非经营性占用资金。</w:t>
      </w:r>
    </w:p>
    <w:p>
      <w:pPr>
        <w:spacing w:line="240" w:lineRule="auto" w:before="11"/>
        <w:rPr>
          <w:rFonts w:ascii="华文细黑" w:hAnsi="华文细黑" w:cs="华文细黑" w:eastAsia="华文细黑" w:hint="default"/>
          <w:sz w:val="24"/>
          <w:szCs w:val="24"/>
        </w:rPr>
      </w:pPr>
    </w:p>
    <w:p>
      <w:pPr>
        <w:pStyle w:val="Heading2"/>
        <w:spacing w:line="352" w:lineRule="auto"/>
        <w:ind w:left="1014" w:right="0"/>
        <w:jc w:val="left"/>
        <w:rPr>
          <w:b w:val="0"/>
          <w:bCs w:val="0"/>
        </w:rPr>
      </w:pPr>
      <w:bookmarkStart w:name="五、董事会、监事会、独立董事（如有）对会计师事务所本报告期“非标准审计报告”的说" w:id="97"/>
      <w:bookmarkEnd w:id="97"/>
      <w:r>
        <w:rPr>
          <w:b w:val="0"/>
          <w:bCs w:val="0"/>
        </w:rPr>
      </w:r>
      <w:r>
        <w:rPr/>
        <w:t>五、董事会、监事会、独立董事（如有）对会计师事务所本报告期“非标</w:t>
      </w:r>
      <w:r>
        <w:rPr>
          <w:spacing w:val="-54"/>
        </w:rPr>
        <w:t> </w:t>
      </w:r>
      <w:r>
        <w:rPr/>
        <w:t>准审计报告”的说明</w:t>
      </w:r>
      <w:r>
        <w:rPr>
          <w:b w:val="0"/>
          <w:bCs w:val="0"/>
        </w:rPr>
      </w:r>
    </w:p>
    <w:p>
      <w:pPr>
        <w:spacing w:line="240" w:lineRule="auto" w:before="4"/>
        <w:rPr>
          <w:rFonts w:ascii="华文细黑" w:hAnsi="华文细黑" w:cs="华文细黑" w:eastAsia="华文细黑" w:hint="default"/>
          <w:b/>
          <w:bCs/>
          <w:sz w:val="19"/>
          <w:szCs w:val="19"/>
        </w:rPr>
      </w:pPr>
    </w:p>
    <w:p>
      <w:pPr>
        <w:pStyle w:val="BodyText"/>
        <w:spacing w:line="240" w:lineRule="auto"/>
        <w:ind w:left="1014" w:right="0"/>
        <w:jc w:val="left"/>
      </w:pPr>
      <w:r>
        <w:rPr/>
        <w:t>□  适用  √</w:t>
      </w:r>
      <w:r>
        <w:rPr>
          <w:spacing w:val="51"/>
        </w:rPr>
        <w:t> </w:t>
      </w:r>
      <w:r>
        <w:rPr/>
        <w:t>不适用</w:t>
      </w:r>
    </w:p>
    <w:p>
      <w:pPr>
        <w:spacing w:line="240" w:lineRule="auto" w:before="12"/>
        <w:rPr>
          <w:rFonts w:ascii="华文细黑" w:hAnsi="华文细黑" w:cs="华文细黑" w:eastAsia="华文细黑" w:hint="default"/>
          <w:sz w:val="27"/>
          <w:szCs w:val="27"/>
        </w:rPr>
      </w:pPr>
    </w:p>
    <w:p>
      <w:pPr>
        <w:pStyle w:val="Heading2"/>
        <w:spacing w:line="352" w:lineRule="auto"/>
        <w:ind w:left="1014" w:right="0"/>
        <w:jc w:val="left"/>
        <w:rPr>
          <w:b w:val="0"/>
          <w:bCs w:val="0"/>
        </w:rPr>
      </w:pPr>
      <w:bookmarkStart w:name="六、与上年度财务报告相比，会计政策、会计估计和核算方法发生变化的情况说明" w:id="98"/>
      <w:bookmarkEnd w:id="98"/>
      <w:r>
        <w:rPr>
          <w:b w:val="0"/>
          <w:bCs w:val="0"/>
        </w:rPr>
      </w:r>
      <w:r>
        <w:rPr/>
        <w:t>六、与上年度财务报告相比，会计政策、会计估计和核算方法发生变化的</w:t>
      </w:r>
      <w:r>
        <w:rPr>
          <w:spacing w:val="-54"/>
        </w:rPr>
        <w:t> </w:t>
      </w:r>
      <w:r>
        <w:rPr/>
        <w:t>情况说明</w:t>
      </w:r>
      <w:r>
        <w:rPr>
          <w:b w:val="0"/>
          <w:bCs w:val="0"/>
        </w:rPr>
      </w:r>
    </w:p>
    <w:p>
      <w:pPr>
        <w:spacing w:line="240" w:lineRule="auto" w:before="4"/>
        <w:rPr>
          <w:rFonts w:ascii="华文细黑" w:hAnsi="华文细黑" w:cs="华文细黑" w:eastAsia="华文细黑" w:hint="default"/>
          <w:b/>
          <w:bCs/>
          <w:sz w:val="19"/>
          <w:szCs w:val="19"/>
        </w:rPr>
      </w:pPr>
    </w:p>
    <w:p>
      <w:pPr>
        <w:pStyle w:val="BodyText"/>
        <w:spacing w:line="240" w:lineRule="auto"/>
        <w:ind w:left="1014" w:right="0"/>
        <w:jc w:val="left"/>
      </w:pPr>
      <w:r>
        <w:rPr/>
        <w:t>√  适用  □</w:t>
      </w:r>
      <w:r>
        <w:rPr>
          <w:spacing w:val="51"/>
        </w:rPr>
        <w:t> </w:t>
      </w:r>
      <w:r>
        <w:rPr/>
        <w:t>不适用</w:t>
      </w:r>
    </w:p>
    <w:p>
      <w:pPr>
        <w:spacing w:after="0" w:line="240" w:lineRule="auto"/>
        <w:jc w:val="left"/>
        <w:sectPr>
          <w:pgSz w:w="11910" w:h="16840"/>
          <w:pgMar w:header="917" w:footer="1019" w:top="1100" w:bottom="1200" w:left="120" w:right="0"/>
        </w:sectPr>
      </w:pPr>
    </w:p>
    <w:p>
      <w:pPr>
        <w:spacing w:line="240" w:lineRule="auto" w:before="7"/>
        <w:rPr>
          <w:rFonts w:ascii="华文细黑" w:hAnsi="华文细黑" w:cs="华文细黑" w:eastAsia="华文细黑" w:hint="default"/>
          <w:sz w:val="26"/>
          <w:szCs w:val="26"/>
        </w:rPr>
      </w:pPr>
    </w:p>
    <w:p>
      <w:pPr>
        <w:pStyle w:val="BodyText"/>
        <w:spacing w:line="379" w:lineRule="auto" w:before="10"/>
        <w:ind w:left="154" w:right="1128" w:firstLine="420"/>
        <w:jc w:val="both"/>
      </w:pPr>
      <w:r>
        <w:rPr>
          <w:spacing w:val="-1"/>
        </w:rPr>
        <w:t>财政部于</w:t>
      </w:r>
      <w:r>
        <w:rPr>
          <w:rFonts w:ascii="华文细黑" w:hAnsi="华文细黑" w:cs="华文细黑" w:eastAsia="华文细黑" w:hint="default"/>
          <w:spacing w:val="-1"/>
        </w:rPr>
        <w:t>2017</w:t>
      </w:r>
      <w:r>
        <w:rPr>
          <w:spacing w:val="-1"/>
        </w:rPr>
        <w:t>年</w:t>
      </w:r>
      <w:r>
        <w:rPr>
          <w:rFonts w:ascii="华文细黑" w:hAnsi="华文细黑" w:cs="华文细黑" w:eastAsia="华文细黑" w:hint="default"/>
          <w:spacing w:val="-1"/>
        </w:rPr>
        <w:t>3</w:t>
      </w:r>
      <w:r>
        <w:rPr>
          <w:spacing w:val="-1"/>
        </w:rPr>
        <w:t>月</w:t>
      </w:r>
      <w:r>
        <w:rPr>
          <w:rFonts w:ascii="华文细黑" w:hAnsi="华文细黑" w:cs="华文细黑" w:eastAsia="华文细黑" w:hint="default"/>
          <w:spacing w:val="-1"/>
        </w:rPr>
        <w:t>31</w:t>
      </w:r>
      <w:r>
        <w:rPr>
          <w:spacing w:val="-1"/>
        </w:rPr>
        <w:t>日修订发布了金融工具相关会计准则，包括《企业会计准则第</w:t>
      </w:r>
      <w:r>
        <w:rPr>
          <w:rFonts w:ascii="华文细黑" w:hAnsi="华文细黑" w:cs="华文细黑" w:eastAsia="华文细黑" w:hint="default"/>
          <w:spacing w:val="-1"/>
        </w:rPr>
        <w:t>22</w:t>
      </w:r>
      <w:r>
        <w:rPr>
          <w:spacing w:val="-1"/>
        </w:rPr>
        <w:t>号——金融工</w:t>
      </w:r>
      <w:r>
        <w:rPr/>
        <w:t> </w:t>
      </w:r>
      <w:r>
        <w:rPr>
          <w:spacing w:val="-11"/>
        </w:rPr>
        <w:t>具确认和计量》、《企业会计准则第</w:t>
      </w:r>
      <w:r>
        <w:rPr>
          <w:rFonts w:ascii="华文细黑" w:hAnsi="华文细黑" w:cs="华文细黑" w:eastAsia="华文细黑" w:hint="default"/>
          <w:spacing w:val="-11"/>
        </w:rPr>
        <w:t>23</w:t>
      </w:r>
      <w:r>
        <w:rPr>
          <w:spacing w:val="-11"/>
        </w:rPr>
        <w:t>号——金融资产转移》、《企业会计准则第</w:t>
      </w:r>
      <w:r>
        <w:rPr>
          <w:rFonts w:ascii="华文细黑" w:hAnsi="华文细黑" w:cs="华文细黑" w:eastAsia="华文细黑" w:hint="default"/>
          <w:spacing w:val="-11"/>
        </w:rPr>
        <w:t>24</w:t>
      </w:r>
      <w:r>
        <w:rPr>
          <w:spacing w:val="-11"/>
        </w:rPr>
        <w:t>号——套期会计》，</w:t>
      </w:r>
      <w:r>
        <w:rPr>
          <w:rFonts w:ascii="华文细黑" w:hAnsi="华文细黑" w:cs="华文细黑" w:eastAsia="华文细黑" w:hint="default"/>
          <w:spacing w:val="-11"/>
        </w:rPr>
        <w:t>2017</w:t>
      </w:r>
      <w:r>
        <w:rPr>
          <w:rFonts w:ascii="华文细黑" w:hAnsi="华文细黑" w:cs="华文细黑" w:eastAsia="华文细黑" w:hint="default"/>
          <w:spacing w:val="-16"/>
        </w:rPr>
        <w:t> </w:t>
      </w:r>
      <w:r>
        <w:rPr>
          <w:spacing w:val="-2"/>
        </w:rPr>
        <w:t>年</w:t>
      </w:r>
      <w:r>
        <w:rPr>
          <w:rFonts w:ascii="华文细黑" w:hAnsi="华文细黑" w:cs="华文细黑" w:eastAsia="华文细黑" w:hint="default"/>
          <w:spacing w:val="-2"/>
        </w:rPr>
        <w:t>5</w:t>
      </w:r>
      <w:r>
        <w:rPr>
          <w:spacing w:val="-2"/>
        </w:rPr>
        <w:t>月</w:t>
      </w:r>
      <w:r>
        <w:rPr>
          <w:rFonts w:ascii="华文细黑" w:hAnsi="华文细黑" w:cs="华文细黑" w:eastAsia="华文细黑" w:hint="default"/>
          <w:spacing w:val="-2"/>
        </w:rPr>
        <w:t>2</w:t>
      </w:r>
      <w:r>
        <w:rPr>
          <w:spacing w:val="-2"/>
        </w:rPr>
        <w:t>日修订发布了《企业会计准则第</w:t>
      </w:r>
      <w:r>
        <w:rPr>
          <w:rFonts w:ascii="华文细黑" w:hAnsi="华文细黑" w:cs="华文细黑" w:eastAsia="华文细黑" w:hint="default"/>
          <w:spacing w:val="-2"/>
        </w:rPr>
        <w:t>37</w:t>
      </w:r>
      <w:r>
        <w:rPr>
          <w:spacing w:val="-2"/>
        </w:rPr>
        <w:t>号——金融工具列报》。以上四项金融工具相关会计准则（简称</w:t>
      </w:r>
      <w:r>
        <w:rPr>
          <w:spacing w:val="-30"/>
        </w:rPr>
        <w:t> </w:t>
      </w:r>
      <w:r>
        <w:rPr>
          <w:spacing w:val="-30"/>
        </w:rPr>
      </w:r>
      <w:r>
        <w:rPr>
          <w:spacing w:val="-2"/>
        </w:rPr>
        <w:t>“新金融工具准则”）要求中国境内上市企业自</w:t>
      </w:r>
      <w:r>
        <w:rPr>
          <w:rFonts w:ascii="华文细黑" w:hAnsi="华文细黑" w:cs="华文细黑" w:eastAsia="华文细黑" w:hint="default"/>
          <w:spacing w:val="-2"/>
        </w:rPr>
        <w:t>2019</w:t>
      </w:r>
      <w:r>
        <w:rPr>
          <w:spacing w:val="-2"/>
        </w:rPr>
        <w:t>年</w:t>
      </w:r>
      <w:r>
        <w:rPr>
          <w:rFonts w:ascii="华文细黑" w:hAnsi="华文细黑" w:cs="华文细黑" w:eastAsia="华文细黑" w:hint="default"/>
          <w:spacing w:val="-2"/>
        </w:rPr>
        <w:t>1</w:t>
      </w:r>
      <w:r>
        <w:rPr>
          <w:spacing w:val="-2"/>
        </w:rPr>
        <w:t>月</w:t>
      </w:r>
      <w:r>
        <w:rPr>
          <w:rFonts w:ascii="华文细黑" w:hAnsi="华文细黑" w:cs="华文细黑" w:eastAsia="华文细黑" w:hint="default"/>
          <w:spacing w:val="-2"/>
        </w:rPr>
        <w:t>1</w:t>
      </w:r>
      <w:r>
        <w:rPr>
          <w:spacing w:val="-2"/>
        </w:rPr>
        <w:t>日起施行。另外，财政部于</w:t>
      </w:r>
      <w:r>
        <w:rPr>
          <w:rFonts w:ascii="华文细黑" w:hAnsi="华文细黑" w:cs="华文细黑" w:eastAsia="华文细黑" w:hint="default"/>
          <w:spacing w:val="-2"/>
        </w:rPr>
        <w:t>2018</w:t>
      </w:r>
      <w:r>
        <w:rPr>
          <w:spacing w:val="-2"/>
        </w:rPr>
        <w:t>年</w:t>
      </w:r>
      <w:r>
        <w:rPr>
          <w:rFonts w:ascii="华文细黑" w:hAnsi="华文细黑" w:cs="华文细黑" w:eastAsia="华文细黑" w:hint="default"/>
          <w:spacing w:val="-2"/>
        </w:rPr>
        <w:t>6</w:t>
      </w:r>
      <w:r>
        <w:rPr>
          <w:spacing w:val="-2"/>
        </w:rPr>
        <w:t>月</w:t>
      </w:r>
      <w:r>
        <w:rPr>
          <w:rFonts w:ascii="华文细黑" w:hAnsi="华文细黑" w:cs="华文细黑" w:eastAsia="华文细黑" w:hint="default"/>
          <w:spacing w:val="-2"/>
        </w:rPr>
        <w:t>15</w:t>
      </w:r>
      <w:r>
        <w:rPr>
          <w:spacing w:val="-2"/>
        </w:rPr>
        <w:t>日发</w:t>
      </w:r>
      <w:r>
        <w:rPr>
          <w:spacing w:val="-16"/>
        </w:rPr>
        <w:t> </w:t>
      </w:r>
      <w:r>
        <w:rPr>
          <w:spacing w:val="-6"/>
        </w:rPr>
        <w:t>布了《关于修订印发</w:t>
      </w:r>
      <w:r>
        <w:rPr>
          <w:rFonts w:ascii="华文细黑" w:hAnsi="华文细黑" w:cs="华文细黑" w:eastAsia="华文细黑" w:hint="default"/>
          <w:spacing w:val="-6"/>
        </w:rPr>
        <w:t>2018</w:t>
      </w:r>
      <w:r>
        <w:rPr>
          <w:spacing w:val="-6"/>
        </w:rPr>
        <w:t>年度一般企业财务报表格式的通知》（财会</w:t>
      </w:r>
      <w:r>
        <w:rPr>
          <w:rFonts w:ascii="华文细黑" w:hAnsi="华文细黑" w:cs="华文细黑" w:eastAsia="华文细黑" w:hint="default"/>
          <w:spacing w:val="-6"/>
        </w:rPr>
        <w:t>[2018]15</w:t>
      </w:r>
      <w:r>
        <w:rPr>
          <w:spacing w:val="-6"/>
        </w:rPr>
        <w:t>号），要求执行企业会计准则</w:t>
      </w:r>
      <w:r>
        <w:rPr>
          <w:spacing w:val="-21"/>
        </w:rPr>
        <w:t> </w:t>
      </w:r>
      <w:r>
        <w:rPr>
          <w:spacing w:val="-21"/>
        </w:rPr>
      </w:r>
      <w:r>
        <w:rPr/>
        <w:t>的企业按照该准则要求编制财务报表。</w:t>
      </w:r>
    </w:p>
    <w:p>
      <w:pPr>
        <w:spacing w:line="240" w:lineRule="auto" w:before="13"/>
        <w:rPr>
          <w:rFonts w:ascii="华文细黑" w:hAnsi="华文细黑" w:cs="华文细黑" w:eastAsia="华文细黑" w:hint="default"/>
          <w:sz w:val="13"/>
          <w:szCs w:val="13"/>
        </w:rPr>
      </w:pPr>
    </w:p>
    <w:p>
      <w:pPr>
        <w:pStyle w:val="BodyText"/>
        <w:spacing w:line="379" w:lineRule="auto"/>
        <w:ind w:left="154" w:right="1065" w:firstLine="420"/>
        <w:jc w:val="right"/>
      </w:pPr>
      <w:r>
        <w:rPr/>
        <w:t>本次变更后，公司自</w:t>
      </w:r>
      <w:r>
        <w:rPr>
          <w:rFonts w:ascii="华文细黑" w:hAnsi="华文细黑" w:cs="华文细黑" w:eastAsia="华文细黑" w:hint="default"/>
        </w:rPr>
        <w:t>2018</w:t>
      </w:r>
      <w:r>
        <w:rPr/>
        <w:t>年</w:t>
      </w:r>
      <w:r>
        <w:rPr>
          <w:rFonts w:ascii="华文细黑" w:hAnsi="华文细黑" w:cs="华文细黑" w:eastAsia="华文细黑" w:hint="default"/>
        </w:rPr>
        <w:t>7</w:t>
      </w:r>
      <w:r>
        <w:rPr/>
        <w:t>月</w:t>
      </w:r>
      <w:r>
        <w:rPr>
          <w:rFonts w:ascii="华文细黑" w:hAnsi="华文细黑" w:cs="华文细黑" w:eastAsia="华文细黑" w:hint="default"/>
        </w:rPr>
        <w:t>1</w:t>
      </w:r>
      <w:r>
        <w:rPr/>
        <w:t>日起至</w:t>
      </w:r>
      <w:r>
        <w:rPr>
          <w:rFonts w:ascii="华文细黑" w:hAnsi="华文细黑" w:cs="华文细黑" w:eastAsia="华文细黑" w:hint="default"/>
        </w:rPr>
        <w:t>2019</w:t>
      </w:r>
      <w:r>
        <w:rPr/>
        <w:t>年</w:t>
      </w:r>
      <w:r>
        <w:rPr>
          <w:rFonts w:ascii="华文细黑" w:hAnsi="华文细黑" w:cs="华文细黑" w:eastAsia="华文细黑" w:hint="default"/>
        </w:rPr>
        <w:t>1</w:t>
      </w:r>
      <w:r>
        <w:rPr/>
        <w:t>月</w:t>
      </w:r>
      <w:r>
        <w:rPr>
          <w:rFonts w:ascii="华文细黑" w:hAnsi="华文细黑" w:cs="华文细黑" w:eastAsia="华文细黑" w:hint="default"/>
        </w:rPr>
        <w:t>1</w:t>
      </w:r>
      <w:r>
        <w:rPr/>
        <w:t>日按照（财会</w:t>
      </w:r>
      <w:r>
        <w:rPr>
          <w:rFonts w:ascii="华文细黑" w:hAnsi="华文细黑" w:cs="华文细黑" w:eastAsia="华文细黑" w:hint="default"/>
        </w:rPr>
        <w:t>[2018]15</w:t>
      </w:r>
      <w:r>
        <w:rPr/>
        <w:t>号）一般企业财务报表格</w:t>
      </w:r>
      <w:r>
        <w:rPr>
          <w:spacing w:val="1"/>
        </w:rPr>
        <w:t> </w:t>
      </w:r>
      <w:r>
        <w:rPr>
          <w:spacing w:val="-1"/>
        </w:rPr>
        <w:t>式（适用于尚未执行新金融准则和新收入准则的企业）的要求编制财务报表。此项会计政策变更仅对财务</w:t>
      </w:r>
      <w:r>
        <w:rPr/>
        <w:t> 报表格式和报表项目列报产生影响，对公司</w:t>
      </w:r>
      <w:r>
        <w:rPr>
          <w:rFonts w:ascii="华文细黑" w:hAnsi="华文细黑" w:cs="华文细黑" w:eastAsia="华文细黑" w:hint="default"/>
        </w:rPr>
        <w:t>2018</w:t>
      </w:r>
      <w:r>
        <w:rPr/>
        <w:t>年度财务状况、经营成果和现金流量不会产生重大影响。</w:t>
      </w:r>
    </w:p>
    <w:p>
      <w:pPr>
        <w:spacing w:line="240" w:lineRule="auto" w:before="13"/>
        <w:rPr>
          <w:rFonts w:ascii="华文细黑" w:hAnsi="华文细黑" w:cs="华文细黑" w:eastAsia="华文细黑" w:hint="default"/>
          <w:sz w:val="13"/>
          <w:szCs w:val="13"/>
        </w:rPr>
      </w:pPr>
    </w:p>
    <w:p>
      <w:pPr>
        <w:pStyle w:val="BodyText"/>
        <w:spacing w:line="379" w:lineRule="auto"/>
        <w:ind w:left="154" w:right="1110" w:firstLine="420"/>
        <w:jc w:val="both"/>
      </w:pPr>
      <w:r>
        <w:rPr>
          <w:spacing w:val="-2"/>
        </w:rPr>
        <w:t>公司自</w:t>
      </w:r>
      <w:r>
        <w:rPr>
          <w:rFonts w:ascii="华文细黑" w:hAnsi="华文细黑" w:cs="华文细黑" w:eastAsia="华文细黑" w:hint="default"/>
          <w:spacing w:val="-2"/>
        </w:rPr>
        <w:t>2019</w:t>
      </w:r>
      <w:r>
        <w:rPr>
          <w:spacing w:val="-2"/>
        </w:rPr>
        <w:t>年</w:t>
      </w:r>
      <w:r>
        <w:rPr>
          <w:rFonts w:ascii="华文细黑" w:hAnsi="华文细黑" w:cs="华文细黑" w:eastAsia="华文细黑" w:hint="default"/>
          <w:spacing w:val="-2"/>
        </w:rPr>
        <w:t>1</w:t>
      </w:r>
      <w:r>
        <w:rPr>
          <w:spacing w:val="-2"/>
        </w:rPr>
        <w:t>月</w:t>
      </w:r>
      <w:r>
        <w:rPr>
          <w:rFonts w:ascii="华文细黑" w:hAnsi="华文细黑" w:cs="华文细黑" w:eastAsia="华文细黑" w:hint="default"/>
          <w:spacing w:val="-2"/>
        </w:rPr>
        <w:t>1</w:t>
      </w:r>
      <w:r>
        <w:rPr>
          <w:spacing w:val="-2"/>
        </w:rPr>
        <w:t>日起实行新金融工具准则，并按照一般企业财务报表格式（适用于已执行新金融准</w:t>
      </w:r>
      <w:r>
        <w:rPr/>
        <w:t> </w:t>
      </w:r>
      <w:r>
        <w:rPr>
          <w:spacing w:val="-1"/>
        </w:rPr>
        <w:t>则或新收入准则的企业）的要求编制财务报表。按照新金融工具准则规定，公司以持有金融资产的“业务</w:t>
      </w:r>
      <w:r>
        <w:rPr>
          <w:spacing w:val="-34"/>
        </w:rPr>
        <w:t> </w:t>
      </w:r>
      <w:r>
        <w:rPr>
          <w:spacing w:val="-34"/>
        </w:rPr>
      </w:r>
      <w:r>
        <w:rPr>
          <w:spacing w:val="-1"/>
        </w:rPr>
        <w:t>模式”和“金融资产合同现金流量特征”作为判断依据，对金融工具进行分类和计量（含减值），将金融</w:t>
      </w:r>
      <w:r>
        <w:rPr>
          <w:spacing w:val="-41"/>
        </w:rPr>
        <w:t> </w:t>
      </w:r>
      <w:r>
        <w:rPr>
          <w:spacing w:val="-41"/>
        </w:rPr>
      </w:r>
      <w:r>
        <w:rPr>
          <w:spacing w:val="-1"/>
        </w:rPr>
        <w:t>资产减值会计处理由“已发生损失法”修改为“预期损失法”，金融工具原账面价值和在本准则施行日的</w:t>
      </w:r>
      <w:r>
        <w:rPr>
          <w:spacing w:val="-41"/>
        </w:rPr>
        <w:t> </w:t>
      </w:r>
      <w:r>
        <w:rPr>
          <w:spacing w:val="-41"/>
        </w:rPr>
      </w:r>
      <w:r>
        <w:rPr>
          <w:spacing w:val="-2"/>
        </w:rPr>
        <w:t>新账面价值之间的差额，计入</w:t>
      </w:r>
      <w:r>
        <w:rPr>
          <w:rFonts w:ascii="华文细黑" w:hAnsi="华文细黑" w:cs="华文细黑" w:eastAsia="华文细黑" w:hint="default"/>
          <w:spacing w:val="-2"/>
        </w:rPr>
        <w:t>2019</w:t>
      </w:r>
      <w:r>
        <w:rPr>
          <w:spacing w:val="-2"/>
        </w:rPr>
        <w:t>年度期初留存收益或其他综合收益。同时，按照（财会</w:t>
      </w:r>
      <w:r>
        <w:rPr>
          <w:rFonts w:ascii="华文细黑" w:hAnsi="华文细黑" w:cs="华文细黑" w:eastAsia="华文细黑" w:hint="default"/>
          <w:spacing w:val="-2"/>
        </w:rPr>
        <w:t>[2018]15</w:t>
      </w:r>
      <w:r>
        <w:rPr>
          <w:spacing w:val="-2"/>
        </w:rPr>
        <w:t>号）一</w:t>
      </w:r>
      <w:r>
        <w:rPr>
          <w:spacing w:val="-24"/>
        </w:rPr>
        <w:t> </w:t>
      </w:r>
      <w:r>
        <w:rPr>
          <w:spacing w:val="-24"/>
        </w:rPr>
      </w:r>
      <w:r>
        <w:rPr/>
        <w:t>般企业财务报表格式（适用于已执行新金融准则或新收入准则的企业）准则规定调整公司财务报表格式。 以上会计政策变更不会对公司财务状况、经营成果和现金流量产生重大影响。</w:t>
      </w:r>
    </w:p>
    <w:p>
      <w:pPr>
        <w:spacing w:line="240" w:lineRule="auto" w:before="1"/>
        <w:rPr>
          <w:rFonts w:ascii="华文细黑" w:hAnsi="华文细黑" w:cs="华文细黑" w:eastAsia="华文细黑" w:hint="default"/>
          <w:sz w:val="24"/>
          <w:szCs w:val="24"/>
        </w:rPr>
      </w:pPr>
    </w:p>
    <w:p>
      <w:pPr>
        <w:pStyle w:val="Heading2"/>
        <w:spacing w:line="240" w:lineRule="auto"/>
        <w:ind w:left="154" w:right="1217"/>
        <w:jc w:val="left"/>
        <w:rPr>
          <w:b w:val="0"/>
          <w:bCs w:val="0"/>
        </w:rPr>
      </w:pPr>
      <w:bookmarkStart w:name="七、报告期内发生重大会计差错更正需追溯重述的情况说明" w:id="99"/>
      <w:bookmarkEnd w:id="99"/>
      <w:r>
        <w:rPr>
          <w:b w:val="0"/>
          <w:bCs w:val="0"/>
        </w:rPr>
      </w:r>
      <w:r>
        <w:rPr/>
        <w:t>七、报告期内发生重大会计差错更正需追溯重述的情况说明</w:t>
      </w:r>
      <w:r>
        <w:rPr>
          <w:b w:val="0"/>
          <w:bCs w:val="0"/>
        </w:rPr>
      </w:r>
    </w:p>
    <w:p>
      <w:pPr>
        <w:spacing w:line="240" w:lineRule="auto" w:before="8"/>
        <w:rPr>
          <w:rFonts w:ascii="华文细黑" w:hAnsi="华文细黑" w:cs="华文细黑" w:eastAsia="华文细黑" w:hint="default"/>
          <w:b/>
          <w:bCs/>
          <w:sz w:val="35"/>
          <w:szCs w:val="35"/>
        </w:rPr>
      </w:pPr>
    </w:p>
    <w:p>
      <w:pPr>
        <w:pStyle w:val="BodyText"/>
        <w:spacing w:line="410" w:lineRule="auto"/>
        <w:ind w:left="154" w:right="5922"/>
        <w:jc w:val="left"/>
      </w:pPr>
      <w:r>
        <w:rPr/>
        <w:t>□ 适用 √</w:t>
      </w:r>
      <w:r>
        <w:rPr>
          <w:spacing w:val="51"/>
        </w:rPr>
        <w:t> </w:t>
      </w:r>
      <w:r>
        <w:rPr/>
        <w:t>不适用</w:t>
      </w:r>
      <w:r>
        <w:rPr/>
        <w:t> 公司报告期无重大会计差错更正需追溯重述的情况。</w:t>
      </w:r>
    </w:p>
    <w:p>
      <w:pPr>
        <w:spacing w:line="240" w:lineRule="auto" w:before="14"/>
        <w:rPr>
          <w:rFonts w:ascii="华文细黑" w:hAnsi="华文细黑" w:cs="华文细黑" w:eastAsia="华文细黑" w:hint="default"/>
          <w:sz w:val="21"/>
          <w:szCs w:val="21"/>
        </w:rPr>
      </w:pPr>
    </w:p>
    <w:p>
      <w:pPr>
        <w:pStyle w:val="Heading2"/>
        <w:spacing w:line="240" w:lineRule="auto"/>
        <w:ind w:left="154" w:right="1217"/>
        <w:jc w:val="left"/>
        <w:rPr>
          <w:b w:val="0"/>
          <w:bCs w:val="0"/>
        </w:rPr>
      </w:pPr>
      <w:bookmarkStart w:name="八、与上年度财务报告相比，合并报表范围发生变化的情况说明" w:id="100"/>
      <w:bookmarkEnd w:id="100"/>
      <w:r>
        <w:rPr>
          <w:b w:val="0"/>
          <w:bCs w:val="0"/>
        </w:rPr>
      </w:r>
      <w:r>
        <w:rPr/>
        <w:t>八、与上年度财务报告相比，合并报表范围发生变化的情况说明</w:t>
      </w:r>
      <w:r>
        <w:rPr>
          <w:b w:val="0"/>
          <w:bCs w:val="0"/>
        </w:rPr>
      </w:r>
    </w:p>
    <w:p>
      <w:pPr>
        <w:spacing w:line="240" w:lineRule="auto" w:before="13"/>
        <w:rPr>
          <w:rFonts w:ascii="华文细黑" w:hAnsi="华文细黑" w:cs="华文细黑" w:eastAsia="华文细黑" w:hint="default"/>
          <w:b/>
          <w:bCs/>
          <w:sz w:val="29"/>
          <w:szCs w:val="29"/>
        </w:rPr>
      </w:pPr>
    </w:p>
    <w:p>
      <w:pPr>
        <w:pStyle w:val="BodyText"/>
        <w:spacing w:line="240" w:lineRule="auto"/>
        <w:ind w:left="154" w:right="1217"/>
        <w:jc w:val="left"/>
      </w:pPr>
      <w:r>
        <w:rPr/>
        <w:t>√  适用  □</w:t>
      </w:r>
      <w:r>
        <w:rPr>
          <w:spacing w:val="51"/>
        </w:rPr>
        <w:t> </w:t>
      </w:r>
      <w:r>
        <w:rPr/>
        <w:t>不适用</w:t>
      </w:r>
    </w:p>
    <w:p>
      <w:pPr>
        <w:pStyle w:val="BodyText"/>
        <w:spacing w:line="379" w:lineRule="auto" w:before="133"/>
        <w:ind w:left="154" w:right="0"/>
        <w:jc w:val="left"/>
      </w:pPr>
      <w:r>
        <w:rPr>
          <w:spacing w:val="-2"/>
        </w:rPr>
        <w:t>具体请见本报告“第四节</w:t>
      </w:r>
      <w:r>
        <w:rPr/>
        <w:t> </w:t>
      </w:r>
      <w:r>
        <w:rPr>
          <w:spacing w:val="-3"/>
        </w:rPr>
        <w:t>经营情况分析与讨论”之“二、主营业务分析”</w:t>
      </w:r>
      <w:r>
        <w:rPr/>
        <w:t> </w:t>
      </w:r>
      <w:r>
        <w:rPr>
          <w:spacing w:val="-4"/>
        </w:rPr>
        <w:t>之“</w:t>
      </w:r>
      <w:r>
        <w:rPr>
          <w:rFonts w:ascii="华文细黑" w:hAnsi="华文细黑" w:cs="华文细黑" w:eastAsia="华文细黑" w:hint="default"/>
          <w:spacing w:val="-4"/>
        </w:rPr>
        <w:t>2</w:t>
      </w:r>
      <w:r>
        <w:rPr>
          <w:spacing w:val="-4"/>
        </w:rPr>
        <w:t>、收入与成本”</w:t>
      </w:r>
      <w:r>
        <w:rPr>
          <w:spacing w:val="42"/>
        </w:rPr>
        <w:t> </w:t>
      </w:r>
      <w:r>
        <w:rPr>
          <w:spacing w:val="-25"/>
        </w:rPr>
        <w:t>中“（</w:t>
      </w:r>
      <w:r>
        <w:rPr>
          <w:rFonts w:ascii="华文细黑" w:hAnsi="华文细黑" w:cs="华文细黑" w:eastAsia="华文细黑" w:hint="default"/>
          <w:spacing w:val="-25"/>
        </w:rPr>
        <w:t>6</w:t>
      </w:r>
      <w:r>
        <w:rPr>
          <w:spacing w:val="-25"/>
        </w:rPr>
        <w:t>）</w:t>
      </w:r>
      <w:r>
        <w:rPr/>
        <w:t> 报告期内合并范围是否发生变动”的相关内容。</w:t>
      </w:r>
    </w:p>
    <w:p>
      <w:pPr>
        <w:spacing w:after="0" w:line="379" w:lineRule="auto"/>
        <w:jc w:val="left"/>
        <w:sectPr>
          <w:pgSz w:w="11910" w:h="16840"/>
          <w:pgMar w:header="917" w:footer="1019" w:top="1100" w:bottom="1200" w:left="980" w:right="0"/>
        </w:sectPr>
      </w:pPr>
    </w:p>
    <w:p>
      <w:pPr>
        <w:spacing w:line="240" w:lineRule="auto" w:before="2"/>
        <w:rPr>
          <w:rFonts w:ascii="华文细黑" w:hAnsi="华文细黑" w:cs="华文细黑" w:eastAsia="华文细黑" w:hint="default"/>
          <w:sz w:val="29"/>
          <w:szCs w:val="29"/>
        </w:rPr>
      </w:pPr>
    </w:p>
    <w:p>
      <w:pPr>
        <w:pStyle w:val="Heading2"/>
        <w:spacing w:line="396" w:lineRule="exact"/>
        <w:ind w:right="1023"/>
        <w:jc w:val="left"/>
        <w:rPr>
          <w:b w:val="0"/>
          <w:bCs w:val="0"/>
        </w:rPr>
      </w:pPr>
      <w:bookmarkStart w:name="九、聘任、解聘会计师事务所情况" w:id="101"/>
      <w:bookmarkEnd w:id="101"/>
      <w:r>
        <w:rPr>
          <w:b w:val="0"/>
          <w:bCs w:val="0"/>
        </w:rPr>
      </w:r>
      <w:r>
        <w:rPr/>
        <w:t>九、聘任、解聘会计师事务所情况</w:t>
      </w:r>
      <w:r>
        <w:rPr>
          <w:b w:val="0"/>
          <w:bCs w:val="0"/>
        </w:rPr>
      </w:r>
    </w:p>
    <w:p>
      <w:pPr>
        <w:spacing w:line="240" w:lineRule="auto" w:before="0"/>
        <w:rPr>
          <w:rFonts w:ascii="华文细黑" w:hAnsi="华文细黑" w:cs="华文细黑" w:eastAsia="华文细黑" w:hint="default"/>
          <w:b/>
          <w:bCs/>
          <w:sz w:val="30"/>
          <w:szCs w:val="30"/>
        </w:rPr>
      </w:pPr>
    </w:p>
    <w:p>
      <w:pPr>
        <w:pStyle w:val="BodyText"/>
        <w:spacing w:line="240" w:lineRule="auto"/>
        <w:ind w:left="234" w:right="1023"/>
        <w:jc w:val="left"/>
      </w:pPr>
      <w:r>
        <w:rPr/>
        <w:t>现聘任的会计师事务所</w:t>
      </w:r>
    </w:p>
    <w:p>
      <w:pPr>
        <w:spacing w:line="240" w:lineRule="auto" w:before="11"/>
        <w:rPr>
          <w:rFonts w:ascii="华文细黑" w:hAnsi="华文细黑" w:cs="华文细黑" w:eastAsia="华文细黑" w:hint="default"/>
          <w:sz w:val="5"/>
          <w:szCs w:val="5"/>
        </w:rPr>
      </w:pPr>
    </w:p>
    <w:tbl>
      <w:tblPr>
        <w:tblW w:w="0" w:type="auto"/>
        <w:jc w:val="left"/>
        <w:tblInd w:w="117" w:type="dxa"/>
        <w:tblLayout w:type="fixed"/>
        <w:tblCellMar>
          <w:top w:w="0" w:type="dxa"/>
          <w:left w:w="0" w:type="dxa"/>
          <w:bottom w:w="0" w:type="dxa"/>
          <w:right w:w="0" w:type="dxa"/>
        </w:tblCellMar>
        <w:tblLook w:val="01E0"/>
      </w:tblPr>
      <w:tblGrid>
        <w:gridCol w:w="4791"/>
        <w:gridCol w:w="4778"/>
      </w:tblGrid>
      <w:tr>
        <w:trPr>
          <w:trHeight w:val="403" w:hRule="exact"/>
        </w:trPr>
        <w:tc>
          <w:tcPr>
            <w:tcW w:w="479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境内会计师事务所名称</w:t>
            </w:r>
          </w:p>
        </w:tc>
        <w:tc>
          <w:tcPr>
            <w:tcW w:w="477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瑞华会计师事务所（特殊普通合伙）</w:t>
            </w:r>
          </w:p>
        </w:tc>
      </w:tr>
      <w:tr>
        <w:trPr>
          <w:trHeight w:val="402" w:hRule="exact"/>
        </w:trPr>
        <w:tc>
          <w:tcPr>
            <w:tcW w:w="479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境内会计师事务所报酬（万元）</w:t>
            </w:r>
          </w:p>
        </w:tc>
        <w:tc>
          <w:tcPr>
            <w:tcW w:w="477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90</w:t>
            </w:r>
          </w:p>
        </w:tc>
      </w:tr>
      <w:tr>
        <w:trPr>
          <w:trHeight w:val="402" w:hRule="exact"/>
        </w:trPr>
        <w:tc>
          <w:tcPr>
            <w:tcW w:w="479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境内会计师事务所审计服务的连续年限</w:t>
            </w:r>
          </w:p>
        </w:tc>
        <w:tc>
          <w:tcPr>
            <w:tcW w:w="477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w:t>
            </w:r>
          </w:p>
        </w:tc>
      </w:tr>
      <w:tr>
        <w:trPr>
          <w:trHeight w:val="402" w:hRule="exact"/>
        </w:trPr>
        <w:tc>
          <w:tcPr>
            <w:tcW w:w="479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境内会计师事务所注册会计师姓名</w:t>
            </w:r>
          </w:p>
        </w:tc>
        <w:tc>
          <w:tcPr>
            <w:tcW w:w="477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邓登峰、廖晓鸿</w:t>
            </w:r>
          </w:p>
        </w:tc>
      </w:tr>
      <w:tr>
        <w:trPr>
          <w:trHeight w:val="403" w:hRule="exact"/>
        </w:trPr>
        <w:tc>
          <w:tcPr>
            <w:tcW w:w="479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境内会计师事务所注册会计师审计服务的连续年限</w:t>
            </w:r>
          </w:p>
        </w:tc>
        <w:tc>
          <w:tcPr>
            <w:tcW w:w="477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w:t>
            </w:r>
          </w:p>
        </w:tc>
      </w:tr>
    </w:tbl>
    <w:p>
      <w:pPr>
        <w:spacing w:line="240" w:lineRule="auto" w:before="11"/>
        <w:rPr>
          <w:rFonts w:ascii="华文细黑" w:hAnsi="华文细黑" w:cs="华文细黑" w:eastAsia="华文细黑" w:hint="default"/>
          <w:sz w:val="5"/>
          <w:szCs w:val="5"/>
        </w:rPr>
      </w:pPr>
    </w:p>
    <w:p>
      <w:pPr>
        <w:pStyle w:val="BodyText"/>
        <w:spacing w:line="240" w:lineRule="auto" w:before="10"/>
        <w:ind w:left="234" w:right="1023"/>
        <w:jc w:val="left"/>
      </w:pPr>
      <w:r>
        <w:rPr/>
        <w:t>当期是否改聘会计师事务所</w:t>
      </w:r>
    </w:p>
    <w:p>
      <w:pPr>
        <w:spacing w:line="240" w:lineRule="auto" w:before="13"/>
        <w:rPr>
          <w:rFonts w:ascii="华文细黑" w:hAnsi="华文细黑" w:cs="华文细黑" w:eastAsia="华文细黑" w:hint="default"/>
          <w:sz w:val="14"/>
          <w:szCs w:val="14"/>
        </w:rPr>
      </w:pPr>
    </w:p>
    <w:p>
      <w:pPr>
        <w:pStyle w:val="BodyText"/>
        <w:spacing w:line="412" w:lineRule="auto"/>
        <w:ind w:left="234" w:right="5502"/>
        <w:jc w:val="left"/>
      </w:pPr>
      <w:r>
        <w:rPr/>
        <w:t>□ 是 √ 否 聘请内部控制审计会计师事务所、财务顾问或保荐人情况</w:t>
      </w:r>
    </w:p>
    <w:p>
      <w:pPr>
        <w:pStyle w:val="BodyText"/>
        <w:spacing w:line="240" w:lineRule="auto" w:before="48"/>
        <w:ind w:left="234" w:right="1023"/>
        <w:jc w:val="left"/>
      </w:pPr>
      <w:r>
        <w:rPr/>
        <w:t>□  适用  √</w:t>
      </w:r>
      <w:r>
        <w:rPr>
          <w:spacing w:val="51"/>
        </w:rPr>
        <w:t> </w:t>
      </w:r>
      <w:r>
        <w:rPr/>
        <w:t>不适用</w:t>
      </w:r>
    </w:p>
    <w:p>
      <w:pPr>
        <w:spacing w:line="240" w:lineRule="auto" w:before="0"/>
        <w:rPr>
          <w:rFonts w:ascii="华文细黑" w:hAnsi="华文细黑" w:cs="华文细黑" w:eastAsia="华文细黑" w:hint="default"/>
          <w:sz w:val="20"/>
          <w:szCs w:val="20"/>
        </w:rPr>
      </w:pPr>
    </w:p>
    <w:p>
      <w:pPr>
        <w:spacing w:line="240" w:lineRule="auto" w:before="4"/>
        <w:rPr>
          <w:rFonts w:ascii="华文细黑" w:hAnsi="华文细黑" w:cs="华文细黑" w:eastAsia="华文细黑" w:hint="default"/>
          <w:sz w:val="13"/>
          <w:szCs w:val="13"/>
        </w:rPr>
      </w:pPr>
    </w:p>
    <w:p>
      <w:pPr>
        <w:pStyle w:val="Heading2"/>
        <w:spacing w:line="240" w:lineRule="auto"/>
        <w:ind w:right="1023"/>
        <w:jc w:val="left"/>
        <w:rPr>
          <w:b w:val="0"/>
          <w:bCs w:val="0"/>
        </w:rPr>
      </w:pPr>
      <w:bookmarkStart w:name="十、年度报告披露后面临暂停上市和终止上市情况" w:id="102"/>
      <w:bookmarkEnd w:id="102"/>
      <w:r>
        <w:rPr>
          <w:b w:val="0"/>
          <w:bCs w:val="0"/>
        </w:rPr>
      </w:r>
      <w:r>
        <w:rPr/>
        <w:t>十、年度报告披露后面临暂停上市和终止上市情况</w:t>
      </w:r>
      <w:r>
        <w:rPr>
          <w:b w:val="0"/>
          <w:bCs w:val="0"/>
        </w:rPr>
      </w:r>
    </w:p>
    <w:p>
      <w:pPr>
        <w:spacing w:line="240" w:lineRule="auto" w:before="0"/>
        <w:rPr>
          <w:rFonts w:ascii="华文细黑" w:hAnsi="华文细黑" w:cs="华文细黑" w:eastAsia="华文细黑" w:hint="default"/>
          <w:b/>
          <w:bCs/>
          <w:sz w:val="30"/>
          <w:szCs w:val="30"/>
        </w:rPr>
      </w:pPr>
    </w:p>
    <w:p>
      <w:pPr>
        <w:pStyle w:val="BodyText"/>
        <w:spacing w:line="240" w:lineRule="auto"/>
        <w:ind w:left="234" w:right="1023"/>
        <w:jc w:val="left"/>
      </w:pPr>
      <w:r>
        <w:rPr/>
        <w:t>□  适用  √</w:t>
      </w:r>
      <w:r>
        <w:rPr>
          <w:spacing w:val="51"/>
        </w:rPr>
        <w:t> </w:t>
      </w:r>
      <w:r>
        <w:rPr/>
        <w:t>不适用</w:t>
      </w:r>
    </w:p>
    <w:p>
      <w:pPr>
        <w:spacing w:line="240" w:lineRule="auto" w:before="11"/>
        <w:rPr>
          <w:rFonts w:ascii="华文细黑" w:hAnsi="华文细黑" w:cs="华文细黑" w:eastAsia="华文细黑" w:hint="default"/>
          <w:sz w:val="27"/>
          <w:szCs w:val="27"/>
        </w:rPr>
      </w:pPr>
    </w:p>
    <w:p>
      <w:pPr>
        <w:pStyle w:val="Heading2"/>
        <w:spacing w:line="240" w:lineRule="auto"/>
        <w:ind w:right="1023"/>
        <w:jc w:val="left"/>
        <w:rPr>
          <w:b w:val="0"/>
          <w:bCs w:val="0"/>
        </w:rPr>
      </w:pPr>
      <w:bookmarkStart w:name="十一、破产重整相关事项" w:id="103"/>
      <w:bookmarkEnd w:id="103"/>
      <w:r>
        <w:rPr>
          <w:b w:val="0"/>
          <w:bCs w:val="0"/>
        </w:rPr>
      </w:r>
      <w:r>
        <w:rPr/>
        <w:t>十一、破产重整相关事项</w:t>
      </w:r>
      <w:r>
        <w:rPr>
          <w:b w:val="0"/>
          <w:bCs w:val="0"/>
        </w:rPr>
      </w:r>
    </w:p>
    <w:p>
      <w:pPr>
        <w:spacing w:line="240" w:lineRule="auto" w:before="8"/>
        <w:rPr>
          <w:rFonts w:ascii="华文细黑" w:hAnsi="华文细黑" w:cs="华文细黑" w:eastAsia="华文细黑" w:hint="default"/>
          <w:b/>
          <w:bCs/>
          <w:sz w:val="35"/>
          <w:szCs w:val="35"/>
        </w:rPr>
      </w:pPr>
    </w:p>
    <w:p>
      <w:pPr>
        <w:pStyle w:val="BodyText"/>
        <w:spacing w:line="410" w:lineRule="auto"/>
        <w:ind w:left="234" w:right="7182"/>
        <w:jc w:val="left"/>
      </w:pPr>
      <w:r>
        <w:rPr/>
        <w:t>□ 适用 √</w:t>
      </w:r>
      <w:r>
        <w:rPr>
          <w:spacing w:val="51"/>
        </w:rPr>
        <w:t> </w:t>
      </w:r>
      <w:r>
        <w:rPr/>
        <w:t>不适用</w:t>
      </w:r>
      <w:r>
        <w:rPr/>
        <w:t> 公司报告期未发生破产重整相关事项。</w:t>
      </w:r>
    </w:p>
    <w:p>
      <w:pPr>
        <w:spacing w:line="240" w:lineRule="auto" w:before="14"/>
        <w:rPr>
          <w:rFonts w:ascii="华文细黑" w:hAnsi="华文细黑" w:cs="华文细黑" w:eastAsia="华文细黑" w:hint="default"/>
          <w:sz w:val="21"/>
          <w:szCs w:val="21"/>
        </w:rPr>
      </w:pPr>
    </w:p>
    <w:p>
      <w:pPr>
        <w:pStyle w:val="Heading2"/>
        <w:spacing w:line="240" w:lineRule="auto"/>
        <w:ind w:right="1023"/>
        <w:jc w:val="left"/>
        <w:rPr>
          <w:b w:val="0"/>
          <w:bCs w:val="0"/>
        </w:rPr>
      </w:pPr>
      <w:bookmarkStart w:name="十二、重大诉讼、仲裁事项" w:id="104"/>
      <w:bookmarkEnd w:id="104"/>
      <w:r>
        <w:rPr>
          <w:b w:val="0"/>
          <w:bCs w:val="0"/>
        </w:rPr>
      </w:r>
      <w:r>
        <w:rPr/>
        <w:t>十二、重大诉讼、仲裁事项</w:t>
      </w:r>
      <w:r>
        <w:rPr>
          <w:b w:val="0"/>
          <w:bCs w:val="0"/>
        </w:rPr>
      </w:r>
    </w:p>
    <w:p>
      <w:pPr>
        <w:spacing w:line="240" w:lineRule="auto" w:before="13"/>
        <w:rPr>
          <w:rFonts w:ascii="华文细黑" w:hAnsi="华文细黑" w:cs="华文细黑" w:eastAsia="华文细黑" w:hint="default"/>
          <w:b/>
          <w:bCs/>
          <w:sz w:val="29"/>
          <w:szCs w:val="29"/>
        </w:rPr>
      </w:pPr>
    </w:p>
    <w:p>
      <w:pPr>
        <w:pStyle w:val="BodyText"/>
        <w:spacing w:line="240" w:lineRule="auto"/>
        <w:ind w:left="234" w:right="1023"/>
        <w:jc w:val="left"/>
      </w:pPr>
      <w:r>
        <w:rPr/>
        <w:t>√  适用  □</w:t>
      </w:r>
      <w:r>
        <w:rPr>
          <w:spacing w:val="51"/>
        </w:rPr>
        <w:t> </w:t>
      </w:r>
      <w:r>
        <w:rPr/>
        <w:t>不适用</w:t>
      </w:r>
    </w:p>
    <w:p>
      <w:pPr>
        <w:spacing w:line="240" w:lineRule="auto" w:before="12"/>
        <w:rPr>
          <w:rFonts w:ascii="华文细黑" w:hAnsi="华文细黑" w:cs="华文细黑" w:eastAsia="华文细黑" w:hint="default"/>
          <w:sz w:val="5"/>
          <w:szCs w:val="5"/>
        </w:rPr>
      </w:pPr>
    </w:p>
    <w:tbl>
      <w:tblPr>
        <w:tblW w:w="0" w:type="auto"/>
        <w:jc w:val="left"/>
        <w:tblInd w:w="208" w:type="dxa"/>
        <w:tblLayout w:type="fixed"/>
        <w:tblCellMar>
          <w:top w:w="0" w:type="dxa"/>
          <w:left w:w="0" w:type="dxa"/>
          <w:bottom w:w="0" w:type="dxa"/>
          <w:right w:w="0" w:type="dxa"/>
        </w:tblCellMar>
        <w:tblLook w:val="01E0"/>
      </w:tblPr>
      <w:tblGrid>
        <w:gridCol w:w="1637"/>
        <w:gridCol w:w="780"/>
        <w:gridCol w:w="824"/>
        <w:gridCol w:w="1017"/>
        <w:gridCol w:w="2073"/>
        <w:gridCol w:w="1227"/>
        <w:gridCol w:w="1053"/>
        <w:gridCol w:w="946"/>
      </w:tblGrid>
      <w:tr>
        <w:trPr>
          <w:trHeight w:val="161" w:hRule="exact"/>
        </w:trPr>
        <w:tc>
          <w:tcPr>
            <w:tcW w:w="1637" w:type="dxa"/>
            <w:tcBorders>
              <w:top w:val="single" w:sz="4" w:space="0" w:color="FFC000"/>
              <w:left w:val="single" w:sz="4" w:space="0" w:color="FFC000"/>
              <w:bottom w:val="nil" w:sz="6" w:space="0" w:color="auto"/>
              <w:right w:val="single" w:sz="4" w:space="0" w:color="FFC000"/>
            </w:tcBorders>
            <w:shd w:val="clear" w:color="auto" w:fill="FCF6E3"/>
          </w:tcPr>
          <w:p>
            <w:pPr/>
          </w:p>
        </w:tc>
        <w:tc>
          <w:tcPr>
            <w:tcW w:w="780" w:type="dxa"/>
            <w:vMerge w:val="restart"/>
            <w:tcBorders>
              <w:top w:val="single" w:sz="4" w:space="0" w:color="FFC000"/>
              <w:left w:val="single" w:sz="4" w:space="0" w:color="FFC000"/>
              <w:right w:val="single" w:sz="4" w:space="0" w:color="FFC000"/>
            </w:tcBorders>
            <w:shd w:val="clear" w:color="auto" w:fill="FCF6E3"/>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涉案金额</w:t>
            </w:r>
          </w:p>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824" w:type="dxa"/>
            <w:vMerge w:val="restart"/>
            <w:tcBorders>
              <w:top w:val="single" w:sz="4" w:space="0" w:color="FFC000"/>
              <w:left w:val="single" w:sz="4" w:space="0" w:color="FFC000"/>
              <w:right w:val="single" w:sz="4" w:space="0" w:color="FFC000"/>
            </w:tcBorders>
            <w:shd w:val="clear" w:color="auto" w:fill="FCF6E3"/>
          </w:tcPr>
          <w:p>
            <w:pPr>
              <w:pStyle w:val="TableParagraph"/>
              <w:spacing w:line="316" w:lineRule="auto" w:before="51"/>
              <w:ind w:left="46" w:right="47"/>
              <w:jc w:val="left"/>
              <w:rPr>
                <w:rFonts w:ascii="宋体" w:hAnsi="宋体" w:cs="宋体" w:eastAsia="宋体" w:hint="default"/>
                <w:sz w:val="18"/>
                <w:szCs w:val="18"/>
              </w:rPr>
            </w:pPr>
            <w:r>
              <w:rPr>
                <w:rFonts w:ascii="宋体" w:hAnsi="宋体" w:cs="宋体" w:eastAsia="宋体" w:hint="default"/>
                <w:sz w:val="18"/>
                <w:szCs w:val="18"/>
              </w:rPr>
              <w:t>是否形成 预计负债</w:t>
            </w:r>
          </w:p>
        </w:tc>
        <w:tc>
          <w:tcPr>
            <w:tcW w:w="1017" w:type="dxa"/>
            <w:vMerge w:val="restart"/>
            <w:tcBorders>
              <w:top w:val="single" w:sz="4" w:space="0" w:color="FFC000"/>
              <w:left w:val="single" w:sz="4" w:space="0" w:color="FFC000"/>
              <w:right w:val="single" w:sz="4" w:space="0" w:color="FFC000"/>
            </w:tcBorders>
            <w:shd w:val="clear" w:color="auto" w:fill="FCF6E3"/>
          </w:tcPr>
          <w:p>
            <w:pPr>
              <w:pStyle w:val="TableParagraph"/>
              <w:spacing w:line="300" w:lineRule="auto" w:before="51"/>
              <w:ind w:left="316" w:right="88" w:hanging="24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 </w:t>
            </w:r>
            <w:r>
              <w:rPr>
                <w:rFonts w:ascii="宋体" w:hAnsi="宋体" w:cs="宋体" w:eastAsia="宋体" w:hint="default"/>
                <w:sz w:val="18"/>
                <w:szCs w:val="18"/>
              </w:rPr>
              <w:t>进展</w:t>
            </w:r>
          </w:p>
        </w:tc>
        <w:tc>
          <w:tcPr>
            <w:tcW w:w="2073" w:type="dxa"/>
            <w:vMerge w:val="restart"/>
            <w:tcBorders>
              <w:top w:val="single" w:sz="4" w:space="0" w:color="FFC000"/>
              <w:left w:val="single" w:sz="4" w:space="0" w:color="FFC000"/>
              <w:right w:val="single" w:sz="4" w:space="0" w:color="FFC000"/>
            </w:tcBorders>
            <w:shd w:val="clear" w:color="auto" w:fill="FCF6E3"/>
          </w:tcPr>
          <w:p>
            <w:pPr>
              <w:pStyle w:val="TableParagraph"/>
              <w:spacing w:line="300" w:lineRule="auto" w:before="51"/>
              <w:ind w:left="935" w:right="77" w:hanging="87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审理结果及影 响</w:t>
            </w:r>
          </w:p>
        </w:tc>
        <w:tc>
          <w:tcPr>
            <w:tcW w:w="1227" w:type="dxa"/>
            <w:vMerge w:val="restart"/>
            <w:tcBorders>
              <w:top w:val="nil" w:sz="6" w:space="0" w:color="auto"/>
              <w:left w:val="single" w:sz="4" w:space="0" w:color="FFC000"/>
              <w:right w:val="single" w:sz="4" w:space="0" w:color="FFC000"/>
            </w:tcBorders>
            <w:shd w:val="clear" w:color="auto" w:fill="FCF6E3"/>
          </w:tcPr>
          <w:p>
            <w:pPr>
              <w:pStyle w:val="TableParagraph"/>
              <w:spacing w:line="300" w:lineRule="auto" w:before="51"/>
              <w:ind w:left="152" w:right="103" w:hanging="6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判 决执行情况</w:t>
            </w:r>
          </w:p>
        </w:tc>
        <w:tc>
          <w:tcPr>
            <w:tcW w:w="1053" w:type="dxa"/>
            <w:tcBorders>
              <w:top w:val="single" w:sz="4" w:space="0" w:color="FFC000"/>
              <w:left w:val="single" w:sz="4" w:space="0" w:color="FFC000"/>
              <w:bottom w:val="nil" w:sz="6" w:space="0" w:color="auto"/>
              <w:right w:val="single" w:sz="4" w:space="0" w:color="FFC000"/>
            </w:tcBorders>
            <w:shd w:val="clear" w:color="auto" w:fill="FCF6E3"/>
          </w:tcPr>
          <w:p>
            <w:pPr/>
          </w:p>
        </w:tc>
        <w:tc>
          <w:tcPr>
            <w:tcW w:w="946" w:type="dxa"/>
            <w:tcBorders>
              <w:top w:val="single" w:sz="4" w:space="0" w:color="FFC000"/>
              <w:left w:val="single" w:sz="4" w:space="0" w:color="FFC000"/>
              <w:bottom w:val="nil" w:sz="6" w:space="0" w:color="auto"/>
              <w:right w:val="single" w:sz="4" w:space="0" w:color="FFC000"/>
            </w:tcBorders>
            <w:shd w:val="clear" w:color="auto" w:fill="FCF6E3"/>
          </w:tcPr>
          <w:p>
            <w:pPr/>
          </w:p>
        </w:tc>
      </w:tr>
      <w:tr>
        <w:trPr>
          <w:trHeight w:val="392" w:hRule="exact"/>
        </w:trPr>
        <w:tc>
          <w:tcPr>
            <w:tcW w:w="1637" w:type="dxa"/>
            <w:tcBorders>
              <w:top w:val="nil" w:sz="6" w:space="0" w:color="auto"/>
              <w:left w:val="single" w:sz="4" w:space="0" w:color="FFC000"/>
              <w:bottom w:val="nil" w:sz="6" w:space="0" w:color="auto"/>
              <w:right w:val="single" w:sz="4" w:space="0" w:color="FFC000"/>
            </w:tcBorders>
            <w:shd w:val="clear" w:color="auto" w:fill="FCF6E3"/>
          </w:tcPr>
          <w:p>
            <w:pPr>
              <w:pStyle w:val="TableParagraph"/>
              <w:spacing w:line="240" w:lineRule="auto" w:before="51"/>
              <w:ind w:left="27" w:right="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基本情况</w:t>
            </w:r>
          </w:p>
        </w:tc>
        <w:tc>
          <w:tcPr>
            <w:tcW w:w="780" w:type="dxa"/>
            <w:vMerge/>
            <w:tcBorders>
              <w:left w:val="single" w:sz="4" w:space="0" w:color="FFC000"/>
              <w:right w:val="single" w:sz="4" w:space="0" w:color="FFC000"/>
            </w:tcBorders>
            <w:shd w:val="clear" w:color="auto" w:fill="FCF6E3"/>
          </w:tcPr>
          <w:p>
            <w:pPr/>
          </w:p>
        </w:tc>
        <w:tc>
          <w:tcPr>
            <w:tcW w:w="824" w:type="dxa"/>
            <w:vMerge/>
            <w:tcBorders>
              <w:left w:val="single" w:sz="4" w:space="0" w:color="FFC000"/>
              <w:right w:val="single" w:sz="4" w:space="0" w:color="FFC000"/>
            </w:tcBorders>
            <w:shd w:val="clear" w:color="auto" w:fill="FCF6E3"/>
          </w:tcPr>
          <w:p>
            <w:pPr/>
          </w:p>
        </w:tc>
        <w:tc>
          <w:tcPr>
            <w:tcW w:w="1017" w:type="dxa"/>
            <w:vMerge/>
            <w:tcBorders>
              <w:left w:val="single" w:sz="4" w:space="0" w:color="FFC000"/>
              <w:right w:val="single" w:sz="4" w:space="0" w:color="FFC000"/>
            </w:tcBorders>
            <w:shd w:val="clear" w:color="auto" w:fill="FCF6E3"/>
          </w:tcPr>
          <w:p>
            <w:pPr/>
          </w:p>
        </w:tc>
        <w:tc>
          <w:tcPr>
            <w:tcW w:w="2073" w:type="dxa"/>
            <w:vMerge/>
            <w:tcBorders>
              <w:left w:val="single" w:sz="4" w:space="0" w:color="FFC000"/>
              <w:right w:val="single" w:sz="4" w:space="0" w:color="FFC000"/>
            </w:tcBorders>
            <w:shd w:val="clear" w:color="auto" w:fill="FCF6E3"/>
          </w:tcPr>
          <w:p>
            <w:pPr/>
          </w:p>
        </w:tc>
        <w:tc>
          <w:tcPr>
            <w:tcW w:w="1227" w:type="dxa"/>
            <w:vMerge/>
            <w:tcBorders>
              <w:left w:val="single" w:sz="4" w:space="0" w:color="FFC000"/>
              <w:right w:val="single" w:sz="4" w:space="0" w:color="FFC000"/>
            </w:tcBorders>
            <w:shd w:val="clear" w:color="auto" w:fill="FCF6E3"/>
          </w:tcPr>
          <w:p>
            <w:pPr/>
          </w:p>
        </w:tc>
        <w:tc>
          <w:tcPr>
            <w:tcW w:w="1053" w:type="dxa"/>
            <w:tcBorders>
              <w:top w:val="nil" w:sz="6" w:space="0" w:color="auto"/>
              <w:left w:val="single" w:sz="4" w:space="0" w:color="FFC000"/>
              <w:bottom w:val="nil" w:sz="6" w:space="0" w:color="auto"/>
              <w:right w:val="single" w:sz="4" w:space="0" w:color="FFC000"/>
            </w:tcBorders>
            <w:shd w:val="clear" w:color="auto" w:fill="FCF6E3"/>
          </w:tcPr>
          <w:p>
            <w:pPr>
              <w:pStyle w:val="TableParagraph"/>
              <w:spacing w:line="240" w:lineRule="auto" w:before="51"/>
              <w:ind w:left="155"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946" w:type="dxa"/>
            <w:tcBorders>
              <w:top w:val="nil" w:sz="6" w:space="0" w:color="auto"/>
              <w:left w:val="single" w:sz="4" w:space="0" w:color="FFC000"/>
              <w:bottom w:val="nil" w:sz="6" w:space="0" w:color="auto"/>
              <w:right w:val="single" w:sz="4" w:space="0" w:color="FFC000"/>
            </w:tcBorders>
            <w:shd w:val="clear" w:color="auto" w:fill="FCF6E3"/>
          </w:tcPr>
          <w:p>
            <w:pPr>
              <w:pStyle w:val="TableParagraph"/>
              <w:spacing w:line="240" w:lineRule="auto" w:before="51"/>
              <w:ind w:left="106"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161" w:hRule="exact"/>
        </w:trPr>
        <w:tc>
          <w:tcPr>
            <w:tcW w:w="1637" w:type="dxa"/>
            <w:tcBorders>
              <w:top w:val="nil" w:sz="6" w:space="0" w:color="auto"/>
              <w:left w:val="single" w:sz="4" w:space="0" w:color="FFC000"/>
              <w:bottom w:val="single" w:sz="4" w:space="0" w:color="FFC000"/>
              <w:right w:val="single" w:sz="4" w:space="0" w:color="FFC000"/>
            </w:tcBorders>
            <w:shd w:val="clear" w:color="auto" w:fill="FCF6E3"/>
          </w:tcPr>
          <w:p>
            <w:pPr/>
          </w:p>
        </w:tc>
        <w:tc>
          <w:tcPr>
            <w:tcW w:w="780" w:type="dxa"/>
            <w:vMerge/>
            <w:tcBorders>
              <w:left w:val="single" w:sz="4" w:space="0" w:color="FFC000"/>
              <w:bottom w:val="single" w:sz="4" w:space="0" w:color="FFC000"/>
              <w:right w:val="single" w:sz="4" w:space="0" w:color="FFC000"/>
            </w:tcBorders>
            <w:shd w:val="clear" w:color="auto" w:fill="FCF6E3"/>
          </w:tcPr>
          <w:p>
            <w:pPr/>
          </w:p>
        </w:tc>
        <w:tc>
          <w:tcPr>
            <w:tcW w:w="824" w:type="dxa"/>
            <w:vMerge/>
            <w:tcBorders>
              <w:left w:val="single" w:sz="4" w:space="0" w:color="FFC000"/>
              <w:bottom w:val="single" w:sz="4" w:space="0" w:color="FFC000"/>
              <w:right w:val="single" w:sz="4" w:space="0" w:color="FFC000"/>
            </w:tcBorders>
            <w:shd w:val="clear" w:color="auto" w:fill="FCF6E3"/>
          </w:tcPr>
          <w:p>
            <w:pPr/>
          </w:p>
        </w:tc>
        <w:tc>
          <w:tcPr>
            <w:tcW w:w="1017" w:type="dxa"/>
            <w:vMerge/>
            <w:tcBorders>
              <w:left w:val="single" w:sz="4" w:space="0" w:color="FFC000"/>
              <w:bottom w:val="single" w:sz="4" w:space="0" w:color="FFC000"/>
              <w:right w:val="single" w:sz="4" w:space="0" w:color="FFC000"/>
            </w:tcBorders>
            <w:shd w:val="clear" w:color="auto" w:fill="FCF6E3"/>
          </w:tcPr>
          <w:p>
            <w:pPr/>
          </w:p>
        </w:tc>
        <w:tc>
          <w:tcPr>
            <w:tcW w:w="2073" w:type="dxa"/>
            <w:vMerge/>
            <w:tcBorders>
              <w:left w:val="single" w:sz="4" w:space="0" w:color="FFC000"/>
              <w:bottom w:val="single" w:sz="4" w:space="0" w:color="FFC000"/>
              <w:right w:val="single" w:sz="4" w:space="0" w:color="FFC000"/>
            </w:tcBorders>
            <w:shd w:val="clear" w:color="auto" w:fill="FCF6E3"/>
          </w:tcPr>
          <w:p>
            <w:pPr/>
          </w:p>
        </w:tc>
        <w:tc>
          <w:tcPr>
            <w:tcW w:w="1227" w:type="dxa"/>
            <w:vMerge/>
            <w:tcBorders>
              <w:left w:val="single" w:sz="4" w:space="0" w:color="FFC000"/>
              <w:bottom w:val="nil" w:sz="6" w:space="0" w:color="auto"/>
              <w:right w:val="single" w:sz="4" w:space="0" w:color="FFC000"/>
            </w:tcBorders>
            <w:shd w:val="clear" w:color="auto" w:fill="FCF6E3"/>
          </w:tcPr>
          <w:p>
            <w:pPr/>
          </w:p>
        </w:tc>
        <w:tc>
          <w:tcPr>
            <w:tcW w:w="1053" w:type="dxa"/>
            <w:tcBorders>
              <w:top w:val="nil" w:sz="6" w:space="0" w:color="auto"/>
              <w:left w:val="single" w:sz="4" w:space="0" w:color="FFC000"/>
              <w:bottom w:val="single" w:sz="4" w:space="0" w:color="FFC000"/>
              <w:right w:val="single" w:sz="4" w:space="0" w:color="FFC000"/>
            </w:tcBorders>
            <w:shd w:val="clear" w:color="auto" w:fill="FCF6E3"/>
          </w:tcPr>
          <w:p>
            <w:pPr/>
          </w:p>
        </w:tc>
        <w:tc>
          <w:tcPr>
            <w:tcW w:w="946" w:type="dxa"/>
            <w:tcBorders>
              <w:top w:val="nil" w:sz="6" w:space="0" w:color="auto"/>
              <w:left w:val="single" w:sz="4" w:space="0" w:color="FFC000"/>
              <w:bottom w:val="single" w:sz="4" w:space="0" w:color="FFC000"/>
              <w:right w:val="single" w:sz="4" w:space="0" w:color="FFC000"/>
            </w:tcBorders>
            <w:shd w:val="clear" w:color="auto" w:fill="FCF6E3"/>
          </w:tcPr>
          <w:p>
            <w:pPr/>
          </w:p>
        </w:tc>
      </w:tr>
      <w:tr>
        <w:trPr>
          <w:trHeight w:val="629" w:hRule="exact"/>
        </w:trPr>
        <w:tc>
          <w:tcPr>
            <w:tcW w:w="1637" w:type="dxa"/>
            <w:tcBorders>
              <w:top w:val="single" w:sz="4" w:space="0" w:color="FFC000"/>
              <w:left w:val="single" w:sz="4" w:space="0" w:color="FFC000"/>
              <w:bottom w:val="nil" w:sz="6" w:space="0" w:color="auto"/>
              <w:right w:val="single" w:sz="4" w:space="0" w:color="FFC000"/>
            </w:tcBorders>
            <w:shd w:val="clear" w:color="auto" w:fill="FCF6E3"/>
          </w:tcPr>
          <w:p>
            <w:pPr/>
          </w:p>
        </w:tc>
        <w:tc>
          <w:tcPr>
            <w:tcW w:w="780" w:type="dxa"/>
            <w:vMerge w:val="restart"/>
            <w:tcBorders>
              <w:top w:val="single" w:sz="4" w:space="0" w:color="FFC000"/>
              <w:left w:val="single" w:sz="9" w:space="0" w:color="FCF6E3"/>
              <w:right w:val="single" w:sz="9" w:space="0" w:color="FCF6E3"/>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1"/>
              <w:ind w:right="0"/>
              <w:jc w:val="left"/>
              <w:rPr>
                <w:rFonts w:ascii="华文细黑" w:hAnsi="华文细黑" w:cs="华文细黑" w:eastAsia="华文细黑" w:hint="default"/>
                <w:sz w:val="18"/>
                <w:szCs w:val="18"/>
              </w:rPr>
            </w:pPr>
          </w:p>
          <w:p>
            <w:pPr>
              <w:pStyle w:val="TableParagraph"/>
              <w:spacing w:line="240" w:lineRule="auto"/>
              <w:ind w:left="109" w:right="0"/>
              <w:jc w:val="left"/>
              <w:rPr>
                <w:rFonts w:ascii="Times New Roman" w:hAnsi="Times New Roman" w:cs="Times New Roman" w:eastAsia="Times New Roman" w:hint="default"/>
                <w:sz w:val="18"/>
                <w:szCs w:val="18"/>
              </w:rPr>
            </w:pPr>
            <w:r>
              <w:rPr>
                <w:rFonts w:ascii="Times New Roman"/>
                <w:sz w:val="18"/>
              </w:rPr>
              <w:t>6,748.76</w:t>
            </w:r>
          </w:p>
        </w:tc>
        <w:tc>
          <w:tcPr>
            <w:tcW w:w="824" w:type="dxa"/>
            <w:vMerge w:val="restart"/>
            <w:tcBorders>
              <w:top w:val="single" w:sz="4" w:space="0" w:color="FFC000"/>
              <w:left w:val="single" w:sz="4" w:space="0" w:color="FFC000"/>
              <w:right w:val="single" w:sz="4" w:space="0" w:color="FFC000"/>
            </w:tcBorders>
            <w:shd w:val="clear" w:color="auto" w:fill="FCF6E3"/>
          </w:tcPr>
          <w:p>
            <w:pPr/>
          </w:p>
        </w:tc>
        <w:tc>
          <w:tcPr>
            <w:tcW w:w="1017" w:type="dxa"/>
            <w:vMerge w:val="restart"/>
            <w:tcBorders>
              <w:top w:val="single" w:sz="4" w:space="0" w:color="FFC000"/>
              <w:left w:val="single" w:sz="9" w:space="0" w:color="FCF6E3"/>
              <w:right w:val="single" w:sz="9" w:space="0" w:color="FCF6E3"/>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3"/>
              <w:ind w:right="0"/>
              <w:jc w:val="left"/>
              <w:rPr>
                <w:rFonts w:ascii="华文细黑" w:hAnsi="华文细黑" w:cs="华文细黑" w:eastAsia="华文细黑" w:hint="default"/>
                <w:sz w:val="15"/>
                <w:szCs w:val="15"/>
              </w:rPr>
            </w:pPr>
          </w:p>
          <w:p>
            <w:pPr>
              <w:pStyle w:val="TableParagraph"/>
              <w:spacing w:line="240" w:lineRule="auto"/>
              <w:ind w:left="130" w:right="0"/>
              <w:jc w:val="left"/>
              <w:rPr>
                <w:rFonts w:ascii="宋体" w:hAnsi="宋体" w:cs="宋体" w:eastAsia="宋体" w:hint="default"/>
                <w:sz w:val="18"/>
                <w:szCs w:val="18"/>
              </w:rPr>
            </w:pPr>
            <w:r>
              <w:rPr>
                <w:rFonts w:ascii="宋体" w:hAnsi="宋体" w:cs="宋体" w:eastAsia="宋体" w:hint="default"/>
                <w:sz w:val="18"/>
                <w:szCs w:val="18"/>
              </w:rPr>
              <w:t>执行终结</w:t>
            </w:r>
          </w:p>
        </w:tc>
        <w:tc>
          <w:tcPr>
            <w:tcW w:w="2073" w:type="dxa"/>
            <w:tcBorders>
              <w:top w:val="single" w:sz="4" w:space="0" w:color="FFC000"/>
              <w:left w:val="single" w:sz="4" w:space="0" w:color="FFC000"/>
              <w:bottom w:val="nil" w:sz="6" w:space="0" w:color="auto"/>
              <w:right w:val="single" w:sz="4" w:space="0" w:color="FFC000"/>
            </w:tcBorders>
            <w:shd w:val="clear" w:color="auto" w:fill="FCF6E3"/>
          </w:tcPr>
          <w:p>
            <w:pPr/>
          </w:p>
        </w:tc>
        <w:tc>
          <w:tcPr>
            <w:tcW w:w="1227" w:type="dxa"/>
            <w:vMerge w:val="restart"/>
            <w:tcBorders>
              <w:top w:val="single" w:sz="4" w:space="0" w:color="FFC000"/>
              <w:left w:val="single" w:sz="9" w:space="0" w:color="FCF6E3"/>
              <w:right w:val="single" w:sz="9" w:space="0" w:color="FCF6E3"/>
            </w:tcBorders>
          </w:tcPr>
          <w:p>
            <w:pPr>
              <w:pStyle w:val="TableParagraph"/>
              <w:spacing w:line="240" w:lineRule="auto" w:before="51"/>
              <w:ind w:left="1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p>
          <w:p>
            <w:pPr>
              <w:pStyle w:val="TableParagraph"/>
              <w:spacing w:line="316" w:lineRule="auto" w:before="61"/>
              <w:ind w:left="16" w:right="29"/>
              <w:jc w:val="left"/>
              <w:rPr>
                <w:rFonts w:ascii="Times New Roman" w:hAnsi="Times New Roman" w:cs="Times New Roman" w:eastAsia="Times New Roman" w:hint="default"/>
                <w:sz w:val="18"/>
                <w:szCs w:val="18"/>
              </w:rPr>
            </w:pPr>
            <w:r>
              <w:rPr>
                <w:rFonts w:ascii="宋体" w:hAnsi="宋体" w:cs="宋体" w:eastAsia="宋体" w:hint="default"/>
                <w:sz w:val="18"/>
                <w:szCs w:val="18"/>
              </w:rPr>
              <w:t>日申请强制执 行，</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10</w:t>
            </w:r>
          </w:p>
          <w:p>
            <w:pPr>
              <w:pStyle w:val="TableParagraph"/>
              <w:spacing w:line="312" w:lineRule="auto"/>
              <w:ind w:left="16" w:right="27"/>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日收执行 终结裁定，截 止目前未收到 任何回款。</w:t>
            </w:r>
          </w:p>
        </w:tc>
        <w:tc>
          <w:tcPr>
            <w:tcW w:w="1053" w:type="dxa"/>
            <w:vMerge w:val="restart"/>
            <w:tcBorders>
              <w:top w:val="single" w:sz="4" w:space="0" w:color="FFC000"/>
              <w:left w:val="single" w:sz="4" w:space="0" w:color="FFC000"/>
              <w:right w:val="single" w:sz="4" w:space="0" w:color="FFC000"/>
            </w:tcBorders>
            <w:shd w:val="clear" w:color="auto" w:fill="FCF6E3"/>
          </w:tcPr>
          <w:p>
            <w:pPr/>
          </w:p>
        </w:tc>
        <w:tc>
          <w:tcPr>
            <w:tcW w:w="946" w:type="dxa"/>
            <w:vMerge w:val="restart"/>
            <w:tcBorders>
              <w:top w:val="single" w:sz="4" w:space="0" w:color="FFC000"/>
              <w:left w:val="single" w:sz="9" w:space="0" w:color="FCF6E3"/>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95" w:lineRule="auto"/>
              <w:ind w:left="24" w:right="3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巨潮资讯 网 </w:t>
            </w:r>
            <w:r>
              <w:rPr>
                <w:rFonts w:ascii="华文细黑" w:hAnsi="华文细黑" w:cs="华文细黑" w:eastAsia="华文细黑" w:hint="default"/>
                <w:sz w:val="18"/>
                <w:szCs w:val="18"/>
              </w:rPr>
              <w:t>www.cnin fo.com.c n</w:t>
            </w:r>
          </w:p>
        </w:tc>
      </w:tr>
      <w:tr>
        <w:trPr>
          <w:trHeight w:val="156" w:hRule="exact"/>
        </w:trPr>
        <w:tc>
          <w:tcPr>
            <w:tcW w:w="1637" w:type="dxa"/>
            <w:vMerge w:val="restart"/>
            <w:tcBorders>
              <w:top w:val="nil" w:sz="6" w:space="0" w:color="auto"/>
              <w:left w:val="single" w:sz="4" w:space="0" w:color="FFC000"/>
              <w:right w:val="single" w:sz="4" w:space="0" w:color="FFC000"/>
            </w:tcBorders>
            <w:shd w:val="clear" w:color="auto" w:fill="FCF6E3"/>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乐视手机电子商务</w:t>
            </w:r>
          </w:p>
          <w:p>
            <w:pPr>
              <w:pStyle w:val="TableParagraph"/>
              <w:spacing w:line="319" w:lineRule="auto" w:before="75"/>
              <w:ind w:left="12" w:right="21"/>
              <w:jc w:val="left"/>
              <w:rPr>
                <w:rFonts w:ascii="宋体" w:hAnsi="宋体" w:cs="宋体" w:eastAsia="宋体" w:hint="default"/>
                <w:sz w:val="18"/>
                <w:szCs w:val="18"/>
              </w:rPr>
            </w:pPr>
            <w:r>
              <w:rPr>
                <w:rFonts w:ascii="宋体" w:hAnsi="宋体" w:cs="宋体" w:eastAsia="宋体" w:hint="default"/>
                <w:spacing w:val="-4"/>
                <w:sz w:val="18"/>
                <w:szCs w:val="18"/>
              </w:rPr>
              <w:t>（北京）有限公司买</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卖合同纠纷案</w:t>
            </w:r>
          </w:p>
        </w:tc>
        <w:tc>
          <w:tcPr>
            <w:tcW w:w="780" w:type="dxa"/>
            <w:vMerge/>
            <w:tcBorders>
              <w:left w:val="single" w:sz="9" w:space="0" w:color="FCF6E3"/>
              <w:right w:val="single" w:sz="9" w:space="0" w:color="FCF6E3"/>
            </w:tcBorders>
          </w:tcPr>
          <w:p>
            <w:pPr/>
          </w:p>
        </w:tc>
        <w:tc>
          <w:tcPr>
            <w:tcW w:w="824" w:type="dxa"/>
            <w:vMerge/>
            <w:tcBorders>
              <w:left w:val="single" w:sz="4" w:space="0" w:color="FFC000"/>
              <w:right w:val="single" w:sz="4" w:space="0" w:color="FFC000"/>
            </w:tcBorders>
            <w:shd w:val="clear" w:color="auto" w:fill="FCF6E3"/>
          </w:tcPr>
          <w:p>
            <w:pPr/>
          </w:p>
        </w:tc>
        <w:tc>
          <w:tcPr>
            <w:tcW w:w="1017" w:type="dxa"/>
            <w:vMerge/>
            <w:tcBorders>
              <w:left w:val="single" w:sz="9" w:space="0" w:color="FCF6E3"/>
              <w:right w:val="single" w:sz="9" w:space="0" w:color="FCF6E3"/>
            </w:tcBorders>
          </w:tcPr>
          <w:p>
            <w:pPr/>
          </w:p>
        </w:tc>
        <w:tc>
          <w:tcPr>
            <w:tcW w:w="2073" w:type="dxa"/>
            <w:vMerge w:val="restart"/>
            <w:tcBorders>
              <w:top w:val="nil" w:sz="6" w:space="0" w:color="auto"/>
              <w:left w:val="single" w:sz="4" w:space="0" w:color="FFC000"/>
              <w:right w:val="single" w:sz="4" w:space="0" w:color="FFC000"/>
            </w:tcBorders>
            <w:shd w:val="clear" w:color="auto" w:fill="FCF6E3"/>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号受理案</w:t>
            </w:r>
          </w:p>
          <w:p>
            <w:pPr>
              <w:pStyle w:val="TableParagraph"/>
              <w:spacing w:line="240" w:lineRule="auto" w:before="61"/>
              <w:ind w:left="11" w:right="-33"/>
              <w:jc w:val="left"/>
              <w:rPr>
                <w:rFonts w:ascii="宋体" w:hAnsi="宋体" w:cs="宋体" w:eastAsia="宋体" w:hint="default"/>
                <w:sz w:val="18"/>
                <w:szCs w:val="18"/>
              </w:rPr>
            </w:pPr>
            <w:r>
              <w:rPr>
                <w:rFonts w:ascii="宋体" w:hAnsi="宋体" w:cs="宋体" w:eastAsia="宋体" w:hint="default"/>
                <w:sz w:val="18"/>
                <w:szCs w:val="18"/>
              </w:rPr>
              <w:t>件</w:t>
            </w:r>
            <w:r>
              <w:rPr>
                <w:rFonts w:ascii="宋体" w:hAnsi="宋体" w:cs="宋体" w:eastAsia="宋体" w:hint="default"/>
                <w:spacing w:val="-90"/>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日开庭</w:t>
            </w:r>
            <w:r>
              <w:rPr>
                <w:rFonts w:ascii="宋体" w:hAnsi="宋体" w:cs="宋体" w:eastAsia="宋体" w:hint="default"/>
                <w:spacing w:val="-35"/>
                <w:sz w:val="18"/>
                <w:szCs w:val="18"/>
              </w:rPr>
              <w:t>；</w:t>
            </w:r>
            <w:r>
              <w:rPr>
                <w:rFonts w:ascii="宋体" w:hAnsi="宋体" w:cs="宋体" w:eastAsia="宋体" w:hint="default"/>
                <w:sz w:val="18"/>
                <w:szCs w:val="18"/>
              </w:rPr>
            </w:r>
          </w:p>
          <w:p>
            <w:pPr>
              <w:pStyle w:val="TableParagraph"/>
              <w:spacing w:line="240" w:lineRule="auto" w:before="64"/>
              <w:ind w:left="11" w:right="-33"/>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pacing w:val="-6"/>
                <w:sz w:val="18"/>
                <w:szCs w:val="18"/>
              </w:rPr>
              <w:t>日收裁决。</w:t>
            </w:r>
            <w:r>
              <w:rPr>
                <w:rFonts w:ascii="宋体" w:hAnsi="宋体" w:cs="宋体" w:eastAsia="宋体" w:hint="default"/>
                <w:sz w:val="18"/>
                <w:szCs w:val="18"/>
              </w:rPr>
            </w:r>
          </w:p>
        </w:tc>
        <w:tc>
          <w:tcPr>
            <w:tcW w:w="1227" w:type="dxa"/>
            <w:vMerge/>
            <w:tcBorders>
              <w:left w:val="single" w:sz="9" w:space="0" w:color="FCF6E3"/>
              <w:right w:val="single" w:sz="9" w:space="0" w:color="FCF6E3"/>
            </w:tcBorders>
          </w:tcPr>
          <w:p>
            <w:pPr/>
          </w:p>
        </w:tc>
        <w:tc>
          <w:tcPr>
            <w:tcW w:w="1053" w:type="dxa"/>
            <w:vMerge/>
            <w:tcBorders>
              <w:left w:val="single" w:sz="4" w:space="0" w:color="FFC000"/>
              <w:bottom w:val="nil" w:sz="6" w:space="0" w:color="auto"/>
              <w:right w:val="single" w:sz="4" w:space="0" w:color="FFC000"/>
            </w:tcBorders>
            <w:shd w:val="clear" w:color="auto" w:fill="FCF6E3"/>
          </w:tcPr>
          <w:p>
            <w:pPr/>
          </w:p>
        </w:tc>
        <w:tc>
          <w:tcPr>
            <w:tcW w:w="946" w:type="dxa"/>
            <w:vMerge/>
            <w:tcBorders>
              <w:left w:val="single" w:sz="9" w:space="0" w:color="FCF6E3"/>
              <w:right w:val="single" w:sz="4" w:space="0" w:color="FFC000"/>
            </w:tcBorders>
          </w:tcPr>
          <w:p>
            <w:pPr/>
          </w:p>
        </w:tc>
      </w:tr>
      <w:tr>
        <w:trPr>
          <w:trHeight w:val="156" w:hRule="exact"/>
        </w:trPr>
        <w:tc>
          <w:tcPr>
            <w:tcW w:w="1637" w:type="dxa"/>
            <w:vMerge/>
            <w:tcBorders>
              <w:left w:val="single" w:sz="4" w:space="0" w:color="FFC000"/>
              <w:right w:val="single" w:sz="4" w:space="0" w:color="FFC000"/>
            </w:tcBorders>
            <w:shd w:val="clear" w:color="auto" w:fill="FCF6E3"/>
          </w:tcPr>
          <w:p>
            <w:pPr/>
          </w:p>
        </w:tc>
        <w:tc>
          <w:tcPr>
            <w:tcW w:w="780" w:type="dxa"/>
            <w:vMerge/>
            <w:tcBorders>
              <w:left w:val="single" w:sz="9" w:space="0" w:color="FCF6E3"/>
              <w:right w:val="single" w:sz="9" w:space="0" w:color="FCF6E3"/>
            </w:tcBorders>
          </w:tcPr>
          <w:p>
            <w:pPr/>
          </w:p>
        </w:tc>
        <w:tc>
          <w:tcPr>
            <w:tcW w:w="824" w:type="dxa"/>
            <w:vMerge/>
            <w:tcBorders>
              <w:left w:val="single" w:sz="4" w:space="0" w:color="FFC000"/>
              <w:bottom w:val="nil" w:sz="6" w:space="0" w:color="auto"/>
              <w:right w:val="single" w:sz="4" w:space="0" w:color="FFC000"/>
            </w:tcBorders>
            <w:shd w:val="clear" w:color="auto" w:fill="FCF6E3"/>
          </w:tcPr>
          <w:p>
            <w:pPr/>
          </w:p>
        </w:tc>
        <w:tc>
          <w:tcPr>
            <w:tcW w:w="1017" w:type="dxa"/>
            <w:vMerge/>
            <w:tcBorders>
              <w:left w:val="single" w:sz="9" w:space="0" w:color="FCF6E3"/>
              <w:right w:val="single" w:sz="9" w:space="0" w:color="FCF6E3"/>
            </w:tcBorders>
          </w:tcPr>
          <w:p>
            <w:pPr/>
          </w:p>
        </w:tc>
        <w:tc>
          <w:tcPr>
            <w:tcW w:w="2073" w:type="dxa"/>
            <w:vMerge/>
            <w:tcBorders>
              <w:left w:val="single" w:sz="4" w:space="0" w:color="FFC000"/>
              <w:right w:val="single" w:sz="4" w:space="0" w:color="FFC000"/>
            </w:tcBorders>
            <w:shd w:val="clear" w:color="auto" w:fill="FCF6E3"/>
          </w:tcPr>
          <w:p>
            <w:pPr/>
          </w:p>
        </w:tc>
        <w:tc>
          <w:tcPr>
            <w:tcW w:w="1227" w:type="dxa"/>
            <w:vMerge/>
            <w:tcBorders>
              <w:left w:val="single" w:sz="9" w:space="0" w:color="FCF6E3"/>
              <w:right w:val="single" w:sz="9" w:space="0" w:color="FCF6E3"/>
            </w:tcBorders>
          </w:tcPr>
          <w:p>
            <w:pPr/>
          </w:p>
        </w:tc>
        <w:tc>
          <w:tcPr>
            <w:tcW w:w="1053" w:type="dxa"/>
            <w:vMerge w:val="restart"/>
            <w:tcBorders>
              <w:top w:val="nil" w:sz="6" w:space="0" w:color="auto"/>
              <w:left w:val="single" w:sz="4" w:space="0" w:color="FFC000"/>
              <w:right w:val="single" w:sz="4" w:space="0" w:color="FFC000"/>
            </w:tcBorders>
            <w:shd w:val="clear" w:color="auto" w:fill="FCF6E3"/>
          </w:tcPr>
          <w:p>
            <w:pPr>
              <w:pStyle w:val="TableParagraph"/>
              <w:spacing w:line="240" w:lineRule="auto" w:before="51"/>
              <w:ind w:right="1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right="9"/>
              <w:jc w:val="center"/>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46" w:type="dxa"/>
            <w:vMerge/>
            <w:tcBorders>
              <w:left w:val="single" w:sz="9" w:space="0" w:color="FCF6E3"/>
              <w:right w:val="single" w:sz="4" w:space="0" w:color="FFC000"/>
            </w:tcBorders>
          </w:tcPr>
          <w:p>
            <w:pPr/>
          </w:p>
        </w:tc>
      </w:tr>
      <w:tr>
        <w:trPr>
          <w:trHeight w:val="393" w:hRule="exact"/>
        </w:trPr>
        <w:tc>
          <w:tcPr>
            <w:tcW w:w="1637" w:type="dxa"/>
            <w:vMerge/>
            <w:tcBorders>
              <w:left w:val="single" w:sz="4" w:space="0" w:color="FFC000"/>
              <w:right w:val="single" w:sz="4" w:space="0" w:color="FFC000"/>
            </w:tcBorders>
            <w:shd w:val="clear" w:color="auto" w:fill="FCF6E3"/>
          </w:tcPr>
          <w:p>
            <w:pPr/>
          </w:p>
        </w:tc>
        <w:tc>
          <w:tcPr>
            <w:tcW w:w="780" w:type="dxa"/>
            <w:vMerge/>
            <w:tcBorders>
              <w:left w:val="single" w:sz="9" w:space="0" w:color="FCF6E3"/>
              <w:right w:val="single" w:sz="9" w:space="0" w:color="FCF6E3"/>
            </w:tcBorders>
          </w:tcPr>
          <w:p>
            <w:pPr/>
          </w:p>
        </w:tc>
        <w:tc>
          <w:tcPr>
            <w:tcW w:w="824" w:type="dxa"/>
            <w:tcBorders>
              <w:top w:val="nil" w:sz="6" w:space="0" w:color="auto"/>
              <w:left w:val="single" w:sz="4" w:space="0" w:color="FFC000"/>
              <w:bottom w:val="nil" w:sz="6" w:space="0" w:color="auto"/>
              <w:right w:val="single" w:sz="4" w:space="0" w:color="FFC000"/>
            </w:tcBorders>
            <w:shd w:val="clear" w:color="auto" w:fill="FCF6E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017" w:type="dxa"/>
            <w:vMerge/>
            <w:tcBorders>
              <w:left w:val="single" w:sz="9" w:space="0" w:color="FCF6E3"/>
              <w:right w:val="single" w:sz="9" w:space="0" w:color="FCF6E3"/>
            </w:tcBorders>
          </w:tcPr>
          <w:p>
            <w:pPr/>
          </w:p>
        </w:tc>
        <w:tc>
          <w:tcPr>
            <w:tcW w:w="2073" w:type="dxa"/>
            <w:vMerge/>
            <w:tcBorders>
              <w:left w:val="single" w:sz="4" w:space="0" w:color="FFC000"/>
              <w:right w:val="single" w:sz="4" w:space="0" w:color="FFC000"/>
            </w:tcBorders>
            <w:shd w:val="clear" w:color="auto" w:fill="FCF6E3"/>
          </w:tcPr>
          <w:p>
            <w:pPr/>
          </w:p>
        </w:tc>
        <w:tc>
          <w:tcPr>
            <w:tcW w:w="1227" w:type="dxa"/>
            <w:vMerge/>
            <w:tcBorders>
              <w:left w:val="single" w:sz="9" w:space="0" w:color="FCF6E3"/>
              <w:right w:val="single" w:sz="9" w:space="0" w:color="FCF6E3"/>
            </w:tcBorders>
          </w:tcPr>
          <w:p>
            <w:pPr/>
          </w:p>
        </w:tc>
        <w:tc>
          <w:tcPr>
            <w:tcW w:w="1053" w:type="dxa"/>
            <w:vMerge/>
            <w:tcBorders>
              <w:left w:val="single" w:sz="4" w:space="0" w:color="FFC000"/>
              <w:right w:val="single" w:sz="4" w:space="0" w:color="FFC000"/>
            </w:tcBorders>
            <w:shd w:val="clear" w:color="auto" w:fill="FCF6E3"/>
          </w:tcPr>
          <w:p>
            <w:pPr/>
          </w:p>
        </w:tc>
        <w:tc>
          <w:tcPr>
            <w:tcW w:w="946" w:type="dxa"/>
            <w:vMerge/>
            <w:tcBorders>
              <w:left w:val="single" w:sz="9" w:space="0" w:color="FCF6E3"/>
              <w:right w:val="single" w:sz="4" w:space="0" w:color="FFC000"/>
            </w:tcBorders>
          </w:tcPr>
          <w:p>
            <w:pPr/>
          </w:p>
        </w:tc>
      </w:tr>
      <w:tr>
        <w:trPr>
          <w:trHeight w:val="156" w:hRule="exact"/>
        </w:trPr>
        <w:tc>
          <w:tcPr>
            <w:tcW w:w="1637" w:type="dxa"/>
            <w:vMerge/>
            <w:tcBorders>
              <w:left w:val="single" w:sz="4" w:space="0" w:color="FFC000"/>
              <w:right w:val="single" w:sz="4" w:space="0" w:color="FFC000"/>
            </w:tcBorders>
            <w:shd w:val="clear" w:color="auto" w:fill="FCF6E3"/>
          </w:tcPr>
          <w:p>
            <w:pPr/>
          </w:p>
        </w:tc>
        <w:tc>
          <w:tcPr>
            <w:tcW w:w="780" w:type="dxa"/>
            <w:vMerge/>
            <w:tcBorders>
              <w:left w:val="single" w:sz="9" w:space="0" w:color="FCF6E3"/>
              <w:right w:val="single" w:sz="9" w:space="0" w:color="FCF6E3"/>
            </w:tcBorders>
          </w:tcPr>
          <w:p>
            <w:pPr/>
          </w:p>
        </w:tc>
        <w:tc>
          <w:tcPr>
            <w:tcW w:w="824" w:type="dxa"/>
            <w:vMerge w:val="restart"/>
            <w:tcBorders>
              <w:top w:val="nil" w:sz="6" w:space="0" w:color="auto"/>
              <w:left w:val="single" w:sz="4" w:space="0" w:color="FFC000"/>
              <w:right w:val="single" w:sz="4" w:space="0" w:color="FFC000"/>
            </w:tcBorders>
            <w:shd w:val="clear" w:color="auto" w:fill="FCF6E3"/>
          </w:tcPr>
          <w:p>
            <w:pPr/>
          </w:p>
        </w:tc>
        <w:tc>
          <w:tcPr>
            <w:tcW w:w="1017" w:type="dxa"/>
            <w:vMerge/>
            <w:tcBorders>
              <w:left w:val="single" w:sz="9" w:space="0" w:color="FCF6E3"/>
              <w:right w:val="single" w:sz="9" w:space="0" w:color="FCF6E3"/>
            </w:tcBorders>
          </w:tcPr>
          <w:p>
            <w:pPr/>
          </w:p>
        </w:tc>
        <w:tc>
          <w:tcPr>
            <w:tcW w:w="2073" w:type="dxa"/>
            <w:vMerge/>
            <w:tcBorders>
              <w:left w:val="single" w:sz="4" w:space="0" w:color="FFC000"/>
              <w:right w:val="single" w:sz="4" w:space="0" w:color="FFC000"/>
            </w:tcBorders>
            <w:shd w:val="clear" w:color="auto" w:fill="FCF6E3"/>
          </w:tcPr>
          <w:p>
            <w:pPr/>
          </w:p>
        </w:tc>
        <w:tc>
          <w:tcPr>
            <w:tcW w:w="1227" w:type="dxa"/>
            <w:vMerge/>
            <w:tcBorders>
              <w:left w:val="single" w:sz="9" w:space="0" w:color="FCF6E3"/>
              <w:right w:val="single" w:sz="9" w:space="0" w:color="FCF6E3"/>
            </w:tcBorders>
          </w:tcPr>
          <w:p>
            <w:pPr/>
          </w:p>
        </w:tc>
        <w:tc>
          <w:tcPr>
            <w:tcW w:w="1053" w:type="dxa"/>
            <w:vMerge/>
            <w:tcBorders>
              <w:left w:val="single" w:sz="4" w:space="0" w:color="FFC000"/>
              <w:bottom w:val="nil" w:sz="6" w:space="0" w:color="auto"/>
              <w:right w:val="single" w:sz="4" w:space="0" w:color="FFC000"/>
            </w:tcBorders>
            <w:shd w:val="clear" w:color="auto" w:fill="FCF6E3"/>
          </w:tcPr>
          <w:p>
            <w:pPr/>
          </w:p>
        </w:tc>
        <w:tc>
          <w:tcPr>
            <w:tcW w:w="946" w:type="dxa"/>
            <w:vMerge/>
            <w:tcBorders>
              <w:left w:val="single" w:sz="9" w:space="0" w:color="FCF6E3"/>
              <w:right w:val="single" w:sz="4" w:space="0" w:color="FFC000"/>
            </w:tcBorders>
          </w:tcPr>
          <w:p>
            <w:pPr/>
          </w:p>
        </w:tc>
      </w:tr>
      <w:tr>
        <w:trPr>
          <w:trHeight w:val="156" w:hRule="exact"/>
        </w:trPr>
        <w:tc>
          <w:tcPr>
            <w:tcW w:w="1637" w:type="dxa"/>
            <w:vMerge/>
            <w:tcBorders>
              <w:left w:val="single" w:sz="4" w:space="0" w:color="FFC000"/>
              <w:bottom w:val="nil" w:sz="6" w:space="0" w:color="auto"/>
              <w:right w:val="single" w:sz="4" w:space="0" w:color="FFC000"/>
            </w:tcBorders>
            <w:shd w:val="clear" w:color="auto" w:fill="FCF6E3"/>
          </w:tcPr>
          <w:p>
            <w:pPr/>
          </w:p>
        </w:tc>
        <w:tc>
          <w:tcPr>
            <w:tcW w:w="780" w:type="dxa"/>
            <w:vMerge/>
            <w:tcBorders>
              <w:left w:val="single" w:sz="9" w:space="0" w:color="FCF6E3"/>
              <w:right w:val="single" w:sz="9" w:space="0" w:color="FCF6E3"/>
            </w:tcBorders>
          </w:tcPr>
          <w:p>
            <w:pPr/>
          </w:p>
        </w:tc>
        <w:tc>
          <w:tcPr>
            <w:tcW w:w="824" w:type="dxa"/>
            <w:vMerge/>
            <w:tcBorders>
              <w:left w:val="single" w:sz="4" w:space="0" w:color="FFC000"/>
              <w:right w:val="single" w:sz="4" w:space="0" w:color="FFC000"/>
            </w:tcBorders>
            <w:shd w:val="clear" w:color="auto" w:fill="FCF6E3"/>
          </w:tcPr>
          <w:p>
            <w:pPr/>
          </w:p>
        </w:tc>
        <w:tc>
          <w:tcPr>
            <w:tcW w:w="1017" w:type="dxa"/>
            <w:vMerge/>
            <w:tcBorders>
              <w:left w:val="single" w:sz="9" w:space="0" w:color="FCF6E3"/>
              <w:right w:val="single" w:sz="9" w:space="0" w:color="FCF6E3"/>
            </w:tcBorders>
          </w:tcPr>
          <w:p>
            <w:pPr/>
          </w:p>
        </w:tc>
        <w:tc>
          <w:tcPr>
            <w:tcW w:w="2073" w:type="dxa"/>
            <w:vMerge/>
            <w:tcBorders>
              <w:left w:val="single" w:sz="4" w:space="0" w:color="FFC000"/>
              <w:bottom w:val="nil" w:sz="6" w:space="0" w:color="auto"/>
              <w:right w:val="single" w:sz="4" w:space="0" w:color="FFC000"/>
            </w:tcBorders>
            <w:shd w:val="clear" w:color="auto" w:fill="FCF6E3"/>
          </w:tcPr>
          <w:p>
            <w:pPr/>
          </w:p>
        </w:tc>
        <w:tc>
          <w:tcPr>
            <w:tcW w:w="1227" w:type="dxa"/>
            <w:vMerge/>
            <w:tcBorders>
              <w:left w:val="single" w:sz="9" w:space="0" w:color="FCF6E3"/>
              <w:right w:val="single" w:sz="9" w:space="0" w:color="FCF6E3"/>
            </w:tcBorders>
          </w:tcPr>
          <w:p>
            <w:pPr/>
          </w:p>
        </w:tc>
        <w:tc>
          <w:tcPr>
            <w:tcW w:w="1053" w:type="dxa"/>
            <w:vMerge w:val="restart"/>
            <w:tcBorders>
              <w:top w:val="nil" w:sz="6" w:space="0" w:color="auto"/>
              <w:left w:val="single" w:sz="4" w:space="0" w:color="FFC000"/>
              <w:right w:val="single" w:sz="4" w:space="0" w:color="FFC000"/>
            </w:tcBorders>
            <w:shd w:val="clear" w:color="auto" w:fill="FCF6E3"/>
          </w:tcPr>
          <w:p>
            <w:pPr/>
          </w:p>
        </w:tc>
        <w:tc>
          <w:tcPr>
            <w:tcW w:w="946" w:type="dxa"/>
            <w:vMerge/>
            <w:tcBorders>
              <w:left w:val="single" w:sz="9" w:space="0" w:color="FCF6E3"/>
              <w:right w:val="single" w:sz="4" w:space="0" w:color="FFC000"/>
            </w:tcBorders>
          </w:tcPr>
          <w:p>
            <w:pPr/>
          </w:p>
        </w:tc>
      </w:tr>
      <w:tr>
        <w:trPr>
          <w:trHeight w:val="629" w:hRule="exact"/>
        </w:trPr>
        <w:tc>
          <w:tcPr>
            <w:tcW w:w="1637" w:type="dxa"/>
            <w:tcBorders>
              <w:top w:val="nil" w:sz="6" w:space="0" w:color="auto"/>
              <w:left w:val="single" w:sz="4" w:space="0" w:color="FFC000"/>
              <w:bottom w:val="single" w:sz="4" w:space="0" w:color="FFC000"/>
              <w:right w:val="single" w:sz="4" w:space="0" w:color="FFC000"/>
            </w:tcBorders>
            <w:shd w:val="clear" w:color="auto" w:fill="FCF6E3"/>
          </w:tcPr>
          <w:p>
            <w:pPr/>
          </w:p>
        </w:tc>
        <w:tc>
          <w:tcPr>
            <w:tcW w:w="780" w:type="dxa"/>
            <w:vMerge/>
            <w:tcBorders>
              <w:left w:val="single" w:sz="9" w:space="0" w:color="FCF6E3"/>
              <w:bottom w:val="single" w:sz="4" w:space="0" w:color="FFC000"/>
              <w:right w:val="single" w:sz="9" w:space="0" w:color="FCF6E3"/>
            </w:tcBorders>
          </w:tcPr>
          <w:p>
            <w:pPr/>
          </w:p>
        </w:tc>
        <w:tc>
          <w:tcPr>
            <w:tcW w:w="824" w:type="dxa"/>
            <w:vMerge/>
            <w:tcBorders>
              <w:left w:val="single" w:sz="4" w:space="0" w:color="FFC000"/>
              <w:bottom w:val="single" w:sz="4" w:space="0" w:color="FFC000"/>
              <w:right w:val="single" w:sz="4" w:space="0" w:color="FFC000"/>
            </w:tcBorders>
            <w:shd w:val="clear" w:color="auto" w:fill="FCF6E3"/>
          </w:tcPr>
          <w:p>
            <w:pPr/>
          </w:p>
        </w:tc>
        <w:tc>
          <w:tcPr>
            <w:tcW w:w="1017" w:type="dxa"/>
            <w:vMerge/>
            <w:tcBorders>
              <w:left w:val="single" w:sz="9" w:space="0" w:color="FCF6E3"/>
              <w:bottom w:val="single" w:sz="4" w:space="0" w:color="FFC000"/>
              <w:right w:val="single" w:sz="9" w:space="0" w:color="FCF6E3"/>
            </w:tcBorders>
          </w:tcPr>
          <w:p>
            <w:pPr/>
          </w:p>
        </w:tc>
        <w:tc>
          <w:tcPr>
            <w:tcW w:w="2073" w:type="dxa"/>
            <w:tcBorders>
              <w:top w:val="nil" w:sz="6" w:space="0" w:color="auto"/>
              <w:left w:val="single" w:sz="4" w:space="0" w:color="FFC000"/>
              <w:bottom w:val="single" w:sz="4" w:space="0" w:color="FFC000"/>
              <w:right w:val="single" w:sz="4" w:space="0" w:color="FFC000"/>
            </w:tcBorders>
            <w:shd w:val="clear" w:color="auto" w:fill="FCF6E3"/>
          </w:tcPr>
          <w:p>
            <w:pPr/>
          </w:p>
        </w:tc>
        <w:tc>
          <w:tcPr>
            <w:tcW w:w="1227" w:type="dxa"/>
            <w:vMerge/>
            <w:tcBorders>
              <w:left w:val="single" w:sz="9" w:space="0" w:color="FCF6E3"/>
              <w:bottom w:val="single" w:sz="4" w:space="0" w:color="FFC000"/>
              <w:right w:val="single" w:sz="9" w:space="0" w:color="FCF6E3"/>
            </w:tcBorders>
          </w:tcPr>
          <w:p>
            <w:pPr/>
          </w:p>
        </w:tc>
        <w:tc>
          <w:tcPr>
            <w:tcW w:w="1053" w:type="dxa"/>
            <w:vMerge/>
            <w:tcBorders>
              <w:left w:val="single" w:sz="4" w:space="0" w:color="FFC000"/>
              <w:bottom w:val="single" w:sz="4" w:space="0" w:color="FFC000"/>
              <w:right w:val="single" w:sz="4" w:space="0" w:color="FFC000"/>
            </w:tcBorders>
            <w:shd w:val="clear" w:color="auto" w:fill="FCF6E3"/>
          </w:tcPr>
          <w:p>
            <w:pPr/>
          </w:p>
        </w:tc>
        <w:tc>
          <w:tcPr>
            <w:tcW w:w="946" w:type="dxa"/>
            <w:vMerge/>
            <w:tcBorders>
              <w:left w:val="single" w:sz="9" w:space="0" w:color="FCF6E3"/>
              <w:bottom w:val="single" w:sz="4" w:space="0" w:color="FFC000"/>
              <w:right w:val="single" w:sz="4" w:space="0" w:color="FFC000"/>
            </w:tcBorders>
          </w:tcPr>
          <w:p>
            <w:pPr/>
          </w:p>
        </w:tc>
      </w:tr>
    </w:tbl>
    <w:p>
      <w:pPr>
        <w:spacing w:after="0"/>
        <w:sectPr>
          <w:pgSz w:w="11910" w:h="16840"/>
          <w:pgMar w:header="917" w:footer="1019" w:top="1100" w:bottom="1200" w:left="90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16" w:type="dxa"/>
        <w:tblLayout w:type="fixed"/>
        <w:tblCellMar>
          <w:top w:w="0" w:type="dxa"/>
          <w:left w:w="0" w:type="dxa"/>
          <w:bottom w:w="0" w:type="dxa"/>
          <w:right w:w="0" w:type="dxa"/>
        </w:tblCellMar>
        <w:tblLook w:val="01E0"/>
      </w:tblPr>
      <w:tblGrid>
        <w:gridCol w:w="1649"/>
        <w:gridCol w:w="781"/>
        <w:gridCol w:w="824"/>
        <w:gridCol w:w="1006"/>
        <w:gridCol w:w="2084"/>
        <w:gridCol w:w="1216"/>
        <w:gridCol w:w="1064"/>
        <w:gridCol w:w="946"/>
      </w:tblGrid>
      <w:tr>
        <w:trPr>
          <w:trHeight w:val="1338" w:hRule="exact"/>
        </w:trPr>
        <w:tc>
          <w:tcPr>
            <w:tcW w:w="1649"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4" w:right="174"/>
              <w:jc w:val="left"/>
              <w:rPr>
                <w:rFonts w:ascii="宋体" w:hAnsi="宋体" w:cs="宋体" w:eastAsia="宋体" w:hint="default"/>
                <w:sz w:val="18"/>
                <w:szCs w:val="18"/>
              </w:rPr>
            </w:pPr>
            <w:r>
              <w:rPr>
                <w:rFonts w:ascii="宋体" w:hAnsi="宋体" w:cs="宋体" w:eastAsia="宋体" w:hint="default"/>
                <w:sz w:val="18"/>
                <w:szCs w:val="18"/>
              </w:rPr>
              <w:t>中国农垦集团有限 公司买卖合同纠纷</w:t>
            </w:r>
          </w:p>
        </w:tc>
        <w:tc>
          <w:tcPr>
            <w:tcW w:w="78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6,338</w:t>
            </w:r>
          </w:p>
        </w:tc>
        <w:tc>
          <w:tcPr>
            <w:tcW w:w="824"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0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right="0"/>
              <w:jc w:val="center"/>
              <w:rPr>
                <w:rFonts w:ascii="宋体" w:hAnsi="宋体" w:cs="宋体" w:eastAsia="宋体" w:hint="default"/>
                <w:sz w:val="18"/>
                <w:szCs w:val="18"/>
              </w:rPr>
            </w:pPr>
            <w:r>
              <w:rPr>
                <w:rFonts w:ascii="宋体" w:hAnsi="宋体" w:cs="宋体" w:eastAsia="宋体" w:hint="default"/>
                <w:sz w:val="18"/>
                <w:szCs w:val="18"/>
              </w:rPr>
              <w:t>一审</w:t>
            </w:r>
          </w:p>
        </w:tc>
        <w:tc>
          <w:tcPr>
            <w:tcW w:w="2084"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307" w:lineRule="auto" w:before="51"/>
              <w:ind w:left="22"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pacing w:val="-18"/>
                <w:sz w:val="18"/>
                <w:szCs w:val="18"/>
              </w:rPr>
              <w:t>日受理，深</w:t>
            </w:r>
            <w:r>
              <w:rPr>
                <w:rFonts w:ascii="宋体" w:hAnsi="宋体" w:cs="宋体" w:eastAsia="宋体" w:hint="default"/>
                <w:sz w:val="18"/>
                <w:szCs w:val="18"/>
              </w:rPr>
              <w:t> 圳市中级人民法院已于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日驳回被告 的管辖权异议。</w:t>
            </w:r>
          </w:p>
        </w:tc>
        <w:tc>
          <w:tcPr>
            <w:tcW w:w="12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2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4"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4"/>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46" w:type="dxa"/>
            <w:tcBorders>
              <w:top w:val="single" w:sz="4" w:space="0" w:color="FFC000"/>
              <w:left w:val="single" w:sz="4" w:space="0" w:color="FFC000"/>
              <w:bottom w:val="single" w:sz="4" w:space="0" w:color="FFC000"/>
              <w:right w:val="single" w:sz="4" w:space="0" w:color="FFC000"/>
            </w:tcBorders>
          </w:tcPr>
          <w:p>
            <w:pPr>
              <w:pStyle w:val="TableParagraph"/>
              <w:spacing w:line="338" w:lineRule="auto" w:before="51"/>
              <w:ind w:left="25" w:right="26"/>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 网 </w:t>
            </w:r>
            <w:r>
              <w:rPr>
                <w:rFonts w:ascii="Times New Roman" w:hAnsi="Times New Roman" w:cs="Times New Roman" w:eastAsia="Times New Roman" w:hint="default"/>
                <w:spacing w:val="-2"/>
                <w:sz w:val="18"/>
                <w:szCs w:val="18"/>
              </w:rPr>
              <w:t>www.cninfo</w:t>
            </w:r>
          </w:p>
          <w:p>
            <w:pPr>
              <w:pStyle w:val="TableParagraph"/>
              <w:spacing w:line="240" w:lineRule="auto" w:before="24"/>
              <w:ind w:right="0"/>
              <w:jc w:val="center"/>
              <w:rPr>
                <w:rFonts w:ascii="Times New Roman" w:hAnsi="Times New Roman" w:cs="Times New Roman" w:eastAsia="Times New Roman" w:hint="default"/>
                <w:sz w:val="18"/>
                <w:szCs w:val="18"/>
              </w:rPr>
            </w:pPr>
            <w:r>
              <w:rPr>
                <w:rFonts w:ascii="Times New Roman"/>
                <w:sz w:val="18"/>
              </w:rPr>
              <w:t>.com.cn</w:t>
            </w:r>
          </w:p>
        </w:tc>
      </w:tr>
      <w:tr>
        <w:trPr>
          <w:trHeight w:val="1338" w:hRule="exact"/>
        </w:trPr>
        <w:tc>
          <w:tcPr>
            <w:tcW w:w="1649"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319" w:lineRule="auto" w:before="51"/>
              <w:ind w:left="24" w:right="174"/>
              <w:jc w:val="both"/>
              <w:rPr>
                <w:rFonts w:ascii="宋体" w:hAnsi="宋体" w:cs="宋体" w:eastAsia="宋体" w:hint="default"/>
                <w:sz w:val="18"/>
                <w:szCs w:val="18"/>
              </w:rPr>
            </w:pPr>
            <w:r>
              <w:rPr>
                <w:rFonts w:ascii="宋体" w:hAnsi="宋体" w:cs="宋体" w:eastAsia="宋体" w:hint="default"/>
                <w:sz w:val="18"/>
                <w:szCs w:val="18"/>
              </w:rPr>
              <w:t>阿拉山口市民众创 新股权投资有限合 伙实现担保物权特 别程序</w:t>
            </w:r>
          </w:p>
        </w:tc>
        <w:tc>
          <w:tcPr>
            <w:tcW w:w="78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15,000</w:t>
            </w:r>
          </w:p>
        </w:tc>
        <w:tc>
          <w:tcPr>
            <w:tcW w:w="824"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0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right="0"/>
              <w:jc w:val="center"/>
              <w:rPr>
                <w:rFonts w:ascii="宋体" w:hAnsi="宋体" w:cs="宋体" w:eastAsia="宋体" w:hint="default"/>
                <w:sz w:val="18"/>
                <w:szCs w:val="18"/>
              </w:rPr>
            </w:pPr>
            <w:r>
              <w:rPr>
                <w:rFonts w:ascii="宋体" w:hAnsi="宋体" w:cs="宋体" w:eastAsia="宋体" w:hint="default"/>
                <w:sz w:val="18"/>
                <w:szCs w:val="18"/>
              </w:rPr>
              <w:t>结案</w:t>
            </w:r>
          </w:p>
        </w:tc>
        <w:tc>
          <w:tcPr>
            <w:tcW w:w="2084"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日立案受理</w:t>
            </w:r>
          </w:p>
          <w:p>
            <w:pPr>
              <w:pStyle w:val="TableParagraph"/>
              <w:spacing w:line="302" w:lineRule="auto" w:before="63"/>
              <w:ind w:left="22" w:right="25"/>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日深圳市福 田区人民法院出裁定。</w:t>
            </w:r>
          </w:p>
        </w:tc>
        <w:tc>
          <w:tcPr>
            <w:tcW w:w="12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196" w:lineRule="exact"/>
              <w:ind w:left="-123"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96" w:lineRule="exact"/>
              <w:ind w:left="22" w:right="0"/>
              <w:jc w:val="left"/>
              <w:rPr>
                <w:rFonts w:ascii="宋体" w:hAnsi="宋体" w:cs="宋体" w:eastAsia="宋体" w:hint="default"/>
                <w:sz w:val="18"/>
                <w:szCs w:val="18"/>
              </w:rPr>
            </w:pPr>
            <w:r>
              <w:rPr>
                <w:rFonts w:ascii="宋体" w:hAnsi="宋体" w:cs="宋体" w:eastAsia="宋体" w:hint="default"/>
                <w:sz w:val="18"/>
                <w:szCs w:val="18"/>
              </w:rPr>
              <w:t>已全额执行回</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本息。</w:t>
            </w:r>
          </w:p>
        </w:tc>
        <w:tc>
          <w:tcPr>
            <w:tcW w:w="1064"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4"/>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46" w:type="dxa"/>
            <w:tcBorders>
              <w:top w:val="single" w:sz="4" w:space="0" w:color="FFC000"/>
              <w:left w:val="single" w:sz="4" w:space="0" w:color="FFC000"/>
              <w:bottom w:val="single" w:sz="4" w:space="0" w:color="FFC000"/>
              <w:right w:val="single" w:sz="4" w:space="0" w:color="FFC000"/>
            </w:tcBorders>
          </w:tcPr>
          <w:p>
            <w:pPr>
              <w:pStyle w:val="TableParagraph"/>
              <w:spacing w:line="338" w:lineRule="auto" w:before="51"/>
              <w:ind w:left="25" w:right="26"/>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 网 </w:t>
            </w:r>
            <w:r>
              <w:rPr>
                <w:rFonts w:ascii="Times New Roman" w:hAnsi="Times New Roman" w:cs="Times New Roman" w:eastAsia="Times New Roman" w:hint="default"/>
                <w:spacing w:val="-2"/>
                <w:sz w:val="18"/>
                <w:szCs w:val="18"/>
              </w:rPr>
              <w:t>www.cninfo</w:t>
            </w:r>
          </w:p>
          <w:p>
            <w:pPr>
              <w:pStyle w:val="TableParagraph"/>
              <w:spacing w:line="240" w:lineRule="auto" w:before="24"/>
              <w:ind w:right="0"/>
              <w:jc w:val="center"/>
              <w:rPr>
                <w:rFonts w:ascii="Times New Roman" w:hAnsi="Times New Roman" w:cs="Times New Roman" w:eastAsia="Times New Roman" w:hint="default"/>
                <w:sz w:val="18"/>
                <w:szCs w:val="18"/>
              </w:rPr>
            </w:pPr>
            <w:r>
              <w:rPr>
                <w:rFonts w:ascii="Times New Roman"/>
                <w:sz w:val="18"/>
              </w:rPr>
              <w:t>.com.cn</w:t>
            </w:r>
          </w:p>
        </w:tc>
      </w:tr>
      <w:tr>
        <w:trPr>
          <w:trHeight w:val="1338" w:hRule="exact"/>
        </w:trPr>
        <w:tc>
          <w:tcPr>
            <w:tcW w:w="1649"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4" w:right="-6"/>
              <w:jc w:val="left"/>
              <w:rPr>
                <w:rFonts w:ascii="宋体" w:hAnsi="宋体" w:cs="宋体" w:eastAsia="宋体" w:hint="default"/>
                <w:sz w:val="18"/>
                <w:szCs w:val="18"/>
              </w:rPr>
            </w:pPr>
            <w:r>
              <w:rPr>
                <w:rFonts w:ascii="宋体" w:hAnsi="宋体" w:cs="宋体" w:eastAsia="宋体" w:hint="default"/>
                <w:sz w:val="18"/>
                <w:szCs w:val="18"/>
              </w:rPr>
              <w:t>深圳市飞马国际供 应链股份有限公司、 黄壮勉票据纠纷</w:t>
            </w:r>
          </w:p>
        </w:tc>
        <w:tc>
          <w:tcPr>
            <w:tcW w:w="78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4,425.25</w:t>
            </w:r>
          </w:p>
        </w:tc>
        <w:tc>
          <w:tcPr>
            <w:tcW w:w="824"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0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right="0"/>
              <w:jc w:val="center"/>
              <w:rPr>
                <w:rFonts w:ascii="宋体" w:hAnsi="宋体" w:cs="宋体" w:eastAsia="宋体" w:hint="default"/>
                <w:sz w:val="18"/>
                <w:szCs w:val="18"/>
              </w:rPr>
            </w:pPr>
            <w:r>
              <w:rPr>
                <w:rFonts w:ascii="宋体" w:hAnsi="宋体" w:cs="宋体" w:eastAsia="宋体" w:hint="default"/>
                <w:sz w:val="18"/>
                <w:szCs w:val="18"/>
              </w:rPr>
              <w:t>一审</w:t>
            </w:r>
          </w:p>
        </w:tc>
        <w:tc>
          <w:tcPr>
            <w:tcW w:w="2084"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9" w:lineRule="auto"/>
              <w:ind w:left="22" w:right="-33"/>
              <w:jc w:val="left"/>
              <w:rPr>
                <w:rFonts w:ascii="宋体" w:hAnsi="宋体" w:cs="宋体" w:eastAsia="宋体" w:hint="default"/>
                <w:sz w:val="18"/>
                <w:szCs w:val="18"/>
              </w:rPr>
            </w:pPr>
            <w:r>
              <w:rPr>
                <w:rFonts w:ascii="宋体" w:hAnsi="宋体" w:cs="宋体" w:eastAsia="宋体" w:hint="default"/>
                <w:sz w:val="18"/>
                <w:szCs w:val="18"/>
              </w:rPr>
              <w:t>深圳市福田区人民法院已 于</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7"/>
                <w:sz w:val="18"/>
                <w:szCs w:val="18"/>
              </w:rPr>
              <w:t> </w:t>
            </w:r>
            <w:r>
              <w:rPr>
                <w:rFonts w:ascii="宋体" w:hAnsi="宋体" w:cs="宋体" w:eastAsia="宋体" w:hint="default"/>
                <w:spacing w:val="-9"/>
                <w:sz w:val="18"/>
                <w:szCs w:val="18"/>
              </w:rPr>
              <w:t>日受理，</w:t>
            </w:r>
            <w:r>
              <w:rPr>
                <w:rFonts w:ascii="宋体" w:hAnsi="宋体" w:cs="宋体" w:eastAsia="宋体" w:hint="default"/>
                <w:spacing w:val="-35"/>
                <w:sz w:val="18"/>
                <w:szCs w:val="18"/>
              </w:rPr>
              <w:t> </w:t>
            </w:r>
            <w:r>
              <w:rPr>
                <w:rFonts w:ascii="宋体" w:hAnsi="宋体" w:cs="宋体" w:eastAsia="宋体" w:hint="default"/>
                <w:sz w:val="18"/>
                <w:szCs w:val="18"/>
              </w:rPr>
              <w:t>待确认开庭时间。</w:t>
            </w:r>
          </w:p>
        </w:tc>
        <w:tc>
          <w:tcPr>
            <w:tcW w:w="12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2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4"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4"/>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46" w:type="dxa"/>
            <w:tcBorders>
              <w:top w:val="single" w:sz="4" w:space="0" w:color="FFC000"/>
              <w:left w:val="single" w:sz="4" w:space="0" w:color="FFC000"/>
              <w:bottom w:val="single" w:sz="4" w:space="0" w:color="FFC000"/>
              <w:right w:val="single" w:sz="4" w:space="0" w:color="FFC000"/>
            </w:tcBorders>
          </w:tcPr>
          <w:p>
            <w:pPr>
              <w:pStyle w:val="TableParagraph"/>
              <w:spacing w:line="338" w:lineRule="auto" w:before="51"/>
              <w:ind w:left="25" w:right="26"/>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 网 </w:t>
            </w:r>
            <w:r>
              <w:rPr>
                <w:rFonts w:ascii="Times New Roman" w:hAnsi="Times New Roman" w:cs="Times New Roman" w:eastAsia="Times New Roman" w:hint="default"/>
                <w:spacing w:val="-2"/>
                <w:sz w:val="18"/>
                <w:szCs w:val="18"/>
              </w:rPr>
              <w:t>www.cninfo</w:t>
            </w:r>
          </w:p>
          <w:p>
            <w:pPr>
              <w:pStyle w:val="TableParagraph"/>
              <w:spacing w:line="240" w:lineRule="auto" w:before="24"/>
              <w:ind w:right="0"/>
              <w:jc w:val="center"/>
              <w:rPr>
                <w:rFonts w:ascii="Times New Roman" w:hAnsi="Times New Roman" w:cs="Times New Roman" w:eastAsia="Times New Roman" w:hint="default"/>
                <w:sz w:val="18"/>
                <w:szCs w:val="18"/>
              </w:rPr>
            </w:pPr>
            <w:r>
              <w:rPr>
                <w:rFonts w:ascii="Times New Roman"/>
                <w:sz w:val="18"/>
              </w:rPr>
              <w:t>.com.cn</w:t>
            </w:r>
          </w:p>
        </w:tc>
      </w:tr>
      <w:tr>
        <w:trPr>
          <w:trHeight w:val="1962" w:hRule="exact"/>
        </w:trPr>
        <w:tc>
          <w:tcPr>
            <w:tcW w:w="1649"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319" w:lineRule="auto" w:before="51"/>
              <w:ind w:left="24" w:right="-6"/>
              <w:jc w:val="left"/>
              <w:rPr>
                <w:rFonts w:ascii="宋体" w:hAnsi="宋体" w:cs="宋体" w:eastAsia="宋体" w:hint="default"/>
                <w:sz w:val="18"/>
                <w:szCs w:val="18"/>
              </w:rPr>
            </w:pPr>
            <w:r>
              <w:rPr>
                <w:rFonts w:ascii="宋体" w:hAnsi="宋体" w:cs="宋体" w:eastAsia="宋体" w:hint="default"/>
                <w:sz w:val="18"/>
                <w:szCs w:val="18"/>
              </w:rPr>
              <w:t>深圳市飞马国际供 应链股份有限公司、 上海寰亚电力运营 有限公司、黄壮勉、 </w:t>
            </w:r>
            <w:r>
              <w:rPr>
                <w:rFonts w:ascii="宋体" w:hAnsi="宋体" w:cs="宋体" w:eastAsia="宋体" w:hint="default"/>
                <w:spacing w:val="-4"/>
                <w:sz w:val="18"/>
                <w:szCs w:val="18"/>
              </w:rPr>
              <w:t>俞倪荣、谢雨彤票据</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纠纷</w:t>
            </w:r>
          </w:p>
        </w:tc>
        <w:tc>
          <w:tcPr>
            <w:tcW w:w="78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2,829.65</w:t>
            </w:r>
          </w:p>
        </w:tc>
        <w:tc>
          <w:tcPr>
            <w:tcW w:w="824"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0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一审</w:t>
            </w:r>
          </w:p>
        </w:tc>
        <w:tc>
          <w:tcPr>
            <w:tcW w:w="2084"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9" w:lineRule="auto" w:before="105"/>
              <w:ind w:left="22" w:right="-17"/>
              <w:jc w:val="left"/>
              <w:rPr>
                <w:rFonts w:ascii="宋体" w:hAnsi="宋体" w:cs="宋体" w:eastAsia="宋体" w:hint="default"/>
                <w:sz w:val="18"/>
                <w:szCs w:val="18"/>
              </w:rPr>
            </w:pPr>
            <w:r>
              <w:rPr>
                <w:rFonts w:ascii="宋体" w:hAnsi="宋体" w:cs="宋体" w:eastAsia="宋体" w:hint="default"/>
                <w:sz w:val="18"/>
                <w:szCs w:val="18"/>
              </w:rPr>
              <w:t>深圳市福田区人民法院已 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日受理， 待确认开庭时间。</w:t>
            </w:r>
          </w:p>
        </w:tc>
        <w:tc>
          <w:tcPr>
            <w:tcW w:w="12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4"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4"/>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38" w:lineRule="auto" w:before="156"/>
              <w:ind w:left="25" w:right="26"/>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 网 </w:t>
            </w:r>
            <w:r>
              <w:rPr>
                <w:rFonts w:ascii="Times New Roman" w:hAnsi="Times New Roman" w:cs="Times New Roman" w:eastAsia="Times New Roman" w:hint="default"/>
                <w:spacing w:val="-2"/>
                <w:sz w:val="18"/>
                <w:szCs w:val="18"/>
              </w:rPr>
              <w:t>www.cninfo</w:t>
            </w:r>
          </w:p>
          <w:p>
            <w:pPr>
              <w:pStyle w:val="TableParagraph"/>
              <w:spacing w:line="240" w:lineRule="auto" w:before="24"/>
              <w:ind w:right="0"/>
              <w:jc w:val="center"/>
              <w:rPr>
                <w:rFonts w:ascii="Times New Roman" w:hAnsi="Times New Roman" w:cs="Times New Roman" w:eastAsia="Times New Roman" w:hint="default"/>
                <w:sz w:val="18"/>
                <w:szCs w:val="18"/>
              </w:rPr>
            </w:pPr>
            <w:r>
              <w:rPr>
                <w:rFonts w:ascii="Times New Roman"/>
                <w:sz w:val="18"/>
              </w:rPr>
              <w:t>.com.cn</w:t>
            </w:r>
          </w:p>
        </w:tc>
      </w:tr>
      <w:tr>
        <w:trPr>
          <w:trHeight w:val="2586" w:hRule="exact"/>
        </w:trPr>
        <w:tc>
          <w:tcPr>
            <w:tcW w:w="1649"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319" w:lineRule="auto"/>
              <w:ind w:left="24" w:right="174"/>
              <w:jc w:val="both"/>
              <w:rPr>
                <w:rFonts w:ascii="宋体" w:hAnsi="宋体" w:cs="宋体" w:eastAsia="宋体" w:hint="default"/>
                <w:sz w:val="18"/>
                <w:szCs w:val="18"/>
              </w:rPr>
            </w:pPr>
            <w:r>
              <w:rPr>
                <w:rFonts w:ascii="宋体" w:hAnsi="宋体" w:cs="宋体" w:eastAsia="宋体" w:hint="default"/>
                <w:sz w:val="18"/>
                <w:szCs w:val="18"/>
              </w:rPr>
              <w:t>飞马投资控股有限 公司实现担保物权 特别程序</w:t>
            </w:r>
          </w:p>
        </w:tc>
        <w:tc>
          <w:tcPr>
            <w:tcW w:w="78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1"/>
              <w:jc w:val="right"/>
              <w:rPr>
                <w:rFonts w:ascii="Times New Roman" w:hAnsi="Times New Roman" w:cs="Times New Roman" w:eastAsia="Times New Roman" w:hint="default"/>
                <w:sz w:val="18"/>
                <w:szCs w:val="18"/>
              </w:rPr>
            </w:pPr>
            <w:r>
              <w:rPr>
                <w:rFonts w:ascii="Times New Roman"/>
                <w:spacing w:val="-1"/>
                <w:w w:val="95"/>
                <w:sz w:val="18"/>
              </w:rPr>
              <w:t>7,707.11</w:t>
            </w:r>
          </w:p>
        </w:tc>
        <w:tc>
          <w:tcPr>
            <w:tcW w:w="824"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0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right="0"/>
              <w:jc w:val="center"/>
              <w:rPr>
                <w:rFonts w:ascii="宋体" w:hAnsi="宋体" w:cs="宋体" w:eastAsia="宋体" w:hint="default"/>
                <w:sz w:val="18"/>
                <w:szCs w:val="18"/>
              </w:rPr>
            </w:pPr>
            <w:r>
              <w:rPr>
                <w:rFonts w:ascii="宋体" w:hAnsi="宋体" w:cs="宋体" w:eastAsia="宋体" w:hint="default"/>
                <w:sz w:val="18"/>
                <w:szCs w:val="18"/>
              </w:rPr>
              <w:t>结案</w:t>
            </w:r>
          </w:p>
        </w:tc>
        <w:tc>
          <w:tcPr>
            <w:tcW w:w="2084"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316" w:lineRule="auto" w:before="51"/>
              <w:ind w:left="22" w:right="71"/>
              <w:jc w:val="both"/>
              <w:rPr>
                <w:rFonts w:ascii="宋体" w:hAnsi="宋体" w:cs="宋体" w:eastAsia="宋体" w:hint="default"/>
                <w:sz w:val="18"/>
                <w:szCs w:val="18"/>
              </w:rPr>
            </w:pPr>
            <w:r>
              <w:rPr>
                <w:rFonts w:ascii="宋体" w:hAnsi="宋体" w:cs="宋体" w:eastAsia="宋体" w:hint="default"/>
                <w:sz w:val="18"/>
                <w:szCs w:val="18"/>
              </w:rPr>
              <w:t>深圳市福田区人民法院已 于</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日受理</w:t>
            </w:r>
          </w:p>
          <w:p>
            <w:pPr>
              <w:pStyle w:val="TableParagraph"/>
              <w:spacing w:line="248" w:lineRule="exact"/>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日下达判决</w:t>
            </w:r>
          </w:p>
          <w:p>
            <w:pPr>
              <w:pStyle w:val="TableParagraph"/>
              <w:spacing w:line="240" w:lineRule="auto" w:before="63"/>
              <w:ind w:left="22" w:right="0"/>
              <w:jc w:val="both"/>
              <w:rPr>
                <w:rFonts w:ascii="宋体" w:hAnsi="宋体" w:cs="宋体" w:eastAsia="宋体" w:hint="default"/>
                <w:sz w:val="18"/>
                <w:szCs w:val="18"/>
              </w:rPr>
            </w:pPr>
            <w:r>
              <w:rPr>
                <w:rFonts w:ascii="宋体" w:hAnsi="宋体" w:cs="宋体" w:eastAsia="宋体" w:hint="default"/>
                <w:sz w:val="18"/>
                <w:szCs w:val="18"/>
              </w:rPr>
              <w:t>书</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宋体" w:hAnsi="宋体" w:cs="宋体" w:eastAsia="宋体" w:hint="default"/>
                <w:sz w:val="18"/>
                <w:szCs w:val="18"/>
              </w:rPr>
              <w:t>）粤</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民特</w:t>
            </w:r>
          </w:p>
          <w:p>
            <w:pPr>
              <w:pStyle w:val="TableParagraph"/>
              <w:spacing w:line="309" w:lineRule="auto" w:before="63"/>
              <w:ind w:left="22" w:right="71"/>
              <w:jc w:val="both"/>
              <w:rPr>
                <w:rFonts w:ascii="宋体" w:hAnsi="宋体" w:cs="宋体" w:eastAsia="宋体" w:hint="default"/>
                <w:sz w:val="18"/>
                <w:szCs w:val="18"/>
              </w:rPr>
            </w:pPr>
            <w:r>
              <w:rPr>
                <w:rFonts w:ascii="宋体" w:hAnsi="宋体" w:cs="宋体" w:eastAsia="宋体" w:hint="default"/>
                <w:sz w:val="18"/>
                <w:szCs w:val="18"/>
              </w:rPr>
              <w:t>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号》判决拍卖飞马投 资公司持有的飞马国际公 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万股股票，并于</w:t>
            </w:r>
          </w:p>
          <w:p>
            <w:pPr>
              <w:pStyle w:val="TableParagraph"/>
              <w:spacing w:line="240" w:lineRule="auto" w:before="6"/>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日拍卖完毕</w:t>
            </w:r>
          </w:p>
        </w:tc>
        <w:tc>
          <w:tcPr>
            <w:tcW w:w="12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23"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已收到执行款</w:t>
            </w:r>
          </w:p>
          <w:p>
            <w:pPr>
              <w:pStyle w:val="TableParagraph"/>
              <w:spacing w:line="240" w:lineRule="auto" w:before="116"/>
              <w:ind w:left="22" w:right="0"/>
              <w:jc w:val="left"/>
              <w:rPr>
                <w:rFonts w:ascii="Times New Roman" w:hAnsi="Times New Roman" w:cs="Times New Roman" w:eastAsia="Times New Roman" w:hint="default"/>
                <w:sz w:val="18"/>
                <w:szCs w:val="18"/>
              </w:rPr>
            </w:pPr>
            <w:r>
              <w:rPr>
                <w:rFonts w:ascii="Times New Roman"/>
                <w:sz w:val="18"/>
              </w:rPr>
              <w:t>28,847,957.46</w:t>
            </w:r>
          </w:p>
          <w:p>
            <w:pPr>
              <w:pStyle w:val="TableParagraph"/>
              <w:spacing w:line="240" w:lineRule="auto" w:before="66"/>
              <w:ind w:left="2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064"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4"/>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38" w:lineRule="auto"/>
              <w:ind w:left="25" w:right="26"/>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 网 </w:t>
            </w:r>
            <w:r>
              <w:rPr>
                <w:rFonts w:ascii="Times New Roman" w:hAnsi="Times New Roman" w:cs="Times New Roman" w:eastAsia="Times New Roman" w:hint="default"/>
                <w:spacing w:val="-2"/>
                <w:sz w:val="18"/>
                <w:szCs w:val="18"/>
              </w:rPr>
              <w:t>www.cninfo</w:t>
            </w:r>
          </w:p>
          <w:p>
            <w:pPr>
              <w:pStyle w:val="TableParagraph"/>
              <w:spacing w:line="240" w:lineRule="auto" w:before="24"/>
              <w:ind w:right="0"/>
              <w:jc w:val="center"/>
              <w:rPr>
                <w:rFonts w:ascii="Times New Roman" w:hAnsi="Times New Roman" w:cs="Times New Roman" w:eastAsia="Times New Roman" w:hint="default"/>
                <w:sz w:val="18"/>
                <w:szCs w:val="18"/>
              </w:rPr>
            </w:pPr>
            <w:r>
              <w:rPr>
                <w:rFonts w:ascii="Times New Roman"/>
                <w:sz w:val="18"/>
              </w:rPr>
              <w:t>.com.cn</w:t>
            </w:r>
          </w:p>
        </w:tc>
      </w:tr>
      <w:tr>
        <w:trPr>
          <w:trHeight w:val="1962" w:hRule="exact"/>
        </w:trPr>
        <w:tc>
          <w:tcPr>
            <w:tcW w:w="1649"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319" w:lineRule="auto" w:before="51"/>
              <w:ind w:left="24" w:right="-6"/>
              <w:jc w:val="left"/>
              <w:rPr>
                <w:rFonts w:ascii="宋体" w:hAnsi="宋体" w:cs="宋体" w:eastAsia="宋体" w:hint="default"/>
                <w:sz w:val="18"/>
                <w:szCs w:val="18"/>
              </w:rPr>
            </w:pPr>
            <w:r>
              <w:rPr>
                <w:rFonts w:ascii="宋体" w:hAnsi="宋体" w:cs="宋体" w:eastAsia="宋体" w:hint="default"/>
                <w:sz w:val="18"/>
                <w:szCs w:val="18"/>
              </w:rPr>
              <w:t>深圳市飞马国际供 应链股份有限公司、 上海寰亚电力运营 有限公司、黄壮勉、 </w:t>
            </w:r>
            <w:r>
              <w:rPr>
                <w:rFonts w:ascii="宋体" w:hAnsi="宋体" w:cs="宋体" w:eastAsia="宋体" w:hint="default"/>
                <w:spacing w:val="-4"/>
                <w:sz w:val="18"/>
                <w:szCs w:val="18"/>
              </w:rPr>
              <w:t>俞倪荣、谢雨彤、谭</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寓丹合同纠纷</w:t>
            </w:r>
          </w:p>
        </w:tc>
        <w:tc>
          <w:tcPr>
            <w:tcW w:w="78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2,619.09</w:t>
            </w:r>
          </w:p>
        </w:tc>
        <w:tc>
          <w:tcPr>
            <w:tcW w:w="824"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0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一审</w:t>
            </w:r>
          </w:p>
        </w:tc>
        <w:tc>
          <w:tcPr>
            <w:tcW w:w="2084"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9" w:lineRule="auto" w:before="105"/>
              <w:ind w:left="22" w:right="-33"/>
              <w:jc w:val="left"/>
              <w:rPr>
                <w:rFonts w:ascii="宋体" w:hAnsi="宋体" w:cs="宋体" w:eastAsia="宋体" w:hint="default"/>
                <w:sz w:val="18"/>
                <w:szCs w:val="18"/>
              </w:rPr>
            </w:pPr>
            <w:r>
              <w:rPr>
                <w:rFonts w:ascii="宋体" w:hAnsi="宋体" w:cs="宋体" w:eastAsia="宋体" w:hint="default"/>
                <w:sz w:val="18"/>
                <w:szCs w:val="18"/>
              </w:rPr>
              <w:t>深圳市福田区人民法院已 于</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7"/>
                <w:sz w:val="18"/>
                <w:szCs w:val="18"/>
              </w:rPr>
              <w:t> </w:t>
            </w:r>
            <w:r>
              <w:rPr>
                <w:rFonts w:ascii="宋体" w:hAnsi="宋体" w:cs="宋体" w:eastAsia="宋体" w:hint="default"/>
                <w:spacing w:val="-9"/>
                <w:sz w:val="18"/>
                <w:szCs w:val="18"/>
              </w:rPr>
              <w:t>日受理，</w:t>
            </w:r>
            <w:r>
              <w:rPr>
                <w:rFonts w:ascii="宋体" w:hAnsi="宋体" w:cs="宋体" w:eastAsia="宋体" w:hint="default"/>
                <w:spacing w:val="-35"/>
                <w:sz w:val="18"/>
                <w:szCs w:val="18"/>
              </w:rPr>
              <w:t> </w:t>
            </w:r>
            <w:r>
              <w:rPr>
                <w:rFonts w:ascii="宋体" w:hAnsi="宋体" w:cs="宋体" w:eastAsia="宋体" w:hint="default"/>
                <w:sz w:val="18"/>
                <w:szCs w:val="18"/>
              </w:rPr>
              <w:t>待确认开庭时间。</w:t>
            </w:r>
          </w:p>
        </w:tc>
        <w:tc>
          <w:tcPr>
            <w:tcW w:w="12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4" w:type="dxa"/>
            <w:tcBorders>
              <w:top w:val="single" w:sz="4" w:space="0" w:color="FFC000"/>
              <w:left w:val="single" w:sz="4" w:space="0" w:color="FFC000"/>
              <w:bottom w:val="single" w:sz="4" w:space="0" w:color="FFC000"/>
              <w:right w:val="single" w:sz="4" w:space="0" w:color="FFC000"/>
            </w:tcBorders>
            <w:shd w:val="clear" w:color="auto" w:fill="FCF6E3"/>
          </w:tcPr>
          <w:p>
            <w:pPr/>
          </w:p>
        </w:tc>
        <w:tc>
          <w:tcPr>
            <w:tcW w:w="946" w:type="dxa"/>
            <w:tcBorders>
              <w:top w:val="single" w:sz="4" w:space="0" w:color="FFC000"/>
              <w:left w:val="single" w:sz="4" w:space="0" w:color="FFC000"/>
              <w:bottom w:val="single" w:sz="4" w:space="0" w:color="FFC000"/>
              <w:right w:val="single" w:sz="4" w:space="0" w:color="FFC000"/>
            </w:tcBorders>
          </w:tcPr>
          <w:p>
            <w:pPr/>
          </w:p>
        </w:tc>
      </w:tr>
      <w:tr>
        <w:trPr>
          <w:trHeight w:val="1962" w:hRule="exact"/>
        </w:trPr>
        <w:tc>
          <w:tcPr>
            <w:tcW w:w="1649"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319" w:lineRule="auto" w:before="51"/>
              <w:ind w:left="24" w:right="-6"/>
              <w:jc w:val="left"/>
              <w:rPr>
                <w:rFonts w:ascii="宋体" w:hAnsi="宋体" w:cs="宋体" w:eastAsia="宋体" w:hint="default"/>
                <w:sz w:val="18"/>
                <w:szCs w:val="18"/>
              </w:rPr>
            </w:pPr>
            <w:r>
              <w:rPr>
                <w:rFonts w:ascii="宋体" w:hAnsi="宋体" w:cs="宋体" w:eastAsia="宋体" w:hint="default"/>
                <w:sz w:val="18"/>
                <w:szCs w:val="18"/>
              </w:rPr>
              <w:t>深圳市飞马国际供 应链股份有限公司、 上海寰亚电力运营 有限公司、黄壮勉、 </w:t>
            </w:r>
            <w:r>
              <w:rPr>
                <w:rFonts w:ascii="宋体" w:hAnsi="宋体" w:cs="宋体" w:eastAsia="宋体" w:hint="default"/>
                <w:spacing w:val="-4"/>
                <w:sz w:val="18"/>
                <w:szCs w:val="18"/>
              </w:rPr>
              <w:t>俞倪荣、谢雨彤、谭</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寓丹合同纠纷</w:t>
            </w:r>
          </w:p>
        </w:tc>
        <w:tc>
          <w:tcPr>
            <w:tcW w:w="78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2,771.29</w:t>
            </w:r>
          </w:p>
        </w:tc>
        <w:tc>
          <w:tcPr>
            <w:tcW w:w="824"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0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一审</w:t>
            </w:r>
          </w:p>
        </w:tc>
        <w:tc>
          <w:tcPr>
            <w:tcW w:w="2084" w:type="dxa"/>
            <w:tcBorders>
              <w:top w:val="single" w:sz="4" w:space="0" w:color="FFC000"/>
              <w:left w:val="single" w:sz="4" w:space="0" w:color="FFC000"/>
              <w:bottom w:val="single" w:sz="4" w:space="0" w:color="FFC000"/>
              <w:right w:val="single" w:sz="4" w:space="0" w:color="FFC000"/>
            </w:tcBorders>
            <w:shd w:val="clear" w:color="auto" w:fill="FCF6E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9" w:lineRule="auto" w:before="105"/>
              <w:ind w:left="22" w:right="-33"/>
              <w:jc w:val="left"/>
              <w:rPr>
                <w:rFonts w:ascii="宋体" w:hAnsi="宋体" w:cs="宋体" w:eastAsia="宋体" w:hint="default"/>
                <w:sz w:val="18"/>
                <w:szCs w:val="18"/>
              </w:rPr>
            </w:pPr>
            <w:r>
              <w:rPr>
                <w:rFonts w:ascii="宋体" w:hAnsi="宋体" w:cs="宋体" w:eastAsia="宋体" w:hint="default"/>
                <w:sz w:val="18"/>
                <w:szCs w:val="18"/>
              </w:rPr>
              <w:t>深圳市福田区人民法院已 于</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7"/>
                <w:sz w:val="18"/>
                <w:szCs w:val="18"/>
              </w:rPr>
              <w:t> </w:t>
            </w:r>
            <w:r>
              <w:rPr>
                <w:rFonts w:ascii="宋体" w:hAnsi="宋体" w:cs="宋体" w:eastAsia="宋体" w:hint="default"/>
                <w:spacing w:val="-9"/>
                <w:sz w:val="18"/>
                <w:szCs w:val="18"/>
              </w:rPr>
              <w:t>日受理，</w:t>
            </w:r>
            <w:r>
              <w:rPr>
                <w:rFonts w:ascii="宋体" w:hAnsi="宋体" w:cs="宋体" w:eastAsia="宋体" w:hint="default"/>
                <w:spacing w:val="-35"/>
                <w:sz w:val="18"/>
                <w:szCs w:val="18"/>
              </w:rPr>
              <w:t> </w:t>
            </w:r>
            <w:r>
              <w:rPr>
                <w:rFonts w:ascii="宋体" w:hAnsi="宋体" w:cs="宋体" w:eastAsia="宋体" w:hint="default"/>
                <w:sz w:val="18"/>
                <w:szCs w:val="18"/>
              </w:rPr>
              <w:t>待确认开庭时间。</w:t>
            </w:r>
          </w:p>
        </w:tc>
        <w:tc>
          <w:tcPr>
            <w:tcW w:w="12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4" w:type="dxa"/>
            <w:tcBorders>
              <w:top w:val="single" w:sz="4" w:space="0" w:color="FFC000"/>
              <w:left w:val="single" w:sz="4" w:space="0" w:color="FFC000"/>
              <w:bottom w:val="single" w:sz="4" w:space="0" w:color="FFC000"/>
              <w:right w:val="single" w:sz="4" w:space="0" w:color="FFC000"/>
            </w:tcBorders>
            <w:shd w:val="clear" w:color="auto" w:fill="FCF6E3"/>
          </w:tcPr>
          <w:p>
            <w:pPr/>
          </w:p>
        </w:tc>
        <w:tc>
          <w:tcPr>
            <w:tcW w:w="946" w:type="dxa"/>
            <w:tcBorders>
              <w:top w:val="single" w:sz="4" w:space="0" w:color="FFC000"/>
              <w:left w:val="single" w:sz="4" w:space="0" w:color="FFC000"/>
              <w:bottom w:val="single" w:sz="4" w:space="0" w:color="FFC000"/>
              <w:right w:val="single" w:sz="4" w:space="0" w:color="FFC000"/>
            </w:tcBorders>
          </w:tcPr>
          <w:p>
            <w:pPr/>
          </w:p>
        </w:tc>
      </w:tr>
    </w:tbl>
    <w:p>
      <w:pPr>
        <w:spacing w:after="0"/>
        <w:sectPr>
          <w:pgSz w:w="11910" w:h="16840"/>
          <w:pgMar w:header="917" w:footer="1019" w:top="1100" w:bottom="120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5"/>
          <w:szCs w:val="15"/>
        </w:rPr>
      </w:pPr>
    </w:p>
    <w:p>
      <w:pPr>
        <w:pStyle w:val="Heading2"/>
        <w:spacing w:line="396" w:lineRule="exact"/>
        <w:ind w:left="894" w:right="7392"/>
        <w:jc w:val="left"/>
        <w:rPr>
          <w:b w:val="0"/>
          <w:bCs w:val="0"/>
        </w:rPr>
      </w:pPr>
      <w:bookmarkStart w:name="十三、处罚及整改情况" w:id="105"/>
      <w:bookmarkEnd w:id="105"/>
      <w:r>
        <w:rPr>
          <w:b w:val="0"/>
          <w:bCs w:val="0"/>
        </w:rPr>
      </w:r>
      <w:r>
        <w:rPr/>
        <w:t>十三、处罚及整改情况</w:t>
      </w:r>
      <w:r>
        <w:rPr>
          <w:b w:val="0"/>
          <w:bCs w:val="0"/>
        </w:rPr>
      </w:r>
    </w:p>
    <w:p>
      <w:pPr>
        <w:spacing w:line="240" w:lineRule="auto" w:before="0"/>
        <w:rPr>
          <w:rFonts w:ascii="华文细黑" w:hAnsi="华文细黑" w:cs="华文细黑" w:eastAsia="华文细黑" w:hint="default"/>
          <w:b/>
          <w:bCs/>
          <w:sz w:val="30"/>
          <w:szCs w:val="30"/>
        </w:rPr>
      </w:pPr>
    </w:p>
    <w:p>
      <w:pPr>
        <w:pStyle w:val="BodyText"/>
        <w:spacing w:line="285" w:lineRule="auto"/>
        <w:ind w:left="894" w:right="7392"/>
        <w:jc w:val="left"/>
      </w:pPr>
      <w:r>
        <w:rPr/>
        <w:t>□ 适用 √</w:t>
      </w:r>
      <w:r>
        <w:rPr>
          <w:spacing w:val="51"/>
        </w:rPr>
        <w:t> </w:t>
      </w:r>
      <w:r>
        <w:rPr/>
        <w:t>不适用</w:t>
      </w:r>
      <w:r>
        <w:rPr/>
        <w:t> 公司报告期不存在处罚及整改情况。</w:t>
      </w:r>
    </w:p>
    <w:p>
      <w:pPr>
        <w:spacing w:line="240" w:lineRule="auto" w:before="11"/>
        <w:rPr>
          <w:rFonts w:ascii="华文细黑" w:hAnsi="华文细黑" w:cs="华文细黑" w:eastAsia="华文细黑" w:hint="default"/>
          <w:sz w:val="24"/>
          <w:szCs w:val="24"/>
        </w:rPr>
      </w:pPr>
    </w:p>
    <w:p>
      <w:pPr>
        <w:pStyle w:val="Heading2"/>
        <w:spacing w:line="240" w:lineRule="auto"/>
        <w:ind w:left="894" w:right="0"/>
        <w:jc w:val="left"/>
        <w:rPr>
          <w:b w:val="0"/>
          <w:bCs w:val="0"/>
        </w:rPr>
      </w:pPr>
      <w:bookmarkStart w:name="十四、公司及其控股股东、实际控制人的诚信状况" w:id="106"/>
      <w:bookmarkEnd w:id="106"/>
      <w:r>
        <w:rPr>
          <w:b w:val="0"/>
          <w:bCs w:val="0"/>
        </w:rPr>
      </w:r>
      <w:r>
        <w:rPr/>
        <w:t>十四、公司及其控股股东、实际控制人的诚信状况</w:t>
      </w:r>
      <w:r>
        <w:rPr>
          <w:b w:val="0"/>
          <w:bCs w:val="0"/>
        </w:rPr>
      </w:r>
    </w:p>
    <w:p>
      <w:pPr>
        <w:spacing w:line="240" w:lineRule="auto" w:before="13"/>
        <w:rPr>
          <w:rFonts w:ascii="华文细黑" w:hAnsi="华文细黑" w:cs="华文细黑" w:eastAsia="华文细黑" w:hint="default"/>
          <w:b/>
          <w:bCs/>
          <w:sz w:val="29"/>
          <w:szCs w:val="29"/>
        </w:rPr>
      </w:pPr>
    </w:p>
    <w:p>
      <w:pPr>
        <w:pStyle w:val="BodyText"/>
        <w:spacing w:line="240" w:lineRule="auto"/>
        <w:ind w:left="894" w:right="7392"/>
        <w:jc w:val="left"/>
      </w:pPr>
      <w:r>
        <w:rPr/>
        <w:t>□  适用  √</w:t>
      </w:r>
      <w:r>
        <w:rPr>
          <w:spacing w:val="51"/>
        </w:rPr>
        <w:t> </w:t>
      </w:r>
      <w:r>
        <w:rPr/>
        <w:t>不适用</w:t>
      </w:r>
    </w:p>
    <w:p>
      <w:pPr>
        <w:spacing w:line="240" w:lineRule="auto" w:before="12"/>
        <w:rPr>
          <w:rFonts w:ascii="华文细黑" w:hAnsi="华文细黑" w:cs="华文细黑" w:eastAsia="华文细黑" w:hint="default"/>
          <w:sz w:val="27"/>
          <w:szCs w:val="27"/>
        </w:rPr>
      </w:pPr>
    </w:p>
    <w:p>
      <w:pPr>
        <w:pStyle w:val="Heading2"/>
        <w:spacing w:line="240" w:lineRule="auto"/>
        <w:ind w:left="894" w:right="0"/>
        <w:jc w:val="left"/>
        <w:rPr>
          <w:b w:val="0"/>
          <w:bCs w:val="0"/>
        </w:rPr>
      </w:pPr>
      <w:bookmarkStart w:name="十五、公司股权激励计划、员工持股计划或其他员工激励措施的实施情况" w:id="107"/>
      <w:bookmarkEnd w:id="107"/>
      <w:r>
        <w:rPr>
          <w:b w:val="0"/>
          <w:bCs w:val="0"/>
        </w:rPr>
      </w:r>
      <w:r>
        <w:rPr/>
        <w:t>十五、公司股权激励计划、员工持股计划或其他员工激励措施的实施情况</w:t>
      </w:r>
      <w:r>
        <w:rPr>
          <w:b w:val="0"/>
          <w:bCs w:val="0"/>
        </w:rPr>
      </w:r>
    </w:p>
    <w:p>
      <w:pPr>
        <w:spacing w:line="240" w:lineRule="auto" w:before="13"/>
        <w:rPr>
          <w:rFonts w:ascii="华文细黑" w:hAnsi="华文细黑" w:cs="华文细黑" w:eastAsia="华文细黑" w:hint="default"/>
          <w:b/>
          <w:bCs/>
          <w:sz w:val="29"/>
          <w:szCs w:val="29"/>
        </w:rPr>
      </w:pPr>
    </w:p>
    <w:p>
      <w:pPr>
        <w:pStyle w:val="BodyText"/>
        <w:spacing w:line="285" w:lineRule="auto"/>
        <w:ind w:left="894" w:right="3402"/>
        <w:jc w:val="left"/>
      </w:pPr>
      <w:r>
        <w:rPr/>
        <w:t>□ 适用 √</w:t>
      </w:r>
      <w:r>
        <w:rPr>
          <w:spacing w:val="51"/>
        </w:rPr>
        <w:t> </w:t>
      </w:r>
      <w:r>
        <w:rPr/>
        <w:t>不适用</w:t>
      </w:r>
      <w:r>
        <w:rPr/>
        <w:t> 公司报告期无股权激励计划、员工持股计划或其他员工激励措施及其实施情况。</w:t>
      </w:r>
    </w:p>
    <w:p>
      <w:pPr>
        <w:spacing w:line="240" w:lineRule="auto" w:before="10"/>
        <w:rPr>
          <w:rFonts w:ascii="华文细黑" w:hAnsi="华文细黑" w:cs="华文细黑" w:eastAsia="华文细黑" w:hint="default"/>
          <w:sz w:val="24"/>
          <w:szCs w:val="24"/>
        </w:rPr>
      </w:pPr>
    </w:p>
    <w:p>
      <w:pPr>
        <w:pStyle w:val="Heading2"/>
        <w:spacing w:line="240" w:lineRule="auto"/>
        <w:ind w:left="894" w:right="7392"/>
        <w:jc w:val="left"/>
        <w:rPr>
          <w:b w:val="0"/>
          <w:bCs w:val="0"/>
        </w:rPr>
      </w:pPr>
      <w:bookmarkStart w:name="十六、重大关联交易" w:id="108"/>
      <w:bookmarkEnd w:id="108"/>
      <w:r>
        <w:rPr>
          <w:b w:val="0"/>
          <w:bCs w:val="0"/>
        </w:rPr>
      </w:r>
      <w:r>
        <w:rPr/>
        <w:t>十六、重大关联交易</w:t>
      </w:r>
      <w:r>
        <w:rPr>
          <w:b w:val="0"/>
          <w:bCs w:val="0"/>
        </w:rPr>
      </w:r>
    </w:p>
    <w:p>
      <w:pPr>
        <w:spacing w:line="240" w:lineRule="auto" w:before="0"/>
        <w:rPr>
          <w:rFonts w:ascii="华文细黑" w:hAnsi="华文细黑" w:cs="华文细黑" w:eastAsia="华文细黑" w:hint="default"/>
          <w:b/>
          <w:bCs/>
          <w:sz w:val="30"/>
          <w:szCs w:val="30"/>
        </w:rPr>
      </w:pPr>
    </w:p>
    <w:p>
      <w:pPr>
        <w:pStyle w:val="Heading5"/>
        <w:spacing w:line="240" w:lineRule="auto" w:before="0"/>
        <w:ind w:left="894" w:right="7392"/>
        <w:jc w:val="left"/>
        <w:rPr>
          <w:b w:val="0"/>
          <w:bCs w:val="0"/>
        </w:rPr>
      </w:pPr>
      <w:bookmarkStart w:name="1、与日常经营相关的关联交易" w:id="109"/>
      <w:bookmarkEnd w:id="109"/>
      <w:r>
        <w:rPr>
          <w:b w:val="0"/>
          <w:bCs w:val="0"/>
        </w:rPr>
      </w:r>
      <w:r>
        <w:rPr>
          <w:rFonts w:ascii="华文细黑" w:hAnsi="华文细黑" w:cs="华文细黑" w:eastAsia="华文细黑" w:hint="default"/>
        </w:rPr>
        <w:t>1</w:t>
      </w:r>
      <w:r>
        <w:rPr/>
        <w:t>、与日常经营相关的关联交易</w:t>
      </w:r>
      <w:r>
        <w:rPr>
          <w:b w:val="0"/>
          <w:bCs w:val="0"/>
        </w:rPr>
      </w:r>
    </w:p>
    <w:p>
      <w:pPr>
        <w:spacing w:line="240" w:lineRule="auto" w:before="6"/>
        <w:rPr>
          <w:rFonts w:ascii="华文细黑" w:hAnsi="华文细黑" w:cs="华文细黑" w:eastAsia="华文细黑" w:hint="default"/>
          <w:b/>
          <w:bCs/>
          <w:sz w:val="22"/>
          <w:szCs w:val="22"/>
        </w:rPr>
      </w:pPr>
    </w:p>
    <w:p>
      <w:pPr>
        <w:pStyle w:val="BodyText"/>
        <w:spacing w:line="240" w:lineRule="auto"/>
        <w:ind w:left="894" w:right="7392"/>
        <w:jc w:val="left"/>
      </w:pPr>
      <w:r>
        <w:rPr/>
        <w:t>√  适用  □</w:t>
      </w:r>
      <w:r>
        <w:rPr>
          <w:spacing w:val="51"/>
        </w:rPr>
        <w:t> </w:t>
      </w:r>
      <w:r>
        <w:rPr/>
        <w:t>不适用</w:t>
      </w:r>
    </w:p>
    <w:p>
      <w:pPr>
        <w:spacing w:line="240" w:lineRule="auto" w:before="11"/>
        <w:rPr>
          <w:rFonts w:ascii="华文细黑" w:hAnsi="华文细黑" w:cs="华文细黑" w:eastAsia="华文细黑" w:hint="default"/>
          <w:sz w:val="5"/>
          <w:szCs w:val="5"/>
        </w:rPr>
      </w:pPr>
    </w:p>
    <w:tbl>
      <w:tblPr>
        <w:tblW w:w="0" w:type="auto"/>
        <w:jc w:val="left"/>
        <w:tblInd w:w="116" w:type="dxa"/>
        <w:tblLayout w:type="fixed"/>
        <w:tblCellMar>
          <w:top w:w="0" w:type="dxa"/>
          <w:left w:w="0" w:type="dxa"/>
          <w:bottom w:w="0" w:type="dxa"/>
          <w:right w:w="0" w:type="dxa"/>
        </w:tblCellMar>
        <w:tblLook w:val="01E0"/>
      </w:tblPr>
      <w:tblGrid>
        <w:gridCol w:w="974"/>
        <w:gridCol w:w="750"/>
        <w:gridCol w:w="690"/>
        <w:gridCol w:w="630"/>
        <w:gridCol w:w="810"/>
        <w:gridCol w:w="586"/>
        <w:gridCol w:w="930"/>
        <w:gridCol w:w="853"/>
        <w:gridCol w:w="673"/>
        <w:gridCol w:w="674"/>
        <w:gridCol w:w="675"/>
        <w:gridCol w:w="673"/>
        <w:gridCol w:w="832"/>
        <w:gridCol w:w="1110"/>
      </w:tblGrid>
      <w:tr>
        <w:trPr>
          <w:trHeight w:val="1650" w:hRule="exact"/>
        </w:trPr>
        <w:tc>
          <w:tcPr>
            <w:tcW w:w="97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95" w:lineRule="auto"/>
              <w:ind w:left="392" w:right="120" w:hanging="27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关联交易 方</w:t>
            </w:r>
          </w:p>
        </w:tc>
        <w:tc>
          <w:tcPr>
            <w:tcW w:w="75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95" w:lineRule="auto"/>
              <w:ind w:left="189" w:right="18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关联 关系</w:t>
            </w:r>
          </w:p>
        </w:tc>
        <w:tc>
          <w:tcPr>
            <w:tcW w:w="6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95" w:lineRule="auto"/>
              <w:ind w:left="159" w:right="158"/>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关联 交易 类型</w:t>
            </w:r>
          </w:p>
        </w:tc>
        <w:tc>
          <w:tcPr>
            <w:tcW w:w="63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95" w:lineRule="auto"/>
              <w:ind w:left="129" w:right="128"/>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关联 交易 内容</w:t>
            </w:r>
          </w:p>
        </w:tc>
        <w:tc>
          <w:tcPr>
            <w:tcW w:w="8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95" w:lineRule="auto"/>
              <w:ind w:left="129" w:right="128"/>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关联交 易定价 原则</w:t>
            </w:r>
          </w:p>
        </w:tc>
        <w:tc>
          <w:tcPr>
            <w:tcW w:w="5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95" w:lineRule="auto"/>
              <w:ind w:left="106" w:right="107"/>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关联 交易 价格</w:t>
            </w:r>
          </w:p>
        </w:tc>
        <w:tc>
          <w:tcPr>
            <w:tcW w:w="93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95" w:lineRule="auto"/>
              <w:ind w:left="190" w:right="188"/>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关联交 易金额</w:t>
            </w:r>
          </w:p>
          <w:p>
            <w:pPr>
              <w:pStyle w:val="TableParagraph"/>
              <w:spacing w:line="240" w:lineRule="auto" w:before="1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（万元）</w:t>
            </w:r>
          </w:p>
        </w:tc>
        <w:tc>
          <w:tcPr>
            <w:tcW w:w="85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151" w:right="15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占同类 交易金 额的比 例</w:t>
            </w:r>
          </w:p>
        </w:tc>
        <w:tc>
          <w:tcPr>
            <w:tcW w:w="67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99" w:firstLine="4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获批 的交 易额 </w:t>
            </w:r>
            <w:r>
              <w:rPr>
                <w:rFonts w:ascii="华文细黑" w:hAnsi="华文细黑" w:cs="华文细黑" w:eastAsia="华文细黑" w:hint="default"/>
                <w:spacing w:val="-28"/>
                <w:sz w:val="18"/>
                <w:szCs w:val="18"/>
              </w:rPr>
              <w:t>度（万</w:t>
            </w:r>
            <w:r>
              <w:rPr>
                <w:rFonts w:ascii="华文细黑" w:hAnsi="华文细黑" w:cs="华文细黑" w:eastAsia="华文细黑" w:hint="default"/>
                <w:spacing w:val="-43"/>
                <w:sz w:val="18"/>
                <w:szCs w:val="18"/>
              </w:rPr>
              <w:t> </w:t>
            </w:r>
            <w:r>
              <w:rPr>
                <w:rFonts w:ascii="华文细黑" w:hAnsi="华文细黑" w:cs="华文细黑" w:eastAsia="华文细黑" w:hint="default"/>
                <w:spacing w:val="-43"/>
                <w:sz w:val="18"/>
                <w:szCs w:val="18"/>
              </w:rPr>
            </w:r>
            <w:r>
              <w:rPr>
                <w:rFonts w:ascii="华文细黑" w:hAnsi="华文细黑" w:cs="华文细黑" w:eastAsia="华文细黑" w:hint="default"/>
                <w:sz w:val="18"/>
                <w:szCs w:val="18"/>
              </w:rPr>
              <w:t>元）</w:t>
            </w:r>
          </w:p>
        </w:tc>
        <w:tc>
          <w:tcPr>
            <w:tcW w:w="67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152" w:right="15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是否 超过 获批 额度</w:t>
            </w:r>
          </w:p>
        </w:tc>
        <w:tc>
          <w:tcPr>
            <w:tcW w:w="67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152" w:right="15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关联 交易 结算 方式</w:t>
            </w:r>
          </w:p>
        </w:tc>
        <w:tc>
          <w:tcPr>
            <w:tcW w:w="67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52" w:right="14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可获 得的 同类 交易 市价</w:t>
            </w:r>
          </w:p>
        </w:tc>
        <w:tc>
          <w:tcPr>
            <w:tcW w:w="83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95" w:lineRule="auto"/>
              <w:ind w:left="320" w:right="139"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披露日 期</w:t>
            </w:r>
          </w:p>
        </w:tc>
        <w:tc>
          <w:tcPr>
            <w:tcW w:w="11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5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披露索引</w:t>
            </w:r>
          </w:p>
        </w:tc>
      </w:tr>
      <w:tr>
        <w:trPr>
          <w:trHeight w:val="1962" w:hRule="exact"/>
        </w:trPr>
        <w:tc>
          <w:tcPr>
            <w:tcW w:w="9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95" w:lineRule="auto"/>
              <w:ind w:left="103" w:right="13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上海酷武 供应链管 理股份有 限公司</w:t>
            </w:r>
          </w:p>
        </w:tc>
        <w:tc>
          <w:tcPr>
            <w:tcW w:w="750"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275"/>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与本 公司 受同 一控 制人 控制</w:t>
            </w:r>
          </w:p>
        </w:tc>
        <w:tc>
          <w:tcPr>
            <w:tcW w:w="6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95" w:lineRule="auto" w:before="155"/>
              <w:ind w:left="103" w:right="215"/>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接受 劳务</w:t>
            </w:r>
          </w:p>
        </w:tc>
        <w:tc>
          <w:tcPr>
            <w:tcW w:w="6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95" w:lineRule="auto"/>
              <w:ind w:left="103" w:right="155"/>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运输 仓储 等服 务</w:t>
            </w:r>
          </w:p>
        </w:tc>
        <w:tc>
          <w:tcPr>
            <w:tcW w:w="8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103" w:right="155"/>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在市场 价格基 础上经 双方协 商确定</w:t>
            </w:r>
          </w:p>
        </w:tc>
        <w:tc>
          <w:tcPr>
            <w:tcW w:w="58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95" w:lineRule="auto" w:before="155"/>
              <w:ind w:left="103" w:right="11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市场 价格</w:t>
            </w:r>
          </w:p>
        </w:tc>
        <w:tc>
          <w:tcPr>
            <w:tcW w:w="9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
              <w:ind w:right="0"/>
              <w:jc w:val="left"/>
              <w:rPr>
                <w:rFonts w:ascii="华文细黑" w:hAnsi="华文细黑" w:cs="华文细黑" w:eastAsia="华文细黑" w:hint="default"/>
                <w:sz w:val="22"/>
                <w:szCs w:val="22"/>
              </w:rPr>
            </w:pPr>
          </w:p>
          <w:p>
            <w:pPr>
              <w:pStyle w:val="TableParagraph"/>
              <w:spacing w:line="240" w:lineRule="auto"/>
              <w:ind w:left="16" w:right="0"/>
              <w:jc w:val="center"/>
              <w:rPr>
                <w:rFonts w:ascii="华文细黑" w:hAnsi="华文细黑" w:cs="华文细黑" w:eastAsia="华文细黑" w:hint="default"/>
                <w:sz w:val="18"/>
                <w:szCs w:val="18"/>
              </w:rPr>
            </w:pPr>
            <w:r>
              <w:rPr>
                <w:rFonts w:ascii="华文细黑"/>
                <w:sz w:val="18"/>
              </w:rPr>
              <w:t>1,215.45</w:t>
            </w:r>
          </w:p>
        </w:tc>
        <w:tc>
          <w:tcPr>
            <w:tcW w:w="8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
              <w:ind w:right="0"/>
              <w:jc w:val="left"/>
              <w:rPr>
                <w:rFonts w:ascii="华文细黑" w:hAnsi="华文细黑" w:cs="华文细黑" w:eastAsia="华文细黑" w:hint="default"/>
                <w:sz w:val="22"/>
                <w:szCs w:val="22"/>
              </w:rPr>
            </w:pPr>
          </w:p>
          <w:p>
            <w:pPr>
              <w:pStyle w:val="TableParagraph"/>
              <w:spacing w:line="240" w:lineRule="auto"/>
              <w:ind w:left="49" w:right="0"/>
              <w:jc w:val="center"/>
              <w:rPr>
                <w:rFonts w:ascii="华文细黑" w:hAnsi="华文细黑" w:cs="华文细黑" w:eastAsia="华文细黑" w:hint="default"/>
                <w:sz w:val="18"/>
                <w:szCs w:val="18"/>
              </w:rPr>
            </w:pPr>
            <w:r>
              <w:rPr>
                <w:rFonts w:ascii="华文细黑"/>
                <w:sz w:val="18"/>
              </w:rPr>
              <w:t>18.19%</w:t>
            </w:r>
          </w:p>
        </w:tc>
        <w:tc>
          <w:tcPr>
            <w:tcW w:w="67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
              <w:ind w:right="0"/>
              <w:jc w:val="left"/>
              <w:rPr>
                <w:rFonts w:ascii="华文细黑" w:hAnsi="华文细黑" w:cs="华文细黑" w:eastAsia="华文细黑" w:hint="default"/>
                <w:sz w:val="22"/>
                <w:szCs w:val="22"/>
              </w:rPr>
            </w:pPr>
          </w:p>
          <w:p>
            <w:pPr>
              <w:pStyle w:val="TableParagraph"/>
              <w:spacing w:line="240" w:lineRule="auto"/>
              <w:ind w:left="10" w:right="0"/>
              <w:jc w:val="center"/>
              <w:rPr>
                <w:rFonts w:ascii="华文细黑" w:hAnsi="华文细黑" w:cs="华文细黑" w:eastAsia="华文细黑" w:hint="default"/>
                <w:sz w:val="18"/>
                <w:szCs w:val="18"/>
              </w:rPr>
            </w:pPr>
            <w:r>
              <w:rPr>
                <w:rFonts w:ascii="华文细黑"/>
                <w:sz w:val="18"/>
              </w:rPr>
              <w:t>2,500</w:t>
            </w:r>
          </w:p>
        </w:tc>
        <w:tc>
          <w:tcPr>
            <w:tcW w:w="6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
              <w:ind w:right="0"/>
              <w:jc w:val="left"/>
              <w:rPr>
                <w:rFonts w:ascii="华文细黑" w:hAnsi="华文细黑" w:cs="华文细黑" w:eastAsia="华文细黑" w:hint="default"/>
                <w:sz w:val="22"/>
                <w:szCs w:val="22"/>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c>
          <w:tcPr>
            <w:tcW w:w="67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95" w:lineRule="auto" w:before="155"/>
              <w:ind w:left="103" w:right="2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现金 结算</w:t>
            </w:r>
          </w:p>
        </w:tc>
        <w:tc>
          <w:tcPr>
            <w:tcW w:w="67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95" w:lineRule="auto" w:before="155"/>
              <w:ind w:left="103" w:right="198"/>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市场 价格</w:t>
            </w:r>
          </w:p>
        </w:tc>
        <w:tc>
          <w:tcPr>
            <w:tcW w:w="83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年</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04</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月</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17</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日</w:t>
            </w:r>
          </w:p>
        </w:tc>
        <w:tc>
          <w:tcPr>
            <w:tcW w:w="11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103" w:right="12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巨潮资讯 网 </w:t>
            </w:r>
            <w:r>
              <w:rPr>
                <w:rFonts w:ascii="华文细黑" w:hAnsi="华文细黑" w:cs="华文细黑" w:eastAsia="华文细黑" w:hint="default"/>
                <w:sz w:val="18"/>
                <w:szCs w:val="18"/>
              </w:rPr>
              <w:t>www.cnin fo.com.c n</w:t>
            </w:r>
          </w:p>
        </w:tc>
      </w:tr>
      <w:tr>
        <w:trPr>
          <w:trHeight w:val="402" w:hRule="exact"/>
        </w:trPr>
        <w:tc>
          <w:tcPr>
            <w:tcW w:w="3045" w:type="dxa"/>
            <w:gridSpan w:val="4"/>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合计</w:t>
            </w:r>
          </w:p>
        </w:tc>
        <w:tc>
          <w:tcPr>
            <w:tcW w:w="8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1"/>
              <w:jc w:val="center"/>
              <w:rPr>
                <w:rFonts w:ascii="华文细黑" w:hAnsi="华文细黑" w:cs="华文细黑" w:eastAsia="华文细黑" w:hint="default"/>
                <w:sz w:val="18"/>
                <w:szCs w:val="18"/>
              </w:rPr>
            </w:pPr>
            <w:r>
              <w:rPr>
                <w:rFonts w:ascii="华文细黑"/>
                <w:sz w:val="18"/>
              </w:rPr>
              <w:t>--</w:t>
            </w:r>
          </w:p>
        </w:tc>
        <w:tc>
          <w:tcPr>
            <w:tcW w:w="5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sz w:val="18"/>
              </w:rPr>
              <w:t>--</w:t>
            </w:r>
          </w:p>
        </w:tc>
        <w:tc>
          <w:tcPr>
            <w:tcW w:w="93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6" w:right="0"/>
              <w:jc w:val="center"/>
              <w:rPr>
                <w:rFonts w:ascii="华文细黑" w:hAnsi="华文细黑" w:cs="华文细黑" w:eastAsia="华文细黑" w:hint="default"/>
                <w:sz w:val="18"/>
                <w:szCs w:val="18"/>
              </w:rPr>
            </w:pPr>
            <w:r>
              <w:rPr>
                <w:rFonts w:ascii="华文细黑"/>
                <w:sz w:val="18"/>
              </w:rPr>
              <w:t>1,215.45</w:t>
            </w:r>
          </w:p>
        </w:tc>
        <w:tc>
          <w:tcPr>
            <w:tcW w:w="85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1"/>
              <w:jc w:val="center"/>
              <w:rPr>
                <w:rFonts w:ascii="华文细黑" w:hAnsi="华文细黑" w:cs="华文细黑" w:eastAsia="华文细黑" w:hint="default"/>
                <w:sz w:val="18"/>
                <w:szCs w:val="18"/>
              </w:rPr>
            </w:pPr>
            <w:r>
              <w:rPr>
                <w:rFonts w:ascii="华文细黑"/>
                <w:sz w:val="18"/>
              </w:rPr>
              <w:t>--</w:t>
            </w:r>
          </w:p>
        </w:tc>
        <w:tc>
          <w:tcPr>
            <w:tcW w:w="67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 w:right="0"/>
              <w:jc w:val="center"/>
              <w:rPr>
                <w:rFonts w:ascii="华文细黑" w:hAnsi="华文细黑" w:cs="华文细黑" w:eastAsia="华文细黑" w:hint="default"/>
                <w:sz w:val="18"/>
                <w:szCs w:val="18"/>
              </w:rPr>
            </w:pPr>
            <w:r>
              <w:rPr>
                <w:rFonts w:ascii="华文细黑"/>
                <w:sz w:val="18"/>
              </w:rPr>
              <w:t>2,500</w:t>
            </w:r>
          </w:p>
        </w:tc>
        <w:tc>
          <w:tcPr>
            <w:tcW w:w="67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sz w:val="18"/>
              </w:rPr>
              <w:t>--</w:t>
            </w:r>
          </w:p>
        </w:tc>
        <w:tc>
          <w:tcPr>
            <w:tcW w:w="67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sz w:val="18"/>
              </w:rPr>
              <w:t>--</w:t>
            </w:r>
          </w:p>
        </w:tc>
        <w:tc>
          <w:tcPr>
            <w:tcW w:w="67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 w:right="0"/>
              <w:jc w:val="center"/>
              <w:rPr>
                <w:rFonts w:ascii="华文细黑" w:hAnsi="华文细黑" w:cs="华文细黑" w:eastAsia="华文细黑" w:hint="default"/>
                <w:sz w:val="18"/>
                <w:szCs w:val="18"/>
              </w:rPr>
            </w:pPr>
            <w:r>
              <w:rPr>
                <w:rFonts w:ascii="华文细黑"/>
                <w:sz w:val="18"/>
              </w:rPr>
              <w:t>--</w:t>
            </w:r>
          </w:p>
        </w:tc>
        <w:tc>
          <w:tcPr>
            <w:tcW w:w="83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1"/>
              <w:jc w:val="center"/>
              <w:rPr>
                <w:rFonts w:ascii="华文细黑" w:hAnsi="华文细黑" w:cs="华文细黑" w:eastAsia="华文细黑" w:hint="default"/>
                <w:sz w:val="18"/>
                <w:szCs w:val="18"/>
              </w:rPr>
            </w:pPr>
            <w:r>
              <w:rPr>
                <w:rFonts w:ascii="华文细黑"/>
                <w:sz w:val="18"/>
              </w:rPr>
              <w:t>--</w:t>
            </w:r>
          </w:p>
        </w:tc>
        <w:tc>
          <w:tcPr>
            <w:tcW w:w="11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1"/>
              <w:jc w:val="center"/>
              <w:rPr>
                <w:rFonts w:ascii="华文细黑" w:hAnsi="华文细黑" w:cs="华文细黑" w:eastAsia="华文细黑" w:hint="default"/>
                <w:sz w:val="18"/>
                <w:szCs w:val="18"/>
              </w:rPr>
            </w:pPr>
            <w:r>
              <w:rPr>
                <w:rFonts w:ascii="华文细黑"/>
                <w:sz w:val="18"/>
              </w:rPr>
              <w:t>--</w:t>
            </w:r>
          </w:p>
        </w:tc>
      </w:tr>
      <w:tr>
        <w:trPr>
          <w:trHeight w:val="402" w:hRule="exact"/>
        </w:trPr>
        <w:tc>
          <w:tcPr>
            <w:tcW w:w="3045" w:type="dxa"/>
            <w:gridSpan w:val="4"/>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大额销货退回的详细情况</w:t>
            </w:r>
          </w:p>
        </w:tc>
        <w:tc>
          <w:tcPr>
            <w:tcW w:w="7816" w:type="dxa"/>
            <w:gridSpan w:val="10"/>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w:t>
            </w:r>
          </w:p>
        </w:tc>
      </w:tr>
      <w:tr>
        <w:trPr>
          <w:trHeight w:val="1026" w:hRule="exact"/>
        </w:trPr>
        <w:tc>
          <w:tcPr>
            <w:tcW w:w="3045" w:type="dxa"/>
            <w:gridSpan w:val="4"/>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按类别对本期将发生的日常关联交 </w:t>
            </w:r>
            <w:r>
              <w:rPr>
                <w:rFonts w:ascii="华文细黑" w:hAnsi="华文细黑" w:cs="华文细黑" w:eastAsia="华文细黑" w:hint="default"/>
                <w:spacing w:val="-4"/>
                <w:sz w:val="18"/>
                <w:szCs w:val="18"/>
              </w:rPr>
              <w:t>易进行总金额预计的，在报告期内的</w:t>
            </w:r>
            <w:r>
              <w:rPr>
                <w:rFonts w:ascii="华文细黑" w:hAnsi="华文细黑" w:cs="华文细黑" w:eastAsia="华文细黑" w:hint="default"/>
                <w:spacing w:val="-34"/>
                <w:sz w:val="18"/>
                <w:szCs w:val="18"/>
              </w:rPr>
              <w:t> </w:t>
            </w:r>
            <w:r>
              <w:rPr>
                <w:rFonts w:ascii="华文细黑" w:hAnsi="华文细黑" w:cs="华文细黑" w:eastAsia="华文细黑" w:hint="default"/>
                <w:spacing w:val="-34"/>
                <w:sz w:val="18"/>
                <w:szCs w:val="18"/>
              </w:rPr>
            </w:r>
            <w:r>
              <w:rPr>
                <w:rFonts w:ascii="华文细黑" w:hAnsi="华文细黑" w:cs="华文细黑" w:eastAsia="华文细黑" w:hint="default"/>
                <w:sz w:val="18"/>
                <w:szCs w:val="18"/>
              </w:rPr>
              <w:t>实际履行情况（如有）</w:t>
            </w:r>
          </w:p>
        </w:tc>
        <w:tc>
          <w:tcPr>
            <w:tcW w:w="7816" w:type="dxa"/>
            <w:gridSpan w:val="10"/>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w:t>
            </w:r>
          </w:p>
        </w:tc>
      </w:tr>
      <w:tr>
        <w:trPr>
          <w:trHeight w:val="714" w:hRule="exact"/>
        </w:trPr>
        <w:tc>
          <w:tcPr>
            <w:tcW w:w="3045" w:type="dxa"/>
            <w:gridSpan w:val="4"/>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23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交易价格与市场参考价格差异较大 的原因（如适用）</w:t>
            </w:r>
          </w:p>
        </w:tc>
        <w:tc>
          <w:tcPr>
            <w:tcW w:w="7816" w:type="dxa"/>
            <w:gridSpan w:val="10"/>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不适用</w:t>
            </w:r>
          </w:p>
        </w:tc>
      </w:tr>
    </w:tbl>
    <w:p>
      <w:pPr>
        <w:spacing w:after="0" w:line="240" w:lineRule="auto"/>
        <w:jc w:val="left"/>
        <w:rPr>
          <w:rFonts w:ascii="华文细黑" w:hAnsi="华文细黑" w:cs="华文细黑" w:eastAsia="华文细黑" w:hint="default"/>
          <w:sz w:val="18"/>
          <w:szCs w:val="18"/>
        </w:rPr>
        <w:sectPr>
          <w:pgSz w:w="11910" w:h="16840"/>
          <w:pgMar w:header="917" w:footer="1019" w:top="1100" w:bottom="1200" w:left="240" w:right="0"/>
        </w:sectPr>
      </w:pPr>
    </w:p>
    <w:p>
      <w:pPr>
        <w:spacing w:line="240" w:lineRule="auto" w:before="0"/>
        <w:rPr>
          <w:rFonts w:ascii="华文细黑" w:hAnsi="华文细黑" w:cs="华文细黑" w:eastAsia="华文细黑" w:hint="default"/>
          <w:sz w:val="21"/>
          <w:szCs w:val="21"/>
        </w:rPr>
      </w:pPr>
    </w:p>
    <w:p>
      <w:pPr>
        <w:pStyle w:val="Heading5"/>
        <w:spacing w:line="240" w:lineRule="auto"/>
        <w:ind w:left="154" w:right="1217"/>
        <w:jc w:val="left"/>
        <w:rPr>
          <w:b w:val="0"/>
          <w:bCs w:val="0"/>
        </w:rPr>
      </w:pPr>
      <w:bookmarkStart w:name="2、资产或股权收购、出售发生的关联交易" w:id="110"/>
      <w:bookmarkEnd w:id="110"/>
      <w:r>
        <w:rPr>
          <w:b w:val="0"/>
          <w:bCs w:val="0"/>
        </w:rPr>
      </w:r>
      <w:r>
        <w:rPr>
          <w:rFonts w:ascii="华文细黑" w:hAnsi="华文细黑" w:cs="华文细黑" w:eastAsia="华文细黑" w:hint="default"/>
        </w:rPr>
        <w:t>2</w:t>
      </w:r>
      <w:r>
        <w:rPr/>
        <w:t>、资产或股权收购、出售发生的关联交易</w:t>
      </w:r>
      <w:r>
        <w:rPr>
          <w:b w:val="0"/>
          <w:bCs w:val="0"/>
        </w:rPr>
      </w:r>
    </w:p>
    <w:p>
      <w:pPr>
        <w:spacing w:line="240" w:lineRule="auto" w:before="13"/>
        <w:rPr>
          <w:rFonts w:ascii="华文细黑" w:hAnsi="华文细黑" w:cs="华文细黑" w:eastAsia="华文细黑" w:hint="default"/>
          <w:b/>
          <w:bCs/>
          <w:sz w:val="27"/>
          <w:szCs w:val="27"/>
        </w:rPr>
      </w:pPr>
    </w:p>
    <w:p>
      <w:pPr>
        <w:pStyle w:val="BodyText"/>
        <w:spacing w:line="410" w:lineRule="auto"/>
        <w:ind w:left="154" w:right="5712"/>
        <w:jc w:val="left"/>
      </w:pPr>
      <w:r>
        <w:rPr/>
        <w:t>□ 适用 √</w:t>
      </w:r>
      <w:r>
        <w:rPr>
          <w:spacing w:val="51"/>
        </w:rPr>
        <w:t> </w:t>
      </w:r>
      <w:r>
        <w:rPr/>
        <w:t>不适用</w:t>
      </w:r>
      <w:r>
        <w:rPr/>
        <w:t> 公司报告期未发生资产或股权收购、出售的关联交易。</w:t>
      </w:r>
    </w:p>
    <w:p>
      <w:pPr>
        <w:spacing w:line="240" w:lineRule="auto" w:before="7"/>
        <w:rPr>
          <w:rFonts w:ascii="华文细黑" w:hAnsi="华文细黑" w:cs="华文细黑" w:eastAsia="华文细黑" w:hint="default"/>
          <w:sz w:val="16"/>
          <w:szCs w:val="16"/>
        </w:rPr>
      </w:pPr>
    </w:p>
    <w:p>
      <w:pPr>
        <w:pStyle w:val="Heading5"/>
        <w:spacing w:line="240" w:lineRule="auto" w:before="0"/>
        <w:ind w:left="154" w:right="1217"/>
        <w:jc w:val="left"/>
        <w:rPr>
          <w:b w:val="0"/>
          <w:bCs w:val="0"/>
        </w:rPr>
      </w:pPr>
      <w:bookmarkStart w:name="3、共同对外投资的关联交易" w:id="111"/>
      <w:bookmarkEnd w:id="111"/>
      <w:r>
        <w:rPr>
          <w:b w:val="0"/>
          <w:bCs w:val="0"/>
        </w:rPr>
      </w:r>
      <w:r>
        <w:rPr>
          <w:rFonts w:ascii="华文细黑" w:hAnsi="华文细黑" w:cs="华文细黑" w:eastAsia="华文细黑" w:hint="default"/>
        </w:rPr>
        <w:t>3</w:t>
      </w:r>
      <w:r>
        <w:rPr/>
        <w:t>、共同对外投资的关联交易</w:t>
      </w:r>
      <w:r>
        <w:rPr>
          <w:b w:val="0"/>
          <w:bCs w:val="0"/>
        </w:rPr>
      </w:r>
    </w:p>
    <w:p>
      <w:pPr>
        <w:spacing w:line="240" w:lineRule="auto" w:before="13"/>
        <w:rPr>
          <w:rFonts w:ascii="华文细黑" w:hAnsi="华文细黑" w:cs="华文细黑" w:eastAsia="华文细黑" w:hint="default"/>
          <w:b/>
          <w:bCs/>
          <w:sz w:val="27"/>
          <w:szCs w:val="27"/>
        </w:rPr>
      </w:pPr>
    </w:p>
    <w:p>
      <w:pPr>
        <w:pStyle w:val="BodyText"/>
        <w:spacing w:line="412" w:lineRule="auto"/>
        <w:ind w:left="154" w:right="6552"/>
        <w:jc w:val="left"/>
      </w:pPr>
      <w:r>
        <w:rPr/>
        <w:t>□ 适用 √</w:t>
      </w:r>
      <w:r>
        <w:rPr>
          <w:spacing w:val="51"/>
        </w:rPr>
        <w:t> </w:t>
      </w:r>
      <w:r>
        <w:rPr/>
        <w:t>不适用</w:t>
      </w:r>
      <w:r>
        <w:rPr/>
        <w:t> 公司报告期未发生共同对外投资的关联交易。</w:t>
      </w:r>
    </w:p>
    <w:p>
      <w:pPr>
        <w:spacing w:line="240" w:lineRule="auto" w:before="3"/>
        <w:rPr>
          <w:rFonts w:ascii="华文细黑" w:hAnsi="华文细黑" w:cs="华文细黑" w:eastAsia="华文细黑" w:hint="default"/>
          <w:sz w:val="16"/>
          <w:szCs w:val="16"/>
        </w:rPr>
      </w:pPr>
    </w:p>
    <w:p>
      <w:pPr>
        <w:pStyle w:val="Heading5"/>
        <w:spacing w:line="240" w:lineRule="auto" w:before="0"/>
        <w:ind w:left="154" w:right="1217"/>
        <w:jc w:val="left"/>
        <w:rPr>
          <w:b w:val="0"/>
          <w:bCs w:val="0"/>
        </w:rPr>
      </w:pPr>
      <w:bookmarkStart w:name="4、关联债权债务往来" w:id="112"/>
      <w:bookmarkEnd w:id="112"/>
      <w:r>
        <w:rPr>
          <w:b w:val="0"/>
          <w:bCs w:val="0"/>
        </w:rPr>
      </w:r>
      <w:r>
        <w:rPr>
          <w:rFonts w:ascii="华文细黑" w:hAnsi="华文细黑" w:cs="华文细黑" w:eastAsia="华文细黑" w:hint="default"/>
        </w:rPr>
        <w:t>4</w:t>
      </w:r>
      <w:r>
        <w:rPr/>
        <w:t>、关联债权债务往来</w:t>
      </w:r>
      <w:r>
        <w:rPr>
          <w:b w:val="0"/>
          <w:bCs w:val="0"/>
        </w:rPr>
      </w:r>
    </w:p>
    <w:p>
      <w:pPr>
        <w:spacing w:line="240" w:lineRule="auto" w:before="1"/>
        <w:rPr>
          <w:rFonts w:ascii="华文细黑" w:hAnsi="华文细黑" w:cs="华文细黑" w:eastAsia="华文细黑" w:hint="default"/>
          <w:b/>
          <w:bCs/>
          <w:sz w:val="28"/>
          <w:szCs w:val="28"/>
        </w:rPr>
      </w:pPr>
    </w:p>
    <w:p>
      <w:pPr>
        <w:pStyle w:val="BodyText"/>
        <w:spacing w:line="410" w:lineRule="auto"/>
        <w:ind w:left="154" w:right="7392"/>
        <w:jc w:val="left"/>
      </w:pPr>
      <w:r>
        <w:rPr/>
        <w:t>√ 适用 □</w:t>
      </w:r>
      <w:r>
        <w:rPr>
          <w:spacing w:val="51"/>
        </w:rPr>
        <w:t> </w:t>
      </w:r>
      <w:r>
        <w:rPr/>
        <w:t>不适用</w:t>
      </w:r>
      <w:r>
        <w:rPr/>
        <w:t> 是否存在非经营性关联债权债务往来</w:t>
      </w:r>
    </w:p>
    <w:p>
      <w:pPr>
        <w:pStyle w:val="BodyText"/>
        <w:spacing w:line="410" w:lineRule="auto" w:before="51"/>
        <w:ind w:left="154" w:right="6342"/>
        <w:jc w:val="left"/>
      </w:pPr>
      <w:r>
        <w:rPr/>
        <w:t>□ 是 √ 否 公司报告期不存在非经营性关联债权债务往来。</w:t>
      </w:r>
    </w:p>
    <w:p>
      <w:pPr>
        <w:spacing w:line="240" w:lineRule="auto" w:before="5"/>
        <w:rPr>
          <w:rFonts w:ascii="华文细黑" w:hAnsi="华文细黑" w:cs="华文细黑" w:eastAsia="华文细黑" w:hint="default"/>
          <w:sz w:val="16"/>
          <w:szCs w:val="16"/>
        </w:rPr>
      </w:pPr>
    </w:p>
    <w:p>
      <w:pPr>
        <w:pStyle w:val="Heading5"/>
        <w:spacing w:line="240" w:lineRule="auto" w:before="0"/>
        <w:ind w:left="154" w:right="1217"/>
        <w:jc w:val="left"/>
        <w:rPr>
          <w:b w:val="0"/>
          <w:bCs w:val="0"/>
        </w:rPr>
      </w:pPr>
      <w:bookmarkStart w:name="5、其他重大关联交易" w:id="113"/>
      <w:bookmarkEnd w:id="113"/>
      <w:r>
        <w:rPr>
          <w:b w:val="0"/>
          <w:bCs w:val="0"/>
        </w:rPr>
      </w:r>
      <w:r>
        <w:rPr>
          <w:rFonts w:ascii="华文细黑" w:hAnsi="华文细黑" w:cs="华文细黑" w:eastAsia="华文细黑" w:hint="default"/>
        </w:rPr>
        <w:t>5</w:t>
      </w:r>
      <w:r>
        <w:rPr/>
        <w:t>、其他重大关联交易</w:t>
      </w:r>
      <w:r>
        <w:rPr>
          <w:b w:val="0"/>
          <w:bCs w:val="0"/>
        </w:rPr>
      </w:r>
    </w:p>
    <w:p>
      <w:pPr>
        <w:spacing w:line="240" w:lineRule="auto" w:before="1"/>
        <w:rPr>
          <w:rFonts w:ascii="华文细黑" w:hAnsi="华文细黑" w:cs="华文细黑" w:eastAsia="华文细黑" w:hint="default"/>
          <w:b/>
          <w:bCs/>
          <w:sz w:val="28"/>
          <w:szCs w:val="28"/>
        </w:rPr>
      </w:pPr>
    </w:p>
    <w:p>
      <w:pPr>
        <w:pStyle w:val="BodyText"/>
        <w:spacing w:line="410" w:lineRule="auto"/>
        <w:ind w:left="154" w:right="7602"/>
        <w:jc w:val="left"/>
      </w:pPr>
      <w:r>
        <w:rPr/>
        <w:t>□ 适用 √</w:t>
      </w:r>
      <w:r>
        <w:rPr>
          <w:spacing w:val="51"/>
        </w:rPr>
        <w:t> </w:t>
      </w:r>
      <w:r>
        <w:rPr/>
        <w:t>不适用</w:t>
      </w:r>
      <w:r>
        <w:rPr/>
        <w:t> 公司报告期无其他重大关联交易。</w:t>
      </w:r>
    </w:p>
    <w:p>
      <w:pPr>
        <w:spacing w:line="240" w:lineRule="auto" w:before="14"/>
        <w:rPr>
          <w:rFonts w:ascii="华文细黑" w:hAnsi="华文细黑" w:cs="华文细黑" w:eastAsia="华文细黑" w:hint="default"/>
          <w:sz w:val="21"/>
          <w:szCs w:val="21"/>
        </w:rPr>
      </w:pPr>
    </w:p>
    <w:p>
      <w:pPr>
        <w:pStyle w:val="Heading2"/>
        <w:spacing w:line="240" w:lineRule="auto"/>
        <w:ind w:left="154" w:right="1217"/>
        <w:jc w:val="left"/>
        <w:rPr>
          <w:b w:val="0"/>
          <w:bCs w:val="0"/>
        </w:rPr>
      </w:pPr>
      <w:bookmarkStart w:name="十七、重大合同及其履行情况" w:id="114"/>
      <w:bookmarkEnd w:id="114"/>
      <w:r>
        <w:rPr>
          <w:b w:val="0"/>
          <w:bCs w:val="0"/>
        </w:rPr>
      </w:r>
      <w:r>
        <w:rPr/>
        <w:t>十七、重大合同及其履行情况</w:t>
      </w:r>
      <w:r>
        <w:rPr>
          <w:b w:val="0"/>
          <w:bCs w:val="0"/>
        </w:rPr>
      </w:r>
    </w:p>
    <w:p>
      <w:pPr>
        <w:spacing w:line="240" w:lineRule="auto" w:before="13"/>
        <w:rPr>
          <w:rFonts w:ascii="华文细黑" w:hAnsi="华文细黑" w:cs="华文细黑" w:eastAsia="华文细黑" w:hint="default"/>
          <w:b/>
          <w:bCs/>
          <w:sz w:val="29"/>
          <w:szCs w:val="29"/>
        </w:rPr>
      </w:pPr>
    </w:p>
    <w:p>
      <w:pPr>
        <w:pStyle w:val="Heading5"/>
        <w:spacing w:line="240" w:lineRule="auto" w:before="0"/>
        <w:ind w:left="154" w:right="1217"/>
        <w:jc w:val="left"/>
        <w:rPr>
          <w:b w:val="0"/>
          <w:bCs w:val="0"/>
        </w:rPr>
      </w:pPr>
      <w:bookmarkStart w:name="1、托管、承包、租赁事项情况" w:id="115"/>
      <w:bookmarkEnd w:id="115"/>
      <w:r>
        <w:rPr>
          <w:b w:val="0"/>
          <w:bCs w:val="0"/>
        </w:rPr>
      </w:r>
      <w:r>
        <w:rPr>
          <w:rFonts w:ascii="华文细黑" w:hAnsi="华文细黑" w:cs="华文细黑" w:eastAsia="华文细黑" w:hint="default"/>
        </w:rPr>
        <w:t>1</w:t>
      </w:r>
      <w:r>
        <w:rPr/>
        <w:t>、托管、承包、租赁事项情况</w:t>
      </w:r>
      <w:r>
        <w:rPr>
          <w:b w:val="0"/>
          <w:bCs w:val="0"/>
        </w:rPr>
      </w:r>
    </w:p>
    <w:p>
      <w:pPr>
        <w:spacing w:line="240" w:lineRule="auto" w:before="6"/>
        <w:rPr>
          <w:rFonts w:ascii="华文细黑" w:hAnsi="华文细黑" w:cs="华文细黑" w:eastAsia="华文细黑" w:hint="default"/>
          <w:b/>
          <w:bCs/>
          <w:sz w:val="22"/>
          <w:szCs w:val="22"/>
        </w:rPr>
      </w:pPr>
    </w:p>
    <w:p>
      <w:pPr>
        <w:spacing w:before="0"/>
        <w:ind w:left="154" w:right="1217" w:firstLine="0"/>
        <w:jc w:val="left"/>
        <w:rPr>
          <w:rFonts w:ascii="华文细黑" w:hAnsi="华文细黑" w:cs="华文细黑" w:eastAsia="华文细黑" w:hint="default"/>
          <w:sz w:val="21"/>
          <w:szCs w:val="21"/>
        </w:rPr>
      </w:pPr>
      <w:bookmarkStart w:name="（1）托管情况" w:id="116"/>
      <w:bookmarkEnd w:id="116"/>
      <w:r>
        <w:rPr/>
      </w:r>
      <w:r>
        <w:rPr>
          <w:rFonts w:ascii="华文细黑" w:hAnsi="华文细黑" w:cs="华文细黑" w:eastAsia="华文细黑" w:hint="default"/>
          <w:b/>
          <w:bCs/>
          <w:sz w:val="21"/>
          <w:szCs w:val="21"/>
        </w:rPr>
        <w:t>（</w:t>
      </w:r>
      <w:r>
        <w:rPr>
          <w:rFonts w:ascii="华文细黑" w:hAnsi="华文细黑" w:cs="华文细黑" w:eastAsia="华文细黑" w:hint="default"/>
          <w:b/>
          <w:bCs/>
          <w:sz w:val="21"/>
          <w:szCs w:val="21"/>
        </w:rPr>
        <w:t>1</w:t>
      </w:r>
      <w:r>
        <w:rPr>
          <w:rFonts w:ascii="华文细黑" w:hAnsi="华文细黑" w:cs="华文细黑" w:eastAsia="华文细黑" w:hint="default"/>
          <w:b/>
          <w:bCs/>
          <w:sz w:val="21"/>
          <w:szCs w:val="21"/>
        </w:rPr>
        <w:t>）托管情况</w:t>
      </w:r>
      <w:r>
        <w:rPr>
          <w:rFonts w:ascii="华文细黑" w:hAnsi="华文细黑" w:cs="华文细黑" w:eastAsia="华文细黑" w:hint="default"/>
          <w:sz w:val="21"/>
          <w:szCs w:val="21"/>
        </w:rPr>
      </w:r>
    </w:p>
    <w:p>
      <w:pPr>
        <w:spacing w:line="240" w:lineRule="auto" w:before="13"/>
        <w:rPr>
          <w:rFonts w:ascii="华文细黑" w:hAnsi="华文细黑" w:cs="华文细黑" w:eastAsia="华文细黑" w:hint="default"/>
          <w:b/>
          <w:bCs/>
          <w:sz w:val="27"/>
          <w:szCs w:val="27"/>
        </w:rPr>
      </w:pPr>
    </w:p>
    <w:p>
      <w:pPr>
        <w:pStyle w:val="BodyText"/>
        <w:spacing w:line="412" w:lineRule="auto"/>
        <w:ind w:left="154" w:right="8022"/>
        <w:jc w:val="left"/>
      </w:pPr>
      <w:r>
        <w:rPr/>
        <w:t>□ 适用 √</w:t>
      </w:r>
      <w:r>
        <w:rPr>
          <w:spacing w:val="51"/>
        </w:rPr>
        <w:t> </w:t>
      </w:r>
      <w:r>
        <w:rPr/>
        <w:t>不适用</w:t>
      </w:r>
      <w:r>
        <w:rPr/>
        <w:t> 公司报告期不存在托管情况。</w:t>
      </w:r>
    </w:p>
    <w:p>
      <w:pPr>
        <w:spacing w:line="240" w:lineRule="auto" w:before="3"/>
        <w:rPr>
          <w:rFonts w:ascii="华文细黑" w:hAnsi="华文细黑" w:cs="华文细黑" w:eastAsia="华文细黑" w:hint="default"/>
          <w:sz w:val="16"/>
          <w:szCs w:val="16"/>
        </w:rPr>
      </w:pPr>
    </w:p>
    <w:p>
      <w:pPr>
        <w:pStyle w:val="Heading5"/>
        <w:spacing w:line="240" w:lineRule="auto" w:before="0"/>
        <w:ind w:left="154" w:right="1217"/>
        <w:jc w:val="left"/>
        <w:rPr>
          <w:b w:val="0"/>
          <w:bCs w:val="0"/>
        </w:rPr>
      </w:pPr>
      <w:bookmarkStart w:name="（2）承包情况" w:id="117"/>
      <w:bookmarkEnd w:id="117"/>
      <w:r>
        <w:rPr>
          <w:b w:val="0"/>
          <w:bCs w:val="0"/>
        </w:rPr>
      </w:r>
      <w:r>
        <w:rPr/>
        <w:t>（</w:t>
      </w:r>
      <w:r>
        <w:rPr>
          <w:rFonts w:ascii="华文细黑" w:hAnsi="华文细黑" w:cs="华文细黑" w:eastAsia="华文细黑" w:hint="default"/>
        </w:rPr>
        <w:t>2</w:t>
      </w:r>
      <w:r>
        <w:rPr/>
        <w:t>）承包情况</w:t>
      </w:r>
      <w:r>
        <w:rPr>
          <w:b w:val="0"/>
          <w:bCs w:val="0"/>
        </w:rPr>
      </w:r>
    </w:p>
    <w:p>
      <w:pPr>
        <w:spacing w:line="240" w:lineRule="auto" w:before="1"/>
        <w:rPr>
          <w:rFonts w:ascii="华文细黑" w:hAnsi="华文细黑" w:cs="华文细黑" w:eastAsia="华文细黑" w:hint="default"/>
          <w:b/>
          <w:bCs/>
          <w:sz w:val="28"/>
          <w:szCs w:val="28"/>
        </w:rPr>
      </w:pPr>
    </w:p>
    <w:p>
      <w:pPr>
        <w:pStyle w:val="BodyText"/>
        <w:spacing w:line="410" w:lineRule="auto"/>
        <w:ind w:left="154" w:right="8022"/>
        <w:jc w:val="left"/>
      </w:pPr>
      <w:r>
        <w:rPr/>
        <w:t>□ 适用 √</w:t>
      </w:r>
      <w:r>
        <w:rPr>
          <w:spacing w:val="51"/>
        </w:rPr>
        <w:t> </w:t>
      </w:r>
      <w:r>
        <w:rPr/>
        <w:t>不适用</w:t>
      </w:r>
      <w:r>
        <w:rPr/>
        <w:t> 公司报告期不存在承包情况。</w:t>
      </w:r>
    </w:p>
    <w:p>
      <w:pPr>
        <w:spacing w:after="0" w:line="410" w:lineRule="auto"/>
        <w:jc w:val="left"/>
        <w:sectPr>
          <w:pgSz w:w="11910" w:h="16840"/>
          <w:pgMar w:header="917" w:footer="1019" w:top="1100" w:bottom="1200" w:left="980" w:right="0"/>
        </w:sectPr>
      </w:pPr>
    </w:p>
    <w:p>
      <w:pPr>
        <w:spacing w:line="240" w:lineRule="auto" w:before="13"/>
        <w:rPr>
          <w:rFonts w:ascii="华文细黑" w:hAnsi="华文细黑" w:cs="华文细黑" w:eastAsia="华文细黑" w:hint="default"/>
          <w:sz w:val="20"/>
          <w:szCs w:val="20"/>
        </w:rPr>
      </w:pPr>
    </w:p>
    <w:p>
      <w:pPr>
        <w:pStyle w:val="Heading5"/>
        <w:spacing w:line="240" w:lineRule="auto"/>
        <w:ind w:right="1023"/>
        <w:jc w:val="left"/>
        <w:rPr>
          <w:b w:val="0"/>
          <w:bCs w:val="0"/>
        </w:rPr>
      </w:pPr>
      <w:bookmarkStart w:name="（3）租赁情况" w:id="118"/>
      <w:bookmarkEnd w:id="118"/>
      <w:r>
        <w:rPr>
          <w:b w:val="0"/>
          <w:bCs w:val="0"/>
        </w:rPr>
      </w:r>
      <w:r>
        <w:rPr/>
        <w:t>（</w:t>
      </w:r>
      <w:r>
        <w:rPr>
          <w:rFonts w:ascii="华文细黑" w:hAnsi="华文细黑" w:cs="华文细黑" w:eastAsia="华文细黑" w:hint="default"/>
        </w:rPr>
        <w:t>3</w:t>
      </w:r>
      <w:r>
        <w:rPr/>
        <w:t>）租赁情况</w:t>
      </w:r>
      <w:r>
        <w:rPr>
          <w:b w:val="0"/>
          <w:bCs w:val="0"/>
        </w:rPr>
      </w:r>
    </w:p>
    <w:p>
      <w:pPr>
        <w:spacing w:line="240" w:lineRule="auto" w:before="1"/>
        <w:rPr>
          <w:rFonts w:ascii="华文细黑" w:hAnsi="华文细黑" w:cs="华文细黑" w:eastAsia="华文细黑" w:hint="default"/>
          <w:b/>
          <w:bCs/>
          <w:sz w:val="28"/>
          <w:szCs w:val="28"/>
        </w:rPr>
      </w:pPr>
    </w:p>
    <w:p>
      <w:pPr>
        <w:pStyle w:val="BodyText"/>
        <w:spacing w:line="410" w:lineRule="auto"/>
        <w:ind w:left="234" w:right="8022"/>
        <w:jc w:val="left"/>
      </w:pPr>
      <w:r>
        <w:rPr/>
        <w:t>□ 适用 √</w:t>
      </w:r>
      <w:r>
        <w:rPr>
          <w:spacing w:val="51"/>
        </w:rPr>
        <w:t> </w:t>
      </w:r>
      <w:r>
        <w:rPr/>
        <w:t>不适用</w:t>
      </w:r>
      <w:r>
        <w:rPr/>
        <w:t> 公司报告期不存在租赁情况。</w:t>
      </w:r>
    </w:p>
    <w:p>
      <w:pPr>
        <w:spacing w:line="240" w:lineRule="auto" w:before="7"/>
        <w:rPr>
          <w:rFonts w:ascii="华文细黑" w:hAnsi="华文细黑" w:cs="华文细黑" w:eastAsia="华文细黑" w:hint="default"/>
          <w:sz w:val="16"/>
          <w:szCs w:val="16"/>
        </w:rPr>
      </w:pPr>
    </w:p>
    <w:p>
      <w:pPr>
        <w:pStyle w:val="Heading5"/>
        <w:spacing w:line="240" w:lineRule="auto" w:before="0"/>
        <w:ind w:right="1023"/>
        <w:jc w:val="left"/>
        <w:rPr>
          <w:b w:val="0"/>
          <w:bCs w:val="0"/>
        </w:rPr>
      </w:pPr>
      <w:bookmarkStart w:name="2、重大担保" w:id="119"/>
      <w:bookmarkEnd w:id="119"/>
      <w:r>
        <w:rPr>
          <w:b w:val="0"/>
          <w:bCs w:val="0"/>
        </w:rPr>
      </w:r>
      <w:r>
        <w:rPr>
          <w:rFonts w:ascii="华文细黑" w:hAnsi="华文细黑" w:cs="华文细黑" w:eastAsia="华文细黑" w:hint="default"/>
        </w:rPr>
        <w:t>2</w:t>
      </w:r>
      <w:r>
        <w:rPr/>
        <w:t>、重大担保</w:t>
      </w:r>
      <w:r>
        <w:rPr>
          <w:b w:val="0"/>
          <w:bCs w:val="0"/>
        </w:rPr>
      </w:r>
    </w:p>
    <w:p>
      <w:pPr>
        <w:spacing w:line="240" w:lineRule="auto" w:before="6"/>
        <w:rPr>
          <w:rFonts w:ascii="华文细黑" w:hAnsi="华文细黑" w:cs="华文细黑" w:eastAsia="华文细黑" w:hint="default"/>
          <w:b/>
          <w:bCs/>
          <w:sz w:val="22"/>
          <w:szCs w:val="22"/>
        </w:rPr>
      </w:pPr>
    </w:p>
    <w:p>
      <w:pPr>
        <w:pStyle w:val="BodyText"/>
        <w:spacing w:line="240" w:lineRule="auto"/>
        <w:ind w:left="234" w:right="1023"/>
        <w:jc w:val="left"/>
      </w:pPr>
      <w:r>
        <w:rPr/>
        <w:t>√  适用  □</w:t>
      </w:r>
      <w:r>
        <w:rPr>
          <w:spacing w:val="51"/>
        </w:rPr>
        <w:t> </w:t>
      </w:r>
      <w:r>
        <w:rPr/>
        <w:t>不适用</w:t>
      </w:r>
    </w:p>
    <w:p>
      <w:pPr>
        <w:spacing w:line="240" w:lineRule="auto" w:before="5"/>
        <w:rPr>
          <w:rFonts w:ascii="华文细黑" w:hAnsi="华文细黑" w:cs="华文细黑" w:eastAsia="华文细黑" w:hint="default"/>
          <w:sz w:val="22"/>
          <w:szCs w:val="22"/>
        </w:rPr>
      </w:pPr>
    </w:p>
    <w:p>
      <w:pPr>
        <w:pStyle w:val="Heading5"/>
        <w:spacing w:line="240" w:lineRule="auto" w:before="0"/>
        <w:ind w:right="1023"/>
        <w:jc w:val="left"/>
        <w:rPr>
          <w:b w:val="0"/>
          <w:bCs w:val="0"/>
        </w:rPr>
      </w:pPr>
      <w:bookmarkStart w:name="（1）担保情况" w:id="120"/>
      <w:bookmarkEnd w:id="120"/>
      <w:r>
        <w:rPr>
          <w:b w:val="0"/>
          <w:bCs w:val="0"/>
        </w:rPr>
      </w:r>
      <w:r>
        <w:rPr/>
        <w:t>（</w:t>
      </w:r>
      <w:r>
        <w:rPr>
          <w:rFonts w:ascii="华文细黑" w:hAnsi="华文细黑" w:cs="华文细黑" w:eastAsia="华文细黑" w:hint="default"/>
        </w:rPr>
        <w:t>1</w:t>
      </w:r>
      <w:r>
        <w:rPr/>
        <w:t>）担保情况</w:t>
      </w:r>
      <w:r>
        <w:rPr>
          <w:b w:val="0"/>
          <w:bCs w:val="0"/>
        </w:rPr>
      </w:r>
    </w:p>
    <w:p>
      <w:pPr>
        <w:spacing w:line="240" w:lineRule="auto" w:before="11"/>
        <w:rPr>
          <w:rFonts w:ascii="华文细黑" w:hAnsi="华文细黑" w:cs="华文细黑" w:eastAsia="华文细黑" w:hint="default"/>
          <w:b/>
          <w:bCs/>
          <w:sz w:val="22"/>
          <w:szCs w:val="22"/>
        </w:rPr>
      </w:pPr>
    </w:p>
    <w:p>
      <w:pPr>
        <w:spacing w:before="23"/>
        <w:ind w:left="0" w:right="1130" w:firstLine="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单位：万元</w:t>
      </w:r>
    </w:p>
    <w:p>
      <w:pPr>
        <w:spacing w:line="240" w:lineRule="auto" w:before="12"/>
        <w:rPr>
          <w:rFonts w:ascii="华文细黑" w:hAnsi="华文细黑" w:cs="华文细黑" w:eastAsia="华文细黑" w:hint="default"/>
          <w:sz w:val="6"/>
          <w:szCs w:val="6"/>
        </w:rPr>
      </w:pPr>
    </w:p>
    <w:tbl>
      <w:tblPr>
        <w:tblW w:w="0" w:type="auto"/>
        <w:jc w:val="left"/>
        <w:tblInd w:w="117" w:type="dxa"/>
        <w:tblLayout w:type="fixed"/>
        <w:tblCellMar>
          <w:top w:w="0" w:type="dxa"/>
          <w:left w:w="0" w:type="dxa"/>
          <w:bottom w:w="0" w:type="dxa"/>
          <w:right w:w="0" w:type="dxa"/>
        </w:tblCellMar>
        <w:tblLook w:val="01E0"/>
      </w:tblPr>
      <w:tblGrid>
        <w:gridCol w:w="1709"/>
        <w:gridCol w:w="926"/>
        <w:gridCol w:w="924"/>
        <w:gridCol w:w="1296"/>
        <w:gridCol w:w="1062"/>
        <w:gridCol w:w="1036"/>
        <w:gridCol w:w="1049"/>
        <w:gridCol w:w="792"/>
        <w:gridCol w:w="779"/>
      </w:tblGrid>
      <w:tr>
        <w:trPr>
          <w:trHeight w:val="402" w:hRule="exact"/>
        </w:trPr>
        <w:tc>
          <w:tcPr>
            <w:tcW w:w="9574" w:type="dxa"/>
            <w:gridSpan w:val="9"/>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253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公司及其子公司对外担保情况（不包括对子公司的担保）</w:t>
            </w:r>
          </w:p>
        </w:tc>
      </w:tr>
      <w:tr>
        <w:trPr>
          <w:trHeight w:val="1338"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担保对象名称</w:t>
            </w:r>
          </w:p>
        </w:tc>
        <w:tc>
          <w:tcPr>
            <w:tcW w:w="926"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89" w:right="185"/>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担保额 度相关 公告披 露日期</w:t>
            </w:r>
          </w:p>
        </w:tc>
        <w:tc>
          <w:tcPr>
            <w:tcW w:w="92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95" w:lineRule="auto"/>
              <w:ind w:left="368" w:right="185"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担保额 度</w:t>
            </w:r>
          </w:p>
        </w:tc>
        <w:tc>
          <w:tcPr>
            <w:tcW w:w="12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实际发生日期</w:t>
            </w:r>
          </w:p>
        </w:tc>
        <w:tc>
          <w:tcPr>
            <w:tcW w:w="10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95" w:lineRule="auto"/>
              <w:ind w:left="345" w:right="164"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实际担保 金额</w:t>
            </w:r>
          </w:p>
        </w:tc>
        <w:tc>
          <w:tcPr>
            <w:tcW w:w="10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担保类型</w:t>
            </w:r>
          </w:p>
        </w:tc>
        <w:tc>
          <w:tcPr>
            <w:tcW w:w="104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40" w:lineRule="auto"/>
              <w:ind w:right="24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担保期</w:t>
            </w:r>
          </w:p>
        </w:tc>
        <w:tc>
          <w:tcPr>
            <w:tcW w:w="7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95" w:lineRule="auto"/>
              <w:ind w:left="121" w:right="11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是否履 行完毕</w:t>
            </w:r>
          </w:p>
        </w:tc>
        <w:tc>
          <w:tcPr>
            <w:tcW w:w="7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114" w:right="113"/>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是否为 关联方 担保</w:t>
            </w:r>
          </w:p>
        </w:tc>
      </w:tr>
      <w:tr>
        <w:trPr>
          <w:trHeight w:val="402" w:hRule="exact"/>
        </w:trPr>
        <w:tc>
          <w:tcPr>
            <w:tcW w:w="9574" w:type="dxa"/>
            <w:gridSpan w:val="9"/>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公司对子公司的担保情况</w:t>
            </w:r>
          </w:p>
        </w:tc>
      </w:tr>
      <w:tr>
        <w:trPr>
          <w:trHeight w:val="1338"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担保对象名称</w:t>
            </w:r>
          </w:p>
        </w:tc>
        <w:tc>
          <w:tcPr>
            <w:tcW w:w="926"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86" w:right="188"/>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担保额 度相关 公告披 露日期</w:t>
            </w:r>
          </w:p>
        </w:tc>
        <w:tc>
          <w:tcPr>
            <w:tcW w:w="92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95" w:lineRule="auto"/>
              <w:ind w:left="364" w:right="187"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担保额 度</w:t>
            </w:r>
          </w:p>
        </w:tc>
        <w:tc>
          <w:tcPr>
            <w:tcW w:w="12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实际发生日期</w:t>
            </w:r>
          </w:p>
        </w:tc>
        <w:tc>
          <w:tcPr>
            <w:tcW w:w="10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95" w:lineRule="auto"/>
              <w:ind w:left="345" w:right="164"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实际担保 金额</w:t>
            </w:r>
          </w:p>
        </w:tc>
        <w:tc>
          <w:tcPr>
            <w:tcW w:w="10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担保类型</w:t>
            </w:r>
          </w:p>
        </w:tc>
        <w:tc>
          <w:tcPr>
            <w:tcW w:w="104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40" w:lineRule="auto"/>
              <w:ind w:right="25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担保期</w:t>
            </w:r>
          </w:p>
        </w:tc>
        <w:tc>
          <w:tcPr>
            <w:tcW w:w="7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95" w:lineRule="auto"/>
              <w:ind w:left="118" w:right="12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是否履 行完毕</w:t>
            </w:r>
          </w:p>
        </w:tc>
        <w:tc>
          <w:tcPr>
            <w:tcW w:w="7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114" w:right="113"/>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是否为 关联方 担保</w:t>
            </w:r>
          </w:p>
        </w:tc>
      </w:tr>
      <w:tr>
        <w:trPr>
          <w:trHeight w:val="1338"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95" w:lineRule="auto"/>
              <w:ind w:left="103" w:right="15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深圳市酷动数码有 限公司</w:t>
            </w:r>
          </w:p>
        </w:tc>
        <w:tc>
          <w:tcPr>
            <w:tcW w:w="9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07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17</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2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25,000</w:t>
            </w:r>
          </w:p>
        </w:tc>
        <w:tc>
          <w:tcPr>
            <w:tcW w:w="1296" w:type="dxa"/>
            <w:tcBorders>
              <w:top w:val="single" w:sz="4" w:space="0" w:color="FFC000"/>
              <w:left w:val="single" w:sz="4" w:space="0" w:color="FFC000"/>
              <w:bottom w:val="single" w:sz="4" w:space="0" w:color="FFC000"/>
              <w:right w:val="single" w:sz="4" w:space="0" w:color="FFC000"/>
            </w:tcBorders>
          </w:tcPr>
          <w:p>
            <w:pPr/>
          </w:p>
        </w:tc>
        <w:tc>
          <w:tcPr>
            <w:tcW w:w="10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25,000</w:t>
            </w:r>
          </w:p>
        </w:tc>
        <w:tc>
          <w:tcPr>
            <w:tcW w:w="10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95" w:lineRule="auto"/>
              <w:ind w:left="103" w:right="20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连带责任 保证</w:t>
            </w:r>
          </w:p>
        </w:tc>
        <w:tc>
          <w:tcPr>
            <w:tcW w:w="1049"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214"/>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采购合同 项下的最 后付款到 期日三年</w:t>
            </w:r>
          </w:p>
        </w:tc>
        <w:tc>
          <w:tcPr>
            <w:tcW w:w="7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40" w:lineRule="auto"/>
              <w:ind w:left="9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c>
          <w:tcPr>
            <w:tcW w:w="7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1338"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95" w:lineRule="auto"/>
              <w:ind w:left="103" w:right="15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西藏酷爱通信有限 公司</w:t>
            </w:r>
          </w:p>
        </w:tc>
        <w:tc>
          <w:tcPr>
            <w:tcW w:w="9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07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17</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2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100,000</w:t>
            </w:r>
          </w:p>
        </w:tc>
        <w:tc>
          <w:tcPr>
            <w:tcW w:w="1296" w:type="dxa"/>
            <w:tcBorders>
              <w:top w:val="single" w:sz="4" w:space="0" w:color="FFC000"/>
              <w:left w:val="single" w:sz="4" w:space="0" w:color="FFC000"/>
              <w:bottom w:val="single" w:sz="4" w:space="0" w:color="FFC000"/>
              <w:right w:val="single" w:sz="4" w:space="0" w:color="FFC000"/>
            </w:tcBorders>
          </w:tcPr>
          <w:p>
            <w:pPr/>
          </w:p>
        </w:tc>
        <w:tc>
          <w:tcPr>
            <w:tcW w:w="10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100,000</w:t>
            </w:r>
          </w:p>
        </w:tc>
        <w:tc>
          <w:tcPr>
            <w:tcW w:w="10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95" w:lineRule="auto"/>
              <w:ind w:left="103" w:right="20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连带责任 保证</w:t>
            </w:r>
          </w:p>
        </w:tc>
        <w:tc>
          <w:tcPr>
            <w:tcW w:w="1049"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214"/>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采购合同 项下的最 后付款到 期日三年</w:t>
            </w:r>
          </w:p>
        </w:tc>
        <w:tc>
          <w:tcPr>
            <w:tcW w:w="7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40" w:lineRule="auto"/>
              <w:ind w:left="9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c>
          <w:tcPr>
            <w:tcW w:w="7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
              <w:ind w:right="0"/>
              <w:jc w:val="left"/>
              <w:rPr>
                <w:rFonts w:ascii="华文细黑" w:hAnsi="华文细黑" w:cs="华文细黑" w:eastAsia="华文细黑" w:hint="default"/>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714" w:hRule="exact"/>
        </w:trPr>
        <w:tc>
          <w:tcPr>
            <w:tcW w:w="170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95" w:lineRule="auto" w:before="143"/>
              <w:ind w:left="103" w:right="15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爱施德（香港）有 限公司</w:t>
            </w:r>
          </w:p>
        </w:tc>
        <w:tc>
          <w:tcPr>
            <w:tcW w:w="926" w:type="dxa"/>
            <w:vMerge w:val="restart"/>
            <w:tcBorders>
              <w:top w:val="single" w:sz="4" w:space="0" w:color="FFC000"/>
              <w:left w:val="single" w:sz="4" w:space="0" w:color="FFC000"/>
              <w:right w:val="single" w:sz="4" w:space="0" w:color="FFC000"/>
            </w:tcBorders>
          </w:tcPr>
          <w:p>
            <w:pPr>
              <w:pStyle w:val="TableParagraph"/>
              <w:spacing w:line="240" w:lineRule="auto" w:before="2"/>
              <w:ind w:right="0"/>
              <w:jc w:val="left"/>
              <w:rPr>
                <w:rFonts w:ascii="华文细黑" w:hAnsi="华文细黑" w:cs="华文细黑" w:eastAsia="华文细黑" w:hint="default"/>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30</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2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3"/>
              <w:ind w:right="0"/>
              <w:jc w:val="left"/>
              <w:rPr>
                <w:rFonts w:ascii="华文细黑" w:hAnsi="华文细黑" w:cs="华文细黑" w:eastAsia="华文细黑" w:hint="default"/>
                <w:sz w:val="21"/>
                <w:szCs w:val="21"/>
              </w:rPr>
            </w:pPr>
          </w:p>
          <w:p>
            <w:pPr>
              <w:pStyle w:val="TableParagraph"/>
              <w:spacing w:line="240" w:lineRule="auto"/>
              <w:ind w:left="163" w:right="0"/>
              <w:jc w:val="left"/>
              <w:rPr>
                <w:rFonts w:ascii="华文细黑" w:hAnsi="华文细黑" w:cs="华文细黑" w:eastAsia="华文细黑" w:hint="default"/>
                <w:sz w:val="18"/>
                <w:szCs w:val="18"/>
              </w:rPr>
            </w:pPr>
            <w:r>
              <w:rPr>
                <w:rFonts w:ascii="华文细黑"/>
                <w:sz w:val="18"/>
              </w:rPr>
              <w:t>180,000</w:t>
            </w:r>
          </w:p>
        </w:tc>
        <w:tc>
          <w:tcPr>
            <w:tcW w:w="12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03</w:t>
            </w:r>
            <w:r>
              <w:rPr>
                <w:rFonts w:ascii="华文细黑" w:hAnsi="华文细黑" w:cs="华文细黑" w:eastAsia="华文细黑" w:hint="default"/>
                <w:spacing w:val="-18"/>
                <w:sz w:val="18"/>
                <w:szCs w:val="18"/>
              </w:rPr>
              <w:t> </w:t>
            </w:r>
            <w:r>
              <w:rPr>
                <w:rFonts w:ascii="华文细黑" w:hAnsi="华文细黑" w:cs="华文细黑" w:eastAsia="华文细黑" w:hint="default"/>
                <w:sz w:val="18"/>
                <w:szCs w:val="18"/>
              </w:rPr>
              <w:t>月</w:t>
            </w:r>
          </w:p>
          <w:p>
            <w:pPr>
              <w:pStyle w:val="TableParagraph"/>
              <w:spacing w:line="240" w:lineRule="auto" w:before="59"/>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16</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日</w:t>
            </w:r>
          </w:p>
        </w:tc>
        <w:tc>
          <w:tcPr>
            <w:tcW w:w="10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26,286.00</w:t>
            </w:r>
          </w:p>
        </w:tc>
        <w:tc>
          <w:tcPr>
            <w:tcW w:w="1036"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20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连带责任 保证</w:t>
            </w:r>
          </w:p>
        </w:tc>
        <w:tc>
          <w:tcPr>
            <w:tcW w:w="104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一年</w:t>
            </w:r>
          </w:p>
        </w:tc>
        <w:tc>
          <w:tcPr>
            <w:tcW w:w="7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9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c>
          <w:tcPr>
            <w:tcW w:w="7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714" w:hRule="exact"/>
        </w:trPr>
        <w:tc>
          <w:tcPr>
            <w:tcW w:w="1709" w:type="dxa"/>
            <w:vMerge/>
            <w:tcBorders>
              <w:left w:val="single" w:sz="4" w:space="0" w:color="FFC000"/>
              <w:bottom w:val="single" w:sz="4" w:space="0" w:color="FFC000"/>
              <w:right w:val="single" w:sz="4" w:space="0" w:color="FFC000"/>
            </w:tcBorders>
            <w:shd w:val="clear" w:color="auto" w:fill="FFF8E6"/>
          </w:tcPr>
          <w:p>
            <w:pPr/>
          </w:p>
        </w:tc>
        <w:tc>
          <w:tcPr>
            <w:tcW w:w="926" w:type="dxa"/>
            <w:vMerge/>
            <w:tcBorders>
              <w:left w:val="single" w:sz="4" w:space="0" w:color="FFC000"/>
              <w:bottom w:val="single" w:sz="4" w:space="0" w:color="FFC000"/>
              <w:right w:val="single" w:sz="4" w:space="0" w:color="FFC000"/>
            </w:tcBorders>
          </w:tcPr>
          <w:p>
            <w:pPr/>
          </w:p>
        </w:tc>
        <w:tc>
          <w:tcPr>
            <w:tcW w:w="924" w:type="dxa"/>
            <w:vMerge/>
            <w:tcBorders>
              <w:left w:val="single" w:sz="4" w:space="0" w:color="FFC000"/>
              <w:bottom w:val="single" w:sz="4" w:space="0" w:color="FFC000"/>
              <w:right w:val="single" w:sz="4" w:space="0" w:color="FFC000"/>
            </w:tcBorders>
          </w:tcPr>
          <w:p>
            <w:pPr/>
          </w:p>
        </w:tc>
        <w:tc>
          <w:tcPr>
            <w:tcW w:w="12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06</w:t>
            </w:r>
            <w:r>
              <w:rPr>
                <w:rFonts w:ascii="华文细黑" w:hAnsi="华文细黑" w:cs="华文细黑" w:eastAsia="华文细黑" w:hint="default"/>
                <w:spacing w:val="-18"/>
                <w:sz w:val="18"/>
                <w:szCs w:val="18"/>
              </w:rPr>
              <w:t> </w:t>
            </w:r>
            <w:r>
              <w:rPr>
                <w:rFonts w:ascii="华文细黑" w:hAnsi="华文细黑" w:cs="华文细黑" w:eastAsia="华文细黑" w:hint="default"/>
                <w:sz w:val="18"/>
                <w:szCs w:val="18"/>
              </w:rPr>
              <w:t>月</w:t>
            </w:r>
          </w:p>
          <w:p>
            <w:pPr>
              <w:pStyle w:val="TableParagraph"/>
              <w:spacing w:line="240" w:lineRule="auto" w:before="59"/>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13</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日</w:t>
            </w:r>
          </w:p>
        </w:tc>
        <w:tc>
          <w:tcPr>
            <w:tcW w:w="10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24,007.88</w:t>
            </w:r>
          </w:p>
        </w:tc>
        <w:tc>
          <w:tcPr>
            <w:tcW w:w="1036"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20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连带责任 保证</w:t>
            </w:r>
          </w:p>
        </w:tc>
        <w:tc>
          <w:tcPr>
            <w:tcW w:w="104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一年</w:t>
            </w:r>
          </w:p>
        </w:tc>
        <w:tc>
          <w:tcPr>
            <w:tcW w:w="7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9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c>
          <w:tcPr>
            <w:tcW w:w="7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1026"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103" w:right="15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西藏酷爱通信有限 公司</w:t>
            </w:r>
          </w:p>
        </w:tc>
        <w:tc>
          <w:tcPr>
            <w:tcW w:w="9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30</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2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20,000</w:t>
            </w:r>
          </w:p>
        </w:tc>
        <w:tc>
          <w:tcPr>
            <w:tcW w:w="1296" w:type="dxa"/>
            <w:tcBorders>
              <w:top w:val="single" w:sz="4" w:space="0" w:color="FFC000"/>
              <w:left w:val="single" w:sz="4" w:space="0" w:color="FFC000"/>
              <w:bottom w:val="single" w:sz="4" w:space="0" w:color="FFC000"/>
              <w:right w:val="single" w:sz="4" w:space="0" w:color="FFC000"/>
            </w:tcBorders>
          </w:tcPr>
          <w:p>
            <w:pPr/>
          </w:p>
        </w:tc>
        <w:tc>
          <w:tcPr>
            <w:tcW w:w="10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20,000</w:t>
            </w:r>
          </w:p>
        </w:tc>
        <w:tc>
          <w:tcPr>
            <w:tcW w:w="10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103" w:right="20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连带责任 保证</w:t>
            </w:r>
          </w:p>
        </w:tc>
        <w:tc>
          <w:tcPr>
            <w:tcW w:w="104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一年</w:t>
            </w:r>
          </w:p>
        </w:tc>
        <w:tc>
          <w:tcPr>
            <w:tcW w:w="7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left="9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c>
          <w:tcPr>
            <w:tcW w:w="7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1026"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103" w:right="15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西藏酷爱通信有限 公司</w:t>
            </w:r>
          </w:p>
        </w:tc>
        <w:tc>
          <w:tcPr>
            <w:tcW w:w="9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30</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2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40,000</w:t>
            </w:r>
          </w:p>
        </w:tc>
        <w:tc>
          <w:tcPr>
            <w:tcW w:w="1296" w:type="dxa"/>
            <w:tcBorders>
              <w:top w:val="single" w:sz="4" w:space="0" w:color="FFC000"/>
              <w:left w:val="single" w:sz="4" w:space="0" w:color="FFC000"/>
              <w:bottom w:val="single" w:sz="4" w:space="0" w:color="FFC000"/>
              <w:right w:val="single" w:sz="4" w:space="0" w:color="FFC000"/>
            </w:tcBorders>
          </w:tcPr>
          <w:p>
            <w:pPr/>
          </w:p>
        </w:tc>
        <w:tc>
          <w:tcPr>
            <w:tcW w:w="1062" w:type="dxa"/>
            <w:tcBorders>
              <w:top w:val="single" w:sz="4" w:space="0" w:color="FFC000"/>
              <w:left w:val="single" w:sz="4" w:space="0" w:color="FFC000"/>
              <w:bottom w:val="single" w:sz="4" w:space="0" w:color="FFC000"/>
              <w:right w:val="single" w:sz="4" w:space="0" w:color="FFC000"/>
            </w:tcBorders>
          </w:tcPr>
          <w:p>
            <w:pPr/>
          </w:p>
        </w:tc>
        <w:tc>
          <w:tcPr>
            <w:tcW w:w="1036" w:type="dxa"/>
            <w:tcBorders>
              <w:top w:val="single" w:sz="4" w:space="0" w:color="FFC000"/>
              <w:left w:val="single" w:sz="4" w:space="0" w:color="FFC000"/>
              <w:bottom w:val="single" w:sz="4" w:space="0" w:color="FFC000"/>
              <w:right w:val="single" w:sz="4" w:space="0" w:color="FFC000"/>
            </w:tcBorders>
          </w:tcPr>
          <w:p>
            <w:pPr/>
          </w:p>
        </w:tc>
        <w:tc>
          <w:tcPr>
            <w:tcW w:w="1049" w:type="dxa"/>
            <w:tcBorders>
              <w:top w:val="single" w:sz="4" w:space="0" w:color="FFC000"/>
              <w:left w:val="single" w:sz="4" w:space="0" w:color="FFC000"/>
              <w:bottom w:val="single" w:sz="4" w:space="0" w:color="FFC000"/>
              <w:right w:val="single" w:sz="4" w:space="0" w:color="FFC000"/>
            </w:tcBorders>
          </w:tcPr>
          <w:p>
            <w:pPr/>
          </w:p>
        </w:tc>
        <w:tc>
          <w:tcPr>
            <w:tcW w:w="792" w:type="dxa"/>
            <w:tcBorders>
              <w:top w:val="single" w:sz="4" w:space="0" w:color="FFC000"/>
              <w:left w:val="single" w:sz="4" w:space="0" w:color="FFC000"/>
              <w:bottom w:val="single" w:sz="4" w:space="0" w:color="FFC000"/>
              <w:right w:val="single" w:sz="4" w:space="0" w:color="FFC000"/>
            </w:tcBorders>
          </w:tcPr>
          <w:p>
            <w:pPr/>
          </w:p>
        </w:tc>
        <w:tc>
          <w:tcPr>
            <w:tcW w:w="779" w:type="dxa"/>
            <w:tcBorders>
              <w:top w:val="single" w:sz="4" w:space="0" w:color="FFC000"/>
              <w:left w:val="single" w:sz="4" w:space="0" w:color="FFC000"/>
              <w:bottom w:val="single" w:sz="4" w:space="0" w:color="FFC000"/>
              <w:right w:val="single" w:sz="4" w:space="0" w:color="FFC000"/>
            </w:tcBorders>
          </w:tcPr>
          <w:p>
            <w:pPr/>
          </w:p>
        </w:tc>
      </w:tr>
    </w:tbl>
    <w:p>
      <w:pPr>
        <w:spacing w:after="0"/>
        <w:sectPr>
          <w:pgSz w:w="11910" w:h="16840"/>
          <w:pgMar w:header="917" w:footer="1019" w:top="1100" w:bottom="1200" w:left="90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17" w:type="dxa"/>
        <w:tblLayout w:type="fixed"/>
        <w:tblCellMar>
          <w:top w:w="0" w:type="dxa"/>
          <w:left w:w="0" w:type="dxa"/>
          <w:bottom w:w="0" w:type="dxa"/>
          <w:right w:w="0" w:type="dxa"/>
        </w:tblCellMar>
        <w:tblLook w:val="01E0"/>
      </w:tblPr>
      <w:tblGrid>
        <w:gridCol w:w="1709"/>
        <w:gridCol w:w="923"/>
        <w:gridCol w:w="928"/>
        <w:gridCol w:w="1296"/>
        <w:gridCol w:w="1062"/>
        <w:gridCol w:w="1036"/>
        <w:gridCol w:w="1046"/>
        <w:gridCol w:w="796"/>
        <w:gridCol w:w="779"/>
      </w:tblGrid>
      <w:tr>
        <w:trPr>
          <w:trHeight w:val="1026"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15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西藏酷爱通信有限 公司</w:t>
            </w:r>
          </w:p>
        </w:tc>
        <w:tc>
          <w:tcPr>
            <w:tcW w:w="92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30</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30,000</w:t>
            </w:r>
          </w:p>
        </w:tc>
        <w:tc>
          <w:tcPr>
            <w:tcW w:w="1296" w:type="dxa"/>
            <w:tcBorders>
              <w:top w:val="single" w:sz="4" w:space="0" w:color="FFC000"/>
              <w:left w:val="single" w:sz="4" w:space="0" w:color="FFC000"/>
              <w:bottom w:val="single" w:sz="4" w:space="0" w:color="FFC000"/>
              <w:right w:val="single" w:sz="4" w:space="0" w:color="FFC000"/>
            </w:tcBorders>
          </w:tcPr>
          <w:p>
            <w:pPr/>
          </w:p>
        </w:tc>
        <w:tc>
          <w:tcPr>
            <w:tcW w:w="1062" w:type="dxa"/>
            <w:tcBorders>
              <w:top w:val="single" w:sz="4" w:space="0" w:color="FFC000"/>
              <w:left w:val="single" w:sz="4" w:space="0" w:color="FFC000"/>
              <w:bottom w:val="single" w:sz="4" w:space="0" w:color="FFC000"/>
              <w:right w:val="single" w:sz="4" w:space="0" w:color="FFC000"/>
            </w:tcBorders>
          </w:tcPr>
          <w:p>
            <w:pPr/>
          </w:p>
        </w:tc>
        <w:tc>
          <w:tcPr>
            <w:tcW w:w="1036" w:type="dxa"/>
            <w:tcBorders>
              <w:top w:val="single" w:sz="4" w:space="0" w:color="FFC000"/>
              <w:left w:val="single" w:sz="4" w:space="0" w:color="FFC000"/>
              <w:bottom w:val="single" w:sz="4" w:space="0" w:color="FFC000"/>
              <w:right w:val="single" w:sz="4" w:space="0" w:color="FFC000"/>
            </w:tcBorders>
          </w:tcPr>
          <w:p>
            <w:pPr/>
          </w:p>
        </w:tc>
        <w:tc>
          <w:tcPr>
            <w:tcW w:w="1046" w:type="dxa"/>
            <w:tcBorders>
              <w:top w:val="single" w:sz="4" w:space="0" w:color="FFC000"/>
              <w:left w:val="single" w:sz="4" w:space="0" w:color="FFC000"/>
              <w:bottom w:val="single" w:sz="4" w:space="0" w:color="FFC000"/>
              <w:right w:val="single" w:sz="4" w:space="0" w:color="FFC000"/>
            </w:tcBorders>
          </w:tcPr>
          <w:p>
            <w:pPr/>
          </w:p>
        </w:tc>
        <w:tc>
          <w:tcPr>
            <w:tcW w:w="796" w:type="dxa"/>
            <w:tcBorders>
              <w:top w:val="single" w:sz="4" w:space="0" w:color="FFC000"/>
              <w:left w:val="single" w:sz="4" w:space="0" w:color="FFC000"/>
              <w:bottom w:val="single" w:sz="4" w:space="0" w:color="FFC000"/>
              <w:right w:val="single" w:sz="4" w:space="0" w:color="FFC000"/>
            </w:tcBorders>
          </w:tcPr>
          <w:p>
            <w:pPr/>
          </w:p>
        </w:tc>
        <w:tc>
          <w:tcPr>
            <w:tcW w:w="779" w:type="dxa"/>
            <w:tcBorders>
              <w:top w:val="single" w:sz="4" w:space="0" w:color="FFC000"/>
              <w:left w:val="single" w:sz="4" w:space="0" w:color="FFC000"/>
              <w:bottom w:val="single" w:sz="4" w:space="0" w:color="FFC000"/>
              <w:right w:val="single" w:sz="4" w:space="0" w:color="FFC000"/>
            </w:tcBorders>
          </w:tcPr>
          <w:p>
            <w:pPr/>
          </w:p>
        </w:tc>
      </w:tr>
      <w:tr>
        <w:trPr>
          <w:trHeight w:val="1026"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15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西藏酷爱通信有限 公司</w:t>
            </w:r>
          </w:p>
        </w:tc>
        <w:tc>
          <w:tcPr>
            <w:tcW w:w="92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30</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10,000</w:t>
            </w:r>
          </w:p>
        </w:tc>
        <w:tc>
          <w:tcPr>
            <w:tcW w:w="1296" w:type="dxa"/>
            <w:tcBorders>
              <w:top w:val="single" w:sz="4" w:space="0" w:color="FFC000"/>
              <w:left w:val="single" w:sz="4" w:space="0" w:color="FFC000"/>
              <w:bottom w:val="single" w:sz="4" w:space="0" w:color="FFC000"/>
              <w:right w:val="single" w:sz="4" w:space="0" w:color="FFC000"/>
            </w:tcBorders>
          </w:tcPr>
          <w:p>
            <w:pPr/>
          </w:p>
        </w:tc>
        <w:tc>
          <w:tcPr>
            <w:tcW w:w="1062" w:type="dxa"/>
            <w:tcBorders>
              <w:top w:val="single" w:sz="4" w:space="0" w:color="FFC000"/>
              <w:left w:val="single" w:sz="4" w:space="0" w:color="FFC000"/>
              <w:bottom w:val="single" w:sz="4" w:space="0" w:color="FFC000"/>
              <w:right w:val="single" w:sz="4" w:space="0" w:color="FFC000"/>
            </w:tcBorders>
          </w:tcPr>
          <w:p>
            <w:pPr/>
          </w:p>
        </w:tc>
        <w:tc>
          <w:tcPr>
            <w:tcW w:w="1036" w:type="dxa"/>
            <w:tcBorders>
              <w:top w:val="single" w:sz="4" w:space="0" w:color="FFC000"/>
              <w:left w:val="single" w:sz="4" w:space="0" w:color="FFC000"/>
              <w:bottom w:val="single" w:sz="4" w:space="0" w:color="FFC000"/>
              <w:right w:val="single" w:sz="4" w:space="0" w:color="FFC000"/>
            </w:tcBorders>
          </w:tcPr>
          <w:p>
            <w:pPr/>
          </w:p>
        </w:tc>
        <w:tc>
          <w:tcPr>
            <w:tcW w:w="1046" w:type="dxa"/>
            <w:tcBorders>
              <w:top w:val="single" w:sz="4" w:space="0" w:color="FFC000"/>
              <w:left w:val="single" w:sz="4" w:space="0" w:color="FFC000"/>
              <w:bottom w:val="single" w:sz="4" w:space="0" w:color="FFC000"/>
              <w:right w:val="single" w:sz="4" w:space="0" w:color="FFC000"/>
            </w:tcBorders>
          </w:tcPr>
          <w:p>
            <w:pPr/>
          </w:p>
        </w:tc>
        <w:tc>
          <w:tcPr>
            <w:tcW w:w="796" w:type="dxa"/>
            <w:tcBorders>
              <w:top w:val="single" w:sz="4" w:space="0" w:color="FFC000"/>
              <w:left w:val="single" w:sz="4" w:space="0" w:color="FFC000"/>
              <w:bottom w:val="single" w:sz="4" w:space="0" w:color="FFC000"/>
              <w:right w:val="single" w:sz="4" w:space="0" w:color="FFC000"/>
            </w:tcBorders>
          </w:tcPr>
          <w:p>
            <w:pPr/>
          </w:p>
        </w:tc>
        <w:tc>
          <w:tcPr>
            <w:tcW w:w="779" w:type="dxa"/>
            <w:tcBorders>
              <w:top w:val="single" w:sz="4" w:space="0" w:color="FFC000"/>
              <w:left w:val="single" w:sz="4" w:space="0" w:color="FFC000"/>
              <w:bottom w:val="single" w:sz="4" w:space="0" w:color="FFC000"/>
              <w:right w:val="single" w:sz="4" w:space="0" w:color="FFC000"/>
            </w:tcBorders>
          </w:tcPr>
          <w:p>
            <w:pPr/>
          </w:p>
        </w:tc>
      </w:tr>
      <w:tr>
        <w:trPr>
          <w:trHeight w:val="1026"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15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西藏酷爱通信有限 公司</w:t>
            </w:r>
          </w:p>
        </w:tc>
        <w:tc>
          <w:tcPr>
            <w:tcW w:w="92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30</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30,000</w:t>
            </w:r>
          </w:p>
        </w:tc>
        <w:tc>
          <w:tcPr>
            <w:tcW w:w="1296" w:type="dxa"/>
            <w:tcBorders>
              <w:top w:val="single" w:sz="4" w:space="0" w:color="FFC000"/>
              <w:left w:val="single" w:sz="4" w:space="0" w:color="FFC000"/>
              <w:bottom w:val="single" w:sz="4" w:space="0" w:color="FFC000"/>
              <w:right w:val="single" w:sz="4" w:space="0" w:color="FFC000"/>
            </w:tcBorders>
          </w:tcPr>
          <w:p>
            <w:pPr/>
          </w:p>
        </w:tc>
        <w:tc>
          <w:tcPr>
            <w:tcW w:w="1062" w:type="dxa"/>
            <w:tcBorders>
              <w:top w:val="single" w:sz="4" w:space="0" w:color="FFC000"/>
              <w:left w:val="single" w:sz="4" w:space="0" w:color="FFC000"/>
              <w:bottom w:val="single" w:sz="4" w:space="0" w:color="FFC000"/>
              <w:right w:val="single" w:sz="4" w:space="0" w:color="FFC000"/>
            </w:tcBorders>
          </w:tcPr>
          <w:p>
            <w:pPr/>
          </w:p>
        </w:tc>
        <w:tc>
          <w:tcPr>
            <w:tcW w:w="1036" w:type="dxa"/>
            <w:tcBorders>
              <w:top w:val="single" w:sz="4" w:space="0" w:color="FFC000"/>
              <w:left w:val="single" w:sz="4" w:space="0" w:color="FFC000"/>
              <w:bottom w:val="single" w:sz="4" w:space="0" w:color="FFC000"/>
              <w:right w:val="single" w:sz="4" w:space="0" w:color="FFC000"/>
            </w:tcBorders>
          </w:tcPr>
          <w:p>
            <w:pPr/>
          </w:p>
        </w:tc>
        <w:tc>
          <w:tcPr>
            <w:tcW w:w="1046" w:type="dxa"/>
            <w:tcBorders>
              <w:top w:val="single" w:sz="4" w:space="0" w:color="FFC000"/>
              <w:left w:val="single" w:sz="4" w:space="0" w:color="FFC000"/>
              <w:bottom w:val="single" w:sz="4" w:space="0" w:color="FFC000"/>
              <w:right w:val="single" w:sz="4" w:space="0" w:color="FFC000"/>
            </w:tcBorders>
          </w:tcPr>
          <w:p>
            <w:pPr/>
          </w:p>
        </w:tc>
        <w:tc>
          <w:tcPr>
            <w:tcW w:w="796" w:type="dxa"/>
            <w:tcBorders>
              <w:top w:val="single" w:sz="4" w:space="0" w:color="FFC000"/>
              <w:left w:val="single" w:sz="4" w:space="0" w:color="FFC000"/>
              <w:bottom w:val="single" w:sz="4" w:space="0" w:color="FFC000"/>
              <w:right w:val="single" w:sz="4" w:space="0" w:color="FFC000"/>
            </w:tcBorders>
          </w:tcPr>
          <w:p>
            <w:pPr/>
          </w:p>
        </w:tc>
        <w:tc>
          <w:tcPr>
            <w:tcW w:w="779" w:type="dxa"/>
            <w:tcBorders>
              <w:top w:val="single" w:sz="4" w:space="0" w:color="FFC000"/>
              <w:left w:val="single" w:sz="4" w:space="0" w:color="FFC000"/>
              <w:bottom w:val="single" w:sz="4" w:space="0" w:color="FFC000"/>
              <w:right w:val="single" w:sz="4" w:space="0" w:color="FFC000"/>
            </w:tcBorders>
          </w:tcPr>
          <w:p>
            <w:pPr/>
          </w:p>
        </w:tc>
      </w:tr>
      <w:tr>
        <w:trPr>
          <w:trHeight w:val="1026"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15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西藏酷爱通信有限 公司</w:t>
            </w:r>
          </w:p>
        </w:tc>
        <w:tc>
          <w:tcPr>
            <w:tcW w:w="92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30</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30,000</w:t>
            </w:r>
          </w:p>
        </w:tc>
        <w:tc>
          <w:tcPr>
            <w:tcW w:w="1296" w:type="dxa"/>
            <w:tcBorders>
              <w:top w:val="single" w:sz="4" w:space="0" w:color="FFC000"/>
              <w:left w:val="single" w:sz="4" w:space="0" w:color="FFC000"/>
              <w:bottom w:val="single" w:sz="4" w:space="0" w:color="FFC000"/>
              <w:right w:val="single" w:sz="4" w:space="0" w:color="FFC000"/>
            </w:tcBorders>
          </w:tcPr>
          <w:p>
            <w:pPr/>
          </w:p>
        </w:tc>
        <w:tc>
          <w:tcPr>
            <w:tcW w:w="1062" w:type="dxa"/>
            <w:tcBorders>
              <w:top w:val="single" w:sz="4" w:space="0" w:color="FFC000"/>
              <w:left w:val="single" w:sz="4" w:space="0" w:color="FFC000"/>
              <w:bottom w:val="single" w:sz="4" w:space="0" w:color="FFC000"/>
              <w:right w:val="single" w:sz="4" w:space="0" w:color="FFC000"/>
            </w:tcBorders>
          </w:tcPr>
          <w:p>
            <w:pPr/>
          </w:p>
        </w:tc>
        <w:tc>
          <w:tcPr>
            <w:tcW w:w="1036" w:type="dxa"/>
            <w:tcBorders>
              <w:top w:val="single" w:sz="4" w:space="0" w:color="FFC000"/>
              <w:left w:val="single" w:sz="4" w:space="0" w:color="FFC000"/>
              <w:bottom w:val="single" w:sz="4" w:space="0" w:color="FFC000"/>
              <w:right w:val="single" w:sz="4" w:space="0" w:color="FFC000"/>
            </w:tcBorders>
          </w:tcPr>
          <w:p>
            <w:pPr/>
          </w:p>
        </w:tc>
        <w:tc>
          <w:tcPr>
            <w:tcW w:w="1046" w:type="dxa"/>
            <w:tcBorders>
              <w:top w:val="single" w:sz="4" w:space="0" w:color="FFC000"/>
              <w:left w:val="single" w:sz="4" w:space="0" w:color="FFC000"/>
              <w:bottom w:val="single" w:sz="4" w:space="0" w:color="FFC000"/>
              <w:right w:val="single" w:sz="4" w:space="0" w:color="FFC000"/>
            </w:tcBorders>
          </w:tcPr>
          <w:p>
            <w:pPr/>
          </w:p>
        </w:tc>
        <w:tc>
          <w:tcPr>
            <w:tcW w:w="796" w:type="dxa"/>
            <w:tcBorders>
              <w:top w:val="single" w:sz="4" w:space="0" w:color="FFC000"/>
              <w:left w:val="single" w:sz="4" w:space="0" w:color="FFC000"/>
              <w:bottom w:val="single" w:sz="4" w:space="0" w:color="FFC000"/>
              <w:right w:val="single" w:sz="4" w:space="0" w:color="FFC000"/>
            </w:tcBorders>
          </w:tcPr>
          <w:p>
            <w:pPr/>
          </w:p>
        </w:tc>
        <w:tc>
          <w:tcPr>
            <w:tcW w:w="779" w:type="dxa"/>
            <w:tcBorders>
              <w:top w:val="single" w:sz="4" w:space="0" w:color="FFC000"/>
              <w:left w:val="single" w:sz="4" w:space="0" w:color="FFC000"/>
              <w:bottom w:val="single" w:sz="4" w:space="0" w:color="FFC000"/>
              <w:right w:val="single" w:sz="4" w:space="0" w:color="FFC000"/>
            </w:tcBorders>
          </w:tcPr>
          <w:p>
            <w:pPr/>
          </w:p>
        </w:tc>
      </w:tr>
      <w:tr>
        <w:trPr>
          <w:trHeight w:val="1026"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15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深圳市酷动数码有 限公司</w:t>
            </w:r>
          </w:p>
        </w:tc>
        <w:tc>
          <w:tcPr>
            <w:tcW w:w="92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30</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40,000</w:t>
            </w:r>
          </w:p>
        </w:tc>
        <w:tc>
          <w:tcPr>
            <w:tcW w:w="12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2017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11</w:t>
            </w:r>
            <w:r>
              <w:rPr>
                <w:rFonts w:ascii="华文细黑" w:hAnsi="华文细黑" w:cs="华文细黑" w:eastAsia="华文细黑" w:hint="default"/>
                <w:spacing w:val="-18"/>
                <w:sz w:val="18"/>
                <w:szCs w:val="18"/>
              </w:rPr>
              <w:t> </w:t>
            </w:r>
            <w:r>
              <w:rPr>
                <w:rFonts w:ascii="华文细黑" w:hAnsi="华文细黑" w:cs="华文细黑" w:eastAsia="华文细黑" w:hint="default"/>
                <w:sz w:val="18"/>
                <w:szCs w:val="18"/>
              </w:rPr>
              <w:t>月</w:t>
            </w:r>
          </w:p>
          <w:p>
            <w:pPr>
              <w:pStyle w:val="TableParagraph"/>
              <w:spacing w:line="240" w:lineRule="auto" w:before="59"/>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01</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日</w:t>
            </w:r>
          </w:p>
        </w:tc>
        <w:tc>
          <w:tcPr>
            <w:tcW w:w="10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3,000</w:t>
            </w:r>
          </w:p>
        </w:tc>
        <w:tc>
          <w:tcPr>
            <w:tcW w:w="10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20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连带责任 保证</w:t>
            </w:r>
          </w:p>
        </w:tc>
        <w:tc>
          <w:tcPr>
            <w:tcW w:w="10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一年</w:t>
            </w:r>
          </w:p>
        </w:tc>
        <w:tc>
          <w:tcPr>
            <w:tcW w:w="7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c>
          <w:tcPr>
            <w:tcW w:w="7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1026"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15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深圳市酷动数码有 限公司</w:t>
            </w:r>
          </w:p>
        </w:tc>
        <w:tc>
          <w:tcPr>
            <w:tcW w:w="92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30</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10,000</w:t>
            </w:r>
          </w:p>
        </w:tc>
        <w:tc>
          <w:tcPr>
            <w:tcW w:w="12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08</w:t>
            </w:r>
            <w:r>
              <w:rPr>
                <w:rFonts w:ascii="华文细黑" w:hAnsi="华文细黑" w:cs="华文细黑" w:eastAsia="华文细黑" w:hint="default"/>
                <w:spacing w:val="-18"/>
                <w:sz w:val="18"/>
                <w:szCs w:val="18"/>
              </w:rPr>
              <w:t> </w:t>
            </w:r>
            <w:r>
              <w:rPr>
                <w:rFonts w:ascii="华文细黑" w:hAnsi="华文细黑" w:cs="华文细黑" w:eastAsia="华文细黑" w:hint="default"/>
                <w:sz w:val="18"/>
                <w:szCs w:val="18"/>
              </w:rPr>
              <w:t>月</w:t>
            </w:r>
          </w:p>
          <w:p>
            <w:pPr>
              <w:pStyle w:val="TableParagraph"/>
              <w:spacing w:line="240" w:lineRule="auto" w:before="59"/>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28</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日</w:t>
            </w:r>
          </w:p>
        </w:tc>
        <w:tc>
          <w:tcPr>
            <w:tcW w:w="10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5,000</w:t>
            </w:r>
          </w:p>
        </w:tc>
        <w:tc>
          <w:tcPr>
            <w:tcW w:w="10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20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连带责任 保证</w:t>
            </w:r>
          </w:p>
        </w:tc>
        <w:tc>
          <w:tcPr>
            <w:tcW w:w="10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一年</w:t>
            </w:r>
          </w:p>
        </w:tc>
        <w:tc>
          <w:tcPr>
            <w:tcW w:w="7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c>
          <w:tcPr>
            <w:tcW w:w="7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1026"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15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深圳市酷动数码有 限公司</w:t>
            </w:r>
          </w:p>
        </w:tc>
        <w:tc>
          <w:tcPr>
            <w:tcW w:w="92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30</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6,000</w:t>
            </w:r>
          </w:p>
        </w:tc>
        <w:tc>
          <w:tcPr>
            <w:tcW w:w="1296" w:type="dxa"/>
            <w:tcBorders>
              <w:top w:val="single" w:sz="4" w:space="0" w:color="FFC000"/>
              <w:left w:val="single" w:sz="4" w:space="0" w:color="FFC000"/>
              <w:bottom w:val="single" w:sz="4" w:space="0" w:color="FFC000"/>
              <w:right w:val="single" w:sz="4" w:space="0" w:color="FFC000"/>
            </w:tcBorders>
          </w:tcPr>
          <w:p>
            <w:pPr/>
          </w:p>
        </w:tc>
        <w:tc>
          <w:tcPr>
            <w:tcW w:w="1062" w:type="dxa"/>
            <w:tcBorders>
              <w:top w:val="single" w:sz="4" w:space="0" w:color="FFC000"/>
              <w:left w:val="single" w:sz="4" w:space="0" w:color="FFC000"/>
              <w:bottom w:val="single" w:sz="4" w:space="0" w:color="FFC000"/>
              <w:right w:val="single" w:sz="4" w:space="0" w:color="FFC000"/>
            </w:tcBorders>
          </w:tcPr>
          <w:p>
            <w:pPr/>
          </w:p>
        </w:tc>
        <w:tc>
          <w:tcPr>
            <w:tcW w:w="1036" w:type="dxa"/>
            <w:tcBorders>
              <w:top w:val="single" w:sz="4" w:space="0" w:color="FFC000"/>
              <w:left w:val="single" w:sz="4" w:space="0" w:color="FFC000"/>
              <w:bottom w:val="single" w:sz="4" w:space="0" w:color="FFC000"/>
              <w:right w:val="single" w:sz="4" w:space="0" w:color="FFC000"/>
            </w:tcBorders>
          </w:tcPr>
          <w:p>
            <w:pPr/>
          </w:p>
        </w:tc>
        <w:tc>
          <w:tcPr>
            <w:tcW w:w="1046" w:type="dxa"/>
            <w:tcBorders>
              <w:top w:val="single" w:sz="4" w:space="0" w:color="FFC000"/>
              <w:left w:val="single" w:sz="4" w:space="0" w:color="FFC000"/>
              <w:bottom w:val="single" w:sz="4" w:space="0" w:color="FFC000"/>
              <w:right w:val="single" w:sz="4" w:space="0" w:color="FFC000"/>
            </w:tcBorders>
          </w:tcPr>
          <w:p>
            <w:pPr/>
          </w:p>
        </w:tc>
        <w:tc>
          <w:tcPr>
            <w:tcW w:w="796" w:type="dxa"/>
            <w:tcBorders>
              <w:top w:val="single" w:sz="4" w:space="0" w:color="FFC000"/>
              <w:left w:val="single" w:sz="4" w:space="0" w:color="FFC000"/>
              <w:bottom w:val="single" w:sz="4" w:space="0" w:color="FFC000"/>
              <w:right w:val="single" w:sz="4" w:space="0" w:color="FFC000"/>
            </w:tcBorders>
          </w:tcPr>
          <w:p>
            <w:pPr/>
          </w:p>
        </w:tc>
        <w:tc>
          <w:tcPr>
            <w:tcW w:w="779" w:type="dxa"/>
            <w:tcBorders>
              <w:top w:val="single" w:sz="4" w:space="0" w:color="FFC000"/>
              <w:left w:val="single" w:sz="4" w:space="0" w:color="FFC000"/>
              <w:bottom w:val="single" w:sz="4" w:space="0" w:color="FFC000"/>
              <w:right w:val="single" w:sz="4" w:space="0" w:color="FFC000"/>
            </w:tcBorders>
          </w:tcPr>
          <w:p>
            <w:pPr/>
          </w:p>
        </w:tc>
      </w:tr>
      <w:tr>
        <w:trPr>
          <w:trHeight w:val="1026"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15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深圳市酷脉科技有 限公司</w:t>
            </w:r>
          </w:p>
        </w:tc>
        <w:tc>
          <w:tcPr>
            <w:tcW w:w="92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30</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5,000</w:t>
            </w:r>
          </w:p>
        </w:tc>
        <w:tc>
          <w:tcPr>
            <w:tcW w:w="1296" w:type="dxa"/>
            <w:tcBorders>
              <w:top w:val="single" w:sz="4" w:space="0" w:color="FFC000"/>
              <w:left w:val="single" w:sz="4" w:space="0" w:color="FFC000"/>
              <w:bottom w:val="single" w:sz="4" w:space="0" w:color="FFC000"/>
              <w:right w:val="single" w:sz="4" w:space="0" w:color="FFC000"/>
            </w:tcBorders>
          </w:tcPr>
          <w:p>
            <w:pPr/>
          </w:p>
        </w:tc>
        <w:tc>
          <w:tcPr>
            <w:tcW w:w="1062" w:type="dxa"/>
            <w:tcBorders>
              <w:top w:val="single" w:sz="4" w:space="0" w:color="FFC000"/>
              <w:left w:val="single" w:sz="4" w:space="0" w:color="FFC000"/>
              <w:bottom w:val="single" w:sz="4" w:space="0" w:color="FFC000"/>
              <w:right w:val="single" w:sz="4" w:space="0" w:color="FFC000"/>
            </w:tcBorders>
          </w:tcPr>
          <w:p>
            <w:pPr/>
          </w:p>
        </w:tc>
        <w:tc>
          <w:tcPr>
            <w:tcW w:w="1036" w:type="dxa"/>
            <w:tcBorders>
              <w:top w:val="single" w:sz="4" w:space="0" w:color="FFC000"/>
              <w:left w:val="single" w:sz="4" w:space="0" w:color="FFC000"/>
              <w:bottom w:val="single" w:sz="4" w:space="0" w:color="FFC000"/>
              <w:right w:val="single" w:sz="4" w:space="0" w:color="FFC000"/>
            </w:tcBorders>
          </w:tcPr>
          <w:p>
            <w:pPr/>
          </w:p>
        </w:tc>
        <w:tc>
          <w:tcPr>
            <w:tcW w:w="1046" w:type="dxa"/>
            <w:tcBorders>
              <w:top w:val="single" w:sz="4" w:space="0" w:color="FFC000"/>
              <w:left w:val="single" w:sz="4" w:space="0" w:color="FFC000"/>
              <w:bottom w:val="single" w:sz="4" w:space="0" w:color="FFC000"/>
              <w:right w:val="single" w:sz="4" w:space="0" w:color="FFC000"/>
            </w:tcBorders>
          </w:tcPr>
          <w:p>
            <w:pPr/>
          </w:p>
        </w:tc>
        <w:tc>
          <w:tcPr>
            <w:tcW w:w="796" w:type="dxa"/>
            <w:tcBorders>
              <w:top w:val="single" w:sz="4" w:space="0" w:color="FFC000"/>
              <w:left w:val="single" w:sz="4" w:space="0" w:color="FFC000"/>
              <w:bottom w:val="single" w:sz="4" w:space="0" w:color="FFC000"/>
              <w:right w:val="single" w:sz="4" w:space="0" w:color="FFC000"/>
            </w:tcBorders>
          </w:tcPr>
          <w:p>
            <w:pPr/>
          </w:p>
        </w:tc>
        <w:tc>
          <w:tcPr>
            <w:tcW w:w="779" w:type="dxa"/>
            <w:tcBorders>
              <w:top w:val="single" w:sz="4" w:space="0" w:color="FFC000"/>
              <w:left w:val="single" w:sz="4" w:space="0" w:color="FFC000"/>
              <w:bottom w:val="single" w:sz="4" w:space="0" w:color="FFC000"/>
              <w:right w:val="single" w:sz="4" w:space="0" w:color="FFC000"/>
            </w:tcBorders>
          </w:tcPr>
          <w:p>
            <w:pPr/>
          </w:p>
        </w:tc>
      </w:tr>
      <w:tr>
        <w:trPr>
          <w:trHeight w:val="1026"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15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深圳市酷脉科技有 限公司</w:t>
            </w:r>
          </w:p>
        </w:tc>
        <w:tc>
          <w:tcPr>
            <w:tcW w:w="92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30</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5,000</w:t>
            </w:r>
          </w:p>
        </w:tc>
        <w:tc>
          <w:tcPr>
            <w:tcW w:w="1296" w:type="dxa"/>
            <w:tcBorders>
              <w:top w:val="single" w:sz="4" w:space="0" w:color="FFC000"/>
              <w:left w:val="single" w:sz="4" w:space="0" w:color="FFC000"/>
              <w:bottom w:val="single" w:sz="4" w:space="0" w:color="FFC000"/>
              <w:right w:val="single" w:sz="4" w:space="0" w:color="FFC000"/>
            </w:tcBorders>
          </w:tcPr>
          <w:p>
            <w:pPr/>
          </w:p>
        </w:tc>
        <w:tc>
          <w:tcPr>
            <w:tcW w:w="1062" w:type="dxa"/>
            <w:tcBorders>
              <w:top w:val="single" w:sz="4" w:space="0" w:color="FFC000"/>
              <w:left w:val="single" w:sz="4" w:space="0" w:color="FFC000"/>
              <w:bottom w:val="single" w:sz="4" w:space="0" w:color="FFC000"/>
              <w:right w:val="single" w:sz="4" w:space="0" w:color="FFC000"/>
            </w:tcBorders>
          </w:tcPr>
          <w:p>
            <w:pPr/>
          </w:p>
        </w:tc>
        <w:tc>
          <w:tcPr>
            <w:tcW w:w="1036" w:type="dxa"/>
            <w:tcBorders>
              <w:top w:val="single" w:sz="4" w:space="0" w:color="FFC000"/>
              <w:left w:val="single" w:sz="4" w:space="0" w:color="FFC000"/>
              <w:bottom w:val="single" w:sz="4" w:space="0" w:color="FFC000"/>
              <w:right w:val="single" w:sz="4" w:space="0" w:color="FFC000"/>
            </w:tcBorders>
          </w:tcPr>
          <w:p>
            <w:pPr/>
          </w:p>
        </w:tc>
        <w:tc>
          <w:tcPr>
            <w:tcW w:w="1046" w:type="dxa"/>
            <w:tcBorders>
              <w:top w:val="single" w:sz="4" w:space="0" w:color="FFC000"/>
              <w:left w:val="single" w:sz="4" w:space="0" w:color="FFC000"/>
              <w:bottom w:val="single" w:sz="4" w:space="0" w:color="FFC000"/>
              <w:right w:val="single" w:sz="4" w:space="0" w:color="FFC000"/>
            </w:tcBorders>
          </w:tcPr>
          <w:p>
            <w:pPr/>
          </w:p>
        </w:tc>
        <w:tc>
          <w:tcPr>
            <w:tcW w:w="796" w:type="dxa"/>
            <w:tcBorders>
              <w:top w:val="single" w:sz="4" w:space="0" w:color="FFC000"/>
              <w:left w:val="single" w:sz="4" w:space="0" w:color="FFC000"/>
              <w:bottom w:val="single" w:sz="4" w:space="0" w:color="FFC000"/>
              <w:right w:val="single" w:sz="4" w:space="0" w:color="FFC000"/>
            </w:tcBorders>
          </w:tcPr>
          <w:p>
            <w:pPr/>
          </w:p>
        </w:tc>
        <w:tc>
          <w:tcPr>
            <w:tcW w:w="779" w:type="dxa"/>
            <w:tcBorders>
              <w:top w:val="single" w:sz="4" w:space="0" w:color="FFC000"/>
              <w:left w:val="single" w:sz="4" w:space="0" w:color="FFC000"/>
              <w:bottom w:val="single" w:sz="4" w:space="0" w:color="FFC000"/>
              <w:right w:val="single" w:sz="4" w:space="0" w:color="FFC000"/>
            </w:tcBorders>
          </w:tcPr>
          <w:p>
            <w:pPr/>
          </w:p>
        </w:tc>
      </w:tr>
      <w:tr>
        <w:trPr>
          <w:trHeight w:val="1026"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15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深圳市酷众科技有 限公司</w:t>
            </w:r>
          </w:p>
        </w:tc>
        <w:tc>
          <w:tcPr>
            <w:tcW w:w="92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30</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5,000</w:t>
            </w:r>
          </w:p>
        </w:tc>
        <w:tc>
          <w:tcPr>
            <w:tcW w:w="1296" w:type="dxa"/>
            <w:tcBorders>
              <w:top w:val="single" w:sz="4" w:space="0" w:color="FFC000"/>
              <w:left w:val="single" w:sz="4" w:space="0" w:color="FFC000"/>
              <w:bottom w:val="single" w:sz="4" w:space="0" w:color="FFC000"/>
              <w:right w:val="single" w:sz="4" w:space="0" w:color="FFC000"/>
            </w:tcBorders>
          </w:tcPr>
          <w:p>
            <w:pPr/>
          </w:p>
        </w:tc>
        <w:tc>
          <w:tcPr>
            <w:tcW w:w="1062" w:type="dxa"/>
            <w:tcBorders>
              <w:top w:val="single" w:sz="4" w:space="0" w:color="FFC000"/>
              <w:left w:val="single" w:sz="4" w:space="0" w:color="FFC000"/>
              <w:bottom w:val="single" w:sz="4" w:space="0" w:color="FFC000"/>
              <w:right w:val="single" w:sz="4" w:space="0" w:color="FFC000"/>
            </w:tcBorders>
          </w:tcPr>
          <w:p>
            <w:pPr/>
          </w:p>
        </w:tc>
        <w:tc>
          <w:tcPr>
            <w:tcW w:w="1036" w:type="dxa"/>
            <w:tcBorders>
              <w:top w:val="single" w:sz="4" w:space="0" w:color="FFC000"/>
              <w:left w:val="single" w:sz="4" w:space="0" w:color="FFC000"/>
              <w:bottom w:val="single" w:sz="4" w:space="0" w:color="FFC000"/>
              <w:right w:val="single" w:sz="4" w:space="0" w:color="FFC000"/>
            </w:tcBorders>
          </w:tcPr>
          <w:p>
            <w:pPr/>
          </w:p>
        </w:tc>
        <w:tc>
          <w:tcPr>
            <w:tcW w:w="1046" w:type="dxa"/>
            <w:tcBorders>
              <w:top w:val="single" w:sz="4" w:space="0" w:color="FFC000"/>
              <w:left w:val="single" w:sz="4" w:space="0" w:color="FFC000"/>
              <w:bottom w:val="single" w:sz="4" w:space="0" w:color="FFC000"/>
              <w:right w:val="single" w:sz="4" w:space="0" w:color="FFC000"/>
            </w:tcBorders>
          </w:tcPr>
          <w:p>
            <w:pPr/>
          </w:p>
        </w:tc>
        <w:tc>
          <w:tcPr>
            <w:tcW w:w="796" w:type="dxa"/>
            <w:tcBorders>
              <w:top w:val="single" w:sz="4" w:space="0" w:color="FFC000"/>
              <w:left w:val="single" w:sz="4" w:space="0" w:color="FFC000"/>
              <w:bottom w:val="single" w:sz="4" w:space="0" w:color="FFC000"/>
              <w:right w:val="single" w:sz="4" w:space="0" w:color="FFC000"/>
            </w:tcBorders>
          </w:tcPr>
          <w:p>
            <w:pPr/>
          </w:p>
        </w:tc>
        <w:tc>
          <w:tcPr>
            <w:tcW w:w="779" w:type="dxa"/>
            <w:tcBorders>
              <w:top w:val="single" w:sz="4" w:space="0" w:color="FFC000"/>
              <w:left w:val="single" w:sz="4" w:space="0" w:color="FFC000"/>
              <w:bottom w:val="single" w:sz="4" w:space="0" w:color="FFC000"/>
              <w:right w:val="single" w:sz="4" w:space="0" w:color="FFC000"/>
            </w:tcBorders>
          </w:tcPr>
          <w:p>
            <w:pPr/>
          </w:p>
        </w:tc>
      </w:tr>
      <w:tr>
        <w:trPr>
          <w:trHeight w:val="1026"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15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深圳市酷众科技有 限公司</w:t>
            </w:r>
          </w:p>
        </w:tc>
        <w:tc>
          <w:tcPr>
            <w:tcW w:w="92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30</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5,000</w:t>
            </w:r>
          </w:p>
        </w:tc>
        <w:tc>
          <w:tcPr>
            <w:tcW w:w="1296" w:type="dxa"/>
            <w:tcBorders>
              <w:top w:val="single" w:sz="4" w:space="0" w:color="FFC000"/>
              <w:left w:val="single" w:sz="4" w:space="0" w:color="FFC000"/>
              <w:bottom w:val="single" w:sz="4" w:space="0" w:color="FFC000"/>
              <w:right w:val="single" w:sz="4" w:space="0" w:color="FFC000"/>
            </w:tcBorders>
          </w:tcPr>
          <w:p>
            <w:pPr/>
          </w:p>
        </w:tc>
        <w:tc>
          <w:tcPr>
            <w:tcW w:w="1062" w:type="dxa"/>
            <w:tcBorders>
              <w:top w:val="single" w:sz="4" w:space="0" w:color="FFC000"/>
              <w:left w:val="single" w:sz="4" w:space="0" w:color="FFC000"/>
              <w:bottom w:val="single" w:sz="4" w:space="0" w:color="FFC000"/>
              <w:right w:val="single" w:sz="4" w:space="0" w:color="FFC000"/>
            </w:tcBorders>
          </w:tcPr>
          <w:p>
            <w:pPr/>
          </w:p>
        </w:tc>
        <w:tc>
          <w:tcPr>
            <w:tcW w:w="1036" w:type="dxa"/>
            <w:tcBorders>
              <w:top w:val="single" w:sz="4" w:space="0" w:color="FFC000"/>
              <w:left w:val="single" w:sz="4" w:space="0" w:color="FFC000"/>
              <w:bottom w:val="single" w:sz="4" w:space="0" w:color="FFC000"/>
              <w:right w:val="single" w:sz="4" w:space="0" w:color="FFC000"/>
            </w:tcBorders>
          </w:tcPr>
          <w:p>
            <w:pPr/>
          </w:p>
        </w:tc>
        <w:tc>
          <w:tcPr>
            <w:tcW w:w="1046" w:type="dxa"/>
            <w:tcBorders>
              <w:top w:val="single" w:sz="4" w:space="0" w:color="FFC000"/>
              <w:left w:val="single" w:sz="4" w:space="0" w:color="FFC000"/>
              <w:bottom w:val="single" w:sz="4" w:space="0" w:color="FFC000"/>
              <w:right w:val="single" w:sz="4" w:space="0" w:color="FFC000"/>
            </w:tcBorders>
          </w:tcPr>
          <w:p>
            <w:pPr/>
          </w:p>
        </w:tc>
        <w:tc>
          <w:tcPr>
            <w:tcW w:w="796" w:type="dxa"/>
            <w:tcBorders>
              <w:top w:val="single" w:sz="4" w:space="0" w:color="FFC000"/>
              <w:left w:val="single" w:sz="4" w:space="0" w:color="FFC000"/>
              <w:bottom w:val="single" w:sz="4" w:space="0" w:color="FFC000"/>
              <w:right w:val="single" w:sz="4" w:space="0" w:color="FFC000"/>
            </w:tcBorders>
          </w:tcPr>
          <w:p>
            <w:pPr/>
          </w:p>
        </w:tc>
        <w:tc>
          <w:tcPr>
            <w:tcW w:w="779" w:type="dxa"/>
            <w:tcBorders>
              <w:top w:val="single" w:sz="4" w:space="0" w:color="FFC000"/>
              <w:left w:val="single" w:sz="4" w:space="0" w:color="FFC000"/>
              <w:bottom w:val="single" w:sz="4" w:space="0" w:color="FFC000"/>
              <w:right w:val="single" w:sz="4" w:space="0" w:color="FFC000"/>
            </w:tcBorders>
          </w:tcPr>
          <w:p>
            <w:pPr/>
          </w:p>
        </w:tc>
      </w:tr>
      <w:tr>
        <w:trPr>
          <w:trHeight w:val="1026"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15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深圳市优友通讯有 限公司</w:t>
            </w:r>
          </w:p>
        </w:tc>
        <w:tc>
          <w:tcPr>
            <w:tcW w:w="92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30</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5,000</w:t>
            </w:r>
          </w:p>
        </w:tc>
        <w:tc>
          <w:tcPr>
            <w:tcW w:w="1296" w:type="dxa"/>
            <w:tcBorders>
              <w:top w:val="single" w:sz="4" w:space="0" w:color="FFC000"/>
              <w:left w:val="single" w:sz="4" w:space="0" w:color="FFC000"/>
              <w:bottom w:val="single" w:sz="4" w:space="0" w:color="FFC000"/>
              <w:right w:val="single" w:sz="4" w:space="0" w:color="FFC000"/>
            </w:tcBorders>
          </w:tcPr>
          <w:p>
            <w:pPr/>
          </w:p>
        </w:tc>
        <w:tc>
          <w:tcPr>
            <w:tcW w:w="1062" w:type="dxa"/>
            <w:tcBorders>
              <w:top w:val="single" w:sz="4" w:space="0" w:color="FFC000"/>
              <w:left w:val="single" w:sz="4" w:space="0" w:color="FFC000"/>
              <w:bottom w:val="single" w:sz="4" w:space="0" w:color="FFC000"/>
              <w:right w:val="single" w:sz="4" w:space="0" w:color="FFC000"/>
            </w:tcBorders>
          </w:tcPr>
          <w:p>
            <w:pPr/>
          </w:p>
        </w:tc>
        <w:tc>
          <w:tcPr>
            <w:tcW w:w="1036" w:type="dxa"/>
            <w:tcBorders>
              <w:top w:val="single" w:sz="4" w:space="0" w:color="FFC000"/>
              <w:left w:val="single" w:sz="4" w:space="0" w:color="FFC000"/>
              <w:bottom w:val="single" w:sz="4" w:space="0" w:color="FFC000"/>
              <w:right w:val="single" w:sz="4" w:space="0" w:color="FFC000"/>
            </w:tcBorders>
          </w:tcPr>
          <w:p>
            <w:pPr/>
          </w:p>
        </w:tc>
        <w:tc>
          <w:tcPr>
            <w:tcW w:w="1046" w:type="dxa"/>
            <w:tcBorders>
              <w:top w:val="single" w:sz="4" w:space="0" w:color="FFC000"/>
              <w:left w:val="single" w:sz="4" w:space="0" w:color="FFC000"/>
              <w:bottom w:val="single" w:sz="4" w:space="0" w:color="FFC000"/>
              <w:right w:val="single" w:sz="4" w:space="0" w:color="FFC000"/>
            </w:tcBorders>
          </w:tcPr>
          <w:p>
            <w:pPr/>
          </w:p>
        </w:tc>
        <w:tc>
          <w:tcPr>
            <w:tcW w:w="796" w:type="dxa"/>
            <w:tcBorders>
              <w:top w:val="single" w:sz="4" w:space="0" w:color="FFC000"/>
              <w:left w:val="single" w:sz="4" w:space="0" w:color="FFC000"/>
              <w:bottom w:val="single" w:sz="4" w:space="0" w:color="FFC000"/>
              <w:right w:val="single" w:sz="4" w:space="0" w:color="FFC000"/>
            </w:tcBorders>
          </w:tcPr>
          <w:p>
            <w:pPr/>
          </w:p>
        </w:tc>
        <w:tc>
          <w:tcPr>
            <w:tcW w:w="779" w:type="dxa"/>
            <w:tcBorders>
              <w:top w:val="single" w:sz="4" w:space="0" w:color="FFC000"/>
              <w:left w:val="single" w:sz="4" w:space="0" w:color="FFC000"/>
              <w:bottom w:val="single" w:sz="4" w:space="0" w:color="FFC000"/>
              <w:right w:val="single" w:sz="4" w:space="0" w:color="FFC000"/>
            </w:tcBorders>
          </w:tcPr>
          <w:p>
            <w:pPr/>
          </w:p>
        </w:tc>
      </w:tr>
      <w:tr>
        <w:trPr>
          <w:trHeight w:val="1026"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15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深圳市优友通讯有 限公司</w:t>
            </w:r>
          </w:p>
        </w:tc>
        <w:tc>
          <w:tcPr>
            <w:tcW w:w="92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30</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20,000</w:t>
            </w:r>
          </w:p>
        </w:tc>
        <w:tc>
          <w:tcPr>
            <w:tcW w:w="1296" w:type="dxa"/>
            <w:tcBorders>
              <w:top w:val="single" w:sz="4" w:space="0" w:color="FFC000"/>
              <w:left w:val="single" w:sz="4" w:space="0" w:color="FFC000"/>
              <w:bottom w:val="single" w:sz="4" w:space="0" w:color="FFC000"/>
              <w:right w:val="single" w:sz="4" w:space="0" w:color="FFC000"/>
            </w:tcBorders>
          </w:tcPr>
          <w:p>
            <w:pPr/>
          </w:p>
        </w:tc>
        <w:tc>
          <w:tcPr>
            <w:tcW w:w="1062" w:type="dxa"/>
            <w:tcBorders>
              <w:top w:val="single" w:sz="4" w:space="0" w:color="FFC000"/>
              <w:left w:val="single" w:sz="4" w:space="0" w:color="FFC000"/>
              <w:bottom w:val="single" w:sz="4" w:space="0" w:color="FFC000"/>
              <w:right w:val="single" w:sz="4" w:space="0" w:color="FFC000"/>
            </w:tcBorders>
          </w:tcPr>
          <w:p>
            <w:pPr/>
          </w:p>
        </w:tc>
        <w:tc>
          <w:tcPr>
            <w:tcW w:w="1036" w:type="dxa"/>
            <w:tcBorders>
              <w:top w:val="single" w:sz="4" w:space="0" w:color="FFC000"/>
              <w:left w:val="single" w:sz="4" w:space="0" w:color="FFC000"/>
              <w:bottom w:val="single" w:sz="4" w:space="0" w:color="FFC000"/>
              <w:right w:val="single" w:sz="4" w:space="0" w:color="FFC000"/>
            </w:tcBorders>
          </w:tcPr>
          <w:p>
            <w:pPr/>
          </w:p>
        </w:tc>
        <w:tc>
          <w:tcPr>
            <w:tcW w:w="1046" w:type="dxa"/>
            <w:tcBorders>
              <w:top w:val="single" w:sz="4" w:space="0" w:color="FFC000"/>
              <w:left w:val="single" w:sz="4" w:space="0" w:color="FFC000"/>
              <w:bottom w:val="single" w:sz="4" w:space="0" w:color="FFC000"/>
              <w:right w:val="single" w:sz="4" w:space="0" w:color="FFC000"/>
            </w:tcBorders>
          </w:tcPr>
          <w:p>
            <w:pPr/>
          </w:p>
        </w:tc>
        <w:tc>
          <w:tcPr>
            <w:tcW w:w="796" w:type="dxa"/>
            <w:tcBorders>
              <w:top w:val="single" w:sz="4" w:space="0" w:color="FFC000"/>
              <w:left w:val="single" w:sz="4" w:space="0" w:color="FFC000"/>
              <w:bottom w:val="single" w:sz="4" w:space="0" w:color="FFC000"/>
              <w:right w:val="single" w:sz="4" w:space="0" w:color="FFC000"/>
            </w:tcBorders>
          </w:tcPr>
          <w:p>
            <w:pPr/>
          </w:p>
        </w:tc>
        <w:tc>
          <w:tcPr>
            <w:tcW w:w="779"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深圳市优友通讯有</w:t>
            </w:r>
          </w:p>
        </w:tc>
        <w:tc>
          <w:tcPr>
            <w:tcW w:w="92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9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5,000</w:t>
            </w:r>
          </w:p>
        </w:tc>
        <w:tc>
          <w:tcPr>
            <w:tcW w:w="1296" w:type="dxa"/>
            <w:tcBorders>
              <w:top w:val="single" w:sz="4" w:space="0" w:color="FFC000"/>
              <w:left w:val="single" w:sz="4" w:space="0" w:color="FFC000"/>
              <w:bottom w:val="single" w:sz="4" w:space="0" w:color="FFC000"/>
              <w:right w:val="single" w:sz="4" w:space="0" w:color="FFC000"/>
            </w:tcBorders>
          </w:tcPr>
          <w:p>
            <w:pPr/>
          </w:p>
        </w:tc>
        <w:tc>
          <w:tcPr>
            <w:tcW w:w="1062" w:type="dxa"/>
            <w:tcBorders>
              <w:top w:val="single" w:sz="4" w:space="0" w:color="FFC000"/>
              <w:left w:val="single" w:sz="4" w:space="0" w:color="FFC000"/>
              <w:bottom w:val="single" w:sz="4" w:space="0" w:color="FFC000"/>
              <w:right w:val="single" w:sz="4" w:space="0" w:color="FFC000"/>
            </w:tcBorders>
          </w:tcPr>
          <w:p>
            <w:pPr/>
          </w:p>
        </w:tc>
        <w:tc>
          <w:tcPr>
            <w:tcW w:w="1036" w:type="dxa"/>
            <w:tcBorders>
              <w:top w:val="single" w:sz="4" w:space="0" w:color="FFC000"/>
              <w:left w:val="single" w:sz="4" w:space="0" w:color="FFC000"/>
              <w:bottom w:val="single" w:sz="4" w:space="0" w:color="FFC000"/>
              <w:right w:val="single" w:sz="4" w:space="0" w:color="FFC000"/>
            </w:tcBorders>
          </w:tcPr>
          <w:p>
            <w:pPr/>
          </w:p>
        </w:tc>
        <w:tc>
          <w:tcPr>
            <w:tcW w:w="1046" w:type="dxa"/>
            <w:tcBorders>
              <w:top w:val="single" w:sz="4" w:space="0" w:color="FFC000"/>
              <w:left w:val="single" w:sz="4" w:space="0" w:color="FFC000"/>
              <w:bottom w:val="single" w:sz="4" w:space="0" w:color="FFC000"/>
              <w:right w:val="single" w:sz="4" w:space="0" w:color="FFC000"/>
            </w:tcBorders>
          </w:tcPr>
          <w:p>
            <w:pPr/>
          </w:p>
        </w:tc>
        <w:tc>
          <w:tcPr>
            <w:tcW w:w="796" w:type="dxa"/>
            <w:tcBorders>
              <w:top w:val="single" w:sz="4" w:space="0" w:color="FFC000"/>
              <w:left w:val="single" w:sz="4" w:space="0" w:color="FFC000"/>
              <w:bottom w:val="single" w:sz="4" w:space="0" w:color="FFC000"/>
              <w:right w:val="single" w:sz="4" w:space="0" w:color="FFC000"/>
            </w:tcBorders>
          </w:tcPr>
          <w:p>
            <w:pPr/>
          </w:p>
        </w:tc>
        <w:tc>
          <w:tcPr>
            <w:tcW w:w="779" w:type="dxa"/>
            <w:tcBorders>
              <w:top w:val="single" w:sz="4" w:space="0" w:color="FFC000"/>
              <w:left w:val="single" w:sz="4" w:space="0" w:color="FFC000"/>
              <w:bottom w:val="single" w:sz="4" w:space="0" w:color="FFC000"/>
              <w:right w:val="single" w:sz="4" w:space="0" w:color="FFC000"/>
            </w:tcBorders>
          </w:tcPr>
          <w:p>
            <w:pPr/>
          </w:p>
        </w:tc>
      </w:tr>
    </w:tbl>
    <w:p>
      <w:pPr>
        <w:spacing w:after="0"/>
        <w:sectPr>
          <w:pgSz w:w="11910" w:h="16840"/>
          <w:pgMar w:header="917" w:footer="1019" w:top="1100" w:bottom="1200" w:left="90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17" w:type="dxa"/>
        <w:tblLayout w:type="fixed"/>
        <w:tblCellMar>
          <w:top w:w="0" w:type="dxa"/>
          <w:left w:w="0" w:type="dxa"/>
          <w:bottom w:w="0" w:type="dxa"/>
          <w:right w:w="0" w:type="dxa"/>
        </w:tblCellMar>
        <w:tblLook w:val="01E0"/>
      </w:tblPr>
      <w:tblGrid>
        <w:gridCol w:w="1709"/>
        <w:gridCol w:w="920"/>
        <w:gridCol w:w="921"/>
        <w:gridCol w:w="1305"/>
        <w:gridCol w:w="1053"/>
        <w:gridCol w:w="1045"/>
        <w:gridCol w:w="1046"/>
        <w:gridCol w:w="791"/>
        <w:gridCol w:w="784"/>
      </w:tblGrid>
      <w:tr>
        <w:trPr>
          <w:trHeight w:val="674"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限公司</w:t>
            </w:r>
          </w:p>
        </w:tc>
        <w:tc>
          <w:tcPr>
            <w:tcW w:w="920" w:type="dxa"/>
            <w:tcBorders>
              <w:top w:val="single" w:sz="4" w:space="0" w:color="FFC000"/>
              <w:left w:val="single" w:sz="4" w:space="0" w:color="FFC000"/>
              <w:bottom w:val="single" w:sz="4" w:space="0" w:color="FFC000"/>
              <w:right w:val="single" w:sz="4" w:space="0" w:color="FFC000"/>
            </w:tcBorders>
          </w:tcPr>
          <w:p>
            <w:pPr>
              <w:pStyle w:val="TableParagraph"/>
              <w:spacing w:line="253" w:lineRule="exact"/>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30</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21" w:type="dxa"/>
            <w:tcBorders>
              <w:top w:val="single" w:sz="4" w:space="0" w:color="FFC000"/>
              <w:left w:val="single" w:sz="4" w:space="0" w:color="FFC000"/>
              <w:bottom w:val="single" w:sz="4" w:space="0" w:color="FFC000"/>
              <w:right w:val="single" w:sz="4" w:space="0" w:color="FFC000"/>
            </w:tcBorders>
          </w:tcPr>
          <w:p>
            <w:pPr/>
          </w:p>
        </w:tc>
        <w:tc>
          <w:tcPr>
            <w:tcW w:w="1305" w:type="dxa"/>
            <w:tcBorders>
              <w:top w:val="single" w:sz="4" w:space="0" w:color="FFC000"/>
              <w:left w:val="single" w:sz="4" w:space="0" w:color="FFC000"/>
              <w:bottom w:val="single" w:sz="4" w:space="0" w:color="FFC000"/>
              <w:right w:val="single" w:sz="4" w:space="0" w:color="FFC000"/>
            </w:tcBorders>
          </w:tcPr>
          <w:p>
            <w:pPr/>
          </w:p>
        </w:tc>
        <w:tc>
          <w:tcPr>
            <w:tcW w:w="1053" w:type="dxa"/>
            <w:tcBorders>
              <w:top w:val="single" w:sz="4" w:space="0" w:color="FFC000"/>
              <w:left w:val="single" w:sz="4" w:space="0" w:color="FFC000"/>
              <w:bottom w:val="single" w:sz="4" w:space="0" w:color="FFC000"/>
              <w:right w:val="single" w:sz="4" w:space="0" w:color="FFC000"/>
            </w:tcBorders>
          </w:tcPr>
          <w:p>
            <w:pPr/>
          </w:p>
        </w:tc>
        <w:tc>
          <w:tcPr>
            <w:tcW w:w="1045" w:type="dxa"/>
            <w:tcBorders>
              <w:top w:val="single" w:sz="4" w:space="0" w:color="FFC000"/>
              <w:left w:val="single" w:sz="4" w:space="0" w:color="FFC000"/>
              <w:bottom w:val="single" w:sz="4" w:space="0" w:color="FFC000"/>
              <w:right w:val="single" w:sz="4" w:space="0" w:color="FFC000"/>
            </w:tcBorders>
          </w:tcPr>
          <w:p>
            <w:pPr/>
          </w:p>
        </w:tc>
        <w:tc>
          <w:tcPr>
            <w:tcW w:w="1046" w:type="dxa"/>
            <w:tcBorders>
              <w:top w:val="single" w:sz="4" w:space="0" w:color="FFC000"/>
              <w:left w:val="single" w:sz="4" w:space="0" w:color="FFC000"/>
              <w:bottom w:val="single" w:sz="4" w:space="0" w:color="FFC000"/>
              <w:right w:val="single" w:sz="4" w:space="0" w:color="FFC000"/>
            </w:tcBorders>
          </w:tcPr>
          <w:p>
            <w:pPr/>
          </w:p>
        </w:tc>
        <w:tc>
          <w:tcPr>
            <w:tcW w:w="791" w:type="dxa"/>
            <w:tcBorders>
              <w:top w:val="single" w:sz="4" w:space="0" w:color="FFC000"/>
              <w:left w:val="single" w:sz="4" w:space="0" w:color="FFC000"/>
              <w:bottom w:val="single" w:sz="4" w:space="0" w:color="FFC000"/>
              <w:right w:val="single" w:sz="4" w:space="0" w:color="FFC000"/>
            </w:tcBorders>
          </w:tcPr>
          <w:p>
            <w:pPr/>
          </w:p>
        </w:tc>
        <w:tc>
          <w:tcPr>
            <w:tcW w:w="784" w:type="dxa"/>
            <w:tcBorders>
              <w:top w:val="single" w:sz="4" w:space="0" w:color="FFC000"/>
              <w:left w:val="single" w:sz="4" w:space="0" w:color="FFC000"/>
              <w:bottom w:val="single" w:sz="4" w:space="0" w:color="FFC000"/>
              <w:right w:val="single" w:sz="4" w:space="0" w:color="FFC000"/>
            </w:tcBorders>
          </w:tcPr>
          <w:p>
            <w:pPr/>
          </w:p>
        </w:tc>
      </w:tr>
      <w:tr>
        <w:trPr>
          <w:trHeight w:val="1026"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15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深圳市优友通讯有 限公司</w:t>
            </w:r>
          </w:p>
        </w:tc>
        <w:tc>
          <w:tcPr>
            <w:tcW w:w="9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30</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2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92"/>
              <w:jc w:val="right"/>
              <w:rPr>
                <w:rFonts w:ascii="华文细黑" w:hAnsi="华文细黑" w:cs="华文细黑" w:eastAsia="华文细黑" w:hint="default"/>
                <w:sz w:val="18"/>
                <w:szCs w:val="18"/>
              </w:rPr>
            </w:pPr>
            <w:r>
              <w:rPr>
                <w:rFonts w:ascii="华文细黑"/>
                <w:sz w:val="18"/>
              </w:rPr>
              <w:t>5,000</w:t>
            </w:r>
          </w:p>
        </w:tc>
        <w:tc>
          <w:tcPr>
            <w:tcW w:w="1305" w:type="dxa"/>
            <w:tcBorders>
              <w:top w:val="single" w:sz="4" w:space="0" w:color="FFC000"/>
              <w:left w:val="single" w:sz="4" w:space="0" w:color="FFC000"/>
              <w:bottom w:val="single" w:sz="4" w:space="0" w:color="FFC000"/>
              <w:right w:val="single" w:sz="4" w:space="0" w:color="FFC000"/>
            </w:tcBorders>
          </w:tcPr>
          <w:p>
            <w:pPr/>
          </w:p>
        </w:tc>
        <w:tc>
          <w:tcPr>
            <w:tcW w:w="1053" w:type="dxa"/>
            <w:tcBorders>
              <w:top w:val="single" w:sz="4" w:space="0" w:color="FFC000"/>
              <w:left w:val="single" w:sz="4" w:space="0" w:color="FFC000"/>
              <w:bottom w:val="single" w:sz="4" w:space="0" w:color="FFC000"/>
              <w:right w:val="single" w:sz="4" w:space="0" w:color="FFC000"/>
            </w:tcBorders>
          </w:tcPr>
          <w:p>
            <w:pPr/>
          </w:p>
        </w:tc>
        <w:tc>
          <w:tcPr>
            <w:tcW w:w="1045" w:type="dxa"/>
            <w:tcBorders>
              <w:top w:val="single" w:sz="4" w:space="0" w:color="FFC000"/>
              <w:left w:val="single" w:sz="4" w:space="0" w:color="FFC000"/>
              <w:bottom w:val="single" w:sz="4" w:space="0" w:color="FFC000"/>
              <w:right w:val="single" w:sz="4" w:space="0" w:color="FFC000"/>
            </w:tcBorders>
          </w:tcPr>
          <w:p>
            <w:pPr/>
          </w:p>
        </w:tc>
        <w:tc>
          <w:tcPr>
            <w:tcW w:w="1046" w:type="dxa"/>
            <w:tcBorders>
              <w:top w:val="single" w:sz="4" w:space="0" w:color="FFC000"/>
              <w:left w:val="single" w:sz="4" w:space="0" w:color="FFC000"/>
              <w:bottom w:val="single" w:sz="4" w:space="0" w:color="FFC000"/>
              <w:right w:val="single" w:sz="4" w:space="0" w:color="FFC000"/>
            </w:tcBorders>
          </w:tcPr>
          <w:p>
            <w:pPr/>
          </w:p>
        </w:tc>
        <w:tc>
          <w:tcPr>
            <w:tcW w:w="791" w:type="dxa"/>
            <w:tcBorders>
              <w:top w:val="single" w:sz="4" w:space="0" w:color="FFC000"/>
              <w:left w:val="single" w:sz="4" w:space="0" w:color="FFC000"/>
              <w:bottom w:val="single" w:sz="4" w:space="0" w:color="FFC000"/>
              <w:right w:val="single" w:sz="4" w:space="0" w:color="FFC000"/>
            </w:tcBorders>
          </w:tcPr>
          <w:p>
            <w:pPr/>
          </w:p>
        </w:tc>
        <w:tc>
          <w:tcPr>
            <w:tcW w:w="784" w:type="dxa"/>
            <w:tcBorders>
              <w:top w:val="single" w:sz="4" w:space="0" w:color="FFC000"/>
              <w:left w:val="single" w:sz="4" w:space="0" w:color="FFC000"/>
              <w:bottom w:val="single" w:sz="4" w:space="0" w:color="FFC000"/>
              <w:right w:val="single" w:sz="4" w:space="0" w:color="FFC000"/>
            </w:tcBorders>
          </w:tcPr>
          <w:p>
            <w:pPr/>
          </w:p>
        </w:tc>
      </w:tr>
      <w:tr>
        <w:trPr>
          <w:trHeight w:val="1026"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15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深圳市优友通讯有 限公司</w:t>
            </w:r>
          </w:p>
        </w:tc>
        <w:tc>
          <w:tcPr>
            <w:tcW w:w="9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30</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2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92"/>
              <w:jc w:val="right"/>
              <w:rPr>
                <w:rFonts w:ascii="华文细黑" w:hAnsi="华文细黑" w:cs="华文细黑" w:eastAsia="华文细黑" w:hint="default"/>
                <w:sz w:val="18"/>
                <w:szCs w:val="18"/>
              </w:rPr>
            </w:pPr>
            <w:r>
              <w:rPr>
                <w:rFonts w:ascii="华文细黑"/>
                <w:sz w:val="18"/>
              </w:rPr>
              <w:t>5,000</w:t>
            </w:r>
          </w:p>
        </w:tc>
        <w:tc>
          <w:tcPr>
            <w:tcW w:w="1305" w:type="dxa"/>
            <w:tcBorders>
              <w:top w:val="single" w:sz="4" w:space="0" w:color="FFC000"/>
              <w:left w:val="single" w:sz="4" w:space="0" w:color="FFC000"/>
              <w:bottom w:val="single" w:sz="4" w:space="0" w:color="FFC000"/>
              <w:right w:val="single" w:sz="4" w:space="0" w:color="FFC000"/>
            </w:tcBorders>
          </w:tcPr>
          <w:p>
            <w:pPr/>
          </w:p>
        </w:tc>
        <w:tc>
          <w:tcPr>
            <w:tcW w:w="1053" w:type="dxa"/>
            <w:tcBorders>
              <w:top w:val="single" w:sz="4" w:space="0" w:color="FFC000"/>
              <w:left w:val="single" w:sz="4" w:space="0" w:color="FFC000"/>
              <w:bottom w:val="single" w:sz="4" w:space="0" w:color="FFC000"/>
              <w:right w:val="single" w:sz="4" w:space="0" w:color="FFC000"/>
            </w:tcBorders>
          </w:tcPr>
          <w:p>
            <w:pPr/>
          </w:p>
        </w:tc>
        <w:tc>
          <w:tcPr>
            <w:tcW w:w="1045" w:type="dxa"/>
            <w:tcBorders>
              <w:top w:val="single" w:sz="4" w:space="0" w:color="FFC000"/>
              <w:left w:val="single" w:sz="4" w:space="0" w:color="FFC000"/>
              <w:bottom w:val="single" w:sz="4" w:space="0" w:color="FFC000"/>
              <w:right w:val="single" w:sz="4" w:space="0" w:color="FFC000"/>
            </w:tcBorders>
          </w:tcPr>
          <w:p>
            <w:pPr/>
          </w:p>
        </w:tc>
        <w:tc>
          <w:tcPr>
            <w:tcW w:w="1046" w:type="dxa"/>
            <w:tcBorders>
              <w:top w:val="single" w:sz="4" w:space="0" w:color="FFC000"/>
              <w:left w:val="single" w:sz="4" w:space="0" w:color="FFC000"/>
              <w:bottom w:val="single" w:sz="4" w:space="0" w:color="FFC000"/>
              <w:right w:val="single" w:sz="4" w:space="0" w:color="FFC000"/>
            </w:tcBorders>
          </w:tcPr>
          <w:p>
            <w:pPr/>
          </w:p>
        </w:tc>
        <w:tc>
          <w:tcPr>
            <w:tcW w:w="791" w:type="dxa"/>
            <w:tcBorders>
              <w:top w:val="single" w:sz="4" w:space="0" w:color="FFC000"/>
              <w:left w:val="single" w:sz="4" w:space="0" w:color="FFC000"/>
              <w:bottom w:val="single" w:sz="4" w:space="0" w:color="FFC000"/>
              <w:right w:val="single" w:sz="4" w:space="0" w:color="FFC000"/>
            </w:tcBorders>
          </w:tcPr>
          <w:p>
            <w:pPr/>
          </w:p>
        </w:tc>
        <w:tc>
          <w:tcPr>
            <w:tcW w:w="784" w:type="dxa"/>
            <w:tcBorders>
              <w:top w:val="single" w:sz="4" w:space="0" w:color="FFC000"/>
              <w:left w:val="single" w:sz="4" w:space="0" w:color="FFC000"/>
              <w:bottom w:val="single" w:sz="4" w:space="0" w:color="FFC000"/>
              <w:right w:val="single" w:sz="4" w:space="0" w:color="FFC000"/>
            </w:tcBorders>
          </w:tcPr>
          <w:p>
            <w:pPr/>
          </w:p>
        </w:tc>
      </w:tr>
      <w:tr>
        <w:trPr>
          <w:trHeight w:val="714" w:hRule="exact"/>
        </w:trPr>
        <w:tc>
          <w:tcPr>
            <w:tcW w:w="2630"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7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报告期内审批对子公司担保额 度合计（</w:t>
            </w:r>
            <w:r>
              <w:rPr>
                <w:rFonts w:ascii="华文细黑" w:hAnsi="华文细黑" w:cs="华文细黑" w:eastAsia="华文细黑" w:hint="default"/>
                <w:sz w:val="18"/>
                <w:szCs w:val="18"/>
              </w:rPr>
              <w:t>B1</w:t>
            </w:r>
            <w:r>
              <w:rPr>
                <w:rFonts w:ascii="华文细黑" w:hAnsi="华文细黑" w:cs="华文细黑" w:eastAsia="华文细黑" w:hint="default"/>
                <w:sz w:val="18"/>
                <w:szCs w:val="18"/>
              </w:rPr>
              <w:t>）</w:t>
            </w:r>
          </w:p>
        </w:tc>
        <w:tc>
          <w:tcPr>
            <w:tcW w:w="2226" w:type="dxa"/>
            <w:gridSpan w:val="2"/>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465" w:right="0"/>
              <w:jc w:val="left"/>
              <w:rPr>
                <w:rFonts w:ascii="华文细黑" w:hAnsi="华文细黑" w:cs="华文细黑" w:eastAsia="华文细黑" w:hint="default"/>
                <w:sz w:val="18"/>
                <w:szCs w:val="18"/>
              </w:rPr>
            </w:pPr>
            <w:r>
              <w:rPr>
                <w:rFonts w:ascii="华文细黑"/>
                <w:sz w:val="18"/>
              </w:rPr>
              <w:t>581,000</w:t>
            </w:r>
          </w:p>
        </w:tc>
        <w:tc>
          <w:tcPr>
            <w:tcW w:w="2098"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2" w:right="16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报告期内对子公司担保 实际发生额合计（</w:t>
            </w:r>
            <w:r>
              <w:rPr>
                <w:rFonts w:ascii="华文细黑" w:hAnsi="华文细黑" w:cs="华文细黑" w:eastAsia="华文细黑" w:hint="default"/>
                <w:sz w:val="18"/>
                <w:szCs w:val="18"/>
              </w:rPr>
              <w:t>B2</w:t>
            </w:r>
            <w:r>
              <w:rPr>
                <w:rFonts w:ascii="华文细黑" w:hAnsi="华文细黑" w:cs="华文细黑" w:eastAsia="华文细黑" w:hint="default"/>
                <w:sz w:val="18"/>
                <w:szCs w:val="18"/>
              </w:rPr>
              <w:t>）</w:t>
            </w:r>
          </w:p>
        </w:tc>
        <w:tc>
          <w:tcPr>
            <w:tcW w:w="2620"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609" w:right="0"/>
              <w:jc w:val="left"/>
              <w:rPr>
                <w:rFonts w:ascii="华文细黑" w:hAnsi="华文细黑" w:cs="华文细黑" w:eastAsia="华文细黑" w:hint="default"/>
                <w:sz w:val="18"/>
                <w:szCs w:val="18"/>
              </w:rPr>
            </w:pPr>
            <w:r>
              <w:rPr>
                <w:rFonts w:ascii="华文细黑"/>
                <w:sz w:val="18"/>
              </w:rPr>
              <w:t>203,293.88</w:t>
            </w:r>
          </w:p>
        </w:tc>
      </w:tr>
      <w:tr>
        <w:trPr>
          <w:trHeight w:val="719" w:hRule="exact"/>
        </w:trPr>
        <w:tc>
          <w:tcPr>
            <w:tcW w:w="2630"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7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报告期末已审批的对子公司担 保额度合计（</w:t>
            </w:r>
            <w:r>
              <w:rPr>
                <w:rFonts w:ascii="华文细黑" w:hAnsi="华文细黑" w:cs="华文细黑" w:eastAsia="华文细黑" w:hint="default"/>
                <w:sz w:val="18"/>
                <w:szCs w:val="18"/>
              </w:rPr>
              <w:t>B3</w:t>
            </w:r>
            <w:r>
              <w:rPr>
                <w:rFonts w:ascii="华文细黑" w:hAnsi="华文细黑" w:cs="华文细黑" w:eastAsia="华文细黑" w:hint="default"/>
                <w:sz w:val="18"/>
                <w:szCs w:val="18"/>
              </w:rPr>
              <w:t>）</w:t>
            </w:r>
          </w:p>
        </w:tc>
        <w:tc>
          <w:tcPr>
            <w:tcW w:w="2226" w:type="dxa"/>
            <w:gridSpan w:val="2"/>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465" w:right="0"/>
              <w:jc w:val="left"/>
              <w:rPr>
                <w:rFonts w:ascii="华文细黑" w:hAnsi="华文细黑" w:cs="华文细黑" w:eastAsia="华文细黑" w:hint="default"/>
                <w:sz w:val="18"/>
                <w:szCs w:val="18"/>
              </w:rPr>
            </w:pPr>
            <w:r>
              <w:rPr>
                <w:rFonts w:ascii="华文细黑"/>
                <w:sz w:val="18"/>
              </w:rPr>
              <w:t>581,000</w:t>
            </w:r>
          </w:p>
        </w:tc>
        <w:tc>
          <w:tcPr>
            <w:tcW w:w="2098"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2" w:right="185"/>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报告期末对子公司实际 担保余额合计（</w:t>
            </w:r>
            <w:r>
              <w:rPr>
                <w:rFonts w:ascii="华文细黑" w:hAnsi="华文细黑" w:cs="华文细黑" w:eastAsia="华文细黑" w:hint="default"/>
                <w:sz w:val="18"/>
                <w:szCs w:val="18"/>
              </w:rPr>
              <w:t>B4</w:t>
            </w:r>
            <w:r>
              <w:rPr>
                <w:rFonts w:ascii="华文细黑" w:hAnsi="华文细黑" w:cs="华文细黑" w:eastAsia="华文细黑" w:hint="default"/>
                <w:sz w:val="18"/>
                <w:szCs w:val="18"/>
              </w:rPr>
              <w:t>）</w:t>
            </w:r>
          </w:p>
        </w:tc>
        <w:tc>
          <w:tcPr>
            <w:tcW w:w="2620"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609" w:right="0"/>
              <w:jc w:val="left"/>
              <w:rPr>
                <w:rFonts w:ascii="华文细黑" w:hAnsi="华文细黑" w:cs="华文细黑" w:eastAsia="华文细黑" w:hint="default"/>
                <w:sz w:val="18"/>
                <w:szCs w:val="18"/>
              </w:rPr>
            </w:pPr>
            <w:r>
              <w:rPr>
                <w:rFonts w:ascii="华文细黑"/>
                <w:sz w:val="18"/>
              </w:rPr>
              <w:t>203,293.88</w:t>
            </w:r>
          </w:p>
        </w:tc>
      </w:tr>
      <w:tr>
        <w:trPr>
          <w:trHeight w:val="397" w:hRule="exact"/>
        </w:trPr>
        <w:tc>
          <w:tcPr>
            <w:tcW w:w="9574" w:type="dxa"/>
            <w:gridSpan w:val="9"/>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子公司对子公司的担保情况</w:t>
            </w:r>
          </w:p>
        </w:tc>
      </w:tr>
      <w:tr>
        <w:trPr>
          <w:trHeight w:val="1338"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30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担保对象名称</w:t>
            </w:r>
          </w:p>
        </w:tc>
        <w:tc>
          <w:tcPr>
            <w:tcW w:w="920"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82" w:right="186"/>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担保额 度相关 公告披 露日期</w:t>
            </w:r>
          </w:p>
        </w:tc>
        <w:tc>
          <w:tcPr>
            <w:tcW w:w="92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95" w:lineRule="auto" w:before="145"/>
              <w:ind w:left="358" w:right="190"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担保额 度</w:t>
            </w:r>
          </w:p>
        </w:tc>
        <w:tc>
          <w:tcPr>
            <w:tcW w:w="13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实际发生日期</w:t>
            </w:r>
          </w:p>
        </w:tc>
        <w:tc>
          <w:tcPr>
            <w:tcW w:w="10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95" w:lineRule="auto" w:before="145"/>
              <w:ind w:left="336" w:right="165"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实际担保 金额</w:t>
            </w:r>
          </w:p>
        </w:tc>
        <w:tc>
          <w:tcPr>
            <w:tcW w:w="10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5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担保类型</w:t>
            </w:r>
          </w:p>
        </w:tc>
        <w:tc>
          <w:tcPr>
            <w:tcW w:w="10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24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担保期</w:t>
            </w:r>
          </w:p>
        </w:tc>
        <w:tc>
          <w:tcPr>
            <w:tcW w:w="7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95" w:lineRule="auto" w:before="145"/>
              <w:ind w:left="117" w:right="12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是否履 行完毕</w:t>
            </w:r>
          </w:p>
        </w:tc>
        <w:tc>
          <w:tcPr>
            <w:tcW w:w="7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13" w:right="11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是否为 关联方 担保</w:t>
            </w:r>
          </w:p>
        </w:tc>
      </w:tr>
      <w:tr>
        <w:trPr>
          <w:trHeight w:val="1338"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95" w:lineRule="auto" w:before="145"/>
              <w:ind w:left="103" w:right="15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深圳市酷动数码有 限公司</w:t>
            </w:r>
          </w:p>
        </w:tc>
        <w:tc>
          <w:tcPr>
            <w:tcW w:w="9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07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17</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2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10"/>
              <w:jc w:val="right"/>
              <w:rPr>
                <w:rFonts w:ascii="华文细黑" w:hAnsi="华文细黑" w:cs="华文细黑" w:eastAsia="华文细黑" w:hint="default"/>
                <w:sz w:val="18"/>
                <w:szCs w:val="18"/>
              </w:rPr>
            </w:pPr>
            <w:r>
              <w:rPr>
                <w:rFonts w:ascii="华文细黑"/>
                <w:sz w:val="18"/>
              </w:rPr>
              <w:t>25,000</w:t>
            </w:r>
          </w:p>
        </w:tc>
        <w:tc>
          <w:tcPr>
            <w:tcW w:w="1305" w:type="dxa"/>
            <w:tcBorders>
              <w:top w:val="single" w:sz="4" w:space="0" w:color="FFC000"/>
              <w:left w:val="single" w:sz="4" w:space="0" w:color="FFC000"/>
              <w:bottom w:val="single" w:sz="4" w:space="0" w:color="FFC000"/>
              <w:right w:val="single" w:sz="4" w:space="0" w:color="FFC000"/>
            </w:tcBorders>
          </w:tcPr>
          <w:p>
            <w:pPr/>
          </w:p>
        </w:tc>
        <w:tc>
          <w:tcPr>
            <w:tcW w:w="10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381" w:right="0"/>
              <w:jc w:val="left"/>
              <w:rPr>
                <w:rFonts w:ascii="华文细黑" w:hAnsi="华文细黑" w:cs="华文细黑" w:eastAsia="华文细黑" w:hint="default"/>
                <w:sz w:val="18"/>
                <w:szCs w:val="18"/>
              </w:rPr>
            </w:pPr>
            <w:r>
              <w:rPr>
                <w:rFonts w:ascii="华文细黑"/>
                <w:sz w:val="18"/>
              </w:rPr>
              <w:t>25,000</w:t>
            </w:r>
          </w:p>
        </w:tc>
        <w:tc>
          <w:tcPr>
            <w:tcW w:w="10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95" w:lineRule="auto" w:before="145"/>
              <w:ind w:left="93" w:right="22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连带责任 保证</w:t>
            </w:r>
          </w:p>
        </w:tc>
        <w:tc>
          <w:tcPr>
            <w:tcW w:w="1046"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21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采购合同 项下的最 后付款到 期日三年</w:t>
            </w:r>
          </w:p>
        </w:tc>
        <w:tc>
          <w:tcPr>
            <w:tcW w:w="7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c>
          <w:tcPr>
            <w:tcW w:w="7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9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1026" w:hRule="exact"/>
        </w:trPr>
        <w:tc>
          <w:tcPr>
            <w:tcW w:w="1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15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爱施德（香港）有 限公司</w:t>
            </w:r>
          </w:p>
        </w:tc>
        <w:tc>
          <w:tcPr>
            <w:tcW w:w="9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30</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w:t>
            </w:r>
          </w:p>
        </w:tc>
        <w:tc>
          <w:tcPr>
            <w:tcW w:w="92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10"/>
              <w:jc w:val="right"/>
              <w:rPr>
                <w:rFonts w:ascii="华文细黑" w:hAnsi="华文细黑" w:cs="华文细黑" w:eastAsia="华文细黑" w:hint="default"/>
                <w:sz w:val="18"/>
                <w:szCs w:val="18"/>
              </w:rPr>
            </w:pPr>
            <w:r>
              <w:rPr>
                <w:rFonts w:ascii="华文细黑"/>
                <w:sz w:val="18"/>
              </w:rPr>
              <w:t>100,000</w:t>
            </w:r>
          </w:p>
        </w:tc>
        <w:tc>
          <w:tcPr>
            <w:tcW w:w="1305" w:type="dxa"/>
            <w:tcBorders>
              <w:top w:val="single" w:sz="4" w:space="0" w:color="FFC000"/>
              <w:left w:val="single" w:sz="4" w:space="0" w:color="FFC000"/>
              <w:bottom w:val="single" w:sz="4" w:space="0" w:color="FFC000"/>
              <w:right w:val="single" w:sz="4" w:space="0" w:color="FFC000"/>
            </w:tcBorders>
          </w:tcPr>
          <w:p>
            <w:pPr/>
          </w:p>
        </w:tc>
        <w:tc>
          <w:tcPr>
            <w:tcW w:w="1053" w:type="dxa"/>
            <w:tcBorders>
              <w:top w:val="single" w:sz="4" w:space="0" w:color="FFC000"/>
              <w:left w:val="single" w:sz="4" w:space="0" w:color="FFC000"/>
              <w:bottom w:val="single" w:sz="4" w:space="0" w:color="FFC000"/>
              <w:right w:val="single" w:sz="4" w:space="0" w:color="FFC000"/>
            </w:tcBorders>
          </w:tcPr>
          <w:p>
            <w:pPr/>
          </w:p>
        </w:tc>
        <w:tc>
          <w:tcPr>
            <w:tcW w:w="1045" w:type="dxa"/>
            <w:tcBorders>
              <w:top w:val="single" w:sz="4" w:space="0" w:color="FFC000"/>
              <w:left w:val="single" w:sz="4" w:space="0" w:color="FFC000"/>
              <w:bottom w:val="single" w:sz="4" w:space="0" w:color="FFC000"/>
              <w:right w:val="single" w:sz="4" w:space="0" w:color="FFC000"/>
            </w:tcBorders>
          </w:tcPr>
          <w:p>
            <w:pPr/>
          </w:p>
        </w:tc>
        <w:tc>
          <w:tcPr>
            <w:tcW w:w="1046" w:type="dxa"/>
            <w:tcBorders>
              <w:top w:val="single" w:sz="4" w:space="0" w:color="FFC000"/>
              <w:left w:val="single" w:sz="4" w:space="0" w:color="FFC000"/>
              <w:bottom w:val="single" w:sz="4" w:space="0" w:color="FFC000"/>
              <w:right w:val="single" w:sz="4" w:space="0" w:color="FFC000"/>
            </w:tcBorders>
          </w:tcPr>
          <w:p>
            <w:pPr/>
          </w:p>
        </w:tc>
        <w:tc>
          <w:tcPr>
            <w:tcW w:w="791" w:type="dxa"/>
            <w:tcBorders>
              <w:top w:val="single" w:sz="4" w:space="0" w:color="FFC000"/>
              <w:left w:val="single" w:sz="4" w:space="0" w:color="FFC000"/>
              <w:bottom w:val="single" w:sz="4" w:space="0" w:color="FFC000"/>
              <w:right w:val="single" w:sz="4" w:space="0" w:color="FFC000"/>
            </w:tcBorders>
          </w:tcPr>
          <w:p>
            <w:pPr/>
          </w:p>
        </w:tc>
        <w:tc>
          <w:tcPr>
            <w:tcW w:w="784" w:type="dxa"/>
            <w:tcBorders>
              <w:top w:val="single" w:sz="4" w:space="0" w:color="FFC000"/>
              <w:left w:val="single" w:sz="4" w:space="0" w:color="FFC000"/>
              <w:bottom w:val="single" w:sz="4" w:space="0" w:color="FFC000"/>
              <w:right w:val="single" w:sz="4" w:space="0" w:color="FFC000"/>
            </w:tcBorders>
          </w:tcPr>
          <w:p>
            <w:pPr/>
          </w:p>
        </w:tc>
      </w:tr>
      <w:tr>
        <w:trPr>
          <w:trHeight w:val="714" w:hRule="exact"/>
        </w:trPr>
        <w:tc>
          <w:tcPr>
            <w:tcW w:w="2630"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7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报告期内审批对子公司担保额 度合计（</w:t>
            </w:r>
            <w:r>
              <w:rPr>
                <w:rFonts w:ascii="华文细黑" w:hAnsi="华文细黑" w:cs="华文细黑" w:eastAsia="华文细黑" w:hint="default"/>
                <w:sz w:val="18"/>
                <w:szCs w:val="18"/>
              </w:rPr>
              <w:t>C1</w:t>
            </w:r>
            <w:r>
              <w:rPr>
                <w:rFonts w:ascii="华文细黑" w:hAnsi="华文细黑" w:cs="华文细黑" w:eastAsia="华文细黑" w:hint="default"/>
                <w:sz w:val="18"/>
                <w:szCs w:val="18"/>
              </w:rPr>
              <w:t>）</w:t>
            </w:r>
          </w:p>
        </w:tc>
        <w:tc>
          <w:tcPr>
            <w:tcW w:w="2226" w:type="dxa"/>
            <w:gridSpan w:val="2"/>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465" w:right="0"/>
              <w:jc w:val="left"/>
              <w:rPr>
                <w:rFonts w:ascii="华文细黑" w:hAnsi="华文细黑" w:cs="华文细黑" w:eastAsia="华文细黑" w:hint="default"/>
                <w:sz w:val="18"/>
                <w:szCs w:val="18"/>
              </w:rPr>
            </w:pPr>
            <w:r>
              <w:rPr>
                <w:rFonts w:ascii="华文细黑"/>
                <w:sz w:val="18"/>
              </w:rPr>
              <w:t>125,000</w:t>
            </w:r>
          </w:p>
        </w:tc>
        <w:tc>
          <w:tcPr>
            <w:tcW w:w="2098" w:type="dxa"/>
            <w:gridSpan w:val="2"/>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2" w:right="11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报告期内对子公司担保 实际发生额合计（</w:t>
            </w:r>
            <w:r>
              <w:rPr>
                <w:rFonts w:ascii="华文细黑" w:hAnsi="华文细黑" w:cs="华文细黑" w:eastAsia="华文细黑" w:hint="default"/>
                <w:sz w:val="18"/>
                <w:szCs w:val="18"/>
              </w:rPr>
              <w:t>C2</w:t>
            </w:r>
            <w:r>
              <w:rPr>
                <w:rFonts w:ascii="华文细黑" w:hAnsi="华文细黑" w:cs="华文细黑" w:eastAsia="华文细黑" w:hint="default"/>
                <w:sz w:val="18"/>
                <w:szCs w:val="18"/>
              </w:rPr>
              <w:t>）</w:t>
            </w:r>
          </w:p>
        </w:tc>
        <w:tc>
          <w:tcPr>
            <w:tcW w:w="2620"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25,000</w:t>
            </w:r>
          </w:p>
        </w:tc>
      </w:tr>
      <w:tr>
        <w:trPr>
          <w:trHeight w:val="714" w:hRule="exact"/>
        </w:trPr>
        <w:tc>
          <w:tcPr>
            <w:tcW w:w="2630"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7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报告期末已审批的对子公司担 保额度合计（</w:t>
            </w:r>
            <w:r>
              <w:rPr>
                <w:rFonts w:ascii="华文细黑" w:hAnsi="华文细黑" w:cs="华文细黑" w:eastAsia="华文细黑" w:hint="default"/>
                <w:sz w:val="18"/>
                <w:szCs w:val="18"/>
              </w:rPr>
              <w:t>C3</w:t>
            </w:r>
            <w:r>
              <w:rPr>
                <w:rFonts w:ascii="华文细黑" w:hAnsi="华文细黑" w:cs="华文细黑" w:eastAsia="华文细黑" w:hint="default"/>
                <w:sz w:val="18"/>
                <w:szCs w:val="18"/>
              </w:rPr>
              <w:t>）</w:t>
            </w:r>
          </w:p>
        </w:tc>
        <w:tc>
          <w:tcPr>
            <w:tcW w:w="2226" w:type="dxa"/>
            <w:gridSpan w:val="2"/>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465" w:right="0"/>
              <w:jc w:val="left"/>
              <w:rPr>
                <w:rFonts w:ascii="华文细黑" w:hAnsi="华文细黑" w:cs="华文细黑" w:eastAsia="华文细黑" w:hint="default"/>
                <w:sz w:val="18"/>
                <w:szCs w:val="18"/>
              </w:rPr>
            </w:pPr>
            <w:r>
              <w:rPr>
                <w:rFonts w:ascii="华文细黑"/>
                <w:sz w:val="18"/>
              </w:rPr>
              <w:t>125,000</w:t>
            </w:r>
          </w:p>
        </w:tc>
        <w:tc>
          <w:tcPr>
            <w:tcW w:w="2098" w:type="dxa"/>
            <w:gridSpan w:val="2"/>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2" w:right="185"/>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报告期末对子公司实际 担保余额合计（</w:t>
            </w:r>
            <w:r>
              <w:rPr>
                <w:rFonts w:ascii="华文细黑" w:hAnsi="华文细黑" w:cs="华文细黑" w:eastAsia="华文细黑" w:hint="default"/>
                <w:sz w:val="18"/>
                <w:szCs w:val="18"/>
              </w:rPr>
              <w:t>C4</w:t>
            </w:r>
            <w:r>
              <w:rPr>
                <w:rFonts w:ascii="华文细黑" w:hAnsi="华文细黑" w:cs="华文细黑" w:eastAsia="华文细黑" w:hint="default"/>
                <w:sz w:val="18"/>
                <w:szCs w:val="18"/>
              </w:rPr>
              <w:t>）</w:t>
            </w:r>
          </w:p>
        </w:tc>
        <w:tc>
          <w:tcPr>
            <w:tcW w:w="2620"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25,000</w:t>
            </w:r>
          </w:p>
        </w:tc>
      </w:tr>
      <w:tr>
        <w:trPr>
          <w:trHeight w:val="402" w:hRule="exact"/>
        </w:trPr>
        <w:tc>
          <w:tcPr>
            <w:tcW w:w="9574" w:type="dxa"/>
            <w:gridSpan w:val="9"/>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公司担保总额（即前三大项的合计）</w:t>
            </w:r>
          </w:p>
        </w:tc>
      </w:tr>
      <w:tr>
        <w:trPr>
          <w:trHeight w:val="714" w:hRule="exact"/>
        </w:trPr>
        <w:tc>
          <w:tcPr>
            <w:tcW w:w="2630"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报告期内审批担保额度合计</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A1+B1+C1</w:t>
            </w:r>
            <w:r>
              <w:rPr>
                <w:rFonts w:ascii="华文细黑" w:hAnsi="华文细黑" w:cs="华文细黑" w:eastAsia="华文细黑" w:hint="default"/>
                <w:sz w:val="18"/>
                <w:szCs w:val="18"/>
              </w:rPr>
              <w:t>）</w:t>
            </w:r>
          </w:p>
        </w:tc>
        <w:tc>
          <w:tcPr>
            <w:tcW w:w="2226" w:type="dxa"/>
            <w:gridSpan w:val="2"/>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465" w:right="0"/>
              <w:jc w:val="left"/>
              <w:rPr>
                <w:rFonts w:ascii="华文细黑" w:hAnsi="华文细黑" w:cs="华文细黑" w:eastAsia="华文细黑" w:hint="default"/>
                <w:sz w:val="18"/>
                <w:szCs w:val="18"/>
              </w:rPr>
            </w:pPr>
            <w:r>
              <w:rPr>
                <w:rFonts w:ascii="华文细黑"/>
                <w:sz w:val="18"/>
              </w:rPr>
              <w:t>706,000</w:t>
            </w:r>
          </w:p>
        </w:tc>
        <w:tc>
          <w:tcPr>
            <w:tcW w:w="2098" w:type="dxa"/>
            <w:gridSpan w:val="2"/>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2" w:right="185"/>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报告期内担保实际发生 额合计（</w:t>
            </w:r>
            <w:r>
              <w:rPr>
                <w:rFonts w:ascii="华文细黑" w:hAnsi="华文细黑" w:cs="华文细黑" w:eastAsia="华文细黑" w:hint="default"/>
                <w:sz w:val="18"/>
                <w:szCs w:val="18"/>
              </w:rPr>
              <w:t>A2+B2+C2</w:t>
            </w:r>
            <w:r>
              <w:rPr>
                <w:rFonts w:ascii="华文细黑" w:hAnsi="华文细黑" w:cs="华文细黑" w:eastAsia="华文细黑" w:hint="default"/>
                <w:sz w:val="18"/>
                <w:szCs w:val="18"/>
              </w:rPr>
              <w:t>）</w:t>
            </w:r>
          </w:p>
        </w:tc>
        <w:tc>
          <w:tcPr>
            <w:tcW w:w="2620"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609" w:right="0"/>
              <w:jc w:val="left"/>
              <w:rPr>
                <w:rFonts w:ascii="华文细黑" w:hAnsi="华文细黑" w:cs="华文细黑" w:eastAsia="华文细黑" w:hint="default"/>
                <w:sz w:val="18"/>
                <w:szCs w:val="18"/>
              </w:rPr>
            </w:pPr>
            <w:r>
              <w:rPr>
                <w:rFonts w:ascii="华文细黑"/>
                <w:sz w:val="18"/>
              </w:rPr>
              <w:t>228,293.88</w:t>
            </w:r>
          </w:p>
        </w:tc>
      </w:tr>
      <w:tr>
        <w:trPr>
          <w:trHeight w:val="714" w:hRule="exact"/>
        </w:trPr>
        <w:tc>
          <w:tcPr>
            <w:tcW w:w="2630"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7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报告期末已审批的担保额度合 计（</w:t>
            </w:r>
            <w:r>
              <w:rPr>
                <w:rFonts w:ascii="华文细黑" w:hAnsi="华文细黑" w:cs="华文细黑" w:eastAsia="华文细黑" w:hint="default"/>
                <w:sz w:val="18"/>
                <w:szCs w:val="18"/>
              </w:rPr>
              <w:t>A3+B3+C3</w:t>
            </w:r>
            <w:r>
              <w:rPr>
                <w:rFonts w:ascii="华文细黑" w:hAnsi="华文细黑" w:cs="华文细黑" w:eastAsia="华文细黑" w:hint="default"/>
                <w:sz w:val="18"/>
                <w:szCs w:val="18"/>
              </w:rPr>
              <w:t>）</w:t>
            </w:r>
          </w:p>
        </w:tc>
        <w:tc>
          <w:tcPr>
            <w:tcW w:w="2226" w:type="dxa"/>
            <w:gridSpan w:val="2"/>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465" w:right="0"/>
              <w:jc w:val="left"/>
              <w:rPr>
                <w:rFonts w:ascii="华文细黑" w:hAnsi="华文细黑" w:cs="华文细黑" w:eastAsia="华文细黑" w:hint="default"/>
                <w:sz w:val="18"/>
                <w:szCs w:val="18"/>
              </w:rPr>
            </w:pPr>
            <w:r>
              <w:rPr>
                <w:rFonts w:ascii="华文细黑"/>
                <w:sz w:val="18"/>
              </w:rPr>
              <w:t>706,000</w:t>
            </w:r>
          </w:p>
        </w:tc>
        <w:tc>
          <w:tcPr>
            <w:tcW w:w="2098" w:type="dxa"/>
            <w:gridSpan w:val="2"/>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2" w:right="185"/>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报告期末实际担保余额 合计（</w:t>
            </w:r>
            <w:r>
              <w:rPr>
                <w:rFonts w:ascii="华文细黑" w:hAnsi="华文细黑" w:cs="华文细黑" w:eastAsia="华文细黑" w:hint="default"/>
                <w:sz w:val="18"/>
                <w:szCs w:val="18"/>
              </w:rPr>
              <w:t>A4+B4+C4</w:t>
            </w:r>
            <w:r>
              <w:rPr>
                <w:rFonts w:ascii="华文细黑" w:hAnsi="华文细黑" w:cs="华文细黑" w:eastAsia="华文细黑" w:hint="default"/>
                <w:sz w:val="18"/>
                <w:szCs w:val="18"/>
              </w:rPr>
              <w:t>）</w:t>
            </w:r>
          </w:p>
        </w:tc>
        <w:tc>
          <w:tcPr>
            <w:tcW w:w="2620"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609" w:right="0"/>
              <w:jc w:val="left"/>
              <w:rPr>
                <w:rFonts w:ascii="华文细黑" w:hAnsi="华文细黑" w:cs="华文细黑" w:eastAsia="华文细黑" w:hint="default"/>
                <w:sz w:val="18"/>
                <w:szCs w:val="18"/>
              </w:rPr>
            </w:pPr>
            <w:r>
              <w:rPr>
                <w:rFonts w:ascii="华文细黑"/>
                <w:sz w:val="18"/>
              </w:rPr>
              <w:t>228,293.88</w:t>
            </w:r>
          </w:p>
        </w:tc>
      </w:tr>
      <w:tr>
        <w:trPr>
          <w:trHeight w:val="407" w:hRule="exact"/>
        </w:trPr>
        <w:tc>
          <w:tcPr>
            <w:tcW w:w="4856" w:type="dxa"/>
            <w:gridSpan w:val="4"/>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实际担保总额（即</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A4+B4+C4</w:t>
            </w:r>
            <w:r>
              <w:rPr>
                <w:rFonts w:ascii="华文细黑" w:hAnsi="华文细黑" w:cs="华文细黑" w:eastAsia="华文细黑" w:hint="default"/>
                <w:sz w:val="18"/>
                <w:szCs w:val="18"/>
              </w:rPr>
              <w:t>）占公司净资产的比例</w:t>
            </w:r>
          </w:p>
        </w:tc>
        <w:tc>
          <w:tcPr>
            <w:tcW w:w="4718" w:type="dxa"/>
            <w:gridSpan w:val="5"/>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w w:val="95"/>
                <w:sz w:val="18"/>
              </w:rPr>
              <w:t>46.38%</w:t>
            </w:r>
          </w:p>
        </w:tc>
      </w:tr>
      <w:tr>
        <w:trPr>
          <w:trHeight w:val="392" w:hRule="exact"/>
        </w:trPr>
        <w:tc>
          <w:tcPr>
            <w:tcW w:w="9574" w:type="dxa"/>
            <w:gridSpan w:val="9"/>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w:t>
            </w:r>
          </w:p>
        </w:tc>
      </w:tr>
      <w:tr>
        <w:trPr>
          <w:trHeight w:val="719" w:hRule="exact"/>
        </w:trPr>
        <w:tc>
          <w:tcPr>
            <w:tcW w:w="4856" w:type="dxa"/>
            <w:gridSpan w:val="4"/>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5"/>
              <w:ind w:left="103" w:right="216"/>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直接或间接为资产负债率超过</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70%</w:t>
            </w:r>
            <w:r>
              <w:rPr>
                <w:rFonts w:ascii="华文细黑" w:hAnsi="华文细黑" w:cs="华文细黑" w:eastAsia="华文细黑" w:hint="default"/>
                <w:sz w:val="18"/>
                <w:szCs w:val="18"/>
              </w:rPr>
              <w:t>的被担保对象提供的债 务担保余额（</w:t>
            </w:r>
            <w:r>
              <w:rPr>
                <w:rFonts w:ascii="华文细黑" w:hAnsi="华文细黑" w:cs="华文细黑" w:eastAsia="华文细黑" w:hint="default"/>
                <w:sz w:val="18"/>
                <w:szCs w:val="18"/>
              </w:rPr>
              <w:t>E</w:t>
            </w:r>
            <w:r>
              <w:rPr>
                <w:rFonts w:ascii="华文细黑" w:hAnsi="华文细黑" w:cs="华文细黑" w:eastAsia="华文细黑" w:hint="default"/>
                <w:sz w:val="18"/>
                <w:szCs w:val="18"/>
              </w:rPr>
              <w:t>）</w:t>
            </w:r>
          </w:p>
        </w:tc>
        <w:tc>
          <w:tcPr>
            <w:tcW w:w="4718" w:type="dxa"/>
            <w:gridSpan w:val="5"/>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50,293.88</w:t>
            </w:r>
          </w:p>
        </w:tc>
      </w:tr>
      <w:tr>
        <w:trPr>
          <w:trHeight w:val="402" w:hRule="exact"/>
        </w:trPr>
        <w:tc>
          <w:tcPr>
            <w:tcW w:w="4856" w:type="dxa"/>
            <w:gridSpan w:val="4"/>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上述三项担保金额合计（</w:t>
            </w:r>
            <w:r>
              <w:rPr>
                <w:rFonts w:ascii="华文细黑" w:hAnsi="华文细黑" w:cs="华文细黑" w:eastAsia="华文细黑" w:hint="default"/>
                <w:sz w:val="18"/>
                <w:szCs w:val="18"/>
              </w:rPr>
              <w:t>D+E+F</w:t>
            </w:r>
            <w:r>
              <w:rPr>
                <w:rFonts w:ascii="华文细黑" w:hAnsi="华文细黑" w:cs="华文细黑" w:eastAsia="华文细黑" w:hint="default"/>
                <w:sz w:val="18"/>
                <w:szCs w:val="18"/>
              </w:rPr>
              <w:t>）</w:t>
            </w:r>
          </w:p>
        </w:tc>
        <w:tc>
          <w:tcPr>
            <w:tcW w:w="4718" w:type="dxa"/>
            <w:gridSpan w:val="5"/>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50,293.88</w:t>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900" w:right="0"/>
        </w:sectPr>
      </w:pPr>
    </w:p>
    <w:p>
      <w:pPr>
        <w:spacing w:line="240" w:lineRule="auto" w:before="9"/>
        <w:rPr>
          <w:rFonts w:ascii="Times New Roman" w:hAnsi="Times New Roman" w:cs="Times New Roman" w:eastAsia="Times New Roman" w:hint="default"/>
          <w:sz w:val="25"/>
          <w:szCs w:val="25"/>
        </w:rPr>
      </w:pPr>
    </w:p>
    <w:p>
      <w:pPr>
        <w:pStyle w:val="Heading5"/>
        <w:spacing w:line="240" w:lineRule="auto"/>
        <w:ind w:right="1023"/>
        <w:jc w:val="left"/>
        <w:rPr>
          <w:b w:val="0"/>
          <w:bCs w:val="0"/>
        </w:rPr>
      </w:pPr>
      <w:bookmarkStart w:name="2）违规对外担保情况" w:id="121"/>
      <w:bookmarkEnd w:id="121"/>
      <w:r>
        <w:rPr>
          <w:b w:val="0"/>
          <w:bCs w:val="0"/>
        </w:rPr>
      </w:r>
      <w:r>
        <w:rPr>
          <w:rFonts w:ascii="华文细黑" w:hAnsi="华文细黑" w:cs="华文细黑" w:eastAsia="华文细黑" w:hint="default"/>
        </w:rPr>
        <w:t>2</w:t>
      </w:r>
      <w:r>
        <w:rPr/>
        <w:t>）违规对外担保情况</w:t>
      </w:r>
      <w:r>
        <w:rPr>
          <w:b w:val="0"/>
          <w:bCs w:val="0"/>
        </w:rPr>
      </w:r>
    </w:p>
    <w:p>
      <w:pPr>
        <w:spacing w:line="240" w:lineRule="auto" w:before="13"/>
        <w:rPr>
          <w:rFonts w:ascii="华文细黑" w:hAnsi="华文细黑" w:cs="华文细黑" w:eastAsia="华文细黑" w:hint="default"/>
          <w:b/>
          <w:bCs/>
          <w:sz w:val="27"/>
          <w:szCs w:val="27"/>
        </w:rPr>
      </w:pPr>
    </w:p>
    <w:p>
      <w:pPr>
        <w:pStyle w:val="BodyText"/>
        <w:spacing w:line="410" w:lineRule="auto"/>
        <w:ind w:left="234" w:right="6132"/>
        <w:jc w:val="left"/>
      </w:pPr>
      <w:r>
        <w:rPr/>
        <w:t>□ 适用 √</w:t>
      </w:r>
      <w:r>
        <w:rPr>
          <w:spacing w:val="51"/>
        </w:rPr>
        <w:t> </w:t>
      </w:r>
      <w:r>
        <w:rPr/>
        <w:t>不适用</w:t>
      </w:r>
      <w:r>
        <w:rPr/>
        <w:t> 公司报告期无违规对外担保情况。</w:t>
      </w:r>
    </w:p>
    <w:p>
      <w:pPr>
        <w:spacing w:line="240" w:lineRule="auto" w:before="7"/>
        <w:rPr>
          <w:rFonts w:ascii="华文细黑" w:hAnsi="华文细黑" w:cs="华文细黑" w:eastAsia="华文细黑" w:hint="default"/>
          <w:sz w:val="16"/>
          <w:szCs w:val="16"/>
        </w:rPr>
      </w:pPr>
    </w:p>
    <w:p>
      <w:pPr>
        <w:pStyle w:val="Heading5"/>
        <w:spacing w:line="240" w:lineRule="auto" w:before="0"/>
        <w:ind w:right="1023"/>
        <w:jc w:val="left"/>
        <w:rPr>
          <w:b w:val="0"/>
          <w:bCs w:val="0"/>
        </w:rPr>
      </w:pPr>
      <w:bookmarkStart w:name="3、委托他人进行现金资产管理情况" w:id="122"/>
      <w:bookmarkEnd w:id="122"/>
      <w:r>
        <w:rPr>
          <w:b w:val="0"/>
          <w:bCs w:val="0"/>
        </w:rPr>
      </w:r>
      <w:r>
        <w:rPr>
          <w:rFonts w:ascii="华文细黑" w:hAnsi="华文细黑" w:cs="华文细黑" w:eastAsia="华文细黑" w:hint="default"/>
        </w:rPr>
        <w:t>3</w:t>
      </w:r>
      <w:r>
        <w:rPr/>
        <w:t>、委托他人进行现金资产管理情况</w:t>
      </w:r>
      <w:r>
        <w:rPr>
          <w:b w:val="0"/>
          <w:bCs w:val="0"/>
        </w:rPr>
      </w:r>
    </w:p>
    <w:p>
      <w:pPr>
        <w:spacing w:line="240" w:lineRule="auto" w:before="6"/>
        <w:rPr>
          <w:rFonts w:ascii="华文细黑" w:hAnsi="华文细黑" w:cs="华文细黑" w:eastAsia="华文细黑" w:hint="default"/>
          <w:b/>
          <w:bCs/>
          <w:sz w:val="22"/>
          <w:szCs w:val="22"/>
        </w:rPr>
      </w:pPr>
    </w:p>
    <w:p>
      <w:pPr>
        <w:spacing w:before="0"/>
        <w:ind w:left="234" w:right="1023" w:firstLine="0"/>
        <w:jc w:val="left"/>
        <w:rPr>
          <w:rFonts w:ascii="华文细黑" w:hAnsi="华文细黑" w:cs="华文细黑" w:eastAsia="华文细黑" w:hint="default"/>
          <w:sz w:val="21"/>
          <w:szCs w:val="21"/>
        </w:rPr>
      </w:pPr>
      <w:bookmarkStart w:name="（1）委托理财情况" w:id="123"/>
      <w:bookmarkEnd w:id="123"/>
      <w:r>
        <w:rPr/>
      </w:r>
      <w:r>
        <w:rPr>
          <w:rFonts w:ascii="华文细黑" w:hAnsi="华文细黑" w:cs="华文细黑" w:eastAsia="华文细黑" w:hint="default"/>
          <w:b/>
          <w:bCs/>
          <w:sz w:val="21"/>
          <w:szCs w:val="21"/>
        </w:rPr>
        <w:t>（</w:t>
      </w:r>
      <w:r>
        <w:rPr>
          <w:rFonts w:ascii="华文细黑" w:hAnsi="华文细黑" w:cs="华文细黑" w:eastAsia="华文细黑" w:hint="default"/>
          <w:b/>
          <w:bCs/>
          <w:sz w:val="21"/>
          <w:szCs w:val="21"/>
        </w:rPr>
        <w:t>1</w:t>
      </w:r>
      <w:r>
        <w:rPr>
          <w:rFonts w:ascii="华文细黑" w:hAnsi="华文细黑" w:cs="华文细黑" w:eastAsia="华文细黑" w:hint="default"/>
          <w:b/>
          <w:bCs/>
          <w:sz w:val="21"/>
          <w:szCs w:val="21"/>
        </w:rPr>
        <w:t>）委托理财情况</w:t>
      </w:r>
      <w:r>
        <w:rPr>
          <w:rFonts w:ascii="华文细黑" w:hAnsi="华文细黑" w:cs="华文细黑" w:eastAsia="华文细黑" w:hint="default"/>
          <w:sz w:val="21"/>
          <w:szCs w:val="21"/>
        </w:rPr>
      </w:r>
    </w:p>
    <w:p>
      <w:pPr>
        <w:spacing w:line="240" w:lineRule="auto" w:before="1"/>
        <w:rPr>
          <w:rFonts w:ascii="华文细黑" w:hAnsi="华文细黑" w:cs="华文细黑" w:eastAsia="华文细黑" w:hint="default"/>
          <w:b/>
          <w:bCs/>
          <w:sz w:val="28"/>
          <w:szCs w:val="28"/>
        </w:rPr>
      </w:pPr>
    </w:p>
    <w:p>
      <w:pPr>
        <w:pStyle w:val="BodyText"/>
        <w:spacing w:line="410" w:lineRule="auto"/>
        <w:ind w:left="234" w:right="8652"/>
        <w:jc w:val="left"/>
      </w:pPr>
      <w:r>
        <w:rPr/>
        <w:t>√ 适用 □</w:t>
      </w:r>
      <w:r>
        <w:rPr>
          <w:spacing w:val="51"/>
        </w:rPr>
        <w:t> </w:t>
      </w:r>
      <w:r>
        <w:rPr/>
        <w:t>不适用</w:t>
      </w:r>
      <w:r>
        <w:rPr/>
        <w:t> 报告期内委托理财概况</w:t>
      </w:r>
    </w:p>
    <w:p>
      <w:pPr>
        <w:spacing w:line="253" w:lineRule="exact" w:before="0"/>
        <w:ind w:left="0" w:right="1130" w:firstLine="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单位：万元</w:t>
      </w:r>
    </w:p>
    <w:p>
      <w:pPr>
        <w:spacing w:line="240" w:lineRule="auto" w:before="13"/>
        <w:rPr>
          <w:rFonts w:ascii="华文细黑" w:hAnsi="华文细黑" w:cs="华文细黑" w:eastAsia="华文细黑" w:hint="default"/>
          <w:sz w:val="6"/>
          <w:szCs w:val="6"/>
        </w:rPr>
      </w:pPr>
    </w:p>
    <w:tbl>
      <w:tblPr>
        <w:tblW w:w="0" w:type="auto"/>
        <w:jc w:val="left"/>
        <w:tblInd w:w="117" w:type="dxa"/>
        <w:tblLayout w:type="fixed"/>
        <w:tblCellMar>
          <w:top w:w="0" w:type="dxa"/>
          <w:left w:w="0" w:type="dxa"/>
          <w:bottom w:w="0" w:type="dxa"/>
          <w:right w:w="0" w:type="dxa"/>
        </w:tblCellMar>
        <w:tblLook w:val="01E0"/>
      </w:tblPr>
      <w:tblGrid>
        <w:gridCol w:w="1868"/>
        <w:gridCol w:w="1962"/>
        <w:gridCol w:w="1982"/>
        <w:gridCol w:w="1910"/>
        <w:gridCol w:w="1847"/>
      </w:tblGrid>
      <w:tr>
        <w:trPr>
          <w:trHeight w:val="402" w:hRule="exact"/>
        </w:trPr>
        <w:tc>
          <w:tcPr>
            <w:tcW w:w="18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56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具体类型</w:t>
            </w:r>
          </w:p>
        </w:tc>
        <w:tc>
          <w:tcPr>
            <w:tcW w:w="19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6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委托理财的资金来源</w:t>
            </w:r>
          </w:p>
        </w:tc>
        <w:tc>
          <w:tcPr>
            <w:tcW w:w="198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35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委托理财发生额</w:t>
            </w:r>
          </w:p>
        </w:tc>
        <w:tc>
          <w:tcPr>
            <w:tcW w:w="19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49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未到期余额</w:t>
            </w:r>
          </w:p>
        </w:tc>
        <w:tc>
          <w:tcPr>
            <w:tcW w:w="18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9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逾期未收回的金额</w:t>
            </w:r>
          </w:p>
        </w:tc>
      </w:tr>
      <w:tr>
        <w:trPr>
          <w:trHeight w:val="402" w:hRule="exact"/>
        </w:trPr>
        <w:tc>
          <w:tcPr>
            <w:tcW w:w="18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银行理财产品</w:t>
            </w:r>
          </w:p>
        </w:tc>
        <w:tc>
          <w:tcPr>
            <w:tcW w:w="19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自有资金</w:t>
            </w:r>
          </w:p>
        </w:tc>
        <w:tc>
          <w:tcPr>
            <w:tcW w:w="198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416,300</w:t>
            </w:r>
          </w:p>
        </w:tc>
        <w:tc>
          <w:tcPr>
            <w:tcW w:w="19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35,000</w:t>
            </w:r>
          </w:p>
        </w:tc>
        <w:tc>
          <w:tcPr>
            <w:tcW w:w="18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r>
      <w:tr>
        <w:trPr>
          <w:trHeight w:val="402" w:hRule="exact"/>
        </w:trPr>
        <w:tc>
          <w:tcPr>
            <w:tcW w:w="3830"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合计</w:t>
            </w:r>
          </w:p>
        </w:tc>
        <w:tc>
          <w:tcPr>
            <w:tcW w:w="198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416,300</w:t>
            </w:r>
          </w:p>
        </w:tc>
        <w:tc>
          <w:tcPr>
            <w:tcW w:w="19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35,000</w:t>
            </w:r>
          </w:p>
        </w:tc>
        <w:tc>
          <w:tcPr>
            <w:tcW w:w="18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r>
    </w:tbl>
    <w:p>
      <w:pPr>
        <w:spacing w:line="240" w:lineRule="auto" w:before="11"/>
        <w:rPr>
          <w:rFonts w:ascii="华文细黑" w:hAnsi="华文细黑" w:cs="华文细黑" w:eastAsia="华文细黑" w:hint="default"/>
          <w:sz w:val="5"/>
          <w:szCs w:val="5"/>
        </w:rPr>
      </w:pPr>
    </w:p>
    <w:p>
      <w:pPr>
        <w:pStyle w:val="BodyText"/>
        <w:spacing w:line="240" w:lineRule="auto" w:before="10"/>
        <w:ind w:left="234" w:right="1023"/>
        <w:jc w:val="left"/>
      </w:pPr>
      <w:r>
        <w:rPr/>
        <w:t>单项金额重大或安全性较低、流动性较差、不保本的高风险委托理财具体情况</w:t>
      </w:r>
    </w:p>
    <w:p>
      <w:pPr>
        <w:spacing w:line="240" w:lineRule="auto" w:before="0"/>
        <w:rPr>
          <w:rFonts w:ascii="华文细黑" w:hAnsi="华文细黑" w:cs="华文细黑" w:eastAsia="华文细黑" w:hint="default"/>
          <w:sz w:val="15"/>
          <w:szCs w:val="15"/>
        </w:rPr>
      </w:pPr>
    </w:p>
    <w:p>
      <w:pPr>
        <w:pStyle w:val="BodyText"/>
        <w:spacing w:line="410" w:lineRule="auto"/>
        <w:ind w:left="234" w:right="4872"/>
        <w:jc w:val="left"/>
      </w:pPr>
      <w:r>
        <w:rPr/>
        <w:t>□ 适用 √</w:t>
      </w:r>
      <w:r>
        <w:rPr>
          <w:spacing w:val="51"/>
        </w:rPr>
        <w:t> </w:t>
      </w:r>
      <w:r>
        <w:rPr/>
        <w:t>不适用</w:t>
      </w:r>
      <w:r>
        <w:rPr/>
        <w:t> 委托理财出现预期无法收回本金或存在其他可能导致减值的情形</w:t>
      </w:r>
    </w:p>
    <w:p>
      <w:pPr>
        <w:pStyle w:val="BodyText"/>
        <w:spacing w:line="240" w:lineRule="auto" w:before="50"/>
        <w:ind w:left="234" w:right="1023"/>
        <w:jc w:val="left"/>
      </w:pPr>
      <w:r>
        <w:rPr/>
        <w:t>□  适用  √</w:t>
      </w:r>
      <w:r>
        <w:rPr>
          <w:spacing w:val="51"/>
        </w:rPr>
        <w:t> </w:t>
      </w:r>
      <w:r>
        <w:rPr/>
        <w:t>不适用</w:t>
      </w:r>
    </w:p>
    <w:p>
      <w:pPr>
        <w:spacing w:line="240" w:lineRule="auto" w:before="12"/>
        <w:rPr>
          <w:rFonts w:ascii="华文细黑" w:hAnsi="华文细黑" w:cs="华文细黑" w:eastAsia="华文细黑" w:hint="default"/>
          <w:sz w:val="27"/>
          <w:szCs w:val="27"/>
        </w:rPr>
      </w:pPr>
    </w:p>
    <w:p>
      <w:pPr>
        <w:pStyle w:val="Heading5"/>
        <w:spacing w:line="240" w:lineRule="auto" w:before="0"/>
        <w:ind w:right="1023"/>
        <w:jc w:val="left"/>
        <w:rPr>
          <w:b w:val="0"/>
          <w:bCs w:val="0"/>
        </w:rPr>
      </w:pPr>
      <w:bookmarkStart w:name="（2）委托贷款情况" w:id="124"/>
      <w:bookmarkEnd w:id="124"/>
      <w:r>
        <w:rPr>
          <w:b w:val="0"/>
          <w:bCs w:val="0"/>
        </w:rPr>
      </w:r>
      <w:r>
        <w:rPr/>
        <w:t>（</w:t>
      </w:r>
      <w:r>
        <w:rPr>
          <w:rFonts w:ascii="华文细黑" w:hAnsi="华文细黑" w:cs="华文细黑" w:eastAsia="华文细黑" w:hint="default"/>
        </w:rPr>
        <w:t>2</w:t>
      </w:r>
      <w:r>
        <w:rPr/>
        <w:t>）委托贷款情况</w:t>
      </w:r>
      <w:r>
        <w:rPr>
          <w:b w:val="0"/>
          <w:bCs w:val="0"/>
        </w:rPr>
      </w:r>
    </w:p>
    <w:p>
      <w:pPr>
        <w:spacing w:line="240" w:lineRule="auto" w:before="13"/>
        <w:rPr>
          <w:rFonts w:ascii="华文细黑" w:hAnsi="华文细黑" w:cs="华文细黑" w:eastAsia="华文细黑" w:hint="default"/>
          <w:b/>
          <w:bCs/>
          <w:sz w:val="27"/>
          <w:szCs w:val="27"/>
        </w:rPr>
      </w:pPr>
    </w:p>
    <w:p>
      <w:pPr>
        <w:pStyle w:val="BodyText"/>
        <w:spacing w:line="412" w:lineRule="auto"/>
        <w:ind w:left="234" w:right="8022"/>
        <w:jc w:val="left"/>
      </w:pPr>
      <w:r>
        <w:rPr/>
        <w:t>□ 适用 √</w:t>
      </w:r>
      <w:r>
        <w:rPr>
          <w:spacing w:val="51"/>
        </w:rPr>
        <w:t> </w:t>
      </w:r>
      <w:r>
        <w:rPr/>
        <w:t>不适用</w:t>
      </w:r>
      <w:r>
        <w:rPr/>
        <w:t> 公司报告期不存在委托贷款。</w:t>
      </w:r>
    </w:p>
    <w:p>
      <w:pPr>
        <w:spacing w:line="240" w:lineRule="auto" w:before="3"/>
        <w:rPr>
          <w:rFonts w:ascii="华文细黑" w:hAnsi="华文细黑" w:cs="华文细黑" w:eastAsia="华文细黑" w:hint="default"/>
          <w:sz w:val="16"/>
          <w:szCs w:val="16"/>
        </w:rPr>
      </w:pPr>
    </w:p>
    <w:p>
      <w:pPr>
        <w:pStyle w:val="Heading5"/>
        <w:spacing w:line="240" w:lineRule="auto" w:before="0"/>
        <w:ind w:right="1023"/>
        <w:jc w:val="left"/>
        <w:rPr>
          <w:b w:val="0"/>
          <w:bCs w:val="0"/>
        </w:rPr>
      </w:pPr>
      <w:bookmarkStart w:name="4、其他重大合同" w:id="125"/>
      <w:bookmarkEnd w:id="125"/>
      <w:r>
        <w:rPr>
          <w:b w:val="0"/>
          <w:bCs w:val="0"/>
        </w:rPr>
      </w:r>
      <w:r>
        <w:rPr>
          <w:rFonts w:ascii="华文细黑" w:hAnsi="华文细黑" w:cs="华文细黑" w:eastAsia="华文细黑" w:hint="default"/>
        </w:rPr>
        <w:t>4</w:t>
      </w:r>
      <w:r>
        <w:rPr/>
        <w:t>、其他重大合同</w:t>
      </w:r>
      <w:r>
        <w:rPr>
          <w:b w:val="0"/>
          <w:bCs w:val="0"/>
        </w:rPr>
      </w:r>
    </w:p>
    <w:p>
      <w:pPr>
        <w:spacing w:line="240" w:lineRule="auto" w:before="1"/>
        <w:rPr>
          <w:rFonts w:ascii="华文细黑" w:hAnsi="华文细黑" w:cs="华文细黑" w:eastAsia="华文细黑" w:hint="default"/>
          <w:b/>
          <w:bCs/>
          <w:sz w:val="28"/>
          <w:szCs w:val="28"/>
        </w:rPr>
      </w:pPr>
    </w:p>
    <w:p>
      <w:pPr>
        <w:pStyle w:val="BodyText"/>
        <w:spacing w:line="410" w:lineRule="auto"/>
        <w:ind w:left="234" w:right="7602"/>
        <w:jc w:val="left"/>
      </w:pPr>
      <w:r>
        <w:rPr/>
        <w:t>□ 适用 √</w:t>
      </w:r>
      <w:r>
        <w:rPr>
          <w:spacing w:val="51"/>
        </w:rPr>
        <w:t> </w:t>
      </w:r>
      <w:r>
        <w:rPr/>
        <w:t>不适用</w:t>
      </w:r>
      <w:r>
        <w:rPr/>
        <w:t> 公司报告期不存在其他重大合同。</w:t>
      </w:r>
    </w:p>
    <w:p>
      <w:pPr>
        <w:spacing w:line="240" w:lineRule="auto" w:before="13"/>
        <w:rPr>
          <w:rFonts w:ascii="华文细黑" w:hAnsi="华文细黑" w:cs="华文细黑" w:eastAsia="华文细黑" w:hint="default"/>
          <w:sz w:val="21"/>
          <w:szCs w:val="21"/>
        </w:rPr>
      </w:pPr>
    </w:p>
    <w:p>
      <w:pPr>
        <w:pStyle w:val="Heading2"/>
        <w:spacing w:line="240" w:lineRule="auto"/>
        <w:ind w:right="1023"/>
        <w:jc w:val="left"/>
        <w:rPr>
          <w:b w:val="0"/>
          <w:bCs w:val="0"/>
        </w:rPr>
      </w:pPr>
      <w:bookmarkStart w:name="十八、社会责任情况" w:id="126"/>
      <w:bookmarkEnd w:id="126"/>
      <w:r>
        <w:rPr>
          <w:b w:val="0"/>
          <w:bCs w:val="0"/>
        </w:rPr>
      </w:r>
      <w:r>
        <w:rPr/>
        <w:t>十八、社会责任情况</w:t>
      </w:r>
      <w:r>
        <w:rPr>
          <w:b w:val="0"/>
          <w:bCs w:val="0"/>
        </w:rPr>
      </w:r>
    </w:p>
    <w:p>
      <w:pPr>
        <w:spacing w:line="240" w:lineRule="auto" w:before="1"/>
        <w:rPr>
          <w:rFonts w:ascii="华文细黑" w:hAnsi="华文细黑" w:cs="华文细黑" w:eastAsia="华文细黑" w:hint="default"/>
          <w:b/>
          <w:bCs/>
          <w:sz w:val="30"/>
          <w:szCs w:val="30"/>
        </w:rPr>
      </w:pPr>
    </w:p>
    <w:p>
      <w:pPr>
        <w:pStyle w:val="BodyText"/>
        <w:spacing w:line="559" w:lineRule="auto"/>
        <w:ind w:left="234" w:right="1023"/>
        <w:jc w:val="left"/>
      </w:pPr>
      <w:bookmarkStart w:name="1、履行社会责任情况" w:id="127"/>
      <w:bookmarkEnd w:id="127"/>
      <w:r>
        <w:rPr/>
      </w:r>
      <w:r>
        <w:rPr>
          <w:rFonts w:ascii="华文细黑" w:hAnsi="华文细黑" w:cs="华文细黑" w:eastAsia="华文细黑" w:hint="default"/>
          <w:b/>
          <w:bCs/>
        </w:rPr>
        <w:t>1</w:t>
      </w:r>
      <w:r>
        <w:rPr>
          <w:rFonts w:ascii="华文细黑" w:hAnsi="华文细黑" w:cs="华文细黑" w:eastAsia="华文细黑" w:hint="default"/>
          <w:b/>
          <w:bCs/>
        </w:rPr>
        <w:t>、履行社会责任情况</w:t>
      </w:r>
      <w:r>
        <w:rPr>
          <w:rFonts w:ascii="华文细黑" w:hAnsi="华文细黑" w:cs="华文细黑" w:eastAsia="华文细黑" w:hint="default"/>
          <w:b/>
          <w:bCs/>
          <w:w w:val="99"/>
        </w:rPr>
        <w:t> </w:t>
      </w:r>
      <w:r>
        <w:rPr>
          <w:spacing w:val="-1"/>
        </w:rPr>
        <w:t>公司自上市以来，始终重视履行上市公司社会责任，在实现股东利益最大的同时，积极响应国家政策的要</w:t>
      </w:r>
    </w:p>
    <w:p>
      <w:pPr>
        <w:spacing w:after="0" w:line="559" w:lineRule="auto"/>
        <w:jc w:val="left"/>
        <w:sectPr>
          <w:pgSz w:w="11910" w:h="16840"/>
          <w:pgMar w:header="917" w:footer="1019" w:top="1100" w:bottom="1200" w:left="900" w:right="0"/>
        </w:sectPr>
      </w:pPr>
    </w:p>
    <w:p>
      <w:pPr>
        <w:spacing w:line="240" w:lineRule="auto" w:before="7"/>
        <w:rPr>
          <w:rFonts w:ascii="华文细黑" w:hAnsi="华文细黑" w:cs="华文细黑" w:eastAsia="华文细黑" w:hint="default"/>
          <w:sz w:val="26"/>
          <w:szCs w:val="26"/>
        </w:rPr>
      </w:pPr>
    </w:p>
    <w:p>
      <w:pPr>
        <w:spacing w:line="559" w:lineRule="auto" w:before="10"/>
        <w:ind w:left="154" w:right="5082" w:firstLine="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求和社会发展的需要，真诚回报社会。 </w:t>
      </w:r>
      <w:bookmarkStart w:name="2、环境保护相关的情况" w:id="128"/>
      <w:bookmarkEnd w:id="128"/>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、环境保护相关的情况</w:t>
      </w:r>
      <w:r>
        <w:rPr>
          <w:rFonts w:ascii="华文细黑" w:hAnsi="华文细黑" w:cs="华文细黑" w:eastAsia="华文细黑" w:hint="default"/>
          <w:b/>
          <w:bCs/>
          <w:w w:val="99"/>
          <w:sz w:val="21"/>
          <w:szCs w:val="21"/>
        </w:rPr>
        <w:t> </w:t>
      </w:r>
      <w:r>
        <w:rPr>
          <w:rFonts w:ascii="华文细黑" w:hAnsi="华文细黑" w:cs="华文细黑" w:eastAsia="华文细黑" w:hint="default"/>
          <w:sz w:val="21"/>
          <w:szCs w:val="21"/>
        </w:rPr>
        <w:t>上市公司及其子公司不属于环境保护部门公布的重点排污单位</w:t>
      </w:r>
    </w:p>
    <w:p>
      <w:pPr>
        <w:pStyle w:val="Heading2"/>
        <w:spacing w:line="240" w:lineRule="auto" w:before="169"/>
        <w:ind w:left="154" w:right="1217"/>
        <w:jc w:val="left"/>
        <w:rPr>
          <w:b w:val="0"/>
          <w:bCs w:val="0"/>
        </w:rPr>
      </w:pPr>
      <w:bookmarkStart w:name="十九、其他重大事项的说明" w:id="129"/>
      <w:bookmarkEnd w:id="129"/>
      <w:r>
        <w:rPr>
          <w:b w:val="0"/>
          <w:bCs w:val="0"/>
        </w:rPr>
      </w:r>
      <w:r>
        <w:rPr/>
        <w:t>十九、其他重大事项的说明</w:t>
      </w:r>
      <w:r>
        <w:rPr>
          <w:b w:val="0"/>
          <w:bCs w:val="0"/>
        </w:rPr>
      </w:r>
    </w:p>
    <w:p>
      <w:pPr>
        <w:spacing w:line="240" w:lineRule="auto" w:before="8"/>
        <w:rPr>
          <w:rFonts w:ascii="华文细黑" w:hAnsi="华文细黑" w:cs="华文细黑" w:eastAsia="华文细黑" w:hint="default"/>
          <w:b/>
          <w:bCs/>
          <w:sz w:val="35"/>
          <w:szCs w:val="35"/>
        </w:rPr>
      </w:pPr>
    </w:p>
    <w:p>
      <w:pPr>
        <w:spacing w:line="410" w:lineRule="auto" w:before="0"/>
        <w:ind w:left="574" w:right="2858" w:hanging="42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 适用 □</w:t>
      </w:r>
      <w:r>
        <w:rPr>
          <w:rFonts w:ascii="华文细黑" w:hAnsi="华文细黑" w:cs="华文细黑" w:eastAsia="华文细黑" w:hint="default"/>
          <w:spacing w:val="51"/>
          <w:sz w:val="21"/>
          <w:szCs w:val="21"/>
        </w:rPr>
        <w:t> </w:t>
      </w:r>
      <w:r>
        <w:rPr>
          <w:rFonts w:ascii="华文细黑" w:hAnsi="华文细黑" w:cs="华文细黑" w:eastAsia="华文细黑" w:hint="default"/>
          <w:sz w:val="21"/>
          <w:szCs w:val="21"/>
        </w:rPr>
        <w:t>不适用</w:t>
      </w:r>
      <w:r>
        <w:rPr>
          <w:rFonts w:ascii="华文细黑" w:hAnsi="华文细黑" w:cs="华文细黑" w:eastAsia="华文细黑" w:hint="default"/>
          <w:sz w:val="21"/>
          <w:szCs w:val="21"/>
        </w:rPr>
        <w:t> </w:t>
      </w:r>
      <w:r>
        <w:rPr>
          <w:rFonts w:ascii="华文细黑" w:hAnsi="华文细黑" w:cs="华文细黑" w:eastAsia="华文细黑" w:hint="default"/>
          <w:b/>
          <w:bCs/>
          <w:sz w:val="21"/>
          <w:szCs w:val="21"/>
        </w:rPr>
        <w:t>1</w:t>
      </w:r>
      <w:r>
        <w:rPr>
          <w:rFonts w:ascii="华文细黑" w:hAnsi="华文细黑" w:cs="华文细黑" w:eastAsia="华文细黑" w:hint="default"/>
          <w:b/>
          <w:bCs/>
          <w:sz w:val="21"/>
          <w:szCs w:val="21"/>
        </w:rPr>
        <w:t>、关于与控股子公司共同设立保险代理有限公司和保险经纪有限公司的进展情况</w:t>
      </w:r>
      <w:r>
        <w:rPr>
          <w:rFonts w:ascii="华文细黑" w:hAnsi="华文细黑" w:cs="华文细黑" w:eastAsia="华文细黑" w:hint="default"/>
          <w:sz w:val="21"/>
          <w:szCs w:val="21"/>
        </w:rPr>
      </w:r>
    </w:p>
    <w:p>
      <w:pPr>
        <w:pStyle w:val="BodyText"/>
        <w:spacing w:line="379" w:lineRule="auto" w:before="21"/>
        <w:ind w:left="154" w:right="1131" w:firstLine="420"/>
        <w:jc w:val="both"/>
      </w:pPr>
      <w:r>
        <w:rPr>
          <w:rFonts w:ascii="华文细黑" w:hAnsi="华文细黑" w:cs="华文细黑" w:eastAsia="华文细黑" w:hint="default"/>
        </w:rPr>
        <w:t>2018</w:t>
      </w:r>
      <w:r>
        <w:rPr/>
        <w:t>年</w:t>
      </w:r>
      <w:r>
        <w:rPr>
          <w:rFonts w:ascii="华文细黑" w:hAnsi="华文细黑" w:cs="华文细黑" w:eastAsia="华文细黑" w:hint="default"/>
        </w:rPr>
        <w:t>3</w:t>
      </w:r>
      <w:r>
        <w:rPr/>
        <w:t>月</w:t>
      </w:r>
      <w:r>
        <w:rPr>
          <w:rFonts w:ascii="华文细黑" w:hAnsi="华文细黑" w:cs="华文细黑" w:eastAsia="华文细黑" w:hint="default"/>
        </w:rPr>
        <w:t>16</w:t>
      </w:r>
      <w:r>
        <w:rPr/>
        <w:t>日，公司召开第四届董事会第十三次（临时）会议，审议通过了《关于拟与控股子公司 </w:t>
      </w:r>
      <w:r>
        <w:rPr>
          <w:spacing w:val="-1"/>
        </w:rPr>
        <w:t>深圳市爱保科技信息服务有限公司共同投资设立江西爱施德保险经纪有限公司的议案》，董事会同意公司</w:t>
      </w:r>
      <w:r>
        <w:rPr>
          <w:spacing w:val="-41"/>
        </w:rPr>
        <w:t> </w:t>
      </w:r>
      <w:r>
        <w:rPr>
          <w:spacing w:val="-41"/>
        </w:rPr>
      </w:r>
      <w:r>
        <w:rPr/>
        <w:t>使用自有资金出资</w:t>
      </w:r>
      <w:r>
        <w:rPr>
          <w:rFonts w:ascii="华文细黑" w:hAnsi="华文细黑" w:cs="华文细黑" w:eastAsia="华文细黑" w:hint="default"/>
        </w:rPr>
        <w:t>4,750</w:t>
      </w:r>
      <w:r>
        <w:rPr/>
        <w:t>万元人民币与控股子公司深圳市爱保科技信息服务有限公司共同投资设立江西爱</w:t>
      </w:r>
      <w:r>
        <w:rPr>
          <w:spacing w:val="19"/>
        </w:rPr>
        <w:t> </w:t>
      </w:r>
      <w:r>
        <w:rPr>
          <w:spacing w:val="19"/>
        </w:rPr>
      </w:r>
      <w:r>
        <w:rPr>
          <w:spacing w:val="-2"/>
        </w:rPr>
        <w:t>施德保险经纪有限公司。</w:t>
      </w:r>
      <w:r>
        <w:rPr>
          <w:rFonts w:ascii="华文细黑" w:hAnsi="华文细黑" w:cs="华文细黑" w:eastAsia="华文细黑" w:hint="default"/>
          <w:spacing w:val="-2"/>
        </w:rPr>
        <w:t>2018</w:t>
      </w:r>
      <w:r>
        <w:rPr>
          <w:spacing w:val="-2"/>
        </w:rPr>
        <w:t>年</w:t>
      </w:r>
      <w:r>
        <w:rPr>
          <w:rFonts w:ascii="华文细黑" w:hAnsi="华文细黑" w:cs="华文细黑" w:eastAsia="华文细黑" w:hint="default"/>
          <w:spacing w:val="-2"/>
        </w:rPr>
        <w:t>3</w:t>
      </w:r>
      <w:r>
        <w:rPr>
          <w:spacing w:val="-2"/>
        </w:rPr>
        <w:t>月</w:t>
      </w:r>
      <w:r>
        <w:rPr>
          <w:rFonts w:ascii="华文细黑" w:hAnsi="华文细黑" w:cs="华文细黑" w:eastAsia="华文细黑" w:hint="default"/>
          <w:spacing w:val="-2"/>
        </w:rPr>
        <w:t>30</w:t>
      </w:r>
      <w:r>
        <w:rPr>
          <w:spacing w:val="-2"/>
        </w:rPr>
        <w:t>日，江西爱施德保险经纪有限公司已经注册成立，注册资本为</w:t>
      </w:r>
      <w:r>
        <w:rPr>
          <w:rFonts w:ascii="华文细黑" w:hAnsi="华文细黑" w:cs="华文细黑" w:eastAsia="华文细黑" w:hint="default"/>
          <w:spacing w:val="-2"/>
        </w:rPr>
        <w:t>5,000</w:t>
      </w:r>
      <w:r>
        <w:rPr>
          <w:rFonts w:ascii="华文细黑" w:hAnsi="华文细黑" w:cs="华文细黑" w:eastAsia="华文细黑" w:hint="default"/>
          <w:spacing w:val="-51"/>
        </w:rPr>
        <w:t> </w:t>
      </w:r>
      <w:r>
        <w:rPr/>
        <w:t>万元人民币，公司持有其</w:t>
      </w:r>
      <w:r>
        <w:rPr>
          <w:rFonts w:ascii="华文细黑" w:hAnsi="华文细黑" w:cs="华文细黑" w:eastAsia="华文细黑" w:hint="default"/>
        </w:rPr>
        <w:t>95%</w:t>
      </w:r>
      <w:r>
        <w:rPr/>
        <w:t>的股权。</w:t>
      </w:r>
    </w:p>
    <w:p>
      <w:pPr>
        <w:pStyle w:val="BodyText"/>
        <w:spacing w:line="379" w:lineRule="auto" w:before="51"/>
        <w:ind w:left="154" w:right="1132" w:firstLine="420"/>
        <w:jc w:val="both"/>
      </w:pPr>
      <w:r>
        <w:rPr>
          <w:rFonts w:ascii="华文细黑" w:hAnsi="华文细黑" w:cs="华文细黑" w:eastAsia="华文细黑" w:hint="default"/>
        </w:rPr>
        <w:t>2018</w:t>
      </w:r>
      <w:r>
        <w:rPr/>
        <w:t>年</w:t>
      </w:r>
      <w:r>
        <w:rPr>
          <w:rFonts w:ascii="华文细黑" w:hAnsi="华文细黑" w:cs="华文细黑" w:eastAsia="华文细黑" w:hint="default"/>
        </w:rPr>
        <w:t>3</w:t>
      </w:r>
      <w:r>
        <w:rPr/>
        <w:t>月</w:t>
      </w:r>
      <w:r>
        <w:rPr>
          <w:rFonts w:ascii="华文细黑" w:hAnsi="华文细黑" w:cs="华文细黑" w:eastAsia="华文细黑" w:hint="default"/>
        </w:rPr>
        <w:t>16</w:t>
      </w:r>
      <w:r>
        <w:rPr/>
        <w:t>日，公司召开第四届董事会第十三次（临时）会议，审议通过了《关于拟与控股子公司 </w:t>
      </w:r>
      <w:r>
        <w:rPr>
          <w:spacing w:val="-1"/>
        </w:rPr>
        <w:t>深圳市爱保科技信息服务有限公司共同投资设立江西爱施德保险代理有限公司的议案》，董事会同意公司</w:t>
      </w:r>
      <w:r>
        <w:rPr>
          <w:spacing w:val="-41"/>
        </w:rPr>
        <w:t> </w:t>
      </w:r>
      <w:r>
        <w:rPr>
          <w:spacing w:val="-41"/>
        </w:rPr>
      </w:r>
      <w:r>
        <w:rPr/>
        <w:t>使用自有资金出资</w:t>
      </w:r>
      <w:r>
        <w:rPr>
          <w:rFonts w:ascii="华文细黑" w:hAnsi="华文细黑" w:cs="华文细黑" w:eastAsia="华文细黑" w:hint="default"/>
        </w:rPr>
        <w:t>4,750</w:t>
      </w:r>
      <w:r>
        <w:rPr/>
        <w:t>万元人民币与控股子公司深圳市爱保科技信息服务有限公司共同投资设立江西爱</w:t>
      </w:r>
      <w:r>
        <w:rPr>
          <w:spacing w:val="19"/>
        </w:rPr>
        <w:t> </w:t>
      </w:r>
      <w:r>
        <w:rPr>
          <w:spacing w:val="19"/>
        </w:rPr>
      </w:r>
      <w:r>
        <w:rPr>
          <w:spacing w:val="-2"/>
        </w:rPr>
        <w:t>保保险代理有限公司。</w:t>
      </w:r>
      <w:r>
        <w:rPr>
          <w:rFonts w:ascii="华文细黑" w:hAnsi="华文细黑" w:cs="华文细黑" w:eastAsia="华文细黑" w:hint="default"/>
          <w:spacing w:val="-2"/>
        </w:rPr>
        <w:t>2018</w:t>
      </w:r>
      <w:r>
        <w:rPr>
          <w:spacing w:val="-2"/>
        </w:rPr>
        <w:t>年</w:t>
      </w:r>
      <w:r>
        <w:rPr>
          <w:rFonts w:ascii="华文细黑" w:hAnsi="华文细黑" w:cs="华文细黑" w:eastAsia="华文细黑" w:hint="default"/>
          <w:spacing w:val="-2"/>
        </w:rPr>
        <w:t>3</w:t>
      </w:r>
      <w:r>
        <w:rPr>
          <w:spacing w:val="-2"/>
        </w:rPr>
        <w:t>月</w:t>
      </w:r>
      <w:r>
        <w:rPr>
          <w:rFonts w:ascii="华文细黑" w:hAnsi="华文细黑" w:cs="华文细黑" w:eastAsia="华文细黑" w:hint="default"/>
          <w:spacing w:val="-2"/>
        </w:rPr>
        <w:t>30</w:t>
      </w:r>
      <w:r>
        <w:rPr>
          <w:spacing w:val="-2"/>
        </w:rPr>
        <w:t>日，江西爱保保险代理有限公司已经注册成立，注册资本为</w:t>
      </w:r>
      <w:r>
        <w:rPr>
          <w:rFonts w:ascii="华文细黑" w:hAnsi="华文细黑" w:cs="华文细黑" w:eastAsia="华文细黑" w:hint="default"/>
          <w:spacing w:val="-2"/>
        </w:rPr>
        <w:t>5,000</w:t>
      </w:r>
      <w:r>
        <w:rPr>
          <w:spacing w:val="-2"/>
        </w:rPr>
        <w:t>万元</w:t>
      </w:r>
      <w:r>
        <w:rPr/>
        <w:t> 人民币，公司持有其</w:t>
      </w:r>
      <w:r>
        <w:rPr>
          <w:rFonts w:ascii="华文细黑" w:hAnsi="华文细黑" w:cs="华文细黑" w:eastAsia="华文细黑" w:hint="default"/>
        </w:rPr>
        <w:t>95%</w:t>
      </w:r>
      <w:r>
        <w:rPr/>
        <w:t>的股权。</w:t>
      </w:r>
    </w:p>
    <w:p>
      <w:pPr>
        <w:pStyle w:val="BodyText"/>
        <w:spacing w:line="240" w:lineRule="auto" w:before="51"/>
        <w:ind w:left="574" w:right="0"/>
        <w:jc w:val="left"/>
      </w:pPr>
      <w:r>
        <w:rPr>
          <w:spacing w:val="21"/>
        </w:rPr>
        <w:t>详见公司</w:t>
      </w:r>
      <w:r>
        <w:rPr/>
        <w:t>于</w:t>
      </w:r>
      <w:r>
        <w:rPr>
          <w:spacing w:val="-31"/>
        </w:rPr>
        <w:t> </w:t>
      </w:r>
      <w:r>
        <w:rPr>
          <w:rFonts w:ascii="华文细黑" w:hAnsi="华文细黑" w:cs="华文细黑" w:eastAsia="华文细黑" w:hint="default"/>
        </w:rPr>
        <w:t>2018</w:t>
      </w:r>
      <w:r>
        <w:rPr>
          <w:rFonts w:ascii="华文细黑" w:hAnsi="华文细黑" w:cs="华文细黑" w:eastAsia="华文细黑" w:hint="default"/>
          <w:spacing w:val="-31"/>
        </w:rPr>
        <w:t> </w:t>
      </w:r>
      <w:r>
        <w:rPr/>
        <w:t>年</w:t>
      </w:r>
      <w:r>
        <w:rPr>
          <w:spacing w:val="-31"/>
        </w:rPr>
        <w:t> </w:t>
      </w:r>
      <w:r>
        <w:rPr>
          <w:rFonts w:ascii="华文细黑" w:hAnsi="华文细黑" w:cs="华文细黑" w:eastAsia="华文细黑" w:hint="default"/>
        </w:rPr>
        <w:t>3</w:t>
      </w:r>
      <w:r>
        <w:rPr>
          <w:rFonts w:ascii="华文细黑" w:hAnsi="华文细黑" w:cs="华文细黑" w:eastAsia="华文细黑" w:hint="default"/>
          <w:spacing w:val="-31"/>
        </w:rPr>
        <w:t> </w:t>
      </w:r>
      <w:r>
        <w:rPr/>
        <w:t>月</w:t>
      </w:r>
      <w:r>
        <w:rPr>
          <w:spacing w:val="-31"/>
        </w:rPr>
        <w:t> </w:t>
      </w:r>
      <w:r>
        <w:rPr>
          <w:rFonts w:ascii="华文细黑" w:hAnsi="华文细黑" w:cs="华文细黑" w:eastAsia="华文细黑" w:hint="default"/>
        </w:rPr>
        <w:t>20</w:t>
      </w:r>
      <w:r>
        <w:rPr>
          <w:rFonts w:ascii="华文细黑" w:hAnsi="华文细黑" w:cs="华文细黑" w:eastAsia="华文细黑" w:hint="default"/>
          <w:spacing w:val="-31"/>
        </w:rPr>
        <w:t> </w:t>
      </w:r>
      <w:r>
        <w:rPr>
          <w:spacing w:val="21"/>
        </w:rPr>
        <w:t>日在指定信息披露媒体《中国证券</w:t>
      </w:r>
      <w:r>
        <w:rPr/>
        <w:t>报</w:t>
      </w:r>
      <w:r>
        <w:rPr>
          <w:spacing w:val="-31"/>
        </w:rPr>
        <w:t> </w:t>
      </w:r>
      <w:r>
        <w:rPr>
          <w:spacing w:val="-83"/>
        </w:rPr>
        <w:t>》、</w:t>
      </w:r>
      <w:r>
        <w:rPr>
          <w:spacing w:val="21"/>
        </w:rPr>
        <w:t>《</w:t>
      </w:r>
      <w:r>
        <w:rPr/>
        <w:t>证</w:t>
      </w:r>
      <w:r>
        <w:rPr>
          <w:spacing w:val="-33"/>
        </w:rPr>
        <w:t> </w:t>
      </w:r>
      <w:r>
        <w:rPr>
          <w:spacing w:val="21"/>
        </w:rPr>
        <w:t>券时报》及巨潮资讯</w:t>
      </w:r>
      <w:r>
        <w:rPr/>
        <w:t>网</w:t>
      </w:r>
      <w:r>
        <w:rPr>
          <w:spacing w:val="-31"/>
        </w:rPr>
        <w:t> </w:t>
      </w:r>
      <w:r>
        <w:rPr/>
      </w:r>
    </w:p>
    <w:p>
      <w:pPr>
        <w:pStyle w:val="BodyText"/>
        <w:spacing w:line="379" w:lineRule="auto" w:before="170"/>
        <w:ind w:left="154" w:right="1122"/>
        <w:jc w:val="left"/>
      </w:pPr>
      <w:r>
        <w:rPr/>
        <w:t>（</w:t>
      </w:r>
      <w:hyperlink r:id="rId21">
        <w:r>
          <w:rPr>
            <w:rFonts w:ascii="华文细黑" w:hAnsi="华文细黑" w:cs="华文细黑" w:eastAsia="华文细黑" w:hint="default"/>
          </w:rPr>
          <w:t>www.cninfo.com.cn</w:t>
        </w:r>
      </w:hyperlink>
      <w:r>
        <w:rPr/>
        <w:t>）披露的《关于拟与控股子公司共同投资设立保险代理有限公司的公告》和《关</w:t>
      </w:r>
      <w:r>
        <w:rPr>
          <w:spacing w:val="-48"/>
        </w:rPr>
        <w:t> </w:t>
      </w:r>
      <w:r>
        <w:rPr>
          <w:spacing w:val="-48"/>
        </w:rPr>
      </w:r>
      <w:r>
        <w:rPr>
          <w:spacing w:val="-4"/>
        </w:rPr>
        <w:t>于拟与控股子公司共同投资设立保险经纪有限公司的公告》。</w:t>
      </w:r>
    </w:p>
    <w:p>
      <w:pPr>
        <w:pStyle w:val="Heading5"/>
        <w:spacing w:line="240" w:lineRule="auto" w:before="51"/>
        <w:ind w:left="574" w:right="1217"/>
        <w:jc w:val="left"/>
        <w:rPr>
          <w:b w:val="0"/>
          <w:bCs w:val="0"/>
        </w:rPr>
      </w:pPr>
      <w:r>
        <w:rPr>
          <w:rFonts w:ascii="华文细黑" w:hAnsi="华文细黑" w:cs="华文细黑" w:eastAsia="华文细黑" w:hint="default"/>
        </w:rPr>
        <w:t>2</w:t>
      </w:r>
      <w:r>
        <w:rPr/>
        <w:t>、关于调整对外投资开展创新业务暨关联交易的事项</w:t>
      </w:r>
      <w:r>
        <w:rPr>
          <w:b w:val="0"/>
          <w:bCs w:val="0"/>
        </w:rPr>
      </w:r>
    </w:p>
    <w:p>
      <w:pPr>
        <w:spacing w:line="240" w:lineRule="auto" w:before="13"/>
        <w:rPr>
          <w:rFonts w:ascii="华文细黑" w:hAnsi="华文细黑" w:cs="华文细黑" w:eastAsia="华文细黑" w:hint="default"/>
          <w:b/>
          <w:bCs/>
          <w:sz w:val="12"/>
          <w:szCs w:val="12"/>
        </w:rPr>
      </w:pPr>
    </w:p>
    <w:p>
      <w:pPr>
        <w:pStyle w:val="BodyText"/>
        <w:spacing w:line="379" w:lineRule="auto"/>
        <w:ind w:left="154" w:right="1131" w:firstLine="420"/>
        <w:jc w:val="both"/>
      </w:pPr>
      <w:r>
        <w:rPr>
          <w:rFonts w:ascii="华文细黑" w:hAnsi="华文细黑" w:cs="华文细黑" w:eastAsia="华文细黑" w:hint="default"/>
        </w:rPr>
        <w:t>2018</w:t>
      </w:r>
      <w:r>
        <w:rPr/>
        <w:t>年</w:t>
      </w:r>
      <w:r>
        <w:rPr>
          <w:rFonts w:ascii="华文细黑" w:hAnsi="华文细黑" w:cs="华文细黑" w:eastAsia="华文细黑" w:hint="default"/>
        </w:rPr>
        <w:t>4</w:t>
      </w:r>
      <w:r>
        <w:rPr/>
        <w:t>月</w:t>
      </w:r>
      <w:r>
        <w:rPr>
          <w:rFonts w:ascii="华文细黑" w:hAnsi="华文细黑" w:cs="华文细黑" w:eastAsia="华文细黑" w:hint="default"/>
        </w:rPr>
        <w:t>26</w:t>
      </w:r>
      <w:r>
        <w:rPr/>
        <w:t>日，公司召开第四届董事会第十五次（临时）会议审议通过了《关于调整对外投资开展 </w:t>
      </w:r>
      <w:r>
        <w:rPr>
          <w:spacing w:val="-1"/>
        </w:rPr>
        <w:t>创新业务暨关联交易的议案》。为进一步扩大公司业务范围，提升公司盈利能力，更好的推动公司创新业</w:t>
      </w:r>
      <w:r>
        <w:rPr>
          <w:spacing w:val="-41"/>
        </w:rPr>
        <w:t> </w:t>
      </w:r>
      <w:r>
        <w:rPr>
          <w:spacing w:val="-41"/>
        </w:rPr>
      </w:r>
      <w:r>
        <w:rPr>
          <w:spacing w:val="-1"/>
        </w:rPr>
        <w:t>务的发展，更好的激励核心人员，实现公司与员工收益共享、风险共担，董事会同意调整公司全资子公司</w:t>
      </w:r>
      <w:r>
        <w:rPr>
          <w:spacing w:val="-34"/>
        </w:rPr>
        <w:t> </w:t>
      </w:r>
      <w:r>
        <w:rPr>
          <w:spacing w:val="-34"/>
        </w:rPr>
      </w:r>
      <w:r>
        <w:rPr>
          <w:spacing w:val="-1"/>
        </w:rPr>
        <w:t>深圳市爱享投资有限公司与公司主管分销业务的高级管理人员杨治、米泽东，以及其他分销业务核心员工</w:t>
      </w:r>
      <w:r>
        <w:rPr>
          <w:spacing w:val="-29"/>
        </w:rPr>
        <w:t> </w:t>
      </w:r>
      <w:r>
        <w:rPr>
          <w:spacing w:val="-29"/>
        </w:rPr>
      </w:r>
      <w:r>
        <w:rPr>
          <w:spacing w:val="3"/>
        </w:rPr>
        <w:t>共同投资成立共青城酷亿投资管理合伙企业的出资金额和出资比例。共青城酷亿投资管理合伙企业成立</w:t>
      </w:r>
      <w:r>
        <w:rPr>
          <w:spacing w:val="-30"/>
        </w:rPr>
        <w:t> </w:t>
      </w:r>
      <w:r>
        <w:rPr>
          <w:spacing w:val="-30"/>
        </w:rPr>
      </w:r>
      <w:r>
        <w:rPr>
          <w:spacing w:val="-1"/>
        </w:rPr>
        <w:t>后，深圳市爱享投资有限公司拟与共青城酷亿投资管理合伙企业、外部合作伙伴深圳市胜启投资有限公司</w:t>
      </w:r>
      <w:r>
        <w:rPr>
          <w:spacing w:val="-29"/>
        </w:rPr>
        <w:t> </w:t>
      </w:r>
      <w:r>
        <w:rPr>
          <w:spacing w:val="-29"/>
        </w:rPr>
      </w:r>
      <w:r>
        <w:rPr>
          <w:spacing w:val="-3"/>
        </w:rPr>
        <w:t>按照新的出资比例共同成立爱兴投资管理合伙企业（暂定名，最终以工商部门核准为准）。</w:t>
      </w:r>
    </w:p>
    <w:p>
      <w:pPr>
        <w:spacing w:after="0" w:line="379" w:lineRule="auto"/>
        <w:jc w:val="both"/>
        <w:sectPr>
          <w:pgSz w:w="11910" w:h="16840"/>
          <w:pgMar w:header="917" w:footer="1019" w:top="1100" w:bottom="1200" w:left="980" w:right="0"/>
        </w:sectPr>
      </w:pPr>
    </w:p>
    <w:p>
      <w:pPr>
        <w:spacing w:line="240" w:lineRule="auto" w:before="8"/>
        <w:rPr>
          <w:rFonts w:ascii="华文细黑" w:hAnsi="华文细黑" w:cs="华文细黑" w:eastAsia="华文细黑" w:hint="default"/>
          <w:sz w:val="26"/>
          <w:szCs w:val="26"/>
        </w:rPr>
      </w:pPr>
    </w:p>
    <w:p>
      <w:pPr>
        <w:pStyle w:val="BodyText"/>
        <w:spacing w:line="240" w:lineRule="auto" w:before="10"/>
        <w:ind w:left="574" w:right="0"/>
        <w:jc w:val="left"/>
      </w:pPr>
      <w:r>
        <w:rPr>
          <w:spacing w:val="21"/>
        </w:rPr>
        <w:t>详见公司</w:t>
      </w:r>
      <w:r>
        <w:rPr/>
        <w:t>于</w:t>
      </w:r>
      <w:r>
        <w:rPr>
          <w:spacing w:val="-31"/>
        </w:rPr>
        <w:t> </w:t>
      </w:r>
      <w:r>
        <w:rPr>
          <w:rFonts w:ascii="华文细黑" w:hAnsi="华文细黑" w:cs="华文细黑" w:eastAsia="华文细黑" w:hint="default"/>
        </w:rPr>
        <w:t>2018</w:t>
      </w:r>
      <w:r>
        <w:rPr>
          <w:rFonts w:ascii="华文细黑" w:hAnsi="华文细黑" w:cs="华文细黑" w:eastAsia="华文细黑" w:hint="default"/>
          <w:spacing w:val="-31"/>
        </w:rPr>
        <w:t> </w:t>
      </w:r>
      <w:r>
        <w:rPr/>
        <w:t>年</w:t>
      </w:r>
      <w:r>
        <w:rPr>
          <w:spacing w:val="-31"/>
        </w:rPr>
        <w:t> </w:t>
      </w:r>
      <w:r>
        <w:rPr>
          <w:rFonts w:ascii="华文细黑" w:hAnsi="华文细黑" w:cs="华文细黑" w:eastAsia="华文细黑" w:hint="default"/>
        </w:rPr>
        <w:t>4</w:t>
      </w:r>
      <w:r>
        <w:rPr>
          <w:rFonts w:ascii="华文细黑" w:hAnsi="华文细黑" w:cs="华文细黑" w:eastAsia="华文细黑" w:hint="default"/>
          <w:spacing w:val="-31"/>
        </w:rPr>
        <w:t> </w:t>
      </w:r>
      <w:r>
        <w:rPr/>
        <w:t>月</w:t>
      </w:r>
      <w:r>
        <w:rPr>
          <w:spacing w:val="-31"/>
        </w:rPr>
        <w:t> </w:t>
      </w:r>
      <w:r>
        <w:rPr>
          <w:rFonts w:ascii="华文细黑" w:hAnsi="华文细黑" w:cs="华文细黑" w:eastAsia="华文细黑" w:hint="default"/>
        </w:rPr>
        <w:t>28</w:t>
      </w:r>
      <w:r>
        <w:rPr>
          <w:rFonts w:ascii="华文细黑" w:hAnsi="华文细黑" w:cs="华文细黑" w:eastAsia="华文细黑" w:hint="default"/>
          <w:spacing w:val="-31"/>
        </w:rPr>
        <w:t> </w:t>
      </w:r>
      <w:r>
        <w:rPr>
          <w:spacing w:val="21"/>
        </w:rPr>
        <w:t>日在指定信息披露媒体《中国证券</w:t>
      </w:r>
      <w:r>
        <w:rPr/>
        <w:t>报</w:t>
      </w:r>
      <w:r>
        <w:rPr>
          <w:spacing w:val="-31"/>
        </w:rPr>
        <w:t> </w:t>
      </w:r>
      <w:r>
        <w:rPr>
          <w:spacing w:val="-83"/>
        </w:rPr>
        <w:t>》、</w:t>
      </w:r>
      <w:r>
        <w:rPr>
          <w:spacing w:val="21"/>
        </w:rPr>
        <w:t>《</w:t>
      </w:r>
      <w:r>
        <w:rPr/>
        <w:t>证</w:t>
      </w:r>
      <w:r>
        <w:rPr>
          <w:spacing w:val="-32"/>
        </w:rPr>
        <w:t> </w:t>
      </w:r>
      <w:r>
        <w:rPr>
          <w:spacing w:val="21"/>
        </w:rPr>
        <w:t>券时报》及巨潮资讯</w:t>
      </w:r>
      <w:r>
        <w:rPr/>
        <w:t>网</w:t>
      </w:r>
      <w:r>
        <w:rPr>
          <w:spacing w:val="-31"/>
        </w:rPr>
        <w:t> </w:t>
      </w:r>
      <w:r>
        <w:rPr/>
      </w:r>
    </w:p>
    <w:p>
      <w:pPr>
        <w:pStyle w:val="BodyText"/>
        <w:spacing w:line="386" w:lineRule="auto" w:before="170"/>
        <w:ind w:left="574" w:right="1217" w:hanging="420"/>
        <w:jc w:val="left"/>
        <w:rPr>
          <w:rFonts w:ascii="华文细黑" w:hAnsi="华文细黑" w:cs="华文细黑" w:eastAsia="华文细黑" w:hint="default"/>
        </w:rPr>
      </w:pPr>
      <w:r>
        <w:rPr>
          <w:spacing w:val="-3"/>
        </w:rPr>
        <w:t>（</w:t>
      </w:r>
      <w:hyperlink r:id="rId21">
        <w:r>
          <w:rPr>
            <w:rFonts w:ascii="华文细黑" w:hAnsi="华文细黑" w:cs="华文细黑" w:eastAsia="华文细黑" w:hint="default"/>
            <w:spacing w:val="-3"/>
          </w:rPr>
          <w:t>www.cninfo.com.cn</w:t>
        </w:r>
      </w:hyperlink>
      <w:r>
        <w:rPr>
          <w:spacing w:val="-3"/>
        </w:rPr>
        <w:t>）披露的《关于调整对外投资开展创新业务暨关联交易的公告》。</w:t>
      </w:r>
      <w:r>
        <w:rPr>
          <w:spacing w:val="-21"/>
        </w:rPr>
        <w:t> </w:t>
      </w:r>
      <w:r>
        <w:rPr>
          <w:spacing w:val="-21"/>
        </w:rPr>
      </w:r>
      <w:r>
        <w:rPr>
          <w:rFonts w:ascii="华文细黑" w:hAnsi="华文细黑" w:cs="华文细黑" w:eastAsia="华文细黑" w:hint="default"/>
          <w:b/>
          <w:bCs/>
        </w:rPr>
        <w:t>3</w:t>
      </w:r>
      <w:r>
        <w:rPr>
          <w:rFonts w:ascii="华文细黑" w:hAnsi="华文细黑" w:cs="华文细黑" w:eastAsia="华文细黑" w:hint="default"/>
          <w:b/>
          <w:bCs/>
        </w:rPr>
        <w:t>、投资中新控股</w:t>
      </w:r>
      <w:r>
        <w:rPr>
          <w:rFonts w:ascii="华文细黑" w:hAnsi="华文细黑" w:cs="华文细黑" w:eastAsia="华文细黑" w:hint="default"/>
        </w:rPr>
      </w:r>
    </w:p>
    <w:p>
      <w:pPr>
        <w:pStyle w:val="BodyText"/>
        <w:spacing w:line="240" w:lineRule="auto" w:before="43"/>
        <w:ind w:left="574" w:right="0"/>
        <w:jc w:val="left"/>
      </w:pPr>
      <w:r>
        <w:rPr>
          <w:rFonts w:ascii="华文细黑" w:hAnsi="华文细黑" w:cs="华文细黑" w:eastAsia="华文细黑" w:hint="default"/>
        </w:rPr>
        <w:t>2018</w:t>
      </w:r>
      <w:r>
        <w:rPr/>
        <w:t>年</w:t>
      </w:r>
      <w:r>
        <w:rPr>
          <w:rFonts w:ascii="华文细黑" w:hAnsi="华文细黑" w:cs="华文细黑" w:eastAsia="华文细黑" w:hint="default"/>
        </w:rPr>
        <w:t>5</w:t>
      </w:r>
      <w:r>
        <w:rPr/>
        <w:t>月</w:t>
      </w:r>
      <w:r>
        <w:rPr>
          <w:rFonts w:ascii="华文细黑" w:hAnsi="华文细黑" w:cs="华文细黑" w:eastAsia="华文细黑" w:hint="default"/>
        </w:rPr>
        <w:t>18</w:t>
      </w:r>
      <w:r>
        <w:rPr/>
        <w:t>日，公司召开第四届董事会第十六次（临时）会议审议通过了《关于全资子公司爱施德</w:t>
      </w:r>
    </w:p>
    <w:p>
      <w:pPr>
        <w:pStyle w:val="BodyText"/>
        <w:spacing w:line="379" w:lineRule="auto" w:before="171"/>
        <w:ind w:left="154" w:right="1128"/>
        <w:jc w:val="both"/>
      </w:pPr>
      <w:r>
        <w:rPr>
          <w:spacing w:val="-2"/>
        </w:rPr>
        <w:t>（香港）有限公司拟将持有的中新控股科技集团有限公司可转换债转股的议案》，爱施德（香港）于</w:t>
      </w:r>
      <w:r>
        <w:rPr>
          <w:rFonts w:ascii="华文细黑" w:hAnsi="华文细黑" w:cs="华文细黑" w:eastAsia="华文细黑" w:hint="default"/>
          <w:spacing w:val="-2"/>
        </w:rPr>
        <w:t>2018</w:t>
      </w:r>
      <w:r>
        <w:rPr>
          <w:rFonts w:ascii="华文细黑" w:hAnsi="华文细黑" w:cs="华文细黑" w:eastAsia="华文细黑" w:hint="default"/>
          <w:spacing w:val="-25"/>
        </w:rPr>
        <w:t> </w:t>
      </w:r>
      <w:r>
        <w:rPr>
          <w:rFonts w:ascii="华文细黑" w:hAnsi="华文细黑" w:cs="华文细黑" w:eastAsia="华文细黑" w:hint="default"/>
          <w:spacing w:val="-25"/>
        </w:rPr>
      </w:r>
      <w:r>
        <w:rPr>
          <w:spacing w:val="-2"/>
        </w:rPr>
        <w:t>年</w:t>
      </w:r>
      <w:r>
        <w:rPr>
          <w:rFonts w:ascii="华文细黑" w:hAnsi="华文细黑" w:cs="华文细黑" w:eastAsia="华文细黑" w:hint="default"/>
          <w:spacing w:val="-2"/>
        </w:rPr>
        <w:t>6</w:t>
      </w:r>
      <w:r>
        <w:rPr>
          <w:spacing w:val="-2"/>
        </w:rPr>
        <w:t>月</w:t>
      </w:r>
      <w:r>
        <w:rPr>
          <w:rFonts w:ascii="华文细黑" w:hAnsi="华文细黑" w:cs="华文细黑" w:eastAsia="华文细黑" w:hint="default"/>
          <w:spacing w:val="-2"/>
        </w:rPr>
        <w:t>15</w:t>
      </w:r>
      <w:r>
        <w:rPr>
          <w:spacing w:val="-2"/>
        </w:rPr>
        <w:t>日进行债转股</w:t>
      </w:r>
      <w:r>
        <w:rPr>
          <w:rFonts w:ascii="华文细黑" w:hAnsi="华文细黑" w:cs="华文细黑" w:eastAsia="华文细黑" w:hint="default"/>
          <w:spacing w:val="-2"/>
        </w:rPr>
        <w:t>576,923,075</w:t>
      </w:r>
      <w:r>
        <w:rPr>
          <w:spacing w:val="-2"/>
        </w:rPr>
        <w:t>股，本次可转换债转股完成后，爱施德（香港）对中新控股持股比例为</w:t>
      </w:r>
      <w:r>
        <w:rPr>
          <w:spacing w:val="-14"/>
        </w:rPr>
        <w:t> </w:t>
      </w:r>
      <w:r>
        <w:rPr>
          <w:spacing w:val="-14"/>
        </w:rPr>
      </w:r>
      <w:r>
        <w:rPr>
          <w:rFonts w:ascii="华文细黑" w:hAnsi="华文细黑" w:cs="华文细黑" w:eastAsia="华文细黑" w:hint="default"/>
        </w:rPr>
        <w:t>4.68%</w:t>
      </w:r>
      <w:r>
        <w:rPr/>
        <w:t>。</w:t>
      </w:r>
      <w:r>
        <w:rPr>
          <w:rFonts w:ascii="华文细黑" w:hAnsi="华文细黑" w:cs="华文细黑" w:eastAsia="华文细黑" w:hint="default"/>
        </w:rPr>
        <w:t>2018</w:t>
      </w:r>
      <w:r>
        <w:rPr/>
        <w:t>年出售</w:t>
      </w:r>
      <w:r>
        <w:rPr>
          <w:rFonts w:ascii="华文细黑" w:hAnsi="华文细黑" w:cs="华文细黑" w:eastAsia="华文细黑" w:hint="default"/>
        </w:rPr>
        <w:t>58,824,000</w:t>
      </w:r>
      <w:r>
        <w:rPr/>
        <w:t>股，实现税前投资收益为港币</w:t>
      </w:r>
      <w:r>
        <w:rPr>
          <w:rFonts w:ascii="华文细黑" w:hAnsi="华文细黑" w:cs="华文细黑" w:eastAsia="华文细黑" w:hint="default"/>
        </w:rPr>
        <w:t>1,765,771.68</w:t>
      </w:r>
      <w:r>
        <w:rPr/>
        <w:t>元，本次股权出售完成后，爱</w:t>
      </w:r>
      <w:r>
        <w:rPr>
          <w:spacing w:val="-26"/>
        </w:rPr>
        <w:t> </w:t>
      </w:r>
      <w:r>
        <w:rPr>
          <w:spacing w:val="-26"/>
        </w:rPr>
      </w:r>
      <w:r>
        <w:rPr/>
        <w:t>施德（香港）仍然持有中新控股股权</w:t>
      </w:r>
      <w:r>
        <w:rPr>
          <w:rFonts w:ascii="华文细黑" w:hAnsi="华文细黑" w:cs="华文细黑" w:eastAsia="华文细黑" w:hint="default"/>
        </w:rPr>
        <w:t>996,739,075</w:t>
      </w:r>
      <w:r>
        <w:rPr/>
        <w:t>股。</w:t>
      </w:r>
    </w:p>
    <w:p>
      <w:pPr>
        <w:pStyle w:val="BodyText"/>
        <w:spacing w:line="240" w:lineRule="auto" w:before="51"/>
        <w:ind w:left="574" w:right="0"/>
        <w:jc w:val="left"/>
      </w:pPr>
      <w:r>
        <w:rPr>
          <w:spacing w:val="21"/>
        </w:rPr>
        <w:t>详见公司</w:t>
      </w:r>
      <w:r>
        <w:rPr/>
        <w:t>于</w:t>
      </w:r>
      <w:r>
        <w:rPr>
          <w:spacing w:val="-31"/>
        </w:rPr>
        <w:t> </w:t>
      </w:r>
      <w:r>
        <w:rPr>
          <w:rFonts w:ascii="华文细黑" w:hAnsi="华文细黑" w:cs="华文细黑" w:eastAsia="华文细黑" w:hint="default"/>
        </w:rPr>
        <w:t>2018</w:t>
      </w:r>
      <w:r>
        <w:rPr>
          <w:rFonts w:ascii="华文细黑" w:hAnsi="华文细黑" w:cs="华文细黑" w:eastAsia="华文细黑" w:hint="default"/>
          <w:spacing w:val="-31"/>
        </w:rPr>
        <w:t> </w:t>
      </w:r>
      <w:r>
        <w:rPr/>
        <w:t>年</w:t>
      </w:r>
      <w:r>
        <w:rPr>
          <w:spacing w:val="-31"/>
        </w:rPr>
        <w:t> </w:t>
      </w:r>
      <w:r>
        <w:rPr>
          <w:rFonts w:ascii="华文细黑" w:hAnsi="华文细黑" w:cs="华文细黑" w:eastAsia="华文细黑" w:hint="default"/>
        </w:rPr>
        <w:t>5</w:t>
      </w:r>
      <w:r>
        <w:rPr>
          <w:rFonts w:ascii="华文细黑" w:hAnsi="华文细黑" w:cs="华文细黑" w:eastAsia="华文细黑" w:hint="default"/>
          <w:spacing w:val="-31"/>
        </w:rPr>
        <w:t> </w:t>
      </w:r>
      <w:r>
        <w:rPr/>
        <w:t>月</w:t>
      </w:r>
      <w:r>
        <w:rPr>
          <w:spacing w:val="-31"/>
        </w:rPr>
        <w:t> </w:t>
      </w:r>
      <w:r>
        <w:rPr>
          <w:rFonts w:ascii="华文细黑" w:hAnsi="华文细黑" w:cs="华文细黑" w:eastAsia="华文细黑" w:hint="default"/>
        </w:rPr>
        <w:t>22</w:t>
      </w:r>
      <w:r>
        <w:rPr>
          <w:rFonts w:ascii="华文细黑" w:hAnsi="华文细黑" w:cs="华文细黑" w:eastAsia="华文细黑" w:hint="default"/>
          <w:spacing w:val="-31"/>
        </w:rPr>
        <w:t> </w:t>
      </w:r>
      <w:r>
        <w:rPr>
          <w:spacing w:val="21"/>
        </w:rPr>
        <w:t>日在指定信息披露媒体《中国证券</w:t>
      </w:r>
      <w:r>
        <w:rPr/>
        <w:t>报</w:t>
      </w:r>
      <w:r>
        <w:rPr>
          <w:spacing w:val="-31"/>
        </w:rPr>
        <w:t> </w:t>
      </w:r>
      <w:r>
        <w:rPr>
          <w:spacing w:val="-83"/>
        </w:rPr>
        <w:t>》、</w:t>
      </w:r>
      <w:r>
        <w:rPr>
          <w:spacing w:val="21"/>
        </w:rPr>
        <w:t>《</w:t>
      </w:r>
      <w:r>
        <w:rPr/>
        <w:t>证</w:t>
      </w:r>
      <w:r>
        <w:rPr>
          <w:spacing w:val="-33"/>
        </w:rPr>
        <w:t> </w:t>
      </w:r>
      <w:r>
        <w:rPr>
          <w:spacing w:val="21"/>
        </w:rPr>
        <w:t>券时报》及巨潮资讯</w:t>
      </w:r>
      <w:r>
        <w:rPr/>
        <w:t>网</w:t>
      </w:r>
      <w:r>
        <w:rPr>
          <w:spacing w:val="-31"/>
        </w:rPr>
        <w:t> </w:t>
      </w:r>
      <w:r>
        <w:rPr/>
      </w:r>
    </w:p>
    <w:p>
      <w:pPr>
        <w:pStyle w:val="BodyText"/>
        <w:spacing w:line="379" w:lineRule="auto" w:before="170"/>
        <w:ind w:left="154" w:right="1136"/>
        <w:jc w:val="both"/>
      </w:pPr>
      <w:r>
        <w:rPr/>
        <w:t>（</w:t>
      </w:r>
      <w:hyperlink r:id="rId21">
        <w:r>
          <w:rPr>
            <w:rFonts w:ascii="华文细黑" w:hAnsi="华文细黑" w:cs="华文细黑" w:eastAsia="华文细黑" w:hint="default"/>
          </w:rPr>
          <w:t>www.cninfo.com.cn</w:t>
        </w:r>
      </w:hyperlink>
      <w:r>
        <w:rPr/>
        <w:t>）披露的《关于全资子公司爱施德</w:t>
      </w:r>
      <w:r>
        <w:rPr>
          <w:rFonts w:ascii="华文细黑" w:hAnsi="华文细黑" w:cs="华文细黑" w:eastAsia="华文细黑" w:hint="default"/>
        </w:rPr>
        <w:t>(</w:t>
      </w:r>
      <w:r>
        <w:rPr/>
        <w:t>香港</w:t>
      </w:r>
      <w:r>
        <w:rPr>
          <w:rFonts w:ascii="华文细黑" w:hAnsi="华文细黑" w:cs="华文细黑" w:eastAsia="华文细黑" w:hint="default"/>
        </w:rPr>
        <w:t>)</w:t>
      </w:r>
      <w:r>
        <w:rPr/>
        <w:t>有限公司拟将持有的中新控股科技集团 </w:t>
      </w:r>
      <w:r>
        <w:rPr>
          <w:spacing w:val="-7"/>
        </w:rPr>
        <w:t>有限公司可转换债转股的公告》。</w:t>
      </w:r>
    </w:p>
    <w:p>
      <w:pPr>
        <w:pStyle w:val="Heading5"/>
        <w:spacing w:line="240" w:lineRule="auto" w:before="51"/>
        <w:ind w:left="574" w:right="1217"/>
        <w:jc w:val="left"/>
        <w:rPr>
          <w:b w:val="0"/>
          <w:bCs w:val="0"/>
        </w:rPr>
      </w:pPr>
      <w:r>
        <w:rPr>
          <w:rFonts w:ascii="华文细黑" w:hAnsi="华文细黑" w:cs="华文细黑" w:eastAsia="华文细黑" w:hint="default"/>
        </w:rPr>
        <w:t>4</w:t>
      </w:r>
      <w:r>
        <w:rPr/>
        <w:t>、计提资产减值准备</w:t>
      </w:r>
      <w:r>
        <w:rPr>
          <w:b w:val="0"/>
          <w:bCs w:val="0"/>
        </w:rPr>
      </w:r>
    </w:p>
    <w:p>
      <w:pPr>
        <w:spacing w:line="240" w:lineRule="auto" w:before="12"/>
        <w:rPr>
          <w:rFonts w:ascii="华文细黑" w:hAnsi="华文细黑" w:cs="华文细黑" w:eastAsia="华文细黑" w:hint="default"/>
          <w:b/>
          <w:bCs/>
          <w:sz w:val="12"/>
          <w:szCs w:val="12"/>
        </w:rPr>
      </w:pPr>
    </w:p>
    <w:p>
      <w:pPr>
        <w:pStyle w:val="BodyText"/>
        <w:spacing w:line="379" w:lineRule="auto"/>
        <w:ind w:left="154" w:right="1217" w:firstLine="420"/>
        <w:jc w:val="left"/>
      </w:pPr>
      <w:r>
        <w:rPr>
          <w:spacing w:val="2"/>
        </w:rPr>
        <w:t>公司对中国农垦集团有限公司应收款项</w:t>
      </w:r>
      <w:r>
        <w:rPr>
          <w:spacing w:val="3"/>
        </w:rPr>
        <w:t> </w:t>
      </w:r>
      <w:r>
        <w:rPr>
          <w:rFonts w:ascii="华文细黑" w:hAnsi="华文细黑" w:cs="华文细黑" w:eastAsia="华文细黑" w:hint="default"/>
        </w:rPr>
        <w:t>63,380,000.00</w:t>
      </w:r>
      <w:r>
        <w:rPr/>
        <w:t>已在</w:t>
      </w:r>
      <w:r>
        <w:rPr>
          <w:rFonts w:ascii="华文细黑" w:hAnsi="华文细黑" w:cs="华文细黑" w:eastAsia="华文细黑" w:hint="default"/>
        </w:rPr>
        <w:t>2017</w:t>
      </w:r>
      <w:r>
        <w:rPr/>
        <w:t>年年报及</w:t>
      </w:r>
      <w:r>
        <w:rPr>
          <w:rFonts w:ascii="华文细黑" w:hAnsi="华文细黑" w:cs="华文细黑" w:eastAsia="华文细黑" w:hint="default"/>
        </w:rPr>
        <w:t>2018</w:t>
      </w:r>
      <w:r>
        <w:rPr/>
        <w:t>年第一季度共计提坏 账准备</w:t>
      </w:r>
      <w:r>
        <w:rPr>
          <w:rFonts w:ascii="华文细黑" w:hAnsi="华文细黑" w:cs="华文细黑" w:eastAsia="华文细黑" w:hint="default"/>
        </w:rPr>
        <w:t>19,014,000.00</w:t>
      </w:r>
      <w:r>
        <w:rPr/>
        <w:t>元。</w:t>
      </w:r>
    </w:p>
    <w:p>
      <w:pPr>
        <w:pStyle w:val="BodyText"/>
        <w:spacing w:line="379" w:lineRule="auto" w:before="51"/>
        <w:ind w:left="154" w:right="1118" w:firstLine="420"/>
        <w:jc w:val="left"/>
      </w:pPr>
      <w:r>
        <w:rPr>
          <w:rFonts w:ascii="华文细黑" w:hAnsi="华文细黑" w:cs="华文细黑" w:eastAsia="华文细黑" w:hint="default"/>
        </w:rPr>
        <w:t>2018</w:t>
      </w:r>
      <w:r>
        <w:rPr/>
        <w:t>年</w:t>
      </w:r>
      <w:r>
        <w:rPr>
          <w:rFonts w:ascii="华文细黑" w:hAnsi="华文细黑" w:cs="华文细黑" w:eastAsia="华文细黑" w:hint="default"/>
        </w:rPr>
        <w:t>8</w:t>
      </w:r>
      <w:r>
        <w:rPr/>
        <w:t>月</w:t>
      </w:r>
      <w:r>
        <w:rPr>
          <w:rFonts w:ascii="华文细黑" w:hAnsi="华文细黑" w:cs="华文细黑" w:eastAsia="华文细黑" w:hint="default"/>
        </w:rPr>
        <w:t>24</w:t>
      </w:r>
      <w:r>
        <w:rPr/>
        <w:t>日，公司第四届董事会第二十次（定期）会议审议通过了《关于计提资产减值准备的议 </w:t>
      </w:r>
      <w:r>
        <w:rPr>
          <w:spacing w:val="-3"/>
        </w:rPr>
        <w:t>案》。公司董事会同意对与店商互联有关的投资及往来金额全额计提减值准备合计为</w:t>
      </w:r>
      <w:r>
        <w:rPr>
          <w:rFonts w:ascii="华文细黑" w:hAnsi="华文细黑" w:cs="华文细黑" w:eastAsia="华文细黑" w:hint="default"/>
          <w:spacing w:val="-3"/>
        </w:rPr>
        <w:t>37,486,369.60</w:t>
      </w:r>
      <w:r>
        <w:rPr>
          <w:spacing w:val="-3"/>
        </w:rPr>
        <w:t>元。</w:t>
      </w:r>
    </w:p>
    <w:p>
      <w:pPr>
        <w:pStyle w:val="BodyText"/>
        <w:spacing w:line="240" w:lineRule="auto" w:before="51"/>
        <w:ind w:left="574" w:right="1116"/>
        <w:jc w:val="left"/>
      </w:pPr>
      <w:r>
        <w:rPr/>
        <w:t>具体内容详见公司在</w:t>
      </w:r>
      <w:r>
        <w:rPr>
          <w:rFonts w:ascii="华文细黑" w:hAnsi="华文细黑" w:cs="华文细黑" w:eastAsia="华文细黑" w:hint="default"/>
        </w:rPr>
        <w:t>2018</w:t>
      </w:r>
      <w:r>
        <w:rPr/>
        <w:t>年</w:t>
      </w:r>
      <w:r>
        <w:rPr>
          <w:rFonts w:ascii="华文细黑" w:hAnsi="华文细黑" w:cs="华文细黑" w:eastAsia="华文细黑" w:hint="default"/>
        </w:rPr>
        <w:t>5</w:t>
      </w:r>
      <w:r>
        <w:rPr/>
        <w:t>月</w:t>
      </w:r>
      <w:r>
        <w:rPr>
          <w:rFonts w:ascii="华文细黑" w:hAnsi="华文细黑" w:cs="华文细黑" w:eastAsia="华文细黑" w:hint="default"/>
        </w:rPr>
        <w:t>28</w:t>
      </w:r>
      <w:r>
        <w:rPr/>
        <w:t>日刊登于巨潮资讯网（</w:t>
      </w:r>
      <w:hyperlink r:id="rId21">
        <w:r>
          <w:rPr>
            <w:rFonts w:ascii="华文细黑" w:hAnsi="华文细黑" w:cs="华文细黑" w:eastAsia="华文细黑" w:hint="default"/>
          </w:rPr>
          <w:t>www.cninfo.com.cn</w:t>
        </w:r>
      </w:hyperlink>
      <w:r>
        <w:rPr/>
        <w:t>）的《涉及重大诉讼</w:t>
      </w:r>
    </w:p>
    <w:p>
      <w:pPr>
        <w:pStyle w:val="BodyText"/>
        <w:spacing w:line="240" w:lineRule="auto" w:before="170"/>
        <w:ind w:left="154" w:right="1116"/>
        <w:jc w:val="left"/>
      </w:pPr>
      <w:r>
        <w:rPr>
          <w:spacing w:val="11"/>
        </w:rPr>
        <w:t>（仲裁）</w:t>
      </w:r>
      <w:r>
        <w:rPr>
          <w:spacing w:val="13"/>
        </w:rPr>
        <w:t>的</w:t>
      </w:r>
      <w:r>
        <w:rPr>
          <w:spacing w:val="11"/>
        </w:rPr>
        <w:t>公告</w:t>
      </w:r>
      <w:r>
        <w:rPr>
          <w:spacing w:val="-93"/>
        </w:rPr>
        <w:t>》</w:t>
      </w:r>
      <w:r>
        <w:rPr>
          <w:spacing w:val="14"/>
        </w:rPr>
        <w:t>。</w:t>
      </w:r>
      <w:r>
        <w:rPr>
          <w:rFonts w:ascii="华文细黑" w:hAnsi="华文细黑" w:cs="华文细黑" w:eastAsia="华文细黑" w:hint="default"/>
        </w:rPr>
        <w:t>201</w:t>
      </w:r>
      <w:r>
        <w:rPr>
          <w:rFonts w:ascii="华文细黑" w:hAnsi="华文细黑" w:cs="华文细黑" w:eastAsia="华文细黑" w:hint="default"/>
          <w:spacing w:val="12"/>
        </w:rPr>
        <w:t>8</w:t>
      </w:r>
      <w:r>
        <w:rPr>
          <w:spacing w:val="12"/>
        </w:rPr>
        <w:t>年</w:t>
      </w:r>
      <w:r>
        <w:rPr>
          <w:rFonts w:ascii="华文细黑" w:hAnsi="华文细黑" w:cs="华文细黑" w:eastAsia="华文细黑" w:hint="default"/>
          <w:spacing w:val="12"/>
        </w:rPr>
        <w:t>8</w:t>
      </w:r>
      <w:r>
        <w:rPr>
          <w:spacing w:val="12"/>
        </w:rPr>
        <w:t>月</w:t>
      </w:r>
      <w:r>
        <w:rPr>
          <w:rFonts w:ascii="华文细黑" w:hAnsi="华文细黑" w:cs="华文细黑" w:eastAsia="华文细黑" w:hint="default"/>
        </w:rPr>
        <w:t>2</w:t>
      </w:r>
      <w:r>
        <w:rPr>
          <w:rFonts w:ascii="华文细黑" w:hAnsi="华文细黑" w:cs="华文细黑" w:eastAsia="华文细黑" w:hint="default"/>
          <w:spacing w:val="12"/>
        </w:rPr>
        <w:t>8</w:t>
      </w:r>
      <w:r>
        <w:rPr>
          <w:spacing w:val="13"/>
        </w:rPr>
        <w:t>日</w:t>
      </w:r>
      <w:r>
        <w:rPr>
          <w:spacing w:val="11"/>
        </w:rPr>
        <w:t>在指定信</w:t>
      </w:r>
      <w:r>
        <w:rPr>
          <w:spacing w:val="13"/>
        </w:rPr>
        <w:t>息</w:t>
      </w:r>
      <w:r>
        <w:rPr>
          <w:spacing w:val="11"/>
        </w:rPr>
        <w:t>披露媒体</w:t>
      </w:r>
      <w:r>
        <w:rPr>
          <w:spacing w:val="13"/>
        </w:rPr>
        <w:t>《</w:t>
      </w:r>
      <w:r>
        <w:rPr>
          <w:spacing w:val="11"/>
        </w:rPr>
        <w:t>中国证券</w:t>
      </w:r>
      <w:r>
        <w:rPr>
          <w:spacing w:val="13"/>
        </w:rPr>
        <w:t>报</w:t>
      </w:r>
      <w:r>
        <w:rPr>
          <w:spacing w:val="-93"/>
        </w:rPr>
        <w:t>》、</w:t>
      </w:r>
      <w:r>
        <w:rPr>
          <w:spacing w:val="11"/>
        </w:rPr>
        <w:t>《证券时报》及巨</w:t>
      </w:r>
      <w:r>
        <w:rPr>
          <w:spacing w:val="13"/>
        </w:rPr>
        <w:t>潮资讯</w:t>
      </w:r>
      <w:r>
        <w:rPr/>
        <w:t>网</w:t>
      </w:r>
    </w:p>
    <w:p>
      <w:pPr>
        <w:spacing w:line="386" w:lineRule="auto" w:before="171"/>
        <w:ind w:left="574" w:right="4386" w:hanging="420"/>
        <w:jc w:val="left"/>
        <w:rPr>
          <w:rFonts w:ascii="华文细黑" w:hAnsi="华文细黑" w:cs="华文细黑" w:eastAsia="华文细黑" w:hint="default"/>
          <w:sz w:val="21"/>
          <w:szCs w:val="21"/>
        </w:rPr>
      </w:pPr>
      <w:r>
        <w:rPr>
          <w:rFonts w:ascii="华文细黑" w:hAnsi="华文细黑" w:cs="华文细黑" w:eastAsia="华文细黑" w:hint="default"/>
          <w:spacing w:val="-3"/>
          <w:sz w:val="21"/>
          <w:szCs w:val="21"/>
        </w:rPr>
        <w:t>（</w:t>
      </w:r>
      <w:hyperlink r:id="rId21">
        <w:r>
          <w:rPr>
            <w:rFonts w:ascii="华文细黑" w:hAnsi="华文细黑" w:cs="华文细黑" w:eastAsia="华文细黑" w:hint="default"/>
            <w:spacing w:val="-3"/>
            <w:sz w:val="21"/>
            <w:szCs w:val="21"/>
          </w:rPr>
          <w:t>www.cninfo.com.cn</w:t>
        </w:r>
      </w:hyperlink>
      <w:r>
        <w:rPr>
          <w:rFonts w:ascii="华文细黑" w:hAnsi="华文细黑" w:cs="华文细黑" w:eastAsia="华文细黑" w:hint="default"/>
          <w:spacing w:val="-3"/>
          <w:sz w:val="21"/>
          <w:szCs w:val="21"/>
        </w:rPr>
        <w:t>）披露的《关于计提资产减值准备的公告》。</w:t>
      </w:r>
      <w:r>
        <w:rPr>
          <w:rFonts w:ascii="华文细黑" w:hAnsi="华文细黑" w:cs="华文细黑" w:eastAsia="华文细黑" w:hint="default"/>
          <w:spacing w:val="-48"/>
          <w:sz w:val="21"/>
          <w:szCs w:val="21"/>
        </w:rPr>
        <w:t> </w:t>
      </w:r>
      <w:r>
        <w:rPr>
          <w:rFonts w:ascii="华文细黑" w:hAnsi="华文细黑" w:cs="华文细黑" w:eastAsia="华文细黑" w:hint="default"/>
          <w:spacing w:val="-48"/>
          <w:sz w:val="21"/>
          <w:szCs w:val="21"/>
        </w:rPr>
      </w:r>
      <w:r>
        <w:rPr>
          <w:rFonts w:ascii="华文细黑" w:hAnsi="华文细黑" w:cs="华文细黑" w:eastAsia="华文细黑" w:hint="default"/>
          <w:b/>
          <w:bCs/>
          <w:sz w:val="21"/>
          <w:szCs w:val="21"/>
        </w:rPr>
        <w:t>5</w:t>
      </w:r>
      <w:r>
        <w:rPr>
          <w:rFonts w:ascii="华文细黑" w:hAnsi="华文细黑" w:cs="华文细黑" w:eastAsia="华文细黑" w:hint="default"/>
          <w:b/>
          <w:bCs/>
          <w:sz w:val="21"/>
          <w:szCs w:val="21"/>
        </w:rPr>
        <w:t>、公司债兑付兑息暨摘牌</w:t>
      </w:r>
      <w:r>
        <w:rPr>
          <w:rFonts w:ascii="华文细黑" w:hAnsi="华文细黑" w:cs="华文细黑" w:eastAsia="华文细黑" w:hint="default"/>
          <w:sz w:val="21"/>
          <w:szCs w:val="21"/>
        </w:rPr>
      </w:r>
    </w:p>
    <w:p>
      <w:pPr>
        <w:pStyle w:val="BodyText"/>
        <w:spacing w:line="240" w:lineRule="auto" w:before="44"/>
        <w:ind w:left="574" w:right="1217"/>
        <w:jc w:val="left"/>
      </w:pPr>
      <w:r>
        <w:rPr>
          <w:rFonts w:ascii="华文细黑" w:hAnsi="华文细黑" w:cs="华文细黑" w:eastAsia="华文细黑" w:hint="default"/>
        </w:rPr>
        <w:t>2015</w:t>
      </w:r>
      <w:r>
        <w:rPr/>
        <w:t>年公司债券（</w:t>
      </w:r>
      <w:r>
        <w:rPr>
          <w:rFonts w:ascii="华文细黑" w:hAnsi="华文细黑" w:cs="华文细黑" w:eastAsia="华文细黑" w:hint="default"/>
        </w:rPr>
        <w:t>15</w:t>
      </w:r>
      <w:r>
        <w:rPr/>
        <w:t>深爱</w:t>
      </w:r>
      <w:r>
        <w:rPr>
          <w:spacing w:val="50"/>
        </w:rPr>
        <w:t> </w:t>
      </w:r>
      <w:r>
        <w:rPr>
          <w:rFonts w:ascii="华文细黑" w:hAnsi="华文细黑" w:cs="华文细黑" w:eastAsia="华文细黑" w:hint="default"/>
        </w:rPr>
        <w:t>01</w:t>
      </w:r>
      <w:r>
        <w:rPr/>
        <w:t>）于</w:t>
      </w:r>
      <w:r>
        <w:rPr>
          <w:rFonts w:ascii="华文细黑" w:hAnsi="华文细黑" w:cs="华文细黑" w:eastAsia="华文细黑" w:hint="default"/>
        </w:rPr>
        <w:t>2018</w:t>
      </w:r>
      <w:r>
        <w:rPr/>
        <w:t>年</w:t>
      </w:r>
      <w:r>
        <w:rPr>
          <w:rFonts w:ascii="华文细黑" w:hAnsi="华文细黑" w:cs="华文细黑" w:eastAsia="华文细黑" w:hint="default"/>
        </w:rPr>
        <w:t>11</w:t>
      </w:r>
      <w:r>
        <w:rPr/>
        <w:t>月</w:t>
      </w:r>
      <w:r>
        <w:rPr>
          <w:rFonts w:ascii="华文细黑" w:hAnsi="华文细黑" w:cs="华文细黑" w:eastAsia="华文细黑" w:hint="default"/>
        </w:rPr>
        <w:t>9</w:t>
      </w:r>
      <w:r>
        <w:rPr/>
        <w:t>日摘牌，</w:t>
      </w:r>
      <w:r>
        <w:rPr>
          <w:rFonts w:ascii="华文细黑" w:hAnsi="华文细黑" w:cs="华文细黑" w:eastAsia="华文细黑" w:hint="default"/>
        </w:rPr>
        <w:t>2018</w:t>
      </w:r>
      <w:r>
        <w:rPr/>
        <w:t>年</w:t>
      </w:r>
      <w:r>
        <w:rPr>
          <w:rFonts w:ascii="华文细黑" w:hAnsi="华文细黑" w:cs="华文细黑" w:eastAsia="华文细黑" w:hint="default"/>
        </w:rPr>
        <w:t>11</w:t>
      </w:r>
      <w:r>
        <w:rPr/>
        <w:t>月</w:t>
      </w:r>
      <w:r>
        <w:rPr>
          <w:rFonts w:ascii="华文细黑" w:hAnsi="华文细黑" w:cs="华文细黑" w:eastAsia="华文细黑" w:hint="default"/>
        </w:rPr>
        <w:t>13</w:t>
      </w:r>
      <w:r>
        <w:rPr/>
        <w:t>日完成债券兑付兑息。</w:t>
      </w:r>
    </w:p>
    <w:p>
      <w:pPr>
        <w:spacing w:line="240" w:lineRule="auto" w:before="12"/>
        <w:rPr>
          <w:rFonts w:ascii="华文细黑" w:hAnsi="华文细黑" w:cs="华文细黑" w:eastAsia="华文细黑" w:hint="default"/>
          <w:sz w:val="12"/>
          <w:szCs w:val="12"/>
        </w:rPr>
      </w:pPr>
    </w:p>
    <w:p>
      <w:pPr>
        <w:pStyle w:val="BodyText"/>
        <w:spacing w:line="240" w:lineRule="auto"/>
        <w:ind w:left="574" w:right="1116"/>
        <w:jc w:val="left"/>
      </w:pPr>
      <w:r>
        <w:rPr>
          <w:spacing w:val="18"/>
        </w:rPr>
        <w:t>详见</w:t>
      </w:r>
      <w:r>
        <w:rPr>
          <w:spacing w:val="17"/>
        </w:rPr>
        <w:t>公</w:t>
      </w:r>
      <w:r>
        <w:rPr>
          <w:spacing w:val="18"/>
        </w:rPr>
        <w:t>司</w:t>
      </w:r>
      <w:r>
        <w:rPr/>
        <w:t>于</w:t>
      </w:r>
      <w:r>
        <w:rPr>
          <w:spacing w:val="-34"/>
        </w:rPr>
        <w:t> </w:t>
      </w:r>
      <w:r>
        <w:rPr>
          <w:rFonts w:ascii="华文细黑" w:hAnsi="华文细黑" w:cs="华文细黑" w:eastAsia="华文细黑" w:hint="default"/>
        </w:rPr>
        <w:t>2018</w:t>
      </w:r>
      <w:r>
        <w:rPr>
          <w:rFonts w:ascii="华文细黑" w:hAnsi="华文细黑" w:cs="华文细黑" w:eastAsia="华文细黑" w:hint="default"/>
          <w:spacing w:val="-34"/>
        </w:rPr>
        <w:t> </w:t>
      </w:r>
      <w:r>
        <w:rPr/>
        <w:t>年</w:t>
      </w:r>
      <w:r>
        <w:rPr>
          <w:spacing w:val="-34"/>
        </w:rPr>
        <w:t> </w:t>
      </w:r>
      <w:r>
        <w:rPr>
          <w:rFonts w:ascii="华文细黑" w:hAnsi="华文细黑" w:cs="华文细黑" w:eastAsia="华文细黑" w:hint="default"/>
          <w:spacing w:val="-2"/>
        </w:rPr>
        <w:t>1</w:t>
      </w:r>
      <w:r>
        <w:rPr>
          <w:rFonts w:ascii="华文细黑" w:hAnsi="华文细黑" w:cs="华文细黑" w:eastAsia="华文细黑" w:hint="default"/>
        </w:rPr>
        <w:t>1</w:t>
      </w:r>
      <w:r>
        <w:rPr>
          <w:rFonts w:ascii="华文细黑" w:hAnsi="华文细黑" w:cs="华文细黑" w:eastAsia="华文细黑" w:hint="default"/>
          <w:spacing w:val="-34"/>
        </w:rPr>
        <w:t> </w:t>
      </w:r>
      <w:r>
        <w:rPr>
          <w:spacing w:val="18"/>
        </w:rPr>
        <w:t>月</w:t>
      </w:r>
      <w:r>
        <w:rPr>
          <w:rFonts w:ascii="华文细黑" w:hAnsi="华文细黑" w:cs="华文细黑" w:eastAsia="华文细黑" w:hint="default"/>
        </w:rPr>
        <w:t>09</w:t>
      </w:r>
      <w:r>
        <w:rPr>
          <w:rFonts w:ascii="华文细黑" w:hAnsi="华文细黑" w:cs="华文细黑" w:eastAsia="华文细黑" w:hint="default"/>
          <w:spacing w:val="-34"/>
        </w:rPr>
        <w:t> </w:t>
      </w:r>
      <w:r>
        <w:rPr>
          <w:spacing w:val="17"/>
        </w:rPr>
        <w:t>日</w:t>
      </w:r>
      <w:r>
        <w:rPr>
          <w:spacing w:val="18"/>
        </w:rPr>
        <w:t>在指</w:t>
      </w:r>
      <w:r>
        <w:rPr>
          <w:spacing w:val="17"/>
        </w:rPr>
        <w:t>定</w:t>
      </w:r>
      <w:r>
        <w:rPr>
          <w:spacing w:val="18"/>
        </w:rPr>
        <w:t>信息</w:t>
      </w:r>
      <w:r>
        <w:rPr>
          <w:spacing w:val="17"/>
        </w:rPr>
        <w:t>披</w:t>
      </w:r>
      <w:r>
        <w:rPr>
          <w:spacing w:val="18"/>
        </w:rPr>
        <w:t>露</w:t>
      </w:r>
      <w:r>
        <w:rPr>
          <w:spacing w:val="17"/>
        </w:rPr>
        <w:t>媒</w:t>
      </w:r>
      <w:r>
        <w:rPr>
          <w:spacing w:val="18"/>
        </w:rPr>
        <w:t>体</w:t>
      </w:r>
      <w:r>
        <w:rPr/>
        <w:t>《</w:t>
      </w:r>
      <w:r>
        <w:rPr>
          <w:spacing w:val="-34"/>
        </w:rPr>
        <w:t> </w:t>
      </w:r>
      <w:r>
        <w:rPr>
          <w:spacing w:val="17"/>
        </w:rPr>
        <w:t>中</w:t>
      </w:r>
      <w:r>
        <w:rPr>
          <w:spacing w:val="18"/>
        </w:rPr>
        <w:t>国</w:t>
      </w:r>
      <w:r>
        <w:rPr>
          <w:spacing w:val="17"/>
        </w:rPr>
        <w:t>证</w:t>
      </w:r>
      <w:r>
        <w:rPr>
          <w:spacing w:val="18"/>
        </w:rPr>
        <w:t>券</w:t>
      </w:r>
      <w:r>
        <w:rPr/>
        <w:t>报</w:t>
      </w:r>
      <w:r>
        <w:rPr>
          <w:spacing w:val="-34"/>
        </w:rPr>
        <w:t> </w:t>
      </w:r>
      <w:r>
        <w:rPr>
          <w:spacing w:val="-87"/>
        </w:rPr>
        <w:t>》、</w:t>
      </w:r>
      <w:r>
        <w:rPr>
          <w:spacing w:val="17"/>
        </w:rPr>
        <w:t>《证</w:t>
      </w:r>
      <w:r>
        <w:rPr/>
        <w:t>券</w:t>
      </w:r>
      <w:r>
        <w:rPr>
          <w:spacing w:val="-34"/>
        </w:rPr>
        <w:t> </w:t>
      </w:r>
      <w:r>
        <w:rPr>
          <w:spacing w:val="18"/>
        </w:rPr>
        <w:t>时</w:t>
      </w:r>
      <w:r>
        <w:rPr>
          <w:spacing w:val="17"/>
        </w:rPr>
        <w:t>报</w:t>
      </w:r>
      <w:r>
        <w:rPr/>
        <w:t>》</w:t>
      </w:r>
      <w:r>
        <w:rPr>
          <w:spacing w:val="-34"/>
        </w:rPr>
        <w:t> </w:t>
      </w:r>
      <w:r>
        <w:rPr>
          <w:spacing w:val="17"/>
        </w:rPr>
        <w:t>及</w:t>
      </w:r>
      <w:r>
        <w:rPr>
          <w:spacing w:val="18"/>
        </w:rPr>
        <w:t>巨潮</w:t>
      </w:r>
      <w:r>
        <w:rPr>
          <w:spacing w:val="17"/>
        </w:rPr>
        <w:t>资</w:t>
      </w:r>
      <w:r>
        <w:rPr>
          <w:spacing w:val="18"/>
        </w:rPr>
        <w:t>讯</w:t>
      </w:r>
      <w:r>
        <w:rPr/>
        <w:t>网</w:t>
      </w:r>
    </w:p>
    <w:p>
      <w:pPr>
        <w:pStyle w:val="BodyText"/>
        <w:spacing w:line="240" w:lineRule="auto" w:before="170"/>
        <w:ind w:left="154" w:right="1217"/>
        <w:jc w:val="left"/>
      </w:pPr>
      <w:r>
        <w:rPr/>
        <w:t>（</w:t>
      </w:r>
      <w:hyperlink r:id="rId21">
        <w:r>
          <w:rPr>
            <w:rFonts w:ascii="华文细黑" w:hAnsi="华文细黑" w:cs="华文细黑" w:eastAsia="华文细黑" w:hint="default"/>
          </w:rPr>
          <w:t>w</w:t>
        </w:r>
        <w:r>
          <w:rPr>
            <w:rFonts w:ascii="华文细黑" w:hAnsi="华文细黑" w:cs="华文细黑" w:eastAsia="华文细黑" w:hint="default"/>
            <w:spacing w:val="-2"/>
          </w:rPr>
          <w:t>w</w:t>
        </w:r>
        <w:r>
          <w:rPr>
            <w:rFonts w:ascii="华文细黑" w:hAnsi="华文细黑" w:cs="华文细黑" w:eastAsia="华文细黑" w:hint="default"/>
          </w:rPr>
          <w:t>w.</w:t>
        </w:r>
        <w:r>
          <w:rPr>
            <w:rFonts w:ascii="华文细黑" w:hAnsi="华文细黑" w:cs="华文细黑" w:eastAsia="华文细黑" w:hint="default"/>
            <w:spacing w:val="-1"/>
          </w:rPr>
          <w:t>c</w:t>
        </w:r>
        <w:r>
          <w:rPr>
            <w:rFonts w:ascii="华文细黑" w:hAnsi="华文细黑" w:cs="华文细黑" w:eastAsia="华文细黑" w:hint="default"/>
          </w:rPr>
          <w:t>ninfo.com</w:t>
        </w:r>
        <w:r>
          <w:rPr>
            <w:rFonts w:ascii="华文细黑" w:hAnsi="华文细黑" w:cs="华文细黑" w:eastAsia="华文细黑" w:hint="default"/>
            <w:spacing w:val="-1"/>
          </w:rPr>
          <w:t>.</w:t>
        </w:r>
        <w:r>
          <w:rPr>
            <w:rFonts w:ascii="华文细黑" w:hAnsi="华文细黑" w:cs="华文细黑" w:eastAsia="华文细黑" w:hint="default"/>
          </w:rPr>
          <w:t>cn</w:t>
        </w:r>
      </w:hyperlink>
      <w:r>
        <w:rPr/>
        <w:t>）披露的</w:t>
      </w:r>
      <w:r>
        <w:rPr>
          <w:spacing w:val="-105"/>
        </w:rPr>
        <w:t>《</w:t>
      </w:r>
      <w:r>
        <w:rPr>
          <w:spacing w:val="-2"/>
        </w:rPr>
        <w:t>“</w:t>
      </w:r>
      <w:r>
        <w:rPr>
          <w:rFonts w:ascii="华文细黑" w:hAnsi="华文细黑" w:cs="华文细黑" w:eastAsia="华文细黑" w:hint="default"/>
        </w:rPr>
        <w:t>15</w:t>
      </w:r>
      <w:r>
        <w:rPr/>
        <w:t>深爱</w:t>
      </w:r>
      <w:r>
        <w:rPr>
          <w:rFonts w:ascii="华文细黑" w:hAnsi="华文细黑" w:cs="华文细黑" w:eastAsia="华文细黑" w:hint="default"/>
        </w:rPr>
        <w:t>01</w:t>
      </w:r>
      <w:r>
        <w:rPr/>
        <w:t>”</w:t>
      </w:r>
      <w:r>
        <w:rPr>
          <w:rFonts w:ascii="华文细黑" w:hAnsi="华文细黑" w:cs="华文细黑" w:eastAsia="华文细黑" w:hint="default"/>
        </w:rPr>
        <w:t>2018</w:t>
      </w:r>
      <w:r>
        <w:rPr/>
        <w:t>年兑付兑息暨摘牌公告</w:t>
      </w:r>
      <w:r>
        <w:rPr>
          <w:spacing w:val="-105"/>
        </w:rPr>
        <w:t>》</w:t>
      </w:r>
      <w:r>
        <w:rPr/>
        <w:t>。</w:t>
      </w:r>
    </w:p>
    <w:p>
      <w:pPr>
        <w:spacing w:line="240" w:lineRule="auto" w:before="0"/>
        <w:rPr>
          <w:rFonts w:ascii="华文细黑" w:hAnsi="华文细黑" w:cs="华文细黑" w:eastAsia="华文细黑" w:hint="default"/>
          <w:sz w:val="20"/>
          <w:szCs w:val="20"/>
        </w:rPr>
      </w:pPr>
    </w:p>
    <w:p>
      <w:pPr>
        <w:spacing w:line="240" w:lineRule="auto" w:before="5"/>
        <w:rPr>
          <w:rFonts w:ascii="华文细黑" w:hAnsi="华文细黑" w:cs="华文细黑" w:eastAsia="华文细黑" w:hint="default"/>
          <w:sz w:val="13"/>
          <w:szCs w:val="13"/>
        </w:rPr>
      </w:pPr>
    </w:p>
    <w:p>
      <w:pPr>
        <w:pStyle w:val="Heading2"/>
        <w:spacing w:line="240" w:lineRule="auto"/>
        <w:ind w:left="154" w:right="1217"/>
        <w:jc w:val="left"/>
        <w:rPr>
          <w:b w:val="0"/>
          <w:bCs w:val="0"/>
        </w:rPr>
      </w:pPr>
      <w:bookmarkStart w:name="二十、公司子公司重大事项" w:id="130"/>
      <w:bookmarkEnd w:id="130"/>
      <w:r>
        <w:rPr>
          <w:b w:val="0"/>
          <w:bCs w:val="0"/>
        </w:rPr>
      </w:r>
      <w:r>
        <w:rPr/>
        <w:t>二十、公司子公司重大事项</w:t>
      </w:r>
      <w:r>
        <w:rPr>
          <w:b w:val="0"/>
          <w:bCs w:val="0"/>
        </w:rPr>
      </w:r>
    </w:p>
    <w:p>
      <w:pPr>
        <w:spacing w:line="240" w:lineRule="auto" w:before="0"/>
        <w:rPr>
          <w:rFonts w:ascii="华文细黑" w:hAnsi="华文细黑" w:cs="华文细黑" w:eastAsia="华文细黑" w:hint="default"/>
          <w:b/>
          <w:bCs/>
          <w:sz w:val="30"/>
          <w:szCs w:val="30"/>
        </w:rPr>
      </w:pPr>
    </w:p>
    <w:p>
      <w:pPr>
        <w:pStyle w:val="BodyText"/>
        <w:spacing w:line="240" w:lineRule="auto"/>
        <w:ind w:left="154" w:right="1217"/>
        <w:jc w:val="left"/>
      </w:pPr>
      <w:r>
        <w:rPr/>
        <w:t>□  适用  √</w:t>
      </w:r>
      <w:r>
        <w:rPr>
          <w:spacing w:val="51"/>
        </w:rPr>
        <w:t> </w:t>
      </w:r>
      <w:r>
        <w:rPr/>
        <w:t>不适用</w:t>
      </w:r>
    </w:p>
    <w:p>
      <w:pPr>
        <w:spacing w:after="0" w:line="240" w:lineRule="auto"/>
        <w:jc w:val="left"/>
        <w:sectPr>
          <w:pgSz w:w="11910" w:h="16840"/>
          <w:pgMar w:header="917" w:footer="1019" w:top="1100" w:bottom="1200" w:left="980" w:right="0"/>
        </w:sect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4"/>
        <w:rPr>
          <w:rFonts w:ascii="华文细黑" w:hAnsi="华文细黑" w:cs="华文细黑" w:eastAsia="华文细黑" w:hint="default"/>
          <w:sz w:val="14"/>
          <w:szCs w:val="14"/>
        </w:rPr>
      </w:pPr>
    </w:p>
    <w:p>
      <w:pPr>
        <w:pStyle w:val="Heading1"/>
        <w:spacing w:line="416" w:lineRule="exact"/>
        <w:ind w:left="3910" w:right="0"/>
        <w:jc w:val="left"/>
        <w:rPr>
          <w:b w:val="0"/>
          <w:bCs w:val="0"/>
        </w:rPr>
      </w:pPr>
      <w:bookmarkStart w:name="第六节 股份变动及股东情况" w:id="131"/>
      <w:bookmarkEnd w:id="131"/>
      <w:r>
        <w:rPr>
          <w:b w:val="0"/>
          <w:bCs w:val="0"/>
        </w:rPr>
      </w:r>
      <w:bookmarkStart w:name="_bookmark4" w:id="132"/>
      <w:bookmarkEnd w:id="132"/>
      <w:r>
        <w:rPr>
          <w:b w:val="0"/>
          <w:bCs w:val="0"/>
        </w:rPr>
      </w:r>
      <w:r>
        <w:rPr/>
        <w:t>第六节</w:t>
      </w:r>
      <w:r>
        <w:rPr>
          <w:spacing w:val="80"/>
        </w:rPr>
        <w:t> </w:t>
      </w:r>
      <w:r>
        <w:rPr/>
        <w:t>股份变动及股东情况</w:t>
      </w:r>
      <w:r>
        <w:rPr>
          <w:b w:val="0"/>
          <w:bCs w:val="0"/>
        </w:rPr>
      </w:r>
    </w:p>
    <w:p>
      <w:pPr>
        <w:spacing w:line="240" w:lineRule="auto" w:before="0"/>
        <w:rPr>
          <w:rFonts w:ascii="华文细黑" w:hAnsi="华文细黑" w:cs="华文细黑" w:eastAsia="华文细黑" w:hint="default"/>
          <w:b/>
          <w:bCs/>
          <w:sz w:val="20"/>
          <w:szCs w:val="20"/>
        </w:rPr>
      </w:pPr>
    </w:p>
    <w:p>
      <w:pPr>
        <w:spacing w:line="240" w:lineRule="auto" w:before="4"/>
        <w:rPr>
          <w:rFonts w:ascii="华文细黑" w:hAnsi="华文细黑" w:cs="华文细黑" w:eastAsia="华文细黑" w:hint="default"/>
          <w:b/>
          <w:bCs/>
          <w:sz w:val="23"/>
          <w:szCs w:val="23"/>
        </w:rPr>
      </w:pPr>
    </w:p>
    <w:p>
      <w:pPr>
        <w:pStyle w:val="Heading2"/>
        <w:spacing w:line="396" w:lineRule="exact"/>
        <w:ind w:left="1094" w:right="0"/>
        <w:jc w:val="left"/>
        <w:rPr>
          <w:b w:val="0"/>
          <w:bCs w:val="0"/>
        </w:rPr>
      </w:pPr>
      <w:bookmarkStart w:name="一、股份变动情况" w:id="133"/>
      <w:bookmarkEnd w:id="133"/>
      <w:r>
        <w:rPr>
          <w:b w:val="0"/>
          <w:bCs w:val="0"/>
        </w:rPr>
      </w:r>
      <w:r>
        <w:rPr/>
        <w:t>一、股份变动情况</w:t>
      </w:r>
      <w:r>
        <w:rPr>
          <w:b w:val="0"/>
          <w:bCs w:val="0"/>
        </w:rPr>
      </w:r>
    </w:p>
    <w:p>
      <w:pPr>
        <w:spacing w:line="240" w:lineRule="auto" w:before="0"/>
        <w:rPr>
          <w:rFonts w:ascii="华文细黑" w:hAnsi="华文细黑" w:cs="华文细黑" w:eastAsia="华文细黑" w:hint="default"/>
          <w:b/>
          <w:bCs/>
          <w:sz w:val="30"/>
          <w:szCs w:val="30"/>
        </w:rPr>
      </w:pPr>
    </w:p>
    <w:p>
      <w:pPr>
        <w:pStyle w:val="Heading5"/>
        <w:spacing w:line="240" w:lineRule="auto" w:before="0"/>
        <w:ind w:left="1094" w:right="0"/>
        <w:jc w:val="left"/>
        <w:rPr>
          <w:b w:val="0"/>
          <w:bCs w:val="0"/>
        </w:rPr>
      </w:pPr>
      <w:bookmarkStart w:name="1、股份变动情况" w:id="134"/>
      <w:bookmarkEnd w:id="134"/>
      <w:r>
        <w:rPr>
          <w:b w:val="0"/>
          <w:bCs w:val="0"/>
        </w:rPr>
      </w:r>
      <w:r>
        <w:rPr>
          <w:rFonts w:ascii="华文细黑" w:hAnsi="华文细黑" w:cs="华文细黑" w:eastAsia="华文细黑" w:hint="default"/>
        </w:rPr>
        <w:t>1</w:t>
      </w:r>
      <w:r>
        <w:rPr/>
        <w:t>、股份变动情况</w:t>
      </w:r>
      <w:r>
        <w:rPr>
          <w:b w:val="0"/>
          <w:bCs w:val="0"/>
        </w:rPr>
      </w:r>
    </w:p>
    <w:p>
      <w:pPr>
        <w:spacing w:line="240" w:lineRule="auto" w:before="9"/>
        <w:rPr>
          <w:rFonts w:ascii="华文细黑" w:hAnsi="华文细黑" w:cs="华文细黑" w:eastAsia="华文细黑" w:hint="default"/>
          <w:b/>
          <w:bCs/>
          <w:sz w:val="22"/>
          <w:szCs w:val="22"/>
        </w:rPr>
      </w:pPr>
    </w:p>
    <w:p>
      <w:pPr>
        <w:spacing w:before="23"/>
        <w:ind w:left="0" w:right="1130" w:firstLine="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单位：股</w:t>
      </w:r>
    </w:p>
    <w:p>
      <w:pPr>
        <w:spacing w:line="240" w:lineRule="auto" w:before="13"/>
        <w:rPr>
          <w:rFonts w:ascii="华文细黑" w:hAnsi="华文细黑" w:cs="华文细黑" w:eastAsia="华文细黑" w:hint="default"/>
          <w:sz w:val="6"/>
          <w:szCs w:val="6"/>
        </w:rPr>
      </w:pPr>
    </w:p>
    <w:tbl>
      <w:tblPr>
        <w:tblW w:w="0" w:type="auto"/>
        <w:jc w:val="left"/>
        <w:tblInd w:w="106" w:type="dxa"/>
        <w:tblLayout w:type="fixed"/>
        <w:tblCellMar>
          <w:top w:w="0" w:type="dxa"/>
          <w:left w:w="0" w:type="dxa"/>
          <w:bottom w:w="0" w:type="dxa"/>
          <w:right w:w="0" w:type="dxa"/>
        </w:tblCellMar>
        <w:tblLook w:val="01E0"/>
      </w:tblPr>
      <w:tblGrid>
        <w:gridCol w:w="1440"/>
        <w:gridCol w:w="1455"/>
        <w:gridCol w:w="946"/>
        <w:gridCol w:w="660"/>
        <w:gridCol w:w="825"/>
        <w:gridCol w:w="1276"/>
        <w:gridCol w:w="1290"/>
        <w:gridCol w:w="1215"/>
        <w:gridCol w:w="1410"/>
        <w:gridCol w:w="916"/>
      </w:tblGrid>
      <w:tr>
        <w:trPr>
          <w:trHeight w:val="402" w:hRule="exact"/>
        </w:trPr>
        <w:tc>
          <w:tcPr>
            <w:tcW w:w="1440" w:type="dxa"/>
            <w:vMerge w:val="restart"/>
            <w:tcBorders>
              <w:top w:val="single" w:sz="4" w:space="0" w:color="FFC000"/>
              <w:left w:val="single" w:sz="4" w:space="0" w:color="FFC000"/>
              <w:right w:val="single" w:sz="4" w:space="0" w:color="FFC000"/>
            </w:tcBorders>
            <w:shd w:val="clear" w:color="auto" w:fill="FFF8E6"/>
          </w:tcPr>
          <w:p>
            <w:pPr/>
          </w:p>
        </w:tc>
        <w:tc>
          <w:tcPr>
            <w:tcW w:w="2400"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74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本次变动前</w:t>
            </w:r>
          </w:p>
        </w:tc>
        <w:tc>
          <w:tcPr>
            <w:tcW w:w="5265" w:type="dxa"/>
            <w:gridSpan w:val="5"/>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63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本次变动增减（＋，－）</w:t>
            </w:r>
          </w:p>
        </w:tc>
        <w:tc>
          <w:tcPr>
            <w:tcW w:w="2326"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70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本次变动后</w:t>
            </w:r>
          </w:p>
        </w:tc>
      </w:tr>
      <w:tr>
        <w:trPr>
          <w:trHeight w:val="714" w:hRule="exact"/>
        </w:trPr>
        <w:tc>
          <w:tcPr>
            <w:tcW w:w="1440" w:type="dxa"/>
            <w:vMerge/>
            <w:tcBorders>
              <w:left w:val="single" w:sz="4" w:space="0" w:color="FFC000"/>
              <w:bottom w:val="single" w:sz="4" w:space="0" w:color="FFC000"/>
              <w:right w:val="single" w:sz="4" w:space="0" w:color="FFC000"/>
            </w:tcBorders>
            <w:shd w:val="clear" w:color="auto" w:fill="FFF8E6"/>
          </w:tcPr>
          <w:p>
            <w:pPr/>
          </w:p>
        </w:tc>
        <w:tc>
          <w:tcPr>
            <w:tcW w:w="145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数量</w:t>
            </w:r>
          </w:p>
        </w:tc>
        <w:tc>
          <w:tcPr>
            <w:tcW w:w="94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28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比例</w:t>
            </w:r>
          </w:p>
        </w:tc>
        <w:tc>
          <w:tcPr>
            <w:tcW w:w="6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45" w:right="14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发行 新股</w:t>
            </w:r>
          </w:p>
        </w:tc>
        <w:tc>
          <w:tcPr>
            <w:tcW w:w="82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22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送股</w:t>
            </w:r>
          </w:p>
        </w:tc>
        <w:tc>
          <w:tcPr>
            <w:tcW w:w="12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8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公积金转股</w:t>
            </w:r>
          </w:p>
        </w:tc>
        <w:tc>
          <w:tcPr>
            <w:tcW w:w="12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121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小计</w:t>
            </w:r>
          </w:p>
        </w:tc>
        <w:tc>
          <w:tcPr>
            <w:tcW w:w="14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数量</w:t>
            </w:r>
          </w:p>
        </w:tc>
        <w:tc>
          <w:tcPr>
            <w:tcW w:w="9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27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比例</w:t>
            </w:r>
          </w:p>
        </w:tc>
      </w:tr>
      <w:tr>
        <w:trPr>
          <w:trHeight w:val="714" w:hRule="exact"/>
        </w:trPr>
        <w:tc>
          <w:tcPr>
            <w:tcW w:w="14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6"/>
                <w:sz w:val="18"/>
                <w:szCs w:val="18"/>
              </w:rPr>
              <w:t>一、有限售条件</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股份</w:t>
            </w:r>
          </w:p>
        </w:tc>
        <w:tc>
          <w:tcPr>
            <w:tcW w:w="14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w w:val="95"/>
                <w:sz w:val="18"/>
              </w:rPr>
              <w:t>57,748,739</w:t>
            </w:r>
          </w:p>
        </w:tc>
        <w:tc>
          <w:tcPr>
            <w:tcW w:w="9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5.59%</w:t>
            </w:r>
          </w:p>
        </w:tc>
        <w:tc>
          <w:tcPr>
            <w:tcW w:w="6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82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w w:val="95"/>
                <w:sz w:val="18"/>
              </w:rPr>
              <w:t>11,356,948</w:t>
            </w:r>
          </w:p>
        </w:tc>
        <w:tc>
          <w:tcPr>
            <w:tcW w:w="12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-2,997,701</w:t>
            </w:r>
          </w:p>
        </w:tc>
        <w:tc>
          <w:tcPr>
            <w:tcW w:w="12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8,359,247</w:t>
            </w:r>
          </w:p>
        </w:tc>
        <w:tc>
          <w:tcPr>
            <w:tcW w:w="1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w w:val="95"/>
                <w:sz w:val="18"/>
              </w:rPr>
              <w:t>66,107,986</w:t>
            </w:r>
          </w:p>
        </w:tc>
        <w:tc>
          <w:tcPr>
            <w:tcW w:w="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5.33%</w:t>
            </w:r>
          </w:p>
        </w:tc>
      </w:tr>
      <w:tr>
        <w:trPr>
          <w:trHeight w:val="402" w:hRule="exact"/>
        </w:trPr>
        <w:tc>
          <w:tcPr>
            <w:tcW w:w="14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、国家持股</w:t>
            </w:r>
          </w:p>
        </w:tc>
        <w:tc>
          <w:tcPr>
            <w:tcW w:w="14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c>
          <w:tcPr>
            <w:tcW w:w="9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0.00%</w:t>
            </w:r>
          </w:p>
        </w:tc>
        <w:tc>
          <w:tcPr>
            <w:tcW w:w="6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c>
          <w:tcPr>
            <w:tcW w:w="82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0</w:t>
            </w:r>
          </w:p>
        </w:tc>
        <w:tc>
          <w:tcPr>
            <w:tcW w:w="12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c>
          <w:tcPr>
            <w:tcW w:w="12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c>
          <w:tcPr>
            <w:tcW w:w="1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c>
          <w:tcPr>
            <w:tcW w:w="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0.00%</w:t>
            </w:r>
          </w:p>
        </w:tc>
      </w:tr>
      <w:tr>
        <w:trPr>
          <w:trHeight w:val="714" w:hRule="exact"/>
        </w:trPr>
        <w:tc>
          <w:tcPr>
            <w:tcW w:w="14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45"/>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、国有法人持 股</w:t>
            </w:r>
          </w:p>
        </w:tc>
        <w:tc>
          <w:tcPr>
            <w:tcW w:w="14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9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0.00%</w:t>
            </w:r>
          </w:p>
        </w:tc>
        <w:tc>
          <w:tcPr>
            <w:tcW w:w="6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82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w:t>
            </w:r>
          </w:p>
        </w:tc>
        <w:tc>
          <w:tcPr>
            <w:tcW w:w="12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2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0.00%</w:t>
            </w:r>
          </w:p>
        </w:tc>
      </w:tr>
      <w:tr>
        <w:trPr>
          <w:trHeight w:val="714" w:hRule="exact"/>
        </w:trPr>
        <w:tc>
          <w:tcPr>
            <w:tcW w:w="14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45"/>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w:t>
            </w:r>
            <w:r>
              <w:rPr>
                <w:rFonts w:ascii="华文细黑" w:hAnsi="华文细黑" w:cs="华文细黑" w:eastAsia="华文细黑" w:hint="default"/>
                <w:sz w:val="18"/>
                <w:szCs w:val="18"/>
              </w:rPr>
              <w:t>、其他内资持 股</w:t>
            </w:r>
          </w:p>
        </w:tc>
        <w:tc>
          <w:tcPr>
            <w:tcW w:w="14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w w:val="95"/>
                <w:sz w:val="18"/>
              </w:rPr>
              <w:t>57,748,739</w:t>
            </w:r>
          </w:p>
        </w:tc>
        <w:tc>
          <w:tcPr>
            <w:tcW w:w="9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5.59%</w:t>
            </w:r>
          </w:p>
        </w:tc>
        <w:tc>
          <w:tcPr>
            <w:tcW w:w="6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82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w w:val="95"/>
                <w:sz w:val="18"/>
              </w:rPr>
              <w:t>11,356,948</w:t>
            </w:r>
          </w:p>
        </w:tc>
        <w:tc>
          <w:tcPr>
            <w:tcW w:w="12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-2,997,701</w:t>
            </w:r>
          </w:p>
        </w:tc>
        <w:tc>
          <w:tcPr>
            <w:tcW w:w="12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8,359,247</w:t>
            </w:r>
          </w:p>
        </w:tc>
        <w:tc>
          <w:tcPr>
            <w:tcW w:w="1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w w:val="95"/>
                <w:sz w:val="18"/>
              </w:rPr>
              <w:t>66,107,986</w:t>
            </w:r>
          </w:p>
        </w:tc>
        <w:tc>
          <w:tcPr>
            <w:tcW w:w="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5.33%</w:t>
            </w:r>
          </w:p>
        </w:tc>
      </w:tr>
      <w:tr>
        <w:trPr>
          <w:trHeight w:val="714" w:hRule="exact"/>
        </w:trPr>
        <w:tc>
          <w:tcPr>
            <w:tcW w:w="14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6"/>
                <w:sz w:val="18"/>
                <w:szCs w:val="18"/>
              </w:rPr>
              <w:t>其中：境内法人</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持股</w:t>
            </w:r>
          </w:p>
        </w:tc>
        <w:tc>
          <w:tcPr>
            <w:tcW w:w="14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w w:val="95"/>
                <w:sz w:val="18"/>
              </w:rPr>
              <w:t>25,350,000</w:t>
            </w:r>
          </w:p>
        </w:tc>
        <w:tc>
          <w:tcPr>
            <w:tcW w:w="9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pacing w:val="-1"/>
                <w:sz w:val="18"/>
              </w:rPr>
              <w:t>2.45%</w:t>
            </w:r>
          </w:p>
        </w:tc>
        <w:tc>
          <w:tcPr>
            <w:tcW w:w="6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82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5,070,000</w:t>
            </w:r>
          </w:p>
        </w:tc>
        <w:tc>
          <w:tcPr>
            <w:tcW w:w="12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2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5,070,000</w:t>
            </w:r>
          </w:p>
        </w:tc>
        <w:tc>
          <w:tcPr>
            <w:tcW w:w="1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w w:val="95"/>
                <w:sz w:val="18"/>
              </w:rPr>
              <w:t>30,420,000</w:t>
            </w:r>
          </w:p>
        </w:tc>
        <w:tc>
          <w:tcPr>
            <w:tcW w:w="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2.45%</w:t>
            </w:r>
          </w:p>
        </w:tc>
      </w:tr>
      <w:tr>
        <w:trPr>
          <w:trHeight w:val="714" w:hRule="exact"/>
        </w:trPr>
        <w:tc>
          <w:tcPr>
            <w:tcW w:w="14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245" w:firstLine="54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境内自 然人持股</w:t>
            </w:r>
          </w:p>
        </w:tc>
        <w:tc>
          <w:tcPr>
            <w:tcW w:w="14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w w:val="95"/>
                <w:sz w:val="18"/>
              </w:rPr>
              <w:t>32,398,739</w:t>
            </w:r>
          </w:p>
        </w:tc>
        <w:tc>
          <w:tcPr>
            <w:tcW w:w="9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3.14%</w:t>
            </w:r>
          </w:p>
        </w:tc>
        <w:tc>
          <w:tcPr>
            <w:tcW w:w="6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82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6,286,948</w:t>
            </w:r>
          </w:p>
        </w:tc>
        <w:tc>
          <w:tcPr>
            <w:tcW w:w="12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-2,997,701</w:t>
            </w:r>
          </w:p>
        </w:tc>
        <w:tc>
          <w:tcPr>
            <w:tcW w:w="12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3,289,247</w:t>
            </w:r>
          </w:p>
        </w:tc>
        <w:tc>
          <w:tcPr>
            <w:tcW w:w="1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w w:val="95"/>
                <w:sz w:val="18"/>
              </w:rPr>
              <w:t>35,687,986</w:t>
            </w:r>
          </w:p>
        </w:tc>
        <w:tc>
          <w:tcPr>
            <w:tcW w:w="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2.88%</w:t>
            </w:r>
          </w:p>
        </w:tc>
      </w:tr>
      <w:tr>
        <w:trPr>
          <w:trHeight w:val="402" w:hRule="exact"/>
        </w:trPr>
        <w:tc>
          <w:tcPr>
            <w:tcW w:w="14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4</w:t>
            </w:r>
            <w:r>
              <w:rPr>
                <w:rFonts w:ascii="华文细黑" w:hAnsi="华文细黑" w:cs="华文细黑" w:eastAsia="华文细黑" w:hint="default"/>
                <w:sz w:val="18"/>
                <w:szCs w:val="18"/>
              </w:rPr>
              <w:t>、外资持股</w:t>
            </w:r>
          </w:p>
        </w:tc>
        <w:tc>
          <w:tcPr>
            <w:tcW w:w="14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c>
          <w:tcPr>
            <w:tcW w:w="9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0.00%</w:t>
            </w:r>
          </w:p>
        </w:tc>
        <w:tc>
          <w:tcPr>
            <w:tcW w:w="6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c>
          <w:tcPr>
            <w:tcW w:w="82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0</w:t>
            </w:r>
          </w:p>
        </w:tc>
        <w:tc>
          <w:tcPr>
            <w:tcW w:w="12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c>
          <w:tcPr>
            <w:tcW w:w="12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c>
          <w:tcPr>
            <w:tcW w:w="1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c>
          <w:tcPr>
            <w:tcW w:w="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0.00%</w:t>
            </w:r>
          </w:p>
        </w:tc>
      </w:tr>
      <w:tr>
        <w:trPr>
          <w:trHeight w:val="714" w:hRule="exact"/>
        </w:trPr>
        <w:tc>
          <w:tcPr>
            <w:tcW w:w="14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6"/>
                <w:sz w:val="18"/>
                <w:szCs w:val="18"/>
              </w:rPr>
              <w:t>其中：境外法人</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持股</w:t>
            </w:r>
          </w:p>
        </w:tc>
        <w:tc>
          <w:tcPr>
            <w:tcW w:w="14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9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0.00%</w:t>
            </w:r>
          </w:p>
        </w:tc>
        <w:tc>
          <w:tcPr>
            <w:tcW w:w="6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82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w:t>
            </w:r>
          </w:p>
        </w:tc>
        <w:tc>
          <w:tcPr>
            <w:tcW w:w="12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2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0.00%</w:t>
            </w:r>
          </w:p>
        </w:tc>
      </w:tr>
      <w:tr>
        <w:trPr>
          <w:trHeight w:val="714" w:hRule="exact"/>
        </w:trPr>
        <w:tc>
          <w:tcPr>
            <w:tcW w:w="14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245" w:firstLine="54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境外自 然人持股</w:t>
            </w:r>
          </w:p>
        </w:tc>
        <w:tc>
          <w:tcPr>
            <w:tcW w:w="14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9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0.00%</w:t>
            </w:r>
          </w:p>
        </w:tc>
        <w:tc>
          <w:tcPr>
            <w:tcW w:w="6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82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w:t>
            </w:r>
          </w:p>
        </w:tc>
        <w:tc>
          <w:tcPr>
            <w:tcW w:w="12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2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0.00%</w:t>
            </w:r>
          </w:p>
        </w:tc>
      </w:tr>
      <w:tr>
        <w:trPr>
          <w:trHeight w:val="714" w:hRule="exact"/>
        </w:trPr>
        <w:tc>
          <w:tcPr>
            <w:tcW w:w="14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6"/>
                <w:sz w:val="18"/>
                <w:szCs w:val="18"/>
              </w:rPr>
              <w:t>二、无限售条件</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股份</w:t>
            </w:r>
          </w:p>
        </w:tc>
        <w:tc>
          <w:tcPr>
            <w:tcW w:w="14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pacing w:val="-1"/>
                <w:sz w:val="18"/>
              </w:rPr>
              <w:t>974,986,100</w:t>
            </w:r>
          </w:p>
        </w:tc>
        <w:tc>
          <w:tcPr>
            <w:tcW w:w="9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94.41%</w:t>
            </w:r>
          </w:p>
        </w:tc>
        <w:tc>
          <w:tcPr>
            <w:tcW w:w="6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82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194,997,220</w:t>
            </w:r>
          </w:p>
        </w:tc>
        <w:tc>
          <w:tcPr>
            <w:tcW w:w="12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3,190,500</w:t>
            </w:r>
          </w:p>
        </w:tc>
        <w:tc>
          <w:tcPr>
            <w:tcW w:w="12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198,187,720</w:t>
            </w:r>
          </w:p>
        </w:tc>
        <w:tc>
          <w:tcPr>
            <w:tcW w:w="1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1,173,173,820</w:t>
            </w:r>
          </w:p>
        </w:tc>
        <w:tc>
          <w:tcPr>
            <w:tcW w:w="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94.67%</w:t>
            </w:r>
          </w:p>
        </w:tc>
      </w:tr>
      <w:tr>
        <w:trPr>
          <w:trHeight w:val="714" w:hRule="exact"/>
        </w:trPr>
        <w:tc>
          <w:tcPr>
            <w:tcW w:w="14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45"/>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、人民币普通 股</w:t>
            </w:r>
          </w:p>
        </w:tc>
        <w:tc>
          <w:tcPr>
            <w:tcW w:w="14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974,986,100</w:t>
            </w:r>
          </w:p>
        </w:tc>
        <w:tc>
          <w:tcPr>
            <w:tcW w:w="9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94.41%</w:t>
            </w:r>
          </w:p>
        </w:tc>
        <w:tc>
          <w:tcPr>
            <w:tcW w:w="6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82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194,997,220</w:t>
            </w:r>
          </w:p>
        </w:tc>
        <w:tc>
          <w:tcPr>
            <w:tcW w:w="12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3,190,500</w:t>
            </w:r>
          </w:p>
        </w:tc>
        <w:tc>
          <w:tcPr>
            <w:tcW w:w="12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198,187,720</w:t>
            </w:r>
          </w:p>
        </w:tc>
        <w:tc>
          <w:tcPr>
            <w:tcW w:w="1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1,173,173,820</w:t>
            </w:r>
          </w:p>
        </w:tc>
        <w:tc>
          <w:tcPr>
            <w:tcW w:w="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94.67%</w:t>
            </w:r>
          </w:p>
        </w:tc>
      </w:tr>
      <w:tr>
        <w:trPr>
          <w:trHeight w:val="714" w:hRule="exact"/>
        </w:trPr>
        <w:tc>
          <w:tcPr>
            <w:tcW w:w="14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45"/>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、境内上市的 外资股</w:t>
            </w:r>
          </w:p>
        </w:tc>
        <w:tc>
          <w:tcPr>
            <w:tcW w:w="14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9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0.00%</w:t>
            </w:r>
          </w:p>
        </w:tc>
        <w:tc>
          <w:tcPr>
            <w:tcW w:w="6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82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w:t>
            </w:r>
          </w:p>
        </w:tc>
        <w:tc>
          <w:tcPr>
            <w:tcW w:w="12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2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0.00%</w:t>
            </w:r>
          </w:p>
        </w:tc>
      </w:tr>
      <w:tr>
        <w:trPr>
          <w:trHeight w:val="713" w:hRule="exact"/>
        </w:trPr>
        <w:tc>
          <w:tcPr>
            <w:tcW w:w="14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45"/>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w:t>
            </w:r>
            <w:r>
              <w:rPr>
                <w:rFonts w:ascii="华文细黑" w:hAnsi="华文细黑" w:cs="华文细黑" w:eastAsia="华文细黑" w:hint="default"/>
                <w:sz w:val="18"/>
                <w:szCs w:val="18"/>
              </w:rPr>
              <w:t>、境外上市的 外资股</w:t>
            </w:r>
          </w:p>
        </w:tc>
        <w:tc>
          <w:tcPr>
            <w:tcW w:w="14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9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0.00%</w:t>
            </w:r>
          </w:p>
        </w:tc>
        <w:tc>
          <w:tcPr>
            <w:tcW w:w="6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82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w:t>
            </w:r>
          </w:p>
        </w:tc>
        <w:tc>
          <w:tcPr>
            <w:tcW w:w="12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2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0.00%</w:t>
            </w:r>
          </w:p>
        </w:tc>
      </w:tr>
      <w:tr>
        <w:trPr>
          <w:trHeight w:val="402" w:hRule="exact"/>
        </w:trPr>
        <w:tc>
          <w:tcPr>
            <w:tcW w:w="14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4</w:t>
            </w:r>
            <w:r>
              <w:rPr>
                <w:rFonts w:ascii="华文细黑" w:hAnsi="华文细黑" w:cs="华文细黑" w:eastAsia="华文细黑" w:hint="default"/>
                <w:sz w:val="18"/>
                <w:szCs w:val="18"/>
              </w:rPr>
              <w:t>、其他</w:t>
            </w:r>
          </w:p>
        </w:tc>
        <w:tc>
          <w:tcPr>
            <w:tcW w:w="14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0</w:t>
            </w:r>
          </w:p>
        </w:tc>
        <w:tc>
          <w:tcPr>
            <w:tcW w:w="9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0.00%</w:t>
            </w:r>
          </w:p>
        </w:tc>
        <w:tc>
          <w:tcPr>
            <w:tcW w:w="6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0</w:t>
            </w:r>
          </w:p>
        </w:tc>
        <w:tc>
          <w:tcPr>
            <w:tcW w:w="82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0</w:t>
            </w:r>
          </w:p>
        </w:tc>
        <w:tc>
          <w:tcPr>
            <w:tcW w:w="12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0</w:t>
            </w:r>
          </w:p>
        </w:tc>
        <w:tc>
          <w:tcPr>
            <w:tcW w:w="12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0</w:t>
            </w:r>
          </w:p>
        </w:tc>
        <w:tc>
          <w:tcPr>
            <w:tcW w:w="1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0</w:t>
            </w:r>
          </w:p>
        </w:tc>
        <w:tc>
          <w:tcPr>
            <w:tcW w:w="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0.00%</w:t>
            </w:r>
          </w:p>
        </w:tc>
      </w:tr>
      <w:tr>
        <w:trPr>
          <w:trHeight w:val="403" w:hRule="exact"/>
        </w:trPr>
        <w:tc>
          <w:tcPr>
            <w:tcW w:w="14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三、股份总数</w:t>
            </w:r>
          </w:p>
        </w:tc>
        <w:tc>
          <w:tcPr>
            <w:tcW w:w="14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1,032,734,839</w:t>
            </w:r>
          </w:p>
        </w:tc>
        <w:tc>
          <w:tcPr>
            <w:tcW w:w="94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100.00%</w:t>
            </w:r>
          </w:p>
        </w:tc>
        <w:tc>
          <w:tcPr>
            <w:tcW w:w="6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0</w:t>
            </w:r>
          </w:p>
        </w:tc>
        <w:tc>
          <w:tcPr>
            <w:tcW w:w="82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206,354,168</w:t>
            </w:r>
          </w:p>
        </w:tc>
        <w:tc>
          <w:tcPr>
            <w:tcW w:w="12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192,799</w:t>
            </w:r>
          </w:p>
        </w:tc>
        <w:tc>
          <w:tcPr>
            <w:tcW w:w="12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206,546,967</w:t>
            </w:r>
          </w:p>
        </w:tc>
        <w:tc>
          <w:tcPr>
            <w:tcW w:w="1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1,239,281,806</w:t>
            </w:r>
          </w:p>
        </w:tc>
        <w:tc>
          <w:tcPr>
            <w:tcW w:w="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100.00%</w:t>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40" w:right="0"/>
        </w:sectPr>
      </w:pPr>
    </w:p>
    <w:p>
      <w:pPr>
        <w:spacing w:line="240" w:lineRule="auto" w:before="8"/>
        <w:rPr>
          <w:rFonts w:ascii="华文细黑" w:hAnsi="华文细黑" w:cs="华文细黑" w:eastAsia="华文细黑" w:hint="default"/>
          <w:sz w:val="26"/>
          <w:szCs w:val="26"/>
        </w:rPr>
      </w:pPr>
    </w:p>
    <w:p>
      <w:pPr>
        <w:pStyle w:val="BodyText"/>
        <w:spacing w:line="240" w:lineRule="auto" w:before="10"/>
        <w:ind w:left="154" w:right="1217"/>
        <w:jc w:val="left"/>
      </w:pPr>
      <w:r>
        <w:rPr/>
        <w:t>股份变动的原因</w:t>
      </w:r>
    </w:p>
    <w:p>
      <w:pPr>
        <w:spacing w:line="240" w:lineRule="auto" w:before="13"/>
        <w:rPr>
          <w:rFonts w:ascii="华文细黑" w:hAnsi="华文细黑" w:cs="华文细黑" w:eastAsia="华文细黑" w:hint="default"/>
          <w:sz w:val="14"/>
          <w:szCs w:val="14"/>
        </w:rPr>
      </w:pPr>
    </w:p>
    <w:p>
      <w:pPr>
        <w:pStyle w:val="BodyText"/>
        <w:spacing w:line="388" w:lineRule="auto"/>
        <w:ind w:left="154" w:right="1210"/>
        <w:jc w:val="left"/>
      </w:pPr>
      <w:r>
        <w:rPr/>
        <w:t>√ 适用 □</w:t>
      </w:r>
      <w:r>
        <w:rPr>
          <w:spacing w:val="51"/>
        </w:rPr>
        <w:t> </w:t>
      </w:r>
      <w:r>
        <w:rPr/>
        <w:t>不适用</w:t>
      </w:r>
      <w:r>
        <w:rPr/>
        <w:t> </w:t>
      </w:r>
      <w:r>
        <w:rPr>
          <w:rFonts w:ascii="华文细黑" w:hAnsi="华文细黑" w:cs="华文细黑" w:eastAsia="华文细黑" w:hint="default"/>
        </w:rPr>
        <w:t>1</w:t>
      </w:r>
      <w:r>
        <w:rPr/>
        <w:t>、报告期内，公司有限售条件股份减少，无限售条件股份增加，主要原因系高管锁定股每年解除</w:t>
      </w:r>
      <w:r>
        <w:rPr>
          <w:rFonts w:ascii="华文细黑" w:hAnsi="华文细黑" w:cs="华文细黑" w:eastAsia="华文细黑" w:hint="default"/>
        </w:rPr>
        <w:t>25%</w:t>
      </w:r>
      <w:r>
        <w:rPr/>
        <w:t>限 售和高管离职满</w:t>
      </w:r>
      <w:r>
        <w:rPr>
          <w:rFonts w:ascii="华文细黑" w:hAnsi="华文细黑" w:cs="华文细黑" w:eastAsia="华文细黑" w:hint="default"/>
        </w:rPr>
        <w:t>18</w:t>
      </w:r>
      <w:r>
        <w:rPr/>
        <w:t>个月解除限售所致。 </w:t>
      </w:r>
      <w:r>
        <w:rPr>
          <w:rFonts w:ascii="华文细黑" w:hAnsi="华文细黑" w:cs="华文细黑" w:eastAsia="华文细黑" w:hint="default"/>
        </w:rPr>
        <w:t>2</w:t>
      </w:r>
      <w:r>
        <w:rPr/>
        <w:t>、报告期内，公司完成了</w:t>
      </w:r>
      <w:r>
        <w:rPr>
          <w:rFonts w:ascii="华文细黑" w:hAnsi="华文细黑" w:cs="华文细黑" w:eastAsia="华文细黑" w:hint="default"/>
        </w:rPr>
        <w:t>2017</w:t>
      </w:r>
      <w:r>
        <w:rPr/>
        <w:t>年度权益分派，以资本公积向全体股东每</w:t>
      </w:r>
      <w:r>
        <w:rPr>
          <w:rFonts w:ascii="华文细黑" w:hAnsi="华文细黑" w:cs="华文细黑" w:eastAsia="华文细黑" w:hint="default"/>
        </w:rPr>
        <w:t>10</w:t>
      </w:r>
      <w:r>
        <w:rPr/>
        <w:t>股转增</w:t>
      </w:r>
      <w:r>
        <w:rPr>
          <w:rFonts w:ascii="华文细黑" w:hAnsi="华文细黑" w:cs="华文细黑" w:eastAsia="华文细黑" w:hint="default"/>
        </w:rPr>
        <w:t>2</w:t>
      </w:r>
      <w:r>
        <w:rPr/>
        <w:t>股，从而导致公司总 股本发生变化。</w:t>
      </w:r>
    </w:p>
    <w:p>
      <w:pPr>
        <w:spacing w:line="240" w:lineRule="auto" w:before="0"/>
        <w:rPr>
          <w:rFonts w:ascii="华文细黑" w:hAnsi="华文细黑" w:cs="华文细黑" w:eastAsia="华文细黑" w:hint="default"/>
          <w:sz w:val="20"/>
          <w:szCs w:val="20"/>
        </w:rPr>
      </w:pPr>
    </w:p>
    <w:p>
      <w:pPr>
        <w:spacing w:line="240" w:lineRule="auto" w:before="14"/>
        <w:rPr>
          <w:rFonts w:ascii="华文细黑" w:hAnsi="华文细黑" w:cs="华文细黑" w:eastAsia="华文细黑" w:hint="default"/>
          <w:sz w:val="18"/>
          <w:szCs w:val="18"/>
        </w:rPr>
      </w:pPr>
    </w:p>
    <w:p>
      <w:pPr>
        <w:pStyle w:val="BodyText"/>
        <w:spacing w:line="240" w:lineRule="auto"/>
        <w:ind w:left="154" w:right="1217"/>
        <w:jc w:val="left"/>
      </w:pPr>
      <w:r>
        <w:rPr/>
        <w:t>股份变动的批准情况</w:t>
      </w:r>
    </w:p>
    <w:p>
      <w:pPr>
        <w:spacing w:line="240" w:lineRule="auto" w:before="13"/>
        <w:rPr>
          <w:rFonts w:ascii="华文细黑" w:hAnsi="华文细黑" w:cs="华文细黑" w:eastAsia="华文细黑" w:hint="default"/>
          <w:sz w:val="14"/>
          <w:szCs w:val="14"/>
        </w:rPr>
      </w:pPr>
    </w:p>
    <w:p>
      <w:pPr>
        <w:pStyle w:val="BodyText"/>
        <w:spacing w:line="388" w:lineRule="auto"/>
        <w:ind w:left="154" w:right="1026"/>
        <w:jc w:val="left"/>
      </w:pPr>
      <w:r>
        <w:rPr/>
        <w:t>√ 适用 □</w:t>
      </w:r>
      <w:r>
        <w:rPr>
          <w:spacing w:val="51"/>
        </w:rPr>
        <w:t> </w:t>
      </w:r>
      <w:r>
        <w:rPr/>
        <w:t>不适用</w:t>
      </w:r>
      <w:r>
        <w:rPr/>
        <w:t> </w:t>
      </w:r>
      <w:r>
        <w:rPr>
          <w:spacing w:val="-1"/>
        </w:rPr>
        <w:t>公司《</w:t>
      </w:r>
      <w:r>
        <w:rPr>
          <w:rFonts w:ascii="华文细黑" w:hAnsi="华文细黑" w:cs="华文细黑" w:eastAsia="华文细黑" w:hint="default"/>
          <w:spacing w:val="-1"/>
        </w:rPr>
        <w:t>2017</w:t>
      </w:r>
      <w:r>
        <w:rPr>
          <w:spacing w:val="-1"/>
        </w:rPr>
        <w:t>年度利润分配预案》已经第四届董事会第十四次（定期）会议与</w:t>
      </w:r>
      <w:r>
        <w:rPr>
          <w:rFonts w:ascii="华文细黑" w:hAnsi="华文细黑" w:cs="华文细黑" w:eastAsia="华文细黑" w:hint="default"/>
          <w:spacing w:val="-1"/>
        </w:rPr>
        <w:t>2017</w:t>
      </w:r>
      <w:r>
        <w:rPr>
          <w:spacing w:val="-1"/>
        </w:rPr>
        <w:t>年度股东大会审议通过，</w:t>
      </w:r>
      <w:r>
        <w:rPr>
          <w:spacing w:val="-14"/>
        </w:rPr>
        <w:t> </w:t>
      </w:r>
      <w:r>
        <w:rPr>
          <w:spacing w:val="-2"/>
        </w:rPr>
        <w:t>具体情况请见公司指定信息披露媒体巨潮资讯网</w:t>
      </w:r>
      <w:r>
        <w:rPr>
          <w:rFonts w:ascii="华文细黑" w:hAnsi="华文细黑" w:cs="华文细黑" w:eastAsia="华文细黑" w:hint="default"/>
          <w:spacing w:val="-2"/>
        </w:rPr>
        <w:t>(www.cninfo.com)</w:t>
      </w:r>
      <w:r>
        <w:rPr>
          <w:spacing w:val="-2"/>
        </w:rPr>
        <w:t>上的公告。（公告编号：</w:t>
      </w:r>
      <w:r>
        <w:rPr>
          <w:rFonts w:ascii="华文细黑" w:hAnsi="华文细黑" w:cs="华文细黑" w:eastAsia="华文细黑" w:hint="default"/>
          <w:spacing w:val="-2"/>
        </w:rPr>
        <w:t>2018-025</w:t>
      </w:r>
      <w:r>
        <w:rPr>
          <w:spacing w:val="-2"/>
        </w:rPr>
        <w:t>、</w:t>
      </w:r>
      <w:r>
        <w:rPr>
          <w:spacing w:val="-51"/>
        </w:rPr>
        <w:t> </w:t>
      </w:r>
      <w:r>
        <w:rPr>
          <w:rFonts w:ascii="华文细黑" w:hAnsi="华文细黑" w:cs="华文细黑" w:eastAsia="华文细黑" w:hint="default"/>
        </w:rPr>
        <w:t>2018-044</w:t>
      </w:r>
      <w:r>
        <w:rPr/>
        <w:t>）</w:t>
      </w:r>
    </w:p>
    <w:p>
      <w:pPr>
        <w:spacing w:line="240" w:lineRule="auto" w:before="0"/>
        <w:rPr>
          <w:rFonts w:ascii="华文细黑" w:hAnsi="华文细黑" w:cs="华文细黑" w:eastAsia="华文细黑" w:hint="default"/>
          <w:sz w:val="20"/>
          <w:szCs w:val="20"/>
        </w:rPr>
      </w:pPr>
    </w:p>
    <w:p>
      <w:pPr>
        <w:spacing w:line="240" w:lineRule="auto" w:before="14"/>
        <w:rPr>
          <w:rFonts w:ascii="华文细黑" w:hAnsi="华文细黑" w:cs="华文细黑" w:eastAsia="华文细黑" w:hint="default"/>
          <w:sz w:val="18"/>
          <w:szCs w:val="18"/>
        </w:rPr>
      </w:pPr>
    </w:p>
    <w:p>
      <w:pPr>
        <w:pStyle w:val="BodyText"/>
        <w:spacing w:line="240" w:lineRule="auto"/>
        <w:ind w:left="154" w:right="1217"/>
        <w:jc w:val="left"/>
      </w:pPr>
      <w:r>
        <w:rPr/>
        <w:t>股份变动的过户情况</w:t>
      </w:r>
    </w:p>
    <w:p>
      <w:pPr>
        <w:spacing w:line="240" w:lineRule="auto" w:before="14"/>
        <w:rPr>
          <w:rFonts w:ascii="华文细黑" w:hAnsi="华文细黑" w:cs="华文细黑" w:eastAsia="华文细黑" w:hint="default"/>
          <w:sz w:val="14"/>
          <w:szCs w:val="14"/>
        </w:rPr>
      </w:pPr>
    </w:p>
    <w:p>
      <w:pPr>
        <w:pStyle w:val="BodyText"/>
        <w:spacing w:line="240" w:lineRule="auto"/>
        <w:ind w:left="154" w:right="1217"/>
        <w:jc w:val="left"/>
      </w:pPr>
      <w:r>
        <w:rPr/>
        <w:t>□  适用  √</w:t>
      </w:r>
      <w:r>
        <w:rPr>
          <w:spacing w:val="51"/>
        </w:rPr>
        <w:t> </w:t>
      </w:r>
      <w:r>
        <w:rPr/>
        <w:t>不适用</w:t>
      </w: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pStyle w:val="BodyText"/>
        <w:spacing w:line="240" w:lineRule="auto" w:before="155"/>
        <w:ind w:left="154" w:right="1217"/>
        <w:jc w:val="left"/>
      </w:pPr>
      <w:r>
        <w:rPr/>
        <w:t>股份回购的实施进展情况</w:t>
      </w:r>
    </w:p>
    <w:p>
      <w:pPr>
        <w:spacing w:line="240" w:lineRule="auto" w:before="13"/>
        <w:rPr>
          <w:rFonts w:ascii="华文细黑" w:hAnsi="华文细黑" w:cs="华文细黑" w:eastAsia="华文细黑" w:hint="default"/>
          <w:sz w:val="14"/>
          <w:szCs w:val="14"/>
        </w:rPr>
      </w:pPr>
    </w:p>
    <w:p>
      <w:pPr>
        <w:pStyle w:val="BodyText"/>
        <w:spacing w:line="240" w:lineRule="auto"/>
        <w:ind w:left="154" w:right="1217"/>
        <w:jc w:val="left"/>
      </w:pPr>
      <w:r>
        <w:rPr/>
        <w:t>□  适用  √</w:t>
      </w:r>
      <w:r>
        <w:rPr>
          <w:spacing w:val="51"/>
        </w:rPr>
        <w:t> </w:t>
      </w:r>
      <w:r>
        <w:rPr/>
        <w:t>不适用</w:t>
      </w: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pStyle w:val="BodyText"/>
        <w:spacing w:line="240" w:lineRule="auto" w:before="155"/>
        <w:ind w:left="154" w:right="1217"/>
        <w:jc w:val="left"/>
      </w:pPr>
      <w:r>
        <w:rPr/>
        <w:t>采用集中竞价方式减持回购股份的实施进展情况</w:t>
      </w:r>
    </w:p>
    <w:p>
      <w:pPr>
        <w:spacing w:line="240" w:lineRule="auto" w:before="13"/>
        <w:rPr>
          <w:rFonts w:ascii="华文细黑" w:hAnsi="华文细黑" w:cs="华文细黑" w:eastAsia="华文细黑" w:hint="default"/>
          <w:sz w:val="14"/>
          <w:szCs w:val="14"/>
        </w:rPr>
      </w:pPr>
    </w:p>
    <w:p>
      <w:pPr>
        <w:pStyle w:val="BodyText"/>
        <w:spacing w:line="240" w:lineRule="auto"/>
        <w:ind w:left="154" w:right="1217"/>
        <w:jc w:val="left"/>
      </w:pPr>
      <w:r>
        <w:rPr/>
        <w:t>□  适用  √</w:t>
      </w:r>
      <w:r>
        <w:rPr>
          <w:spacing w:val="51"/>
        </w:rPr>
        <w:t> </w:t>
      </w:r>
      <w:r>
        <w:rPr/>
        <w:t>不适用</w:t>
      </w: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pStyle w:val="BodyText"/>
        <w:spacing w:line="379" w:lineRule="auto" w:before="154"/>
        <w:ind w:left="154" w:right="1116"/>
        <w:jc w:val="left"/>
      </w:pPr>
      <w:r>
        <w:rPr>
          <w:spacing w:val="-1"/>
        </w:rPr>
        <w:t>股份变动对最近一年和最近一期基本每股收益和稀释每股收益、归属于公司普通股股东的每股净资产等财</w:t>
      </w:r>
      <w:r>
        <w:rPr>
          <w:spacing w:val="-28"/>
        </w:rPr>
        <w:t> </w:t>
      </w:r>
      <w:r>
        <w:rPr>
          <w:spacing w:val="-28"/>
        </w:rPr>
      </w:r>
      <w:r>
        <w:rPr/>
        <w:t>务指标的影响</w:t>
      </w:r>
    </w:p>
    <w:p>
      <w:pPr>
        <w:pStyle w:val="BodyText"/>
        <w:spacing w:line="388" w:lineRule="auto" w:before="79"/>
        <w:ind w:left="154" w:right="1134"/>
        <w:jc w:val="left"/>
      </w:pPr>
      <w:r>
        <w:rPr/>
        <w:t>√ 适用 □</w:t>
      </w:r>
      <w:r>
        <w:rPr>
          <w:spacing w:val="51"/>
        </w:rPr>
        <w:t> </w:t>
      </w:r>
      <w:r>
        <w:rPr/>
        <w:t>不适用</w:t>
      </w:r>
      <w:r>
        <w:rPr/>
        <w:t> 报告期内，公司完成了</w:t>
      </w:r>
      <w:r>
        <w:rPr>
          <w:rFonts w:ascii="华文细黑" w:hAnsi="华文细黑" w:cs="华文细黑" w:eastAsia="华文细黑" w:hint="default"/>
        </w:rPr>
        <w:t>2017</w:t>
      </w:r>
      <w:r>
        <w:rPr/>
        <w:t>年度权益分派，以资本公积向全体股东每</w:t>
      </w:r>
      <w:r>
        <w:rPr>
          <w:rFonts w:ascii="华文细黑" w:hAnsi="华文细黑" w:cs="华文细黑" w:eastAsia="华文细黑" w:hint="default"/>
        </w:rPr>
        <w:t>10</w:t>
      </w:r>
      <w:r>
        <w:rPr/>
        <w:t>股转增</w:t>
      </w:r>
      <w:r>
        <w:rPr>
          <w:rFonts w:ascii="华文细黑" w:hAnsi="华文细黑" w:cs="华文细黑" w:eastAsia="华文细黑" w:hint="default"/>
        </w:rPr>
        <w:t>2</w:t>
      </w:r>
      <w:r>
        <w:rPr/>
        <w:t>股，从而导致公司总股本 发生变化。</w:t>
      </w:r>
      <w:r>
        <w:rPr>
          <w:rFonts w:ascii="华文细黑" w:hAnsi="华文细黑" w:cs="华文细黑" w:eastAsia="华文细黑" w:hint="default"/>
        </w:rPr>
        <w:t>2018</w:t>
      </w:r>
      <w:r>
        <w:rPr/>
        <w:t>年度每股收益为</w:t>
      </w:r>
      <w:r>
        <w:rPr>
          <w:rFonts w:ascii="华文细黑" w:hAnsi="华文细黑" w:cs="华文细黑" w:eastAsia="华文细黑" w:hint="default"/>
        </w:rPr>
        <w:t>-0.0748</w:t>
      </w:r>
      <w:r>
        <w:rPr/>
        <w:t>元，不进行资本公积转增股本，则</w:t>
      </w:r>
      <w:r>
        <w:rPr>
          <w:rFonts w:ascii="华文细黑" w:hAnsi="华文细黑" w:cs="华文细黑" w:eastAsia="华文细黑" w:hint="default"/>
        </w:rPr>
        <w:t>2018</w:t>
      </w:r>
      <w:r>
        <w:rPr/>
        <w:t>年度每股收益为</w:t>
      </w:r>
      <w:r>
        <w:rPr>
          <w:rFonts w:ascii="华文细黑" w:hAnsi="华文细黑" w:cs="华文细黑" w:eastAsia="华文细黑" w:hint="default"/>
        </w:rPr>
        <w:t>-0.0898 </w:t>
      </w:r>
      <w:r>
        <w:rPr/>
        <w:t>元。</w:t>
      </w:r>
    </w:p>
    <w:p>
      <w:pPr>
        <w:spacing w:after="0" w:line="388" w:lineRule="auto"/>
        <w:jc w:val="left"/>
        <w:sectPr>
          <w:pgSz w:w="11910" w:h="16840"/>
          <w:pgMar w:header="917" w:footer="1019" w:top="1100" w:bottom="1200" w:left="980" w:right="0"/>
        </w:sectPr>
      </w:pPr>
    </w:p>
    <w:p>
      <w:pPr>
        <w:spacing w:line="240" w:lineRule="auto" w:before="8"/>
        <w:rPr>
          <w:rFonts w:ascii="华文细黑" w:hAnsi="华文细黑" w:cs="华文细黑" w:eastAsia="华文细黑" w:hint="default"/>
          <w:sz w:val="26"/>
          <w:szCs w:val="26"/>
        </w:rPr>
      </w:pPr>
    </w:p>
    <w:p>
      <w:pPr>
        <w:pStyle w:val="BodyText"/>
        <w:spacing w:line="240" w:lineRule="auto" w:before="10"/>
        <w:ind w:left="234" w:right="1023"/>
        <w:jc w:val="left"/>
      </w:pPr>
      <w:r>
        <w:rPr/>
        <w:t>公司认为必要或证券监管机构要求披露的其他内容</w:t>
      </w:r>
    </w:p>
    <w:p>
      <w:pPr>
        <w:spacing w:line="240" w:lineRule="auto" w:before="13"/>
        <w:rPr>
          <w:rFonts w:ascii="华文细黑" w:hAnsi="华文细黑" w:cs="华文细黑" w:eastAsia="华文细黑" w:hint="default"/>
          <w:sz w:val="14"/>
          <w:szCs w:val="14"/>
        </w:rPr>
      </w:pPr>
    </w:p>
    <w:p>
      <w:pPr>
        <w:spacing w:line="559" w:lineRule="auto" w:before="0"/>
        <w:ind w:left="234" w:right="8743" w:firstLine="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 适用 √</w:t>
      </w:r>
      <w:r>
        <w:rPr>
          <w:rFonts w:ascii="华文细黑" w:hAnsi="华文细黑" w:cs="华文细黑" w:eastAsia="华文细黑" w:hint="default"/>
          <w:spacing w:val="51"/>
          <w:sz w:val="21"/>
          <w:szCs w:val="21"/>
        </w:rPr>
        <w:t> </w:t>
      </w:r>
      <w:r>
        <w:rPr>
          <w:rFonts w:ascii="华文细黑" w:hAnsi="华文细黑" w:cs="华文细黑" w:eastAsia="华文细黑" w:hint="default"/>
          <w:sz w:val="21"/>
          <w:szCs w:val="21"/>
        </w:rPr>
        <w:t>不适用</w:t>
      </w:r>
      <w:r>
        <w:rPr>
          <w:rFonts w:ascii="华文细黑" w:hAnsi="华文细黑" w:cs="华文细黑" w:eastAsia="华文细黑" w:hint="default"/>
          <w:sz w:val="21"/>
          <w:szCs w:val="21"/>
        </w:rPr>
        <w:t> </w:t>
      </w:r>
      <w:bookmarkStart w:name="2、限售股份变动情况" w:id="135"/>
      <w:bookmarkEnd w:id="135"/>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、限售股份变动情况</w:t>
      </w:r>
      <w:r>
        <w:rPr>
          <w:rFonts w:ascii="华文细黑" w:hAnsi="华文细黑" w:cs="华文细黑" w:eastAsia="华文细黑" w:hint="default"/>
          <w:sz w:val="21"/>
          <w:szCs w:val="21"/>
        </w:rPr>
      </w:r>
    </w:p>
    <w:p>
      <w:pPr>
        <w:spacing w:after="0" w:line="559" w:lineRule="auto"/>
        <w:jc w:val="left"/>
        <w:rPr>
          <w:rFonts w:ascii="华文细黑" w:hAnsi="华文细黑" w:cs="华文细黑" w:eastAsia="华文细黑" w:hint="default"/>
          <w:sz w:val="21"/>
          <w:szCs w:val="21"/>
        </w:rPr>
        <w:sectPr>
          <w:pgSz w:w="11910" w:h="16840"/>
          <w:pgMar w:header="917" w:footer="1019" w:top="1100" w:bottom="1200" w:left="900" w:right="0"/>
        </w:sectPr>
      </w:pPr>
    </w:p>
    <w:p>
      <w:pPr>
        <w:pStyle w:val="BodyText"/>
        <w:spacing w:line="240" w:lineRule="auto" w:before="15"/>
        <w:ind w:left="234" w:right="-19"/>
        <w:jc w:val="left"/>
      </w:pPr>
      <w:r>
        <w:rPr/>
        <w:t>√  适用  □</w:t>
      </w:r>
      <w:r>
        <w:rPr>
          <w:spacing w:val="51"/>
        </w:rPr>
        <w:t> </w:t>
      </w:r>
      <w:r>
        <w:rPr/>
        <w:t>不适用</w:t>
      </w:r>
    </w:p>
    <w:p>
      <w:pPr>
        <w:spacing w:line="240" w:lineRule="auto" w:before="0"/>
        <w:rPr>
          <w:rFonts w:ascii="华文细黑" w:hAnsi="华文细黑" w:cs="华文细黑" w:eastAsia="华文细黑" w:hint="default"/>
          <w:sz w:val="18"/>
          <w:szCs w:val="18"/>
        </w:rPr>
      </w:pPr>
      <w:r>
        <w:rPr/>
        <w:br w:type="column"/>
      </w:r>
      <w:r>
        <w:rPr>
          <w:rFonts w:ascii="华文细黑"/>
          <w:sz w:val="18"/>
        </w:rPr>
      </w:r>
    </w:p>
    <w:p>
      <w:pPr>
        <w:spacing w:before="140"/>
        <w:ind w:left="233" w:right="0" w:firstLine="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单位：股</w:t>
      </w:r>
    </w:p>
    <w:p>
      <w:pPr>
        <w:spacing w:after="0"/>
        <w:jc w:val="left"/>
        <w:rPr>
          <w:rFonts w:ascii="华文细黑" w:hAnsi="华文细黑" w:cs="华文细黑" w:eastAsia="华文细黑" w:hint="default"/>
          <w:sz w:val="18"/>
          <w:szCs w:val="18"/>
        </w:rPr>
        <w:sectPr>
          <w:type w:val="continuous"/>
          <w:pgSz w:w="11910" w:h="16840"/>
          <w:pgMar w:top="240" w:bottom="0" w:left="900" w:right="0"/>
          <w:cols w:num="2" w:equalWidth="0">
            <w:col w:w="2019" w:space="6900"/>
            <w:col w:w="2091"/>
          </w:cols>
        </w:sectPr>
      </w:pPr>
    </w:p>
    <w:p>
      <w:pPr>
        <w:spacing w:line="240" w:lineRule="auto" w:before="12"/>
        <w:rPr>
          <w:rFonts w:ascii="华文细黑" w:hAnsi="华文细黑" w:cs="华文细黑" w:eastAsia="华文细黑" w:hint="default"/>
          <w:sz w:val="6"/>
          <w:szCs w:val="6"/>
        </w:rPr>
      </w:pPr>
    </w:p>
    <w:tbl>
      <w:tblPr>
        <w:tblW w:w="0" w:type="auto"/>
        <w:jc w:val="left"/>
        <w:tblInd w:w="117" w:type="dxa"/>
        <w:tblLayout w:type="fixed"/>
        <w:tblCellMar>
          <w:top w:w="0" w:type="dxa"/>
          <w:left w:w="0" w:type="dxa"/>
          <w:bottom w:w="0" w:type="dxa"/>
          <w:right w:w="0" w:type="dxa"/>
        </w:tblCellMar>
        <w:tblLook w:val="01E0"/>
      </w:tblPr>
      <w:tblGrid>
        <w:gridCol w:w="1370"/>
        <w:gridCol w:w="1367"/>
        <w:gridCol w:w="1367"/>
        <w:gridCol w:w="1367"/>
        <w:gridCol w:w="1367"/>
        <w:gridCol w:w="1367"/>
        <w:gridCol w:w="1368"/>
      </w:tblGrid>
      <w:tr>
        <w:trPr>
          <w:trHeight w:val="714" w:hRule="exact"/>
        </w:trPr>
        <w:tc>
          <w:tcPr>
            <w:tcW w:w="13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31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股东名称</w:t>
            </w:r>
          </w:p>
        </w:tc>
        <w:tc>
          <w:tcPr>
            <w:tcW w:w="13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3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期初限售股数</w:t>
            </w:r>
          </w:p>
        </w:tc>
        <w:tc>
          <w:tcPr>
            <w:tcW w:w="13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498" w:right="137" w:hanging="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本期解除限售 股数</w:t>
            </w:r>
          </w:p>
        </w:tc>
        <w:tc>
          <w:tcPr>
            <w:tcW w:w="13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497" w:right="137" w:hanging="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本期增加限售 股数</w:t>
            </w:r>
          </w:p>
        </w:tc>
        <w:tc>
          <w:tcPr>
            <w:tcW w:w="13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37"/>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期末限售股数</w:t>
            </w:r>
          </w:p>
        </w:tc>
        <w:tc>
          <w:tcPr>
            <w:tcW w:w="13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317"/>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限售原因</w:t>
            </w:r>
          </w:p>
        </w:tc>
        <w:tc>
          <w:tcPr>
            <w:tcW w:w="13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解除限售日期</w:t>
            </w:r>
          </w:p>
        </w:tc>
      </w:tr>
      <w:tr>
        <w:trPr>
          <w:trHeight w:val="714" w:hRule="exact"/>
        </w:trPr>
        <w:tc>
          <w:tcPr>
            <w:tcW w:w="13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7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先锋创业有限 公司</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pacing w:val="-1"/>
                <w:sz w:val="18"/>
              </w:rPr>
              <w:t>20,850,000</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4,170,000</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w w:val="95"/>
                <w:sz w:val="18"/>
              </w:rPr>
              <w:t>25,020,000</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35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增发限售股</w:t>
            </w:r>
          </w:p>
        </w:tc>
        <w:tc>
          <w:tcPr>
            <w:tcW w:w="13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2019</w:t>
            </w:r>
            <w:r>
              <w:rPr>
                <w:rFonts w:ascii="华文细黑" w:hAnsi="华文细黑" w:cs="华文细黑" w:eastAsia="华文细黑" w:hint="default"/>
                <w:spacing w:val="-25"/>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23"/>
                <w:sz w:val="18"/>
                <w:szCs w:val="18"/>
              </w:rPr>
              <w:t> </w:t>
            </w:r>
            <w:r>
              <w:rPr>
                <w:rFonts w:ascii="华文细黑" w:hAnsi="华文细黑" w:cs="华文细黑" w:eastAsia="华文细黑" w:hint="default"/>
                <w:sz w:val="18"/>
                <w:szCs w:val="18"/>
              </w:rPr>
              <w:t>7</w:t>
            </w:r>
            <w:r>
              <w:rPr>
                <w:rFonts w:ascii="华文细黑" w:hAnsi="华文细黑" w:cs="华文细黑" w:eastAsia="华文细黑" w:hint="default"/>
                <w:spacing w:val="-25"/>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25"/>
                <w:sz w:val="18"/>
                <w:szCs w:val="18"/>
              </w:rPr>
              <w:t> </w:t>
            </w:r>
            <w:r>
              <w:rPr>
                <w:rFonts w:ascii="华文细黑" w:hAnsi="华文细黑" w:cs="华文细黑" w:eastAsia="华文细黑" w:hint="default"/>
                <w:sz w:val="18"/>
                <w:szCs w:val="18"/>
              </w:rPr>
              <w:t>22</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日解除限售</w:t>
            </w:r>
          </w:p>
        </w:tc>
      </w:tr>
      <w:tr>
        <w:trPr>
          <w:trHeight w:val="1026" w:hRule="exact"/>
        </w:trPr>
        <w:tc>
          <w:tcPr>
            <w:tcW w:w="13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74"/>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新余爱乐投资 管理中心（有 限合伙）</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4,500,000</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900,000</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5,400,000</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35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增发限售股</w:t>
            </w:r>
          </w:p>
        </w:tc>
        <w:tc>
          <w:tcPr>
            <w:tcW w:w="13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2019</w:t>
            </w:r>
            <w:r>
              <w:rPr>
                <w:rFonts w:ascii="华文细黑" w:hAnsi="华文细黑" w:cs="华文细黑" w:eastAsia="华文细黑" w:hint="default"/>
                <w:spacing w:val="-25"/>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23"/>
                <w:sz w:val="18"/>
                <w:szCs w:val="18"/>
              </w:rPr>
              <w:t> </w:t>
            </w:r>
            <w:r>
              <w:rPr>
                <w:rFonts w:ascii="华文细黑" w:hAnsi="华文细黑" w:cs="华文细黑" w:eastAsia="华文细黑" w:hint="default"/>
                <w:sz w:val="18"/>
                <w:szCs w:val="18"/>
              </w:rPr>
              <w:t>7</w:t>
            </w:r>
            <w:r>
              <w:rPr>
                <w:rFonts w:ascii="华文细黑" w:hAnsi="华文细黑" w:cs="华文细黑" w:eastAsia="华文细黑" w:hint="default"/>
                <w:spacing w:val="-25"/>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25"/>
                <w:sz w:val="18"/>
                <w:szCs w:val="18"/>
              </w:rPr>
              <w:t> </w:t>
            </w:r>
            <w:r>
              <w:rPr>
                <w:rFonts w:ascii="华文细黑" w:hAnsi="华文细黑" w:cs="华文细黑" w:eastAsia="华文细黑" w:hint="default"/>
                <w:sz w:val="18"/>
                <w:szCs w:val="18"/>
              </w:rPr>
              <w:t>22</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日解除限售</w:t>
            </w:r>
          </w:p>
        </w:tc>
      </w:tr>
      <w:tr>
        <w:trPr>
          <w:trHeight w:val="714" w:hRule="exact"/>
        </w:trPr>
        <w:tc>
          <w:tcPr>
            <w:tcW w:w="13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唐进波</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w w:val="95"/>
                <w:sz w:val="18"/>
              </w:rPr>
              <w:t>16,000,000</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3,200,000</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w w:val="95"/>
                <w:sz w:val="18"/>
              </w:rPr>
              <w:t>19,200,000</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35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增发限售股</w:t>
            </w:r>
          </w:p>
        </w:tc>
        <w:tc>
          <w:tcPr>
            <w:tcW w:w="13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2019</w:t>
            </w:r>
            <w:r>
              <w:rPr>
                <w:rFonts w:ascii="华文细黑" w:hAnsi="华文细黑" w:cs="华文细黑" w:eastAsia="华文细黑" w:hint="default"/>
                <w:spacing w:val="-25"/>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23"/>
                <w:sz w:val="18"/>
                <w:szCs w:val="18"/>
              </w:rPr>
              <w:t> </w:t>
            </w:r>
            <w:r>
              <w:rPr>
                <w:rFonts w:ascii="华文细黑" w:hAnsi="华文细黑" w:cs="华文细黑" w:eastAsia="华文细黑" w:hint="default"/>
                <w:sz w:val="18"/>
                <w:szCs w:val="18"/>
              </w:rPr>
              <w:t>7</w:t>
            </w:r>
            <w:r>
              <w:rPr>
                <w:rFonts w:ascii="华文细黑" w:hAnsi="华文细黑" w:cs="华文细黑" w:eastAsia="华文细黑" w:hint="default"/>
                <w:spacing w:val="-25"/>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25"/>
                <w:sz w:val="18"/>
                <w:szCs w:val="18"/>
              </w:rPr>
              <w:t> </w:t>
            </w:r>
            <w:r>
              <w:rPr>
                <w:rFonts w:ascii="华文细黑" w:hAnsi="华文细黑" w:cs="华文细黑" w:eastAsia="华文细黑" w:hint="default"/>
                <w:sz w:val="18"/>
                <w:szCs w:val="18"/>
              </w:rPr>
              <w:t>22</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日解除限售</w:t>
            </w:r>
          </w:p>
        </w:tc>
      </w:tr>
      <w:tr>
        <w:trPr>
          <w:trHeight w:val="1026" w:hRule="exact"/>
        </w:trPr>
        <w:tc>
          <w:tcPr>
            <w:tcW w:w="13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黄绍武</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8,976,519</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1,795,304</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w w:val="95"/>
                <w:sz w:val="18"/>
              </w:rPr>
              <w:t>10,771,823</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4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权益分派及高 管锁定股每年 解除</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25%</w:t>
            </w:r>
            <w:r>
              <w:rPr>
                <w:rFonts w:ascii="华文细黑" w:hAnsi="华文细黑" w:cs="华文细黑" w:eastAsia="华文细黑" w:hint="default"/>
                <w:sz w:val="18"/>
                <w:szCs w:val="18"/>
              </w:rPr>
              <w:t>所致</w:t>
            </w:r>
          </w:p>
        </w:tc>
        <w:tc>
          <w:tcPr>
            <w:tcW w:w="13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103" w:right="17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高管锁定股每 年解除</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25%</w:t>
            </w:r>
          </w:p>
        </w:tc>
      </w:tr>
      <w:tr>
        <w:trPr>
          <w:trHeight w:val="1026" w:hRule="exact"/>
        </w:trPr>
        <w:tc>
          <w:tcPr>
            <w:tcW w:w="13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
              <w:ind w:right="0"/>
              <w:jc w:val="left"/>
              <w:rPr>
                <w:rFonts w:ascii="华文细黑" w:hAnsi="华文细黑" w:cs="华文细黑" w:eastAsia="华文细黑" w:hint="default"/>
                <w:sz w:val="24"/>
                <w:szCs w:val="24"/>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黄文辉</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24"/>
                <w:szCs w:val="24"/>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pacing w:val="-1"/>
                <w:sz w:val="18"/>
              </w:rPr>
              <w:t>6,076,625</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2,033,700</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1,215,325</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5,258,250</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72"/>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非交易过户、 权益分派及所 致</w:t>
            </w:r>
          </w:p>
        </w:tc>
        <w:tc>
          <w:tcPr>
            <w:tcW w:w="13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103" w:right="17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高管锁定股每 年解除</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25%</w:t>
            </w:r>
          </w:p>
        </w:tc>
      </w:tr>
      <w:tr>
        <w:trPr>
          <w:trHeight w:val="714" w:hRule="exact"/>
        </w:trPr>
        <w:tc>
          <w:tcPr>
            <w:tcW w:w="13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夏小华</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964,001</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964,001</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0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高管离职</w:t>
            </w:r>
            <w:r>
              <w:rPr>
                <w:rFonts w:ascii="华文细黑" w:hAnsi="华文细黑" w:cs="华文细黑" w:eastAsia="华文细黑" w:hint="default"/>
                <w:spacing w:val="-21"/>
                <w:sz w:val="18"/>
                <w:szCs w:val="18"/>
              </w:rPr>
              <w:t> </w:t>
            </w:r>
            <w:r>
              <w:rPr>
                <w:rFonts w:ascii="华文细黑" w:hAnsi="华文细黑" w:cs="华文细黑" w:eastAsia="华文细黑" w:hint="default"/>
                <w:sz w:val="18"/>
                <w:szCs w:val="18"/>
              </w:rPr>
              <w:t>18</w:t>
            </w:r>
            <w:r>
              <w:rPr>
                <w:rFonts w:ascii="华文细黑" w:hAnsi="华文细黑" w:cs="华文细黑" w:eastAsia="华文细黑" w:hint="default"/>
                <w:spacing w:val="-21"/>
                <w:sz w:val="18"/>
                <w:szCs w:val="18"/>
              </w:rPr>
              <w:t> </w:t>
            </w:r>
            <w:r>
              <w:rPr>
                <w:rFonts w:ascii="华文细黑" w:hAnsi="华文细黑" w:cs="华文细黑" w:eastAsia="华文细黑" w:hint="default"/>
                <w:sz w:val="18"/>
                <w:szCs w:val="18"/>
              </w:rPr>
              <w:t>个 月解除限售</w:t>
            </w:r>
          </w:p>
        </w:tc>
        <w:tc>
          <w:tcPr>
            <w:tcW w:w="1368"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0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高管离职</w:t>
            </w:r>
            <w:r>
              <w:rPr>
                <w:rFonts w:ascii="华文细黑" w:hAnsi="华文细黑" w:cs="华文细黑" w:eastAsia="华文细黑" w:hint="default"/>
                <w:spacing w:val="-21"/>
                <w:sz w:val="18"/>
                <w:szCs w:val="18"/>
              </w:rPr>
              <w:t> </w:t>
            </w:r>
            <w:r>
              <w:rPr>
                <w:rFonts w:ascii="华文细黑" w:hAnsi="华文细黑" w:cs="华文细黑" w:eastAsia="华文细黑" w:hint="default"/>
                <w:sz w:val="18"/>
                <w:szCs w:val="18"/>
              </w:rPr>
              <w:t>18</w:t>
            </w:r>
            <w:r>
              <w:rPr>
                <w:rFonts w:ascii="华文细黑" w:hAnsi="华文细黑" w:cs="华文细黑" w:eastAsia="华文细黑" w:hint="default"/>
                <w:spacing w:val="-21"/>
                <w:sz w:val="18"/>
                <w:szCs w:val="18"/>
              </w:rPr>
              <w:t> </w:t>
            </w:r>
            <w:r>
              <w:rPr>
                <w:rFonts w:ascii="华文细黑" w:hAnsi="华文细黑" w:cs="华文细黑" w:eastAsia="华文细黑" w:hint="default"/>
                <w:sz w:val="18"/>
                <w:szCs w:val="18"/>
              </w:rPr>
              <w:t>个 月解除限售</w:t>
            </w:r>
          </w:p>
        </w:tc>
      </w:tr>
      <w:tr>
        <w:trPr>
          <w:trHeight w:val="1026" w:hRule="exact"/>
        </w:trPr>
        <w:tc>
          <w:tcPr>
            <w:tcW w:w="13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刘红花</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381,594</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76,319</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457,913</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4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权益分派及高 管锁定股每年 解除</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25%</w:t>
            </w:r>
            <w:r>
              <w:rPr>
                <w:rFonts w:ascii="华文细黑" w:hAnsi="华文细黑" w:cs="华文细黑" w:eastAsia="华文细黑" w:hint="default"/>
                <w:sz w:val="18"/>
                <w:szCs w:val="18"/>
              </w:rPr>
              <w:t>所致</w:t>
            </w:r>
          </w:p>
        </w:tc>
        <w:tc>
          <w:tcPr>
            <w:tcW w:w="13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95" w:lineRule="auto"/>
              <w:ind w:left="103" w:right="17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高管锁定股每 年解除</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25%</w:t>
            </w:r>
          </w:p>
        </w:tc>
      </w:tr>
      <w:tr>
        <w:trPr>
          <w:trHeight w:val="402" w:hRule="exact"/>
        </w:trPr>
        <w:tc>
          <w:tcPr>
            <w:tcW w:w="13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合计</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w w:val="95"/>
                <w:sz w:val="18"/>
              </w:rPr>
              <w:t>57,748,739</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2,997,701</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w w:val="95"/>
                <w:sz w:val="18"/>
              </w:rPr>
              <w:t>11,356,948</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w w:val="95"/>
                <w:sz w:val="18"/>
              </w:rPr>
              <w:t>66,107,986</w:t>
            </w:r>
          </w:p>
        </w:tc>
        <w:tc>
          <w:tcPr>
            <w:tcW w:w="13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sz w:val="18"/>
              </w:rPr>
              <w:t>--</w:t>
            </w:r>
          </w:p>
        </w:tc>
        <w:tc>
          <w:tcPr>
            <w:tcW w:w="13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sz w:val="18"/>
              </w:rPr>
              <w:t>--</w:t>
            </w:r>
          </w:p>
        </w:tc>
      </w:tr>
    </w:tbl>
    <w:p>
      <w:pPr>
        <w:spacing w:line="240" w:lineRule="auto" w:before="11"/>
        <w:rPr>
          <w:rFonts w:ascii="华文细黑" w:hAnsi="华文细黑" w:cs="华文细黑" w:eastAsia="华文细黑" w:hint="default"/>
          <w:sz w:val="26"/>
          <w:szCs w:val="26"/>
        </w:rPr>
      </w:pPr>
    </w:p>
    <w:p>
      <w:pPr>
        <w:pStyle w:val="Heading2"/>
        <w:spacing w:line="396" w:lineRule="exact"/>
        <w:ind w:right="1023"/>
        <w:jc w:val="left"/>
        <w:rPr>
          <w:b w:val="0"/>
          <w:bCs w:val="0"/>
        </w:rPr>
      </w:pPr>
      <w:bookmarkStart w:name="二、证券发行与上市情况" w:id="136"/>
      <w:bookmarkEnd w:id="136"/>
      <w:r>
        <w:rPr>
          <w:b w:val="0"/>
          <w:bCs w:val="0"/>
        </w:rPr>
      </w:r>
      <w:r>
        <w:rPr/>
        <w:t>二、证券发行与上市情况</w:t>
      </w:r>
      <w:r>
        <w:rPr>
          <w:b w:val="0"/>
          <w:bCs w:val="0"/>
        </w:rPr>
      </w:r>
    </w:p>
    <w:p>
      <w:pPr>
        <w:spacing w:line="240" w:lineRule="auto" w:before="0"/>
        <w:rPr>
          <w:rFonts w:ascii="华文细黑" w:hAnsi="华文细黑" w:cs="华文细黑" w:eastAsia="华文细黑" w:hint="default"/>
          <w:b/>
          <w:bCs/>
          <w:sz w:val="30"/>
          <w:szCs w:val="30"/>
        </w:rPr>
      </w:pPr>
    </w:p>
    <w:p>
      <w:pPr>
        <w:pStyle w:val="Heading5"/>
        <w:spacing w:line="240" w:lineRule="auto" w:before="0"/>
        <w:ind w:right="1023"/>
        <w:jc w:val="left"/>
        <w:rPr>
          <w:b w:val="0"/>
          <w:bCs w:val="0"/>
        </w:rPr>
      </w:pPr>
      <w:bookmarkStart w:name="1、报告期内证券发行（不含优先股）情况" w:id="137"/>
      <w:bookmarkEnd w:id="137"/>
      <w:r>
        <w:rPr>
          <w:b w:val="0"/>
          <w:bCs w:val="0"/>
        </w:rPr>
      </w:r>
      <w:r>
        <w:rPr>
          <w:rFonts w:ascii="华文细黑" w:hAnsi="华文细黑" w:cs="华文细黑" w:eastAsia="华文细黑" w:hint="default"/>
        </w:rPr>
        <w:t>1</w:t>
      </w:r>
      <w:r>
        <w:rPr/>
        <w:t>、报告期内证券发行（不含优先股）情况</w:t>
      </w:r>
      <w:r>
        <w:rPr>
          <w:b w:val="0"/>
          <w:bCs w:val="0"/>
        </w:rPr>
      </w:r>
    </w:p>
    <w:p>
      <w:pPr>
        <w:spacing w:line="240" w:lineRule="auto" w:before="6"/>
        <w:rPr>
          <w:rFonts w:ascii="华文细黑" w:hAnsi="华文细黑" w:cs="华文细黑" w:eastAsia="华文细黑" w:hint="default"/>
          <w:b/>
          <w:bCs/>
          <w:sz w:val="22"/>
          <w:szCs w:val="22"/>
        </w:rPr>
      </w:pPr>
    </w:p>
    <w:p>
      <w:pPr>
        <w:spacing w:line="496" w:lineRule="auto" w:before="0"/>
        <w:ind w:left="234" w:right="3909" w:firstLine="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 适用 √</w:t>
      </w:r>
      <w:r>
        <w:rPr>
          <w:rFonts w:ascii="华文细黑" w:hAnsi="华文细黑" w:cs="华文细黑" w:eastAsia="华文细黑" w:hint="default"/>
          <w:spacing w:val="51"/>
          <w:sz w:val="21"/>
          <w:szCs w:val="21"/>
        </w:rPr>
        <w:t> </w:t>
      </w:r>
      <w:r>
        <w:rPr>
          <w:rFonts w:ascii="华文细黑" w:hAnsi="华文细黑" w:cs="华文细黑" w:eastAsia="华文细黑" w:hint="default"/>
          <w:sz w:val="21"/>
          <w:szCs w:val="21"/>
        </w:rPr>
        <w:t>不适用</w:t>
      </w:r>
      <w:r>
        <w:rPr>
          <w:rFonts w:ascii="华文细黑" w:hAnsi="华文细黑" w:cs="华文细黑" w:eastAsia="华文细黑" w:hint="default"/>
          <w:sz w:val="21"/>
          <w:szCs w:val="21"/>
        </w:rPr>
        <w:t> </w:t>
      </w:r>
      <w:bookmarkStart w:name="2、公司股份总数及股东结构的变动、公司资产和负债结构的变动情况说明" w:id="138"/>
      <w:bookmarkEnd w:id="138"/>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、公司股份总数及股东结构的变动、公司资产和负债结构的变动情况说明</w:t>
      </w:r>
      <w:r>
        <w:rPr>
          <w:rFonts w:ascii="华文细黑" w:hAnsi="华文细黑" w:cs="华文细黑" w:eastAsia="华文细黑" w:hint="default"/>
          <w:sz w:val="21"/>
          <w:szCs w:val="21"/>
        </w:rPr>
      </w:r>
    </w:p>
    <w:p>
      <w:pPr>
        <w:pStyle w:val="BodyText"/>
        <w:spacing w:line="285" w:lineRule="auto" w:before="74"/>
        <w:ind w:left="234" w:right="1118"/>
        <w:jc w:val="left"/>
      </w:pPr>
      <w:r>
        <w:rPr/>
        <w:t>√ 适用 □</w:t>
      </w:r>
      <w:r>
        <w:rPr>
          <w:spacing w:val="51"/>
        </w:rPr>
        <w:t> </w:t>
      </w:r>
      <w:r>
        <w:rPr/>
        <w:t>不适用</w:t>
      </w:r>
      <w:r>
        <w:rPr/>
        <w:t> 报告期内，公司完成了</w:t>
      </w:r>
      <w:r>
        <w:rPr>
          <w:rFonts w:ascii="华文细黑" w:hAnsi="华文细黑" w:cs="华文细黑" w:eastAsia="华文细黑" w:hint="default"/>
        </w:rPr>
        <w:t>2017</w:t>
      </w:r>
      <w:r>
        <w:rPr/>
        <w:t>年度权益分派，以资本公积向全体股东每</w:t>
      </w:r>
      <w:r>
        <w:rPr>
          <w:rFonts w:ascii="华文细黑" w:hAnsi="华文细黑" w:cs="华文细黑" w:eastAsia="华文细黑" w:hint="default"/>
        </w:rPr>
        <w:t>10</w:t>
      </w:r>
      <w:r>
        <w:rPr/>
        <w:t>股转增</w:t>
      </w:r>
      <w:r>
        <w:rPr>
          <w:rFonts w:ascii="华文细黑" w:hAnsi="华文细黑" w:cs="华文细黑" w:eastAsia="华文细黑" w:hint="default"/>
        </w:rPr>
        <w:t>2</w:t>
      </w:r>
      <w:r>
        <w:rPr/>
        <w:t>股，从而导致公司总股本</w:t>
      </w:r>
    </w:p>
    <w:p>
      <w:pPr>
        <w:spacing w:after="0" w:line="285" w:lineRule="auto"/>
        <w:jc w:val="left"/>
        <w:sectPr>
          <w:type w:val="continuous"/>
          <w:pgSz w:w="11910" w:h="16840"/>
          <w:pgMar w:top="240" w:bottom="0" w:left="900" w:right="0"/>
        </w:sectPr>
      </w:pPr>
    </w:p>
    <w:p>
      <w:pPr>
        <w:spacing w:line="240" w:lineRule="auto" w:before="13"/>
        <w:rPr>
          <w:rFonts w:ascii="华文细黑" w:hAnsi="华文细黑" w:cs="华文细黑" w:eastAsia="华文细黑" w:hint="default"/>
          <w:sz w:val="20"/>
          <w:szCs w:val="20"/>
        </w:rPr>
      </w:pPr>
    </w:p>
    <w:p>
      <w:pPr>
        <w:spacing w:line="496" w:lineRule="auto" w:before="10"/>
        <w:ind w:left="514" w:right="8323" w:firstLine="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发生变化。 </w:t>
      </w:r>
      <w:bookmarkStart w:name="3、现存的内部职工股情况" w:id="139"/>
      <w:bookmarkEnd w:id="139"/>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3</w:t>
      </w:r>
      <w:r>
        <w:rPr>
          <w:rFonts w:ascii="华文细黑" w:hAnsi="华文细黑" w:cs="华文细黑" w:eastAsia="华文细黑" w:hint="default"/>
          <w:b/>
          <w:bCs/>
          <w:sz w:val="21"/>
          <w:szCs w:val="21"/>
        </w:rPr>
        <w:t>、现存的内部职工股情况</w:t>
      </w:r>
      <w:r>
        <w:rPr>
          <w:rFonts w:ascii="华文细黑" w:hAnsi="华文细黑" w:cs="华文细黑" w:eastAsia="华文细黑" w:hint="default"/>
          <w:sz w:val="21"/>
          <w:szCs w:val="21"/>
        </w:rPr>
      </w:r>
    </w:p>
    <w:p>
      <w:pPr>
        <w:pStyle w:val="BodyText"/>
        <w:spacing w:line="240" w:lineRule="auto" w:before="74"/>
        <w:ind w:left="514" w:right="8323"/>
        <w:jc w:val="left"/>
      </w:pPr>
      <w:r>
        <w:rPr/>
        <w:t>□  适用  √</w:t>
      </w:r>
      <w:r>
        <w:rPr>
          <w:spacing w:val="51"/>
        </w:rPr>
        <w:t> </w:t>
      </w:r>
      <w:r>
        <w:rPr/>
        <w:t>不适用</w:t>
      </w:r>
    </w:p>
    <w:p>
      <w:pPr>
        <w:spacing w:line="240" w:lineRule="auto" w:before="11"/>
        <w:rPr>
          <w:rFonts w:ascii="华文细黑" w:hAnsi="华文细黑" w:cs="华文细黑" w:eastAsia="华文细黑" w:hint="default"/>
          <w:sz w:val="27"/>
          <w:szCs w:val="27"/>
        </w:rPr>
      </w:pPr>
    </w:p>
    <w:p>
      <w:pPr>
        <w:pStyle w:val="Heading2"/>
        <w:spacing w:line="240" w:lineRule="auto"/>
        <w:ind w:left="514" w:right="0"/>
        <w:jc w:val="left"/>
        <w:rPr>
          <w:b w:val="0"/>
          <w:bCs w:val="0"/>
        </w:rPr>
      </w:pPr>
      <w:bookmarkStart w:name="三、股东和实际控制人情况" w:id="140"/>
      <w:bookmarkEnd w:id="140"/>
      <w:r>
        <w:rPr>
          <w:b w:val="0"/>
          <w:bCs w:val="0"/>
        </w:rPr>
      </w:r>
      <w:r>
        <w:rPr/>
        <w:t>三、股东和实际控制人情况</w:t>
      </w:r>
      <w:r>
        <w:rPr>
          <w:b w:val="0"/>
          <w:bCs w:val="0"/>
        </w:rPr>
      </w:r>
    </w:p>
    <w:p>
      <w:pPr>
        <w:spacing w:line="240" w:lineRule="auto" w:before="0"/>
        <w:rPr>
          <w:rFonts w:ascii="华文细黑" w:hAnsi="华文细黑" w:cs="华文细黑" w:eastAsia="华文细黑" w:hint="default"/>
          <w:b/>
          <w:bCs/>
          <w:sz w:val="30"/>
          <w:szCs w:val="30"/>
        </w:rPr>
      </w:pPr>
    </w:p>
    <w:p>
      <w:pPr>
        <w:pStyle w:val="Heading5"/>
        <w:spacing w:line="240" w:lineRule="auto" w:before="0"/>
        <w:ind w:left="514" w:right="0"/>
        <w:jc w:val="left"/>
        <w:rPr>
          <w:b w:val="0"/>
          <w:bCs w:val="0"/>
        </w:rPr>
      </w:pPr>
      <w:bookmarkStart w:name="1、公司股东数量及持股情况" w:id="141"/>
      <w:bookmarkEnd w:id="141"/>
      <w:r>
        <w:rPr>
          <w:b w:val="0"/>
          <w:bCs w:val="0"/>
        </w:rPr>
      </w:r>
      <w:r>
        <w:rPr>
          <w:rFonts w:ascii="华文细黑" w:hAnsi="华文细黑" w:cs="华文细黑" w:eastAsia="华文细黑" w:hint="default"/>
        </w:rPr>
        <w:t>1</w:t>
      </w:r>
      <w:r>
        <w:rPr/>
        <w:t>、公司股东数量及持股情况</w:t>
      </w:r>
      <w:r>
        <w:rPr>
          <w:b w:val="0"/>
          <w:bCs w:val="0"/>
        </w:rPr>
      </w:r>
    </w:p>
    <w:p>
      <w:pPr>
        <w:spacing w:line="240" w:lineRule="auto" w:before="9"/>
        <w:rPr>
          <w:rFonts w:ascii="华文细黑" w:hAnsi="华文细黑" w:cs="华文细黑" w:eastAsia="华文细黑" w:hint="default"/>
          <w:b/>
          <w:bCs/>
          <w:sz w:val="22"/>
          <w:szCs w:val="22"/>
        </w:rPr>
      </w:pPr>
    </w:p>
    <w:p>
      <w:pPr>
        <w:spacing w:before="23"/>
        <w:ind w:left="0" w:right="1130" w:firstLine="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单位：股</w:t>
      </w:r>
    </w:p>
    <w:p>
      <w:pPr>
        <w:spacing w:line="240" w:lineRule="auto" w:before="12"/>
        <w:rPr>
          <w:rFonts w:ascii="华文细黑" w:hAnsi="华文细黑" w:cs="华文细黑" w:eastAsia="华文细黑" w:hint="default"/>
          <w:sz w:val="6"/>
          <w:szCs w:val="6"/>
        </w:rPr>
      </w:pPr>
    </w:p>
    <w:tbl>
      <w:tblPr>
        <w:tblW w:w="0" w:type="auto"/>
        <w:jc w:val="left"/>
        <w:tblInd w:w="109" w:type="dxa"/>
        <w:tblLayout w:type="fixed"/>
        <w:tblCellMar>
          <w:top w:w="0" w:type="dxa"/>
          <w:left w:w="0" w:type="dxa"/>
          <w:bottom w:w="0" w:type="dxa"/>
          <w:right w:w="0" w:type="dxa"/>
        </w:tblCellMar>
        <w:tblLook w:val="01E0"/>
      </w:tblPr>
      <w:tblGrid>
        <w:gridCol w:w="1195"/>
        <w:gridCol w:w="274"/>
        <w:gridCol w:w="922"/>
        <w:gridCol w:w="1087"/>
        <w:gridCol w:w="1306"/>
        <w:gridCol w:w="1274"/>
        <w:gridCol w:w="1118"/>
        <w:gridCol w:w="1196"/>
        <w:gridCol w:w="108"/>
        <w:gridCol w:w="684"/>
        <w:gridCol w:w="1274"/>
      </w:tblGrid>
      <w:tr>
        <w:trPr>
          <w:trHeight w:val="2280" w:hRule="exact"/>
        </w:trPr>
        <w:tc>
          <w:tcPr>
            <w:tcW w:w="1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95" w:lineRule="auto" w:before="157"/>
              <w:ind w:left="103" w:right="18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报告期末普 通股股东总 数</w:t>
            </w:r>
          </w:p>
        </w:tc>
        <w:tc>
          <w:tcPr>
            <w:tcW w:w="1196" w:type="dxa"/>
            <w:gridSpan w:val="2"/>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3"/>
              <w:ind w:right="0"/>
              <w:jc w:val="left"/>
              <w:rPr>
                <w:rFonts w:ascii="华文细黑" w:hAnsi="华文细黑" w:cs="华文细黑" w:eastAsia="华文细黑" w:hint="default"/>
                <w:sz w:val="15"/>
                <w:szCs w:val="15"/>
              </w:rPr>
            </w:pPr>
          </w:p>
          <w:p>
            <w:pPr>
              <w:pStyle w:val="TableParagraph"/>
              <w:spacing w:line="240" w:lineRule="auto"/>
              <w:ind w:left="534" w:right="0"/>
              <w:jc w:val="left"/>
              <w:rPr>
                <w:rFonts w:ascii="华文细黑" w:hAnsi="华文细黑" w:cs="华文细黑" w:eastAsia="华文细黑" w:hint="default"/>
                <w:sz w:val="18"/>
                <w:szCs w:val="18"/>
              </w:rPr>
            </w:pPr>
            <w:r>
              <w:rPr>
                <w:rFonts w:ascii="华文细黑"/>
                <w:sz w:val="18"/>
              </w:rPr>
              <w:t>44,395</w:t>
            </w:r>
          </w:p>
        </w:tc>
        <w:tc>
          <w:tcPr>
            <w:tcW w:w="108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95" w:lineRule="auto"/>
              <w:ind w:left="103" w:right="252"/>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年度报告 披露日前 上一月末 普通股股 东总数</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3"/>
              <w:ind w:right="0"/>
              <w:jc w:val="left"/>
              <w:rPr>
                <w:rFonts w:ascii="华文细黑" w:hAnsi="华文细黑" w:cs="华文细黑" w:eastAsia="华文细黑" w:hint="default"/>
                <w:sz w:val="15"/>
                <w:szCs w:val="15"/>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42,857</w:t>
            </w:r>
          </w:p>
        </w:tc>
        <w:tc>
          <w:tcPr>
            <w:tcW w:w="127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95" w:lineRule="auto"/>
              <w:ind w:left="101" w:right="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报告期末表 决权恢复的 优先股股东 总数（如有）</w:t>
            </w:r>
          </w:p>
          <w:p>
            <w:pPr>
              <w:pStyle w:val="TableParagraph"/>
              <w:spacing w:line="240" w:lineRule="auto" w:before="14"/>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（参见注</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8</w:t>
            </w:r>
            <w:r>
              <w:rPr>
                <w:rFonts w:ascii="华文细黑" w:hAnsi="华文细黑" w:cs="华文细黑" w:eastAsia="华文细黑" w:hint="default"/>
                <w:sz w:val="18"/>
                <w:szCs w:val="18"/>
              </w:rPr>
              <w:t>）</w:t>
            </w:r>
          </w:p>
        </w:tc>
        <w:tc>
          <w:tcPr>
            <w:tcW w:w="11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3"/>
              <w:ind w:right="0"/>
              <w:jc w:val="left"/>
              <w:rPr>
                <w:rFonts w:ascii="华文细黑" w:hAnsi="华文细黑" w:cs="华文细黑" w:eastAsia="华文细黑" w:hint="default"/>
                <w:sz w:val="15"/>
                <w:szCs w:val="15"/>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1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1"/>
              <w:ind w:left="103" w:right="18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年度报告披 露日前上一 月末表决权 恢复的优先 股股东总数</w:t>
            </w:r>
          </w:p>
          <w:p>
            <w:pPr>
              <w:pStyle w:val="TableParagraph"/>
              <w:spacing w:line="295" w:lineRule="auto" w:before="13"/>
              <w:ind w:left="103" w:right="100"/>
              <w:jc w:val="both"/>
              <w:rPr>
                <w:rFonts w:ascii="华文细黑" w:hAnsi="华文细黑" w:cs="华文细黑" w:eastAsia="华文细黑" w:hint="default"/>
                <w:sz w:val="18"/>
                <w:szCs w:val="18"/>
              </w:rPr>
            </w:pPr>
            <w:r>
              <w:rPr>
                <w:rFonts w:ascii="华文细黑" w:hAnsi="华文细黑" w:cs="华文细黑" w:eastAsia="华文细黑" w:hint="default"/>
                <w:spacing w:val="-17"/>
                <w:sz w:val="18"/>
                <w:szCs w:val="18"/>
              </w:rPr>
              <w:t>（如有）（参</w:t>
            </w:r>
            <w:r>
              <w:rPr>
                <w:rFonts w:ascii="华文细黑" w:hAnsi="华文细黑" w:cs="华文细黑" w:eastAsia="华文细黑" w:hint="default"/>
                <w:spacing w:val="-43"/>
                <w:sz w:val="18"/>
                <w:szCs w:val="18"/>
              </w:rPr>
              <w:t> </w:t>
            </w:r>
            <w:r>
              <w:rPr>
                <w:rFonts w:ascii="华文细黑" w:hAnsi="华文细黑" w:cs="华文细黑" w:eastAsia="华文细黑" w:hint="default"/>
                <w:spacing w:val="-43"/>
                <w:sz w:val="18"/>
                <w:szCs w:val="18"/>
              </w:rPr>
            </w:r>
            <w:r>
              <w:rPr>
                <w:rFonts w:ascii="华文细黑" w:hAnsi="华文细黑" w:cs="华文细黑" w:eastAsia="华文细黑" w:hint="default"/>
                <w:sz w:val="18"/>
                <w:szCs w:val="18"/>
              </w:rPr>
              <w:t>见注</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8</w:t>
            </w:r>
            <w:r>
              <w:rPr>
                <w:rFonts w:ascii="华文细黑" w:hAnsi="华文细黑" w:cs="华文细黑" w:eastAsia="华文细黑" w:hint="default"/>
                <w:sz w:val="18"/>
                <w:szCs w:val="18"/>
              </w:rPr>
              <w:t>）</w:t>
            </w:r>
          </w:p>
        </w:tc>
        <w:tc>
          <w:tcPr>
            <w:tcW w:w="2066"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3"/>
              <w:ind w:right="0"/>
              <w:jc w:val="left"/>
              <w:rPr>
                <w:rFonts w:ascii="华文细黑" w:hAnsi="华文细黑" w:cs="华文细黑" w:eastAsia="华文细黑" w:hint="default"/>
                <w:sz w:val="15"/>
                <w:szCs w:val="15"/>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r>
      <w:tr>
        <w:trPr>
          <w:trHeight w:val="397" w:hRule="exact"/>
        </w:trPr>
        <w:tc>
          <w:tcPr>
            <w:tcW w:w="10439" w:type="dxa"/>
            <w:gridSpan w:val="11"/>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持股 </w:t>
            </w:r>
            <w:r>
              <w:rPr>
                <w:rFonts w:ascii="华文细黑" w:hAnsi="华文细黑" w:cs="华文细黑" w:eastAsia="华文细黑" w:hint="default"/>
                <w:sz w:val="18"/>
                <w:szCs w:val="18"/>
              </w:rPr>
              <w:t>5%</w:t>
            </w:r>
            <w:r>
              <w:rPr>
                <w:rFonts w:ascii="华文细黑" w:hAnsi="华文细黑" w:cs="华文细黑" w:eastAsia="华文细黑" w:hint="default"/>
                <w:sz w:val="18"/>
                <w:szCs w:val="18"/>
              </w:rPr>
              <w:t>以上的股东或前 </w:t>
            </w:r>
            <w:r>
              <w:rPr>
                <w:rFonts w:ascii="华文细黑" w:hAnsi="华文细黑" w:cs="华文细黑" w:eastAsia="华文细黑" w:hint="default"/>
                <w:sz w:val="18"/>
                <w:szCs w:val="18"/>
              </w:rPr>
              <w:t>10</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名股东持股情况</w:t>
            </w:r>
          </w:p>
        </w:tc>
      </w:tr>
      <w:tr>
        <w:trPr>
          <w:trHeight w:val="402" w:hRule="exact"/>
        </w:trPr>
        <w:tc>
          <w:tcPr>
            <w:tcW w:w="1469"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3"/>
              <w:ind w:left="36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股东名称</w:t>
            </w:r>
          </w:p>
        </w:tc>
        <w:tc>
          <w:tcPr>
            <w:tcW w:w="92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
              <w:ind w:right="0"/>
              <w:jc w:val="left"/>
              <w:rPr>
                <w:rFonts w:ascii="华文细黑" w:hAnsi="华文细黑" w:cs="华文细黑" w:eastAsia="华文细黑" w:hint="default"/>
                <w:sz w:val="17"/>
                <w:szCs w:val="17"/>
              </w:rPr>
            </w:pPr>
          </w:p>
          <w:p>
            <w:pPr>
              <w:pStyle w:val="TableParagraph"/>
              <w:spacing w:line="295" w:lineRule="auto"/>
              <w:ind w:left="365" w:right="185"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股东性 质</w:t>
            </w:r>
          </w:p>
        </w:tc>
        <w:tc>
          <w:tcPr>
            <w:tcW w:w="1087"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3"/>
              <w:ind w:left="17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持股比例</w:t>
            </w:r>
          </w:p>
        </w:tc>
        <w:tc>
          <w:tcPr>
            <w:tcW w:w="1306"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
              <w:ind w:right="0"/>
              <w:jc w:val="left"/>
              <w:rPr>
                <w:rFonts w:ascii="华文细黑" w:hAnsi="华文细黑" w:cs="华文细黑" w:eastAsia="华文细黑" w:hint="default"/>
                <w:sz w:val="17"/>
                <w:szCs w:val="17"/>
              </w:rPr>
            </w:pPr>
          </w:p>
          <w:p>
            <w:pPr>
              <w:pStyle w:val="TableParagraph"/>
              <w:spacing w:line="295" w:lineRule="auto"/>
              <w:ind w:left="466" w:right="107" w:hanging="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报告期末持股 数量</w:t>
            </w:r>
          </w:p>
        </w:tc>
        <w:tc>
          <w:tcPr>
            <w:tcW w:w="1274"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
              <w:ind w:right="0"/>
              <w:jc w:val="left"/>
              <w:rPr>
                <w:rFonts w:ascii="华文细黑" w:hAnsi="华文细黑" w:cs="华文细黑" w:eastAsia="华文细黑" w:hint="default"/>
                <w:sz w:val="17"/>
                <w:szCs w:val="17"/>
              </w:rPr>
            </w:pPr>
          </w:p>
          <w:p>
            <w:pPr>
              <w:pStyle w:val="TableParagraph"/>
              <w:spacing w:line="295" w:lineRule="auto"/>
              <w:ind w:left="181" w:right="18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报告期内增 减变动情况</w:t>
            </w:r>
          </w:p>
        </w:tc>
        <w:tc>
          <w:tcPr>
            <w:tcW w:w="1118" w:type="dxa"/>
            <w:vMerge w:val="restart"/>
            <w:tcBorders>
              <w:top w:val="single" w:sz="4" w:space="0" w:color="FFC000"/>
              <w:left w:val="single" w:sz="4" w:space="0" w:color="FFC000"/>
              <w:right w:val="single" w:sz="4" w:space="0" w:color="FFC000"/>
            </w:tcBorders>
            <w:shd w:val="clear" w:color="auto" w:fill="FFF8E6"/>
          </w:tcPr>
          <w:p>
            <w:pPr>
              <w:pStyle w:val="TableParagraph"/>
              <w:spacing w:line="295" w:lineRule="auto" w:before="85"/>
              <w:ind w:left="104" w:right="10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持有有限售 条件的股份 数量</w:t>
            </w:r>
          </w:p>
        </w:tc>
        <w:tc>
          <w:tcPr>
            <w:tcW w:w="1304"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
              <w:ind w:right="0"/>
              <w:jc w:val="left"/>
              <w:rPr>
                <w:rFonts w:ascii="华文细黑" w:hAnsi="华文细黑" w:cs="华文细黑" w:eastAsia="华文细黑" w:hint="default"/>
                <w:sz w:val="17"/>
                <w:szCs w:val="17"/>
              </w:rPr>
            </w:pPr>
          </w:p>
          <w:p>
            <w:pPr>
              <w:pStyle w:val="TableParagraph"/>
              <w:spacing w:line="295" w:lineRule="auto"/>
              <w:ind w:left="106" w:right="105"/>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持有无限售条 件的股份数量</w:t>
            </w:r>
          </w:p>
        </w:tc>
        <w:tc>
          <w:tcPr>
            <w:tcW w:w="1958"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34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质押或冻结情况</w:t>
            </w:r>
          </w:p>
        </w:tc>
      </w:tr>
      <w:tr>
        <w:trPr>
          <w:trHeight w:val="714" w:hRule="exact"/>
        </w:trPr>
        <w:tc>
          <w:tcPr>
            <w:tcW w:w="1469" w:type="dxa"/>
            <w:gridSpan w:val="2"/>
            <w:vMerge/>
            <w:tcBorders>
              <w:left w:val="single" w:sz="4" w:space="0" w:color="FFC000"/>
              <w:bottom w:val="single" w:sz="4" w:space="0" w:color="FFC000"/>
              <w:right w:val="single" w:sz="4" w:space="0" w:color="FFC000"/>
            </w:tcBorders>
            <w:shd w:val="clear" w:color="auto" w:fill="FFF8E6"/>
          </w:tcPr>
          <w:p>
            <w:pPr/>
          </w:p>
        </w:tc>
        <w:tc>
          <w:tcPr>
            <w:tcW w:w="922" w:type="dxa"/>
            <w:vMerge/>
            <w:tcBorders>
              <w:left w:val="single" w:sz="4" w:space="0" w:color="FFC000"/>
              <w:bottom w:val="single" w:sz="4" w:space="0" w:color="FFC000"/>
              <w:right w:val="single" w:sz="4" w:space="0" w:color="FFC000"/>
            </w:tcBorders>
            <w:shd w:val="clear" w:color="auto" w:fill="FFF8E6"/>
          </w:tcPr>
          <w:p>
            <w:pPr/>
          </w:p>
        </w:tc>
        <w:tc>
          <w:tcPr>
            <w:tcW w:w="1087" w:type="dxa"/>
            <w:vMerge/>
            <w:tcBorders>
              <w:left w:val="single" w:sz="4" w:space="0" w:color="FFC000"/>
              <w:bottom w:val="single" w:sz="4" w:space="0" w:color="FFC000"/>
              <w:right w:val="single" w:sz="4" w:space="0" w:color="FFC000"/>
            </w:tcBorders>
            <w:shd w:val="clear" w:color="auto" w:fill="FFF8E6"/>
          </w:tcPr>
          <w:p>
            <w:pPr/>
          </w:p>
        </w:tc>
        <w:tc>
          <w:tcPr>
            <w:tcW w:w="1306" w:type="dxa"/>
            <w:vMerge/>
            <w:tcBorders>
              <w:left w:val="single" w:sz="4" w:space="0" w:color="FFC000"/>
              <w:bottom w:val="single" w:sz="4" w:space="0" w:color="FFC000"/>
              <w:right w:val="single" w:sz="4" w:space="0" w:color="FFC000"/>
            </w:tcBorders>
            <w:shd w:val="clear" w:color="auto" w:fill="FFF8E6"/>
          </w:tcPr>
          <w:p>
            <w:pPr/>
          </w:p>
        </w:tc>
        <w:tc>
          <w:tcPr>
            <w:tcW w:w="1274" w:type="dxa"/>
            <w:vMerge/>
            <w:tcBorders>
              <w:left w:val="single" w:sz="4" w:space="0" w:color="FFC000"/>
              <w:bottom w:val="single" w:sz="4" w:space="0" w:color="FFC000"/>
              <w:right w:val="single" w:sz="4" w:space="0" w:color="FFC000"/>
            </w:tcBorders>
            <w:shd w:val="clear" w:color="auto" w:fill="FFF8E6"/>
          </w:tcPr>
          <w:p>
            <w:pPr/>
          </w:p>
        </w:tc>
        <w:tc>
          <w:tcPr>
            <w:tcW w:w="1118" w:type="dxa"/>
            <w:vMerge/>
            <w:tcBorders>
              <w:left w:val="single" w:sz="4" w:space="0" w:color="FFC000"/>
              <w:bottom w:val="single" w:sz="4" w:space="0" w:color="FFC000"/>
              <w:right w:val="single" w:sz="4" w:space="0" w:color="FFC000"/>
            </w:tcBorders>
            <w:shd w:val="clear" w:color="auto" w:fill="FFF8E6"/>
          </w:tcPr>
          <w:p>
            <w:pPr/>
          </w:p>
        </w:tc>
        <w:tc>
          <w:tcPr>
            <w:tcW w:w="1304" w:type="dxa"/>
            <w:gridSpan w:val="2"/>
            <w:vMerge/>
            <w:tcBorders>
              <w:left w:val="single" w:sz="4" w:space="0" w:color="FFC000"/>
              <w:bottom w:val="single" w:sz="4" w:space="0" w:color="FFC000"/>
              <w:right w:val="single" w:sz="4" w:space="0" w:color="FFC000"/>
            </w:tcBorders>
            <w:shd w:val="clear" w:color="auto" w:fill="FFF8E6"/>
          </w:tcPr>
          <w:p>
            <w:pPr/>
          </w:p>
        </w:tc>
        <w:tc>
          <w:tcPr>
            <w:tcW w:w="6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1"/>
              <w:ind w:left="156" w:right="156"/>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股份 状态</w:t>
            </w:r>
          </w:p>
        </w:tc>
        <w:tc>
          <w:tcPr>
            <w:tcW w:w="127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数量</w:t>
            </w:r>
          </w:p>
        </w:tc>
      </w:tr>
      <w:tr>
        <w:trPr>
          <w:trHeight w:val="1026" w:hRule="exact"/>
        </w:trPr>
        <w:tc>
          <w:tcPr>
            <w:tcW w:w="1469"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1"/>
              <w:ind w:left="103" w:right="274"/>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 投资集团有限 公司</w:t>
            </w:r>
          </w:p>
        </w:tc>
        <w:tc>
          <w:tcPr>
            <w:tcW w:w="922"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266"/>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境内非 国有法 人</w:t>
            </w:r>
          </w:p>
        </w:tc>
        <w:tc>
          <w:tcPr>
            <w:tcW w:w="108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right="100"/>
              <w:jc w:val="right"/>
              <w:rPr>
                <w:rFonts w:ascii="华文细黑" w:hAnsi="华文细黑" w:cs="华文细黑" w:eastAsia="华文细黑" w:hint="default"/>
                <w:sz w:val="18"/>
                <w:szCs w:val="18"/>
              </w:rPr>
            </w:pPr>
            <w:r>
              <w:rPr>
                <w:rFonts w:ascii="华文细黑"/>
                <w:sz w:val="18"/>
              </w:rPr>
              <w:t>52.50%</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650,644,303</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left="101" w:right="0"/>
              <w:jc w:val="left"/>
              <w:rPr>
                <w:rFonts w:ascii="华文细黑" w:hAnsi="华文细黑" w:cs="华文细黑" w:eastAsia="华文细黑" w:hint="default"/>
                <w:sz w:val="18"/>
                <w:szCs w:val="18"/>
              </w:rPr>
            </w:pPr>
            <w:r>
              <w:rPr>
                <w:rFonts w:ascii="华文细黑"/>
                <w:sz w:val="18"/>
              </w:rPr>
              <w:t>108,440,717</w:t>
            </w:r>
          </w:p>
        </w:tc>
        <w:tc>
          <w:tcPr>
            <w:tcW w:w="1118" w:type="dxa"/>
            <w:tcBorders>
              <w:top w:val="single" w:sz="4" w:space="0" w:color="FFC000"/>
              <w:left w:val="single" w:sz="4" w:space="0" w:color="FFC000"/>
              <w:bottom w:val="single" w:sz="4" w:space="0" w:color="FFC000"/>
              <w:right w:val="single" w:sz="4" w:space="0" w:color="FFC000"/>
            </w:tcBorders>
          </w:tcPr>
          <w:p>
            <w:pPr/>
          </w:p>
        </w:tc>
        <w:tc>
          <w:tcPr>
            <w:tcW w:w="1304" w:type="dxa"/>
            <w:gridSpan w:val="2"/>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left="194" w:right="0"/>
              <w:jc w:val="left"/>
              <w:rPr>
                <w:rFonts w:ascii="华文细黑" w:hAnsi="华文细黑" w:cs="华文细黑" w:eastAsia="华文细黑" w:hint="default"/>
                <w:sz w:val="18"/>
                <w:szCs w:val="18"/>
              </w:rPr>
            </w:pPr>
            <w:r>
              <w:rPr>
                <w:rFonts w:ascii="华文细黑"/>
                <w:sz w:val="18"/>
              </w:rPr>
              <w:t>650,644,303</w:t>
            </w:r>
          </w:p>
        </w:tc>
        <w:tc>
          <w:tcPr>
            <w:tcW w:w="6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质押</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left="58" w:right="0"/>
              <w:jc w:val="center"/>
              <w:rPr>
                <w:rFonts w:ascii="华文细黑" w:hAnsi="华文细黑" w:cs="华文细黑" w:eastAsia="华文细黑" w:hint="default"/>
                <w:sz w:val="18"/>
                <w:szCs w:val="18"/>
              </w:rPr>
            </w:pPr>
            <w:r>
              <w:rPr>
                <w:rFonts w:ascii="华文细黑"/>
                <w:sz w:val="18"/>
              </w:rPr>
              <w:t>439,840,000</w:t>
            </w:r>
          </w:p>
        </w:tc>
      </w:tr>
      <w:tr>
        <w:trPr>
          <w:trHeight w:val="1026" w:hRule="exact"/>
        </w:trPr>
        <w:tc>
          <w:tcPr>
            <w:tcW w:w="1469"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1"/>
              <w:ind w:left="103" w:right="274"/>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深圳市全球星 投资管理有限 公司</w:t>
            </w:r>
          </w:p>
        </w:tc>
        <w:tc>
          <w:tcPr>
            <w:tcW w:w="922"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266"/>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境内非 国有法 人</w:t>
            </w:r>
          </w:p>
        </w:tc>
        <w:tc>
          <w:tcPr>
            <w:tcW w:w="108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right="100"/>
              <w:jc w:val="right"/>
              <w:rPr>
                <w:rFonts w:ascii="华文细黑" w:hAnsi="华文细黑" w:cs="华文细黑" w:eastAsia="华文细黑" w:hint="default"/>
                <w:sz w:val="18"/>
                <w:szCs w:val="18"/>
              </w:rPr>
            </w:pPr>
            <w:r>
              <w:rPr>
                <w:rFonts w:ascii="华文细黑"/>
                <w:sz w:val="18"/>
              </w:rPr>
              <w:t>9.83%</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121,800,000</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left="101" w:right="0"/>
              <w:jc w:val="left"/>
              <w:rPr>
                <w:rFonts w:ascii="华文细黑" w:hAnsi="华文细黑" w:cs="华文细黑" w:eastAsia="华文细黑" w:hint="default"/>
                <w:sz w:val="18"/>
                <w:szCs w:val="18"/>
              </w:rPr>
            </w:pPr>
            <w:r>
              <w:rPr>
                <w:rFonts w:ascii="华文细黑"/>
                <w:sz w:val="18"/>
              </w:rPr>
              <w:t>20,300,000</w:t>
            </w:r>
          </w:p>
        </w:tc>
        <w:tc>
          <w:tcPr>
            <w:tcW w:w="1118" w:type="dxa"/>
            <w:tcBorders>
              <w:top w:val="single" w:sz="4" w:space="0" w:color="FFC000"/>
              <w:left w:val="single" w:sz="4" w:space="0" w:color="FFC000"/>
              <w:bottom w:val="single" w:sz="4" w:space="0" w:color="FFC000"/>
              <w:right w:val="single" w:sz="4" w:space="0" w:color="FFC000"/>
            </w:tcBorders>
          </w:tcPr>
          <w:p>
            <w:pPr/>
          </w:p>
        </w:tc>
        <w:tc>
          <w:tcPr>
            <w:tcW w:w="1304" w:type="dxa"/>
            <w:gridSpan w:val="2"/>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left="194" w:right="0"/>
              <w:jc w:val="left"/>
              <w:rPr>
                <w:rFonts w:ascii="华文细黑" w:hAnsi="华文细黑" w:cs="华文细黑" w:eastAsia="华文细黑" w:hint="default"/>
                <w:sz w:val="18"/>
                <w:szCs w:val="18"/>
              </w:rPr>
            </w:pPr>
            <w:r>
              <w:rPr>
                <w:rFonts w:ascii="华文细黑"/>
                <w:sz w:val="18"/>
              </w:rPr>
              <w:t>121,800,000</w:t>
            </w:r>
          </w:p>
        </w:tc>
        <w:tc>
          <w:tcPr>
            <w:tcW w:w="6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质押</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left="158" w:right="0"/>
              <w:jc w:val="center"/>
              <w:rPr>
                <w:rFonts w:ascii="华文细黑" w:hAnsi="华文细黑" w:cs="华文细黑" w:eastAsia="华文细黑" w:hint="default"/>
                <w:sz w:val="18"/>
                <w:szCs w:val="18"/>
              </w:rPr>
            </w:pPr>
            <w:r>
              <w:rPr>
                <w:rFonts w:ascii="华文细黑"/>
                <w:sz w:val="18"/>
              </w:rPr>
              <w:t>28,800,000</w:t>
            </w:r>
          </w:p>
        </w:tc>
      </w:tr>
      <w:tr>
        <w:trPr>
          <w:trHeight w:val="1026" w:hRule="exact"/>
        </w:trPr>
        <w:tc>
          <w:tcPr>
            <w:tcW w:w="1469"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1"/>
              <w:ind w:left="103" w:right="274"/>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新余全球星投 资管理有限公 司</w:t>
            </w:r>
          </w:p>
        </w:tc>
        <w:tc>
          <w:tcPr>
            <w:tcW w:w="922"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266"/>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境内非 国有法 人</w:t>
            </w:r>
          </w:p>
        </w:tc>
        <w:tc>
          <w:tcPr>
            <w:tcW w:w="108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4.21%</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w w:val="95"/>
                <w:sz w:val="18"/>
              </w:rPr>
              <w:t>52,128,000</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left="101" w:right="0"/>
              <w:jc w:val="left"/>
              <w:rPr>
                <w:rFonts w:ascii="华文细黑" w:hAnsi="华文细黑" w:cs="华文细黑" w:eastAsia="华文细黑" w:hint="default"/>
                <w:sz w:val="18"/>
                <w:szCs w:val="18"/>
              </w:rPr>
            </w:pPr>
            <w:r>
              <w:rPr>
                <w:rFonts w:ascii="华文细黑"/>
                <w:sz w:val="18"/>
              </w:rPr>
              <w:t>8,688,000</w:t>
            </w:r>
          </w:p>
        </w:tc>
        <w:tc>
          <w:tcPr>
            <w:tcW w:w="1118" w:type="dxa"/>
            <w:tcBorders>
              <w:top w:val="single" w:sz="4" w:space="0" w:color="FFC000"/>
              <w:left w:val="single" w:sz="4" w:space="0" w:color="FFC000"/>
              <w:bottom w:val="single" w:sz="4" w:space="0" w:color="FFC000"/>
              <w:right w:val="single" w:sz="4" w:space="0" w:color="FFC000"/>
            </w:tcBorders>
          </w:tcPr>
          <w:p>
            <w:pPr/>
          </w:p>
        </w:tc>
        <w:tc>
          <w:tcPr>
            <w:tcW w:w="1304" w:type="dxa"/>
            <w:gridSpan w:val="2"/>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left="294" w:right="0"/>
              <w:jc w:val="left"/>
              <w:rPr>
                <w:rFonts w:ascii="华文细黑" w:hAnsi="华文细黑" w:cs="华文细黑" w:eastAsia="华文细黑" w:hint="default"/>
                <w:sz w:val="18"/>
                <w:szCs w:val="18"/>
              </w:rPr>
            </w:pPr>
            <w:r>
              <w:rPr>
                <w:rFonts w:ascii="华文细黑"/>
                <w:sz w:val="18"/>
              </w:rPr>
              <w:t>52,128,000</w:t>
            </w:r>
          </w:p>
        </w:tc>
        <w:tc>
          <w:tcPr>
            <w:tcW w:w="6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质押</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left="158" w:right="0"/>
              <w:jc w:val="center"/>
              <w:rPr>
                <w:rFonts w:ascii="华文细黑" w:hAnsi="华文细黑" w:cs="华文细黑" w:eastAsia="华文细黑" w:hint="default"/>
                <w:sz w:val="18"/>
                <w:szCs w:val="18"/>
              </w:rPr>
            </w:pPr>
            <w:r>
              <w:rPr>
                <w:rFonts w:ascii="华文细黑"/>
                <w:sz w:val="18"/>
              </w:rPr>
              <w:t>50,664,000</w:t>
            </w:r>
          </w:p>
        </w:tc>
      </w:tr>
      <w:tr>
        <w:trPr>
          <w:trHeight w:val="1026" w:hRule="exact"/>
        </w:trPr>
        <w:tc>
          <w:tcPr>
            <w:tcW w:w="1469"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95" w:lineRule="auto"/>
              <w:ind w:left="103" w:right="27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先锋创业有限 公司</w:t>
            </w:r>
          </w:p>
        </w:tc>
        <w:tc>
          <w:tcPr>
            <w:tcW w:w="922"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266"/>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境内非 国有法 人</w:t>
            </w:r>
          </w:p>
        </w:tc>
        <w:tc>
          <w:tcPr>
            <w:tcW w:w="108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2.02%</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w w:val="95"/>
                <w:sz w:val="18"/>
              </w:rPr>
              <w:t>25,020,000</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left="101" w:right="0"/>
              <w:jc w:val="left"/>
              <w:rPr>
                <w:rFonts w:ascii="华文细黑" w:hAnsi="华文细黑" w:cs="华文细黑" w:eastAsia="华文细黑" w:hint="default"/>
                <w:sz w:val="18"/>
                <w:szCs w:val="18"/>
              </w:rPr>
            </w:pPr>
            <w:r>
              <w:rPr>
                <w:rFonts w:ascii="华文细黑"/>
                <w:sz w:val="18"/>
              </w:rPr>
              <w:t>4,170,000</w:t>
            </w:r>
          </w:p>
        </w:tc>
        <w:tc>
          <w:tcPr>
            <w:tcW w:w="11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w w:val="95"/>
                <w:sz w:val="18"/>
              </w:rPr>
              <w:t>25,020,000</w:t>
            </w:r>
          </w:p>
        </w:tc>
        <w:tc>
          <w:tcPr>
            <w:tcW w:w="1304" w:type="dxa"/>
            <w:gridSpan w:val="2"/>
            <w:tcBorders>
              <w:top w:val="single" w:sz="4" w:space="0" w:color="FFC000"/>
              <w:left w:val="single" w:sz="4" w:space="0" w:color="FFC000"/>
              <w:bottom w:val="single" w:sz="4" w:space="0" w:color="FFC000"/>
              <w:right w:val="single" w:sz="4" w:space="0" w:color="FFC000"/>
            </w:tcBorders>
          </w:tcPr>
          <w:p>
            <w:pPr/>
          </w:p>
        </w:tc>
        <w:tc>
          <w:tcPr>
            <w:tcW w:w="6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质押</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40" w:lineRule="auto"/>
              <w:ind w:left="158" w:right="0"/>
              <w:jc w:val="center"/>
              <w:rPr>
                <w:rFonts w:ascii="华文细黑" w:hAnsi="华文细黑" w:cs="华文细黑" w:eastAsia="华文细黑" w:hint="default"/>
                <w:sz w:val="18"/>
                <w:szCs w:val="18"/>
              </w:rPr>
            </w:pPr>
            <w:r>
              <w:rPr>
                <w:rFonts w:ascii="华文细黑"/>
                <w:sz w:val="18"/>
              </w:rPr>
              <w:t>25,020,000</w:t>
            </w:r>
          </w:p>
        </w:tc>
      </w:tr>
      <w:tr>
        <w:trPr>
          <w:trHeight w:val="714" w:hRule="exact"/>
        </w:trPr>
        <w:tc>
          <w:tcPr>
            <w:tcW w:w="1469"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唐进波</w:t>
            </w:r>
          </w:p>
        </w:tc>
        <w:tc>
          <w:tcPr>
            <w:tcW w:w="922"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266"/>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境内自 然人</w:t>
            </w:r>
          </w:p>
        </w:tc>
        <w:tc>
          <w:tcPr>
            <w:tcW w:w="108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1.57%</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w w:val="95"/>
                <w:sz w:val="18"/>
              </w:rPr>
              <w:t>19,489,560</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left="101" w:right="0"/>
              <w:jc w:val="left"/>
              <w:rPr>
                <w:rFonts w:ascii="华文细黑" w:hAnsi="华文细黑" w:cs="华文细黑" w:eastAsia="华文细黑" w:hint="default"/>
                <w:sz w:val="18"/>
                <w:szCs w:val="18"/>
              </w:rPr>
            </w:pPr>
            <w:r>
              <w:rPr>
                <w:rFonts w:ascii="华文细黑"/>
                <w:sz w:val="18"/>
              </w:rPr>
              <w:t>3,248,260</w:t>
            </w:r>
          </w:p>
        </w:tc>
        <w:tc>
          <w:tcPr>
            <w:tcW w:w="11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w w:val="95"/>
                <w:sz w:val="18"/>
              </w:rPr>
              <w:t>19,200,000</w:t>
            </w:r>
          </w:p>
        </w:tc>
        <w:tc>
          <w:tcPr>
            <w:tcW w:w="1304" w:type="dxa"/>
            <w:gridSpan w:val="2"/>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left="543" w:right="0"/>
              <w:jc w:val="left"/>
              <w:rPr>
                <w:rFonts w:ascii="华文细黑" w:hAnsi="华文细黑" w:cs="华文细黑" w:eastAsia="华文细黑" w:hint="default"/>
                <w:sz w:val="18"/>
                <w:szCs w:val="18"/>
              </w:rPr>
            </w:pPr>
            <w:r>
              <w:rPr>
                <w:rFonts w:ascii="华文细黑"/>
                <w:sz w:val="18"/>
              </w:rPr>
              <w:t>289,560</w:t>
            </w:r>
          </w:p>
        </w:tc>
        <w:tc>
          <w:tcPr>
            <w:tcW w:w="684" w:type="dxa"/>
            <w:tcBorders>
              <w:top w:val="single" w:sz="4" w:space="0" w:color="FFC000"/>
              <w:left w:val="single" w:sz="4" w:space="0" w:color="FFC000"/>
              <w:bottom w:val="single" w:sz="4" w:space="0" w:color="FFC000"/>
              <w:right w:val="single" w:sz="4" w:space="0" w:color="FFC000"/>
            </w:tcBorders>
          </w:tcPr>
          <w:p>
            <w:pP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714" w:hRule="exact"/>
        </w:trPr>
        <w:tc>
          <w:tcPr>
            <w:tcW w:w="1469"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黄绍武</w:t>
            </w:r>
          </w:p>
        </w:tc>
        <w:tc>
          <w:tcPr>
            <w:tcW w:w="922"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266"/>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境内自 然人</w:t>
            </w:r>
          </w:p>
        </w:tc>
        <w:tc>
          <w:tcPr>
            <w:tcW w:w="108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1.16%</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w w:val="95"/>
                <w:sz w:val="18"/>
              </w:rPr>
              <w:t>14,362,431</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left="101" w:right="0"/>
              <w:jc w:val="left"/>
              <w:rPr>
                <w:rFonts w:ascii="华文细黑" w:hAnsi="华文细黑" w:cs="华文细黑" w:eastAsia="华文细黑" w:hint="default"/>
                <w:sz w:val="18"/>
                <w:szCs w:val="18"/>
              </w:rPr>
            </w:pPr>
            <w:r>
              <w:rPr>
                <w:rFonts w:ascii="华文细黑"/>
                <w:sz w:val="18"/>
              </w:rPr>
              <w:t>2,393,739</w:t>
            </w:r>
          </w:p>
        </w:tc>
        <w:tc>
          <w:tcPr>
            <w:tcW w:w="11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w w:val="95"/>
                <w:sz w:val="18"/>
              </w:rPr>
              <w:t>10,771,823</w:t>
            </w:r>
          </w:p>
        </w:tc>
        <w:tc>
          <w:tcPr>
            <w:tcW w:w="1304" w:type="dxa"/>
            <w:gridSpan w:val="2"/>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left="393" w:right="0"/>
              <w:jc w:val="left"/>
              <w:rPr>
                <w:rFonts w:ascii="华文细黑" w:hAnsi="华文细黑" w:cs="华文细黑" w:eastAsia="华文细黑" w:hint="default"/>
                <w:sz w:val="18"/>
                <w:szCs w:val="18"/>
              </w:rPr>
            </w:pPr>
            <w:r>
              <w:rPr>
                <w:rFonts w:ascii="华文细黑"/>
                <w:sz w:val="18"/>
              </w:rPr>
              <w:t>3,590,608</w:t>
            </w:r>
          </w:p>
        </w:tc>
        <w:tc>
          <w:tcPr>
            <w:tcW w:w="684" w:type="dxa"/>
            <w:tcBorders>
              <w:top w:val="single" w:sz="4" w:space="0" w:color="FFC000"/>
              <w:left w:val="single" w:sz="4" w:space="0" w:color="FFC000"/>
              <w:bottom w:val="single" w:sz="4" w:space="0" w:color="FFC000"/>
              <w:right w:val="single" w:sz="4" w:space="0" w:color="FFC000"/>
            </w:tcBorders>
          </w:tcPr>
          <w:p>
            <w:pP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715" w:hRule="exact"/>
        </w:trPr>
        <w:tc>
          <w:tcPr>
            <w:tcW w:w="1469"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1"/>
              <w:ind w:left="103" w:right="27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香港中央结算 有限公司</w:t>
            </w:r>
          </w:p>
        </w:tc>
        <w:tc>
          <w:tcPr>
            <w:tcW w:w="922"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266"/>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境外法 人</w:t>
            </w:r>
          </w:p>
        </w:tc>
        <w:tc>
          <w:tcPr>
            <w:tcW w:w="108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1.12%</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w w:val="95"/>
                <w:sz w:val="18"/>
              </w:rPr>
              <w:t>13,843,441</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left="101" w:right="0"/>
              <w:jc w:val="left"/>
              <w:rPr>
                <w:rFonts w:ascii="华文细黑" w:hAnsi="华文细黑" w:cs="华文细黑" w:eastAsia="华文细黑" w:hint="default"/>
                <w:sz w:val="18"/>
                <w:szCs w:val="18"/>
              </w:rPr>
            </w:pPr>
            <w:r>
              <w:rPr>
                <w:rFonts w:ascii="华文细黑"/>
                <w:sz w:val="18"/>
              </w:rPr>
              <w:t>13,275,573</w:t>
            </w:r>
          </w:p>
        </w:tc>
        <w:tc>
          <w:tcPr>
            <w:tcW w:w="1118" w:type="dxa"/>
            <w:tcBorders>
              <w:top w:val="single" w:sz="4" w:space="0" w:color="FFC000"/>
              <w:left w:val="single" w:sz="4" w:space="0" w:color="FFC000"/>
              <w:bottom w:val="single" w:sz="4" w:space="0" w:color="FFC000"/>
              <w:right w:val="single" w:sz="4" w:space="0" w:color="FFC000"/>
            </w:tcBorders>
          </w:tcPr>
          <w:p>
            <w:pPr/>
          </w:p>
        </w:tc>
        <w:tc>
          <w:tcPr>
            <w:tcW w:w="1304" w:type="dxa"/>
            <w:gridSpan w:val="2"/>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left="294" w:right="0"/>
              <w:jc w:val="left"/>
              <w:rPr>
                <w:rFonts w:ascii="华文细黑" w:hAnsi="华文细黑" w:cs="华文细黑" w:eastAsia="华文细黑" w:hint="default"/>
                <w:sz w:val="18"/>
                <w:szCs w:val="18"/>
              </w:rPr>
            </w:pPr>
            <w:r>
              <w:rPr>
                <w:rFonts w:ascii="华文细黑"/>
                <w:sz w:val="18"/>
              </w:rPr>
              <w:t>13,843,441</w:t>
            </w:r>
          </w:p>
        </w:tc>
        <w:tc>
          <w:tcPr>
            <w:tcW w:w="684" w:type="dxa"/>
            <w:tcBorders>
              <w:top w:val="single" w:sz="4" w:space="0" w:color="FFC000"/>
              <w:left w:val="single" w:sz="4" w:space="0" w:color="FFC000"/>
              <w:bottom w:val="single" w:sz="4" w:space="0" w:color="FFC000"/>
              <w:right w:val="single" w:sz="4" w:space="0" w:color="FFC000"/>
            </w:tcBorders>
          </w:tcPr>
          <w:p>
            <w:pPr/>
          </w:p>
        </w:tc>
        <w:tc>
          <w:tcPr>
            <w:tcW w:w="1274" w:type="dxa"/>
            <w:tcBorders>
              <w:top w:val="single" w:sz="4" w:space="0" w:color="FFC000"/>
              <w:left w:val="single" w:sz="4" w:space="0" w:color="FFC000"/>
              <w:bottom w:val="single" w:sz="4" w:space="0" w:color="FFC000"/>
              <w:right w:val="single" w:sz="4" w:space="0" w:color="FFC000"/>
            </w:tcBorders>
          </w:tcPr>
          <w:p>
            <w:pPr/>
          </w:p>
        </w:tc>
      </w:tr>
    </w:tbl>
    <w:p>
      <w:pPr>
        <w:spacing w:after="0"/>
        <w:sectPr>
          <w:pgSz w:w="11910" w:h="16840"/>
          <w:pgMar w:header="917" w:footer="1019" w:top="1100" w:bottom="1200" w:left="6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469"/>
        <w:gridCol w:w="922"/>
        <w:gridCol w:w="1087"/>
        <w:gridCol w:w="1306"/>
        <w:gridCol w:w="1274"/>
        <w:gridCol w:w="1118"/>
        <w:gridCol w:w="1304"/>
        <w:gridCol w:w="684"/>
        <w:gridCol w:w="1274"/>
      </w:tblGrid>
      <w:tr>
        <w:trPr>
          <w:trHeight w:val="1962" w:hRule="exact"/>
        </w:trPr>
        <w:tc>
          <w:tcPr>
            <w:tcW w:w="146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27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中国农业银行 股份有限公司</w:t>
            </w:r>
          </w:p>
          <w:p>
            <w:pPr>
              <w:pStyle w:val="TableParagraph"/>
              <w:spacing w:line="295" w:lineRule="auto" w:before="13"/>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－景顺长城沪 深</w:t>
            </w:r>
            <w:r>
              <w:rPr>
                <w:rFonts w:ascii="华文细黑" w:hAnsi="华文细黑" w:cs="华文细黑" w:eastAsia="华文细黑" w:hint="default"/>
                <w:spacing w:val="-20"/>
                <w:sz w:val="18"/>
                <w:szCs w:val="18"/>
              </w:rPr>
              <w:t> </w:t>
            </w:r>
            <w:r>
              <w:rPr>
                <w:rFonts w:ascii="华文细黑" w:hAnsi="华文细黑" w:cs="华文细黑" w:eastAsia="华文细黑" w:hint="default"/>
                <w:sz w:val="18"/>
                <w:szCs w:val="18"/>
              </w:rPr>
              <w:t>300</w:t>
            </w:r>
            <w:r>
              <w:rPr>
                <w:rFonts w:ascii="华文细黑" w:hAnsi="华文细黑" w:cs="华文细黑" w:eastAsia="华文细黑" w:hint="default"/>
                <w:spacing w:val="-20"/>
                <w:sz w:val="18"/>
                <w:szCs w:val="18"/>
              </w:rPr>
              <w:t> </w:t>
            </w:r>
            <w:r>
              <w:rPr>
                <w:rFonts w:ascii="华文细黑" w:hAnsi="华文细黑" w:cs="华文细黑" w:eastAsia="华文细黑" w:hint="default"/>
                <w:sz w:val="18"/>
                <w:szCs w:val="18"/>
              </w:rPr>
              <w:t>指数增强 型证券投资基 金</w:t>
            </w:r>
          </w:p>
        </w:tc>
        <w:tc>
          <w:tcPr>
            <w:tcW w:w="9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108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0.73%</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9,061,806</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101" w:right="0"/>
              <w:jc w:val="left"/>
              <w:rPr>
                <w:rFonts w:ascii="华文细黑" w:hAnsi="华文细黑" w:cs="华文细黑" w:eastAsia="华文细黑" w:hint="default"/>
                <w:sz w:val="18"/>
                <w:szCs w:val="18"/>
              </w:rPr>
            </w:pPr>
            <w:r>
              <w:rPr>
                <w:rFonts w:ascii="华文细黑"/>
                <w:sz w:val="18"/>
              </w:rPr>
              <w:t>9,061,806</w:t>
            </w:r>
          </w:p>
        </w:tc>
        <w:tc>
          <w:tcPr>
            <w:tcW w:w="1118" w:type="dxa"/>
            <w:tcBorders>
              <w:top w:val="single" w:sz="4" w:space="0" w:color="FFC000"/>
              <w:left w:val="single" w:sz="4" w:space="0" w:color="FFC000"/>
              <w:bottom w:val="single" w:sz="4" w:space="0" w:color="FFC000"/>
              <w:right w:val="single" w:sz="4" w:space="0" w:color="FFC000"/>
            </w:tcBorders>
          </w:tcPr>
          <w:p>
            <w:pPr/>
          </w:p>
        </w:tc>
        <w:tc>
          <w:tcPr>
            <w:tcW w:w="130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华文细黑" w:hAnsi="华文细黑" w:cs="华文细黑" w:eastAsia="华文细黑" w:hint="default"/>
                <w:sz w:val="18"/>
                <w:szCs w:val="18"/>
              </w:rPr>
            </w:pPr>
            <w:r>
              <w:rPr>
                <w:rFonts w:ascii="华文细黑"/>
                <w:sz w:val="18"/>
              </w:rPr>
              <w:t>9,061,806</w:t>
            </w:r>
          </w:p>
        </w:tc>
        <w:tc>
          <w:tcPr>
            <w:tcW w:w="684" w:type="dxa"/>
            <w:tcBorders>
              <w:top w:val="single" w:sz="4" w:space="0" w:color="FFC000"/>
              <w:left w:val="single" w:sz="4" w:space="0" w:color="FFC000"/>
              <w:bottom w:val="single" w:sz="4" w:space="0" w:color="FFC000"/>
              <w:right w:val="single" w:sz="4" w:space="0" w:color="FFC000"/>
            </w:tcBorders>
          </w:tcPr>
          <w:p>
            <w:pP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1650" w:hRule="exact"/>
        </w:trPr>
        <w:tc>
          <w:tcPr>
            <w:tcW w:w="146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274"/>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中国建设银行 股份有限公司</w:t>
            </w:r>
          </w:p>
          <w:p>
            <w:pPr>
              <w:pStyle w:val="TableParagraph"/>
              <w:spacing w:line="295" w:lineRule="auto" w:before="13"/>
              <w:ind w:left="103" w:right="274"/>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－景顺长城量 化精选股票型 证券投资基金</w:t>
            </w:r>
          </w:p>
        </w:tc>
        <w:tc>
          <w:tcPr>
            <w:tcW w:w="9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108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0.49%</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6,040,930</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101" w:right="0"/>
              <w:jc w:val="left"/>
              <w:rPr>
                <w:rFonts w:ascii="华文细黑" w:hAnsi="华文细黑" w:cs="华文细黑" w:eastAsia="华文细黑" w:hint="default"/>
                <w:sz w:val="18"/>
                <w:szCs w:val="18"/>
              </w:rPr>
            </w:pPr>
            <w:r>
              <w:rPr>
                <w:rFonts w:ascii="华文细黑"/>
                <w:sz w:val="18"/>
              </w:rPr>
              <w:t>6,040,930</w:t>
            </w:r>
          </w:p>
        </w:tc>
        <w:tc>
          <w:tcPr>
            <w:tcW w:w="1118" w:type="dxa"/>
            <w:tcBorders>
              <w:top w:val="single" w:sz="4" w:space="0" w:color="FFC000"/>
              <w:left w:val="single" w:sz="4" w:space="0" w:color="FFC000"/>
              <w:bottom w:val="single" w:sz="4" w:space="0" w:color="FFC000"/>
              <w:right w:val="single" w:sz="4" w:space="0" w:color="FFC000"/>
            </w:tcBorders>
          </w:tcPr>
          <w:p>
            <w:pPr/>
          </w:p>
        </w:tc>
        <w:tc>
          <w:tcPr>
            <w:tcW w:w="130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华文细黑" w:hAnsi="华文细黑" w:cs="华文细黑" w:eastAsia="华文细黑" w:hint="default"/>
                <w:sz w:val="18"/>
                <w:szCs w:val="18"/>
              </w:rPr>
            </w:pPr>
            <w:r>
              <w:rPr>
                <w:rFonts w:ascii="华文细黑"/>
                <w:sz w:val="18"/>
              </w:rPr>
              <w:t>6,040,930</w:t>
            </w:r>
          </w:p>
        </w:tc>
        <w:tc>
          <w:tcPr>
            <w:tcW w:w="684" w:type="dxa"/>
            <w:tcBorders>
              <w:top w:val="single" w:sz="4" w:space="0" w:color="FFC000"/>
              <w:left w:val="single" w:sz="4" w:space="0" w:color="FFC000"/>
              <w:bottom w:val="single" w:sz="4" w:space="0" w:color="FFC000"/>
              <w:right w:val="single" w:sz="4" w:space="0" w:color="FFC000"/>
            </w:tcBorders>
          </w:tcPr>
          <w:p>
            <w:pP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1026" w:hRule="exact"/>
        </w:trPr>
        <w:tc>
          <w:tcPr>
            <w:tcW w:w="146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新余爱乐投资 管理中心（有限 合伙）</w:t>
            </w:r>
          </w:p>
        </w:tc>
        <w:tc>
          <w:tcPr>
            <w:tcW w:w="922"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266"/>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境内非 国有法 人</w:t>
            </w:r>
          </w:p>
        </w:tc>
        <w:tc>
          <w:tcPr>
            <w:tcW w:w="108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0.44%</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sz w:val="18"/>
              </w:rPr>
              <w:t>5,400,000</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101" w:right="0"/>
              <w:jc w:val="left"/>
              <w:rPr>
                <w:rFonts w:ascii="华文细黑" w:hAnsi="华文细黑" w:cs="华文细黑" w:eastAsia="华文细黑" w:hint="default"/>
                <w:sz w:val="18"/>
                <w:szCs w:val="18"/>
              </w:rPr>
            </w:pPr>
            <w:r>
              <w:rPr>
                <w:rFonts w:ascii="华文细黑"/>
                <w:sz w:val="18"/>
              </w:rPr>
              <w:t>900,000</w:t>
            </w:r>
          </w:p>
        </w:tc>
        <w:tc>
          <w:tcPr>
            <w:tcW w:w="11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207" w:right="0"/>
              <w:jc w:val="left"/>
              <w:rPr>
                <w:rFonts w:ascii="华文细黑" w:hAnsi="华文细黑" w:cs="华文细黑" w:eastAsia="华文细黑" w:hint="default"/>
                <w:sz w:val="18"/>
                <w:szCs w:val="18"/>
              </w:rPr>
            </w:pPr>
            <w:r>
              <w:rPr>
                <w:rFonts w:ascii="华文细黑"/>
                <w:sz w:val="18"/>
              </w:rPr>
              <w:t>5,400,000</w:t>
            </w:r>
          </w:p>
        </w:tc>
        <w:tc>
          <w:tcPr>
            <w:tcW w:w="1304" w:type="dxa"/>
            <w:tcBorders>
              <w:top w:val="single" w:sz="4" w:space="0" w:color="FFC000"/>
              <w:left w:val="single" w:sz="4" w:space="0" w:color="FFC000"/>
              <w:bottom w:val="single" w:sz="4" w:space="0" w:color="FFC000"/>
              <w:right w:val="single" w:sz="4" w:space="0" w:color="FFC000"/>
            </w:tcBorders>
          </w:tcPr>
          <w:p>
            <w:pPr/>
          </w:p>
        </w:tc>
        <w:tc>
          <w:tcPr>
            <w:tcW w:w="684" w:type="dxa"/>
            <w:tcBorders>
              <w:top w:val="single" w:sz="4" w:space="0" w:color="FFC000"/>
              <w:left w:val="single" w:sz="4" w:space="0" w:color="FFC000"/>
              <w:bottom w:val="single" w:sz="4" w:space="0" w:color="FFC000"/>
              <w:right w:val="single" w:sz="4" w:space="0" w:color="FFC000"/>
            </w:tcBorders>
          </w:tcPr>
          <w:p>
            <w:pP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1026" w:hRule="exact"/>
        </w:trPr>
        <w:tc>
          <w:tcPr>
            <w:tcW w:w="2391"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1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战略投资者或一般法人因配 售新股成为前 </w:t>
            </w:r>
            <w:r>
              <w:rPr>
                <w:rFonts w:ascii="华文细黑" w:hAnsi="华文细黑" w:cs="华文细黑" w:eastAsia="华文细黑" w:hint="default"/>
                <w:sz w:val="18"/>
                <w:szCs w:val="18"/>
              </w:rPr>
              <w:t>10</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名股东的 </w:t>
            </w:r>
            <w:r>
              <w:rPr>
                <w:rFonts w:ascii="华文细黑" w:hAnsi="华文细黑" w:cs="华文细黑" w:eastAsia="华文细黑" w:hint="default"/>
                <w:spacing w:val="-9"/>
                <w:sz w:val="18"/>
                <w:szCs w:val="18"/>
              </w:rPr>
              <w:t>情况（如有）（参见注</w:t>
            </w:r>
            <w:r>
              <w:rPr>
                <w:rFonts w:ascii="华文细黑" w:hAnsi="华文细黑" w:cs="华文细黑" w:eastAsia="华文细黑" w:hint="default"/>
                <w:sz w:val="18"/>
                <w:szCs w:val="18"/>
              </w:rPr>
              <w:t> </w:t>
            </w:r>
            <w:r>
              <w:rPr>
                <w:rFonts w:ascii="华文细黑" w:hAnsi="华文细黑" w:cs="华文细黑" w:eastAsia="华文细黑" w:hint="default"/>
                <w:spacing w:val="-1"/>
                <w:sz w:val="18"/>
                <w:szCs w:val="18"/>
              </w:rPr>
              <w:t>3</w:t>
            </w:r>
            <w:r>
              <w:rPr>
                <w:rFonts w:ascii="华文细黑" w:hAnsi="华文细黑" w:cs="华文细黑" w:eastAsia="华文细黑" w:hint="default"/>
                <w:spacing w:val="-1"/>
                <w:sz w:val="18"/>
                <w:szCs w:val="18"/>
              </w:rPr>
              <w:t>）</w:t>
            </w:r>
          </w:p>
        </w:tc>
        <w:tc>
          <w:tcPr>
            <w:tcW w:w="8048" w:type="dxa"/>
            <w:gridSpan w:val="7"/>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不适用</w:t>
            </w:r>
          </w:p>
        </w:tc>
      </w:tr>
      <w:tr>
        <w:trPr>
          <w:trHeight w:val="1962" w:hRule="exact"/>
        </w:trPr>
        <w:tc>
          <w:tcPr>
            <w:tcW w:w="2391"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95" w:lineRule="auto"/>
              <w:ind w:left="103" w:right="11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上述股东关联关系或一致行 动的说明</w:t>
            </w:r>
          </w:p>
        </w:tc>
        <w:tc>
          <w:tcPr>
            <w:tcW w:w="8048" w:type="dxa"/>
            <w:gridSpan w:val="7"/>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0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、黄绍武先生持有深圳市神州通投资集团有限公司</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66.37%</w:t>
            </w:r>
            <w:r>
              <w:rPr>
                <w:rFonts w:ascii="华文细黑" w:hAnsi="华文细黑" w:cs="华文细黑" w:eastAsia="华文细黑" w:hint="default"/>
                <w:sz w:val="18"/>
                <w:szCs w:val="18"/>
              </w:rPr>
              <w:t>的股权，并持有深圳市全球星投资管理 有限公司</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66.37%</w:t>
            </w:r>
            <w:r>
              <w:rPr>
                <w:rFonts w:ascii="华文细黑" w:hAnsi="华文细黑" w:cs="华文细黑" w:eastAsia="华文细黑" w:hint="default"/>
                <w:sz w:val="18"/>
                <w:szCs w:val="18"/>
              </w:rPr>
              <w:t>的股权，新余全球星投资管理有限公司为深圳市全球星投资管理有限公司的全资子 </w:t>
            </w:r>
            <w:r>
              <w:rPr>
                <w:rFonts w:ascii="华文细黑" w:hAnsi="华文细黑" w:cs="华文细黑" w:eastAsia="华文细黑" w:hint="default"/>
                <w:spacing w:val="-3"/>
                <w:sz w:val="18"/>
                <w:szCs w:val="18"/>
              </w:rPr>
              <w:t>公司。黄绍武先生与深圳市神州通投资集团有限公司、深圳市全球星投资管理有限公司、新余全球星</w:t>
            </w:r>
            <w:r>
              <w:rPr>
                <w:rFonts w:ascii="华文细黑" w:hAnsi="华文细黑" w:cs="华文细黑" w:eastAsia="华文细黑" w:hint="default"/>
                <w:spacing w:val="-5"/>
                <w:sz w:val="18"/>
                <w:szCs w:val="18"/>
              </w:rPr>
              <w:t> </w:t>
            </w:r>
            <w:r>
              <w:rPr>
                <w:rFonts w:ascii="华文细黑" w:hAnsi="华文细黑" w:cs="华文细黑" w:eastAsia="华文细黑" w:hint="default"/>
                <w:spacing w:val="-5"/>
                <w:sz w:val="18"/>
                <w:szCs w:val="18"/>
              </w:rPr>
            </w:r>
            <w:r>
              <w:rPr>
                <w:rFonts w:ascii="华文细黑" w:hAnsi="华文细黑" w:cs="华文细黑" w:eastAsia="华文细黑" w:hint="default"/>
                <w:sz w:val="18"/>
                <w:szCs w:val="18"/>
              </w:rPr>
              <w:t>投资管理有限公司构成关联股东的关系。</w:t>
            </w:r>
          </w:p>
          <w:p>
            <w:pPr>
              <w:pStyle w:val="TableParagraph"/>
              <w:spacing w:line="295" w:lineRule="auto" w:before="13"/>
              <w:ind w:left="103" w:right="16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、未知公司前 </w:t>
            </w:r>
            <w:r>
              <w:rPr>
                <w:rFonts w:ascii="华文细黑" w:hAnsi="华文细黑" w:cs="华文细黑" w:eastAsia="华文细黑" w:hint="default"/>
                <w:sz w:val="18"/>
                <w:szCs w:val="18"/>
              </w:rPr>
              <w:t>10</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名股东中其他股东之间是否存在关联关系，也未知是否存在《上市公司收购管理 办法》中规定的一致行动人的情况。</w:t>
            </w:r>
          </w:p>
        </w:tc>
      </w:tr>
      <w:tr>
        <w:trPr>
          <w:trHeight w:val="402" w:hRule="exact"/>
        </w:trPr>
        <w:tc>
          <w:tcPr>
            <w:tcW w:w="10439" w:type="dxa"/>
            <w:gridSpan w:val="9"/>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前 </w:t>
            </w:r>
            <w:r>
              <w:rPr>
                <w:rFonts w:ascii="华文细黑" w:hAnsi="华文细黑" w:cs="华文细黑" w:eastAsia="华文细黑" w:hint="default"/>
                <w:sz w:val="18"/>
                <w:szCs w:val="18"/>
              </w:rPr>
              <w:t>10</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名无限售条件股东持股情况</w:t>
            </w:r>
          </w:p>
        </w:tc>
      </w:tr>
      <w:tr>
        <w:trPr>
          <w:trHeight w:val="402" w:hRule="exact"/>
        </w:trPr>
        <w:tc>
          <w:tcPr>
            <w:tcW w:w="2391"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股东名称</w:t>
            </w:r>
          </w:p>
        </w:tc>
        <w:tc>
          <w:tcPr>
            <w:tcW w:w="6090" w:type="dxa"/>
            <w:gridSpan w:val="5"/>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left="168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报告期末持有无限售条件股份数量</w:t>
            </w:r>
          </w:p>
        </w:tc>
        <w:tc>
          <w:tcPr>
            <w:tcW w:w="1958"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61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股份种类</w:t>
            </w:r>
          </w:p>
        </w:tc>
      </w:tr>
      <w:tr>
        <w:trPr>
          <w:trHeight w:val="714" w:hRule="exact"/>
        </w:trPr>
        <w:tc>
          <w:tcPr>
            <w:tcW w:w="2391" w:type="dxa"/>
            <w:gridSpan w:val="2"/>
            <w:vMerge/>
            <w:tcBorders>
              <w:left w:val="single" w:sz="4" w:space="0" w:color="FFC000"/>
              <w:bottom w:val="single" w:sz="4" w:space="0" w:color="FFC000"/>
              <w:right w:val="single" w:sz="4" w:space="0" w:color="FFC000"/>
            </w:tcBorders>
            <w:shd w:val="clear" w:color="auto" w:fill="FFF8E6"/>
          </w:tcPr>
          <w:p>
            <w:pPr/>
          </w:p>
        </w:tc>
        <w:tc>
          <w:tcPr>
            <w:tcW w:w="6090" w:type="dxa"/>
            <w:gridSpan w:val="5"/>
            <w:vMerge/>
            <w:tcBorders>
              <w:left w:val="single" w:sz="4" w:space="0" w:color="FFC000"/>
              <w:bottom w:val="single" w:sz="4" w:space="0" w:color="FFC000"/>
              <w:right w:val="single" w:sz="4" w:space="0" w:color="FFC000"/>
            </w:tcBorders>
            <w:shd w:val="clear" w:color="auto" w:fill="FFF8E6"/>
          </w:tcPr>
          <w:p>
            <w:pPr/>
          </w:p>
        </w:tc>
        <w:tc>
          <w:tcPr>
            <w:tcW w:w="6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56" w:right="156"/>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股份 种类</w:t>
            </w:r>
          </w:p>
        </w:tc>
        <w:tc>
          <w:tcPr>
            <w:tcW w:w="127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数量</w:t>
            </w:r>
          </w:p>
        </w:tc>
      </w:tr>
      <w:tr>
        <w:trPr>
          <w:trHeight w:val="1026" w:hRule="exact"/>
        </w:trPr>
        <w:tc>
          <w:tcPr>
            <w:tcW w:w="2391"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11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 公司</w:t>
            </w:r>
          </w:p>
        </w:tc>
        <w:tc>
          <w:tcPr>
            <w:tcW w:w="6090" w:type="dxa"/>
            <w:gridSpan w:val="5"/>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650,644,303</w:t>
            </w:r>
          </w:p>
        </w:tc>
        <w:tc>
          <w:tcPr>
            <w:tcW w:w="684"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20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人民 币普 通股</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sz w:val="18"/>
              </w:rPr>
              <w:t>650,644,303</w:t>
            </w:r>
          </w:p>
        </w:tc>
      </w:tr>
      <w:tr>
        <w:trPr>
          <w:trHeight w:val="1026" w:hRule="exact"/>
        </w:trPr>
        <w:tc>
          <w:tcPr>
            <w:tcW w:w="2391"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11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深圳市全球星投资管理有限 公司</w:t>
            </w:r>
          </w:p>
        </w:tc>
        <w:tc>
          <w:tcPr>
            <w:tcW w:w="6090" w:type="dxa"/>
            <w:gridSpan w:val="5"/>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121,800,000</w:t>
            </w:r>
          </w:p>
        </w:tc>
        <w:tc>
          <w:tcPr>
            <w:tcW w:w="684"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20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人民 币普 通股</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sz w:val="18"/>
              </w:rPr>
              <w:t>121,800,000</w:t>
            </w:r>
          </w:p>
        </w:tc>
      </w:tr>
      <w:tr>
        <w:trPr>
          <w:trHeight w:val="1026" w:hRule="exact"/>
        </w:trPr>
        <w:tc>
          <w:tcPr>
            <w:tcW w:w="2391"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115"/>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新余全球星投资管理有限公 司</w:t>
            </w:r>
          </w:p>
        </w:tc>
        <w:tc>
          <w:tcPr>
            <w:tcW w:w="6090" w:type="dxa"/>
            <w:gridSpan w:val="5"/>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w w:val="95"/>
                <w:sz w:val="18"/>
              </w:rPr>
              <w:t>52,128,000</w:t>
            </w:r>
          </w:p>
        </w:tc>
        <w:tc>
          <w:tcPr>
            <w:tcW w:w="684"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20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人民 币普 通股</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w w:val="95"/>
                <w:sz w:val="18"/>
              </w:rPr>
              <w:t>52,128,000</w:t>
            </w:r>
          </w:p>
        </w:tc>
      </w:tr>
      <w:tr>
        <w:trPr>
          <w:trHeight w:val="1026" w:hRule="exact"/>
        </w:trPr>
        <w:tc>
          <w:tcPr>
            <w:tcW w:w="2391"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香港中央结算有限公司</w:t>
            </w:r>
          </w:p>
        </w:tc>
        <w:tc>
          <w:tcPr>
            <w:tcW w:w="6090" w:type="dxa"/>
            <w:gridSpan w:val="5"/>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w w:val="95"/>
                <w:sz w:val="18"/>
              </w:rPr>
              <w:t>13,843,441</w:t>
            </w:r>
          </w:p>
        </w:tc>
        <w:tc>
          <w:tcPr>
            <w:tcW w:w="684"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20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人民 币普 通股</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w w:val="95"/>
                <w:sz w:val="18"/>
              </w:rPr>
              <w:t>13,843,441</w:t>
            </w:r>
          </w:p>
        </w:tc>
      </w:tr>
      <w:tr>
        <w:trPr>
          <w:trHeight w:val="674" w:hRule="exact"/>
        </w:trPr>
        <w:tc>
          <w:tcPr>
            <w:tcW w:w="2391"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中国农业银行股份有限公司</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－景顺长城沪深 </w:t>
            </w:r>
            <w:r>
              <w:rPr>
                <w:rFonts w:ascii="华文细黑" w:hAnsi="华文细黑" w:cs="华文细黑" w:eastAsia="华文细黑" w:hint="default"/>
                <w:sz w:val="18"/>
                <w:szCs w:val="18"/>
              </w:rPr>
              <w:t>300</w:t>
            </w:r>
            <w:r>
              <w:rPr>
                <w:rFonts w:ascii="华文细黑" w:hAnsi="华文细黑" w:cs="华文细黑" w:eastAsia="华文细黑" w:hint="default"/>
                <w:spacing w:val="-16"/>
                <w:sz w:val="18"/>
                <w:szCs w:val="18"/>
              </w:rPr>
              <w:t> </w:t>
            </w:r>
            <w:r>
              <w:rPr>
                <w:rFonts w:ascii="华文细黑" w:hAnsi="华文细黑" w:cs="华文细黑" w:eastAsia="华文细黑" w:hint="default"/>
                <w:sz w:val="18"/>
                <w:szCs w:val="18"/>
              </w:rPr>
              <w:t>指数增</w:t>
            </w:r>
          </w:p>
        </w:tc>
        <w:tc>
          <w:tcPr>
            <w:tcW w:w="6090" w:type="dxa"/>
            <w:gridSpan w:val="5"/>
            <w:tcBorders>
              <w:top w:val="single" w:sz="4" w:space="0" w:color="FFC000"/>
              <w:left w:val="single" w:sz="4" w:space="0" w:color="FFC000"/>
              <w:bottom w:val="single" w:sz="4" w:space="0" w:color="FFC000"/>
              <w:right w:val="single" w:sz="4" w:space="0" w:color="FFC000"/>
            </w:tcBorders>
          </w:tcPr>
          <w:p>
            <w:pPr>
              <w:pStyle w:val="TableParagraph"/>
              <w:spacing w:line="240" w:lineRule="auto" w:before="4"/>
              <w:ind w:right="0"/>
              <w:jc w:val="left"/>
              <w:rPr>
                <w:rFonts w:ascii="Times New Roman" w:hAnsi="Times New Roman" w:cs="Times New Roman" w:eastAsia="Times New Roman" w:hint="default"/>
                <w:sz w:val="15"/>
                <w:szCs w:val="15"/>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w w:val="95"/>
                <w:sz w:val="18"/>
              </w:rPr>
              <w:t>9,061,806</w:t>
            </w:r>
          </w:p>
        </w:tc>
        <w:tc>
          <w:tcPr>
            <w:tcW w:w="684"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20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人民 币普</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
              <w:ind w:right="0"/>
              <w:jc w:val="left"/>
              <w:rPr>
                <w:rFonts w:ascii="Times New Roman" w:hAnsi="Times New Roman" w:cs="Times New Roman" w:eastAsia="Times New Roman" w:hint="default"/>
                <w:sz w:val="15"/>
                <w:szCs w:val="15"/>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9,061,806</w:t>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6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391"/>
        <w:gridCol w:w="6090"/>
        <w:gridCol w:w="684"/>
        <w:gridCol w:w="1274"/>
      </w:tblGrid>
      <w:tr>
        <w:trPr>
          <w:trHeight w:val="362" w:hRule="exact"/>
        </w:trPr>
        <w:tc>
          <w:tcPr>
            <w:tcW w:w="239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强型证券投资基金</w:t>
            </w:r>
          </w:p>
        </w:tc>
        <w:tc>
          <w:tcPr>
            <w:tcW w:w="6090" w:type="dxa"/>
            <w:tcBorders>
              <w:top w:val="single" w:sz="4" w:space="0" w:color="FFC000"/>
              <w:left w:val="single" w:sz="4" w:space="0" w:color="FFC000"/>
              <w:bottom w:val="single" w:sz="4" w:space="0" w:color="FFC000"/>
              <w:right w:val="single" w:sz="4" w:space="0" w:color="FFC000"/>
            </w:tcBorders>
          </w:tcPr>
          <w:p>
            <w:pPr/>
          </w:p>
        </w:tc>
        <w:tc>
          <w:tcPr>
            <w:tcW w:w="6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通股</w:t>
            </w: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1026" w:hRule="exact"/>
        </w:trPr>
        <w:tc>
          <w:tcPr>
            <w:tcW w:w="239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中国建设银行股份有限公司</w:t>
            </w:r>
          </w:p>
          <w:p>
            <w:pPr>
              <w:pStyle w:val="TableParagraph"/>
              <w:spacing w:line="295" w:lineRule="auto" w:before="56"/>
              <w:ind w:left="103" w:right="11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－景顺长城量化精选股票型 证券投资基金</w:t>
            </w:r>
          </w:p>
        </w:tc>
        <w:tc>
          <w:tcPr>
            <w:tcW w:w="60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6,040,930</w:t>
            </w:r>
          </w:p>
        </w:tc>
        <w:tc>
          <w:tcPr>
            <w:tcW w:w="684"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20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人民 币普 通股</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sz w:val="18"/>
              </w:rPr>
              <w:t>6,040,930</w:t>
            </w:r>
          </w:p>
        </w:tc>
      </w:tr>
      <w:tr>
        <w:trPr>
          <w:trHeight w:val="1026" w:hRule="exact"/>
        </w:trPr>
        <w:tc>
          <w:tcPr>
            <w:tcW w:w="239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崔秀珍</w:t>
            </w:r>
          </w:p>
        </w:tc>
        <w:tc>
          <w:tcPr>
            <w:tcW w:w="60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5,313,300</w:t>
            </w:r>
          </w:p>
        </w:tc>
        <w:tc>
          <w:tcPr>
            <w:tcW w:w="684"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20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人民 币普 通股</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sz w:val="18"/>
              </w:rPr>
              <w:t>5,313,300</w:t>
            </w:r>
          </w:p>
        </w:tc>
      </w:tr>
      <w:tr>
        <w:trPr>
          <w:trHeight w:val="1026" w:hRule="exact"/>
        </w:trPr>
        <w:tc>
          <w:tcPr>
            <w:tcW w:w="239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11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东海基金－工商银行－鑫龙 </w:t>
            </w:r>
            <w:r>
              <w:rPr>
                <w:rFonts w:ascii="华文细黑" w:hAnsi="华文细黑" w:cs="华文细黑" w:eastAsia="华文细黑" w:hint="default"/>
                <w:sz w:val="18"/>
                <w:szCs w:val="18"/>
              </w:rPr>
              <w:t>135</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号资产管理计划</w:t>
            </w:r>
          </w:p>
        </w:tc>
        <w:tc>
          <w:tcPr>
            <w:tcW w:w="60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pacing w:val="-1"/>
                <w:sz w:val="18"/>
              </w:rPr>
              <w:t>5,204,189</w:t>
            </w:r>
          </w:p>
        </w:tc>
        <w:tc>
          <w:tcPr>
            <w:tcW w:w="684"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20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人民 币普 通股</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sz w:val="18"/>
              </w:rPr>
              <w:t>5,204,189</w:t>
            </w:r>
          </w:p>
        </w:tc>
      </w:tr>
      <w:tr>
        <w:trPr>
          <w:trHeight w:val="1026" w:hRule="exact"/>
        </w:trPr>
        <w:tc>
          <w:tcPr>
            <w:tcW w:w="239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11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基本养老保险基金一三零一 组合</w:t>
            </w:r>
          </w:p>
        </w:tc>
        <w:tc>
          <w:tcPr>
            <w:tcW w:w="60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4,471,680</w:t>
            </w:r>
          </w:p>
        </w:tc>
        <w:tc>
          <w:tcPr>
            <w:tcW w:w="684"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20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人民 币普 通股</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sz w:val="18"/>
              </w:rPr>
              <w:t>4,471,680</w:t>
            </w:r>
          </w:p>
        </w:tc>
      </w:tr>
      <w:tr>
        <w:trPr>
          <w:trHeight w:val="1026" w:hRule="exact"/>
        </w:trPr>
        <w:tc>
          <w:tcPr>
            <w:tcW w:w="239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中国农业银行股份有限公司</w:t>
            </w:r>
          </w:p>
          <w:p>
            <w:pPr>
              <w:pStyle w:val="TableParagraph"/>
              <w:spacing w:line="295" w:lineRule="auto" w:before="56"/>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－中证 </w:t>
            </w:r>
            <w:r>
              <w:rPr>
                <w:rFonts w:ascii="华文细黑" w:hAnsi="华文细黑" w:cs="华文细黑" w:eastAsia="华文细黑" w:hint="default"/>
                <w:sz w:val="18"/>
                <w:szCs w:val="18"/>
              </w:rPr>
              <w:t>500</w:t>
            </w:r>
            <w:r>
              <w:rPr>
                <w:rFonts w:ascii="华文细黑" w:hAnsi="华文细黑" w:cs="华文细黑" w:eastAsia="华文细黑" w:hint="default"/>
                <w:spacing w:val="-18"/>
                <w:sz w:val="18"/>
                <w:szCs w:val="18"/>
              </w:rPr>
              <w:t> </w:t>
            </w:r>
            <w:r>
              <w:rPr>
                <w:rFonts w:ascii="华文细黑" w:hAnsi="华文细黑" w:cs="华文细黑" w:eastAsia="华文细黑" w:hint="default"/>
                <w:sz w:val="18"/>
                <w:szCs w:val="18"/>
              </w:rPr>
              <w:t>交易型开放式指 数证券投资基金</w:t>
            </w:r>
          </w:p>
        </w:tc>
        <w:tc>
          <w:tcPr>
            <w:tcW w:w="60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3,933,300</w:t>
            </w:r>
          </w:p>
        </w:tc>
        <w:tc>
          <w:tcPr>
            <w:tcW w:w="684"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20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人民 币普 通股</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sz w:val="18"/>
              </w:rPr>
              <w:t>3,933,300</w:t>
            </w:r>
          </w:p>
        </w:tc>
      </w:tr>
      <w:tr>
        <w:trPr>
          <w:trHeight w:val="1962" w:hRule="exact"/>
        </w:trPr>
        <w:tc>
          <w:tcPr>
            <w:tcW w:w="239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前 </w:t>
            </w:r>
            <w:r>
              <w:rPr>
                <w:rFonts w:ascii="华文细黑" w:hAnsi="华文细黑" w:cs="华文细黑" w:eastAsia="华文细黑" w:hint="default"/>
                <w:sz w:val="18"/>
                <w:szCs w:val="18"/>
              </w:rPr>
              <w:t>10</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名无限售流通股股东</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之间，以及前 </w:t>
            </w:r>
            <w:r>
              <w:rPr>
                <w:rFonts w:ascii="华文细黑" w:hAnsi="华文细黑" w:cs="华文细黑" w:eastAsia="华文细黑" w:hint="default"/>
                <w:sz w:val="18"/>
                <w:szCs w:val="18"/>
              </w:rPr>
              <w:t>10</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名无限售</w:t>
            </w:r>
          </w:p>
          <w:p>
            <w:pPr>
              <w:pStyle w:val="TableParagraph"/>
              <w:spacing w:line="295" w:lineRule="auto" w:before="58"/>
              <w:ind w:left="103" w:right="11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流通股股东和前 </w:t>
            </w:r>
            <w:r>
              <w:rPr>
                <w:rFonts w:ascii="华文细黑" w:hAnsi="华文细黑" w:cs="华文细黑" w:eastAsia="华文细黑" w:hint="default"/>
                <w:sz w:val="18"/>
                <w:szCs w:val="18"/>
              </w:rPr>
              <w:t>10</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名股东 之间关联关系或一致行动的 说明</w:t>
            </w:r>
          </w:p>
        </w:tc>
        <w:tc>
          <w:tcPr>
            <w:tcW w:w="8048" w:type="dxa"/>
            <w:gridSpan w:val="3"/>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、黄绍武先生持有深圳市神州通投资集团有限公司</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66.37%</w:t>
            </w:r>
            <w:r>
              <w:rPr>
                <w:rFonts w:ascii="华文细黑" w:hAnsi="华文细黑" w:cs="华文细黑" w:eastAsia="华文细黑" w:hint="default"/>
                <w:sz w:val="18"/>
                <w:szCs w:val="18"/>
              </w:rPr>
              <w:t>的股权，并持有深圳市全球星投资管理 有限公司</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66.37%</w:t>
            </w:r>
            <w:r>
              <w:rPr>
                <w:rFonts w:ascii="华文细黑" w:hAnsi="华文细黑" w:cs="华文细黑" w:eastAsia="华文细黑" w:hint="default"/>
                <w:sz w:val="18"/>
                <w:szCs w:val="18"/>
              </w:rPr>
              <w:t>的股权，新余全球星投资管理有限公司为深圳市全球星投资管理有限公司的全资子 </w:t>
            </w:r>
            <w:r>
              <w:rPr>
                <w:rFonts w:ascii="华文细黑" w:hAnsi="华文细黑" w:cs="华文细黑" w:eastAsia="华文细黑" w:hint="default"/>
                <w:spacing w:val="-3"/>
                <w:sz w:val="18"/>
                <w:szCs w:val="18"/>
              </w:rPr>
              <w:t>公司。黄绍武先生与深圳市神州通投资集团有限公司、深圳市全球星投资管理有限公司、新余全球星</w:t>
            </w:r>
            <w:r>
              <w:rPr>
                <w:rFonts w:ascii="华文细黑" w:hAnsi="华文细黑" w:cs="华文细黑" w:eastAsia="华文细黑" w:hint="default"/>
                <w:spacing w:val="-6"/>
                <w:sz w:val="18"/>
                <w:szCs w:val="18"/>
              </w:rPr>
              <w:t> </w:t>
            </w:r>
            <w:r>
              <w:rPr>
                <w:rFonts w:ascii="华文细黑" w:hAnsi="华文细黑" w:cs="华文细黑" w:eastAsia="华文细黑" w:hint="default"/>
                <w:spacing w:val="-6"/>
                <w:sz w:val="18"/>
                <w:szCs w:val="18"/>
              </w:rPr>
            </w:r>
            <w:r>
              <w:rPr>
                <w:rFonts w:ascii="华文细黑" w:hAnsi="华文细黑" w:cs="华文细黑" w:eastAsia="华文细黑" w:hint="default"/>
                <w:sz w:val="18"/>
                <w:szCs w:val="18"/>
              </w:rPr>
              <w:t>投资管理有限公司构成关联股东的关系。</w:t>
            </w:r>
          </w:p>
          <w:p>
            <w:pPr>
              <w:pStyle w:val="TableParagraph"/>
              <w:spacing w:line="295" w:lineRule="auto" w:before="13"/>
              <w:ind w:left="103" w:right="103" w:firstLine="5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、未知公司前 </w:t>
            </w:r>
            <w:r>
              <w:rPr>
                <w:rFonts w:ascii="华文细黑" w:hAnsi="华文细黑" w:cs="华文细黑" w:eastAsia="华文细黑" w:hint="default"/>
                <w:sz w:val="18"/>
                <w:szCs w:val="18"/>
              </w:rPr>
              <w:t>10</w:t>
            </w:r>
            <w:r>
              <w:rPr>
                <w:rFonts w:ascii="华文细黑" w:hAnsi="华文细黑" w:cs="华文细黑" w:eastAsia="华文细黑" w:hint="default"/>
                <w:spacing w:val="8"/>
                <w:sz w:val="18"/>
                <w:szCs w:val="18"/>
              </w:rPr>
              <w:t> </w:t>
            </w:r>
            <w:r>
              <w:rPr>
                <w:rFonts w:ascii="华文细黑" w:hAnsi="华文细黑" w:cs="华文细黑" w:eastAsia="华文细黑" w:hint="default"/>
                <w:sz w:val="18"/>
                <w:szCs w:val="18"/>
              </w:rPr>
              <w:t>名股东中其他股东之间是否存在关联关系，也未知是否存在《上市公司收购管理 办法》中规定的一致行动人的情况。</w:t>
            </w:r>
          </w:p>
        </w:tc>
      </w:tr>
      <w:tr>
        <w:trPr>
          <w:trHeight w:val="1026" w:hRule="exact"/>
        </w:trPr>
        <w:tc>
          <w:tcPr>
            <w:tcW w:w="239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2" w:lineRule="auto" w:before="40"/>
              <w:ind w:left="103" w:right="1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前 </w:t>
            </w:r>
            <w:r>
              <w:rPr>
                <w:rFonts w:ascii="华文细黑" w:hAnsi="华文细黑" w:cs="华文细黑" w:eastAsia="华文细黑" w:hint="default"/>
                <w:sz w:val="18"/>
                <w:szCs w:val="18"/>
              </w:rPr>
              <w:t>10</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名普通股股东参与融 </w:t>
            </w:r>
            <w:r>
              <w:rPr>
                <w:rFonts w:ascii="华文细黑" w:hAnsi="华文细黑" w:cs="华文细黑" w:eastAsia="华文细黑" w:hint="default"/>
                <w:spacing w:val="-6"/>
                <w:sz w:val="18"/>
                <w:szCs w:val="18"/>
              </w:rPr>
              <w:t>资融券业务情况说明（如有）</w:t>
            </w:r>
          </w:p>
          <w:p>
            <w:pPr>
              <w:pStyle w:val="TableParagraph"/>
              <w:spacing w:line="240" w:lineRule="auto" w:before="1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（参见注</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4</w:t>
            </w:r>
            <w:r>
              <w:rPr>
                <w:rFonts w:ascii="华文细黑" w:hAnsi="华文细黑" w:cs="华文细黑" w:eastAsia="华文细黑" w:hint="default"/>
                <w:sz w:val="18"/>
                <w:szCs w:val="18"/>
              </w:rPr>
              <w:t>）</w:t>
            </w:r>
          </w:p>
        </w:tc>
        <w:tc>
          <w:tcPr>
            <w:tcW w:w="8048"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报告期内，股东深圳市神州通投资集团有限公司通过信用账户持有公司股票 </w:t>
            </w:r>
            <w:r>
              <w:rPr>
                <w:rFonts w:ascii="华文细黑" w:hAnsi="华文细黑" w:cs="华文细黑" w:eastAsia="华文细黑" w:hint="default"/>
                <w:sz w:val="18"/>
                <w:szCs w:val="18"/>
              </w:rPr>
              <w:t>46,000,000 </w:t>
            </w:r>
            <w:r>
              <w:rPr>
                <w:rFonts w:ascii="华文细黑" w:hAnsi="华文细黑" w:cs="华文细黑" w:eastAsia="华文细黑" w:hint="default"/>
                <w:sz w:val="18"/>
                <w:szCs w:val="18"/>
              </w:rPr>
              <w:t>股，股东深</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圳市全球星投资管理有限公司通过信用账户持有公司股票 </w:t>
            </w:r>
            <w:r>
              <w:rPr>
                <w:rFonts w:ascii="华文细黑" w:hAnsi="华文细黑" w:cs="华文细黑" w:eastAsia="华文细黑" w:hint="default"/>
                <w:sz w:val="18"/>
                <w:szCs w:val="18"/>
              </w:rPr>
              <w:t>30,000,000</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股，股东唐进波通过信用账户</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持有公司股票 </w:t>
            </w:r>
            <w:r>
              <w:rPr>
                <w:rFonts w:ascii="华文细黑" w:hAnsi="华文细黑" w:cs="华文细黑" w:eastAsia="华文细黑" w:hint="default"/>
                <w:sz w:val="18"/>
                <w:szCs w:val="18"/>
              </w:rPr>
              <w:t>289,560</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股。</w:t>
            </w:r>
          </w:p>
        </w:tc>
      </w:tr>
    </w:tbl>
    <w:p>
      <w:pPr>
        <w:spacing w:line="240" w:lineRule="auto" w:before="1"/>
        <w:rPr>
          <w:rFonts w:ascii="Times New Roman" w:hAnsi="Times New Roman" w:cs="Times New Roman" w:eastAsia="Times New Roman" w:hint="default"/>
          <w:sz w:val="7"/>
          <w:szCs w:val="7"/>
        </w:rPr>
      </w:pPr>
    </w:p>
    <w:p>
      <w:pPr>
        <w:pStyle w:val="BodyText"/>
        <w:spacing w:line="240" w:lineRule="auto" w:before="10"/>
        <w:ind w:left="514" w:right="0"/>
        <w:jc w:val="left"/>
      </w:pPr>
      <w:r>
        <w:rPr/>
        <w:t>公司前 </w:t>
      </w:r>
      <w:r>
        <w:rPr>
          <w:rFonts w:ascii="华文细黑" w:hAnsi="华文细黑" w:cs="华文细黑" w:eastAsia="华文细黑" w:hint="default"/>
        </w:rPr>
        <w:t>10 </w:t>
      </w:r>
      <w:r>
        <w:rPr/>
        <w:t>名普通股股东、前 </w:t>
      </w:r>
      <w:r>
        <w:rPr>
          <w:rFonts w:ascii="华文细黑" w:hAnsi="华文细黑" w:cs="华文细黑" w:eastAsia="华文细黑" w:hint="default"/>
        </w:rPr>
        <w:t>10</w:t>
      </w:r>
      <w:r>
        <w:rPr>
          <w:rFonts w:ascii="华文细黑" w:hAnsi="华文细黑" w:cs="华文细黑" w:eastAsia="华文细黑" w:hint="default"/>
          <w:spacing w:val="-4"/>
        </w:rPr>
        <w:t> </w:t>
      </w:r>
      <w:r>
        <w:rPr/>
        <w:t>名无限售条件普通股股东在报告期内是否进行约定购回交易</w:t>
      </w:r>
    </w:p>
    <w:p>
      <w:pPr>
        <w:spacing w:line="240" w:lineRule="auto" w:before="0"/>
        <w:rPr>
          <w:rFonts w:ascii="华文细黑" w:hAnsi="华文细黑" w:cs="华文细黑" w:eastAsia="华文细黑" w:hint="default"/>
          <w:sz w:val="15"/>
          <w:szCs w:val="15"/>
        </w:rPr>
      </w:pPr>
    </w:p>
    <w:p>
      <w:pPr>
        <w:pStyle w:val="BodyText"/>
        <w:spacing w:line="240" w:lineRule="auto"/>
        <w:ind w:left="514" w:right="8323"/>
        <w:jc w:val="left"/>
      </w:pPr>
      <w:r>
        <w:rPr/>
        <w:t>□  是  √  否</w:t>
      </w:r>
    </w:p>
    <w:p>
      <w:pPr>
        <w:spacing w:line="240" w:lineRule="auto" w:before="13"/>
        <w:rPr>
          <w:rFonts w:ascii="华文细黑" w:hAnsi="华文细黑" w:cs="华文细黑" w:eastAsia="华文细黑" w:hint="default"/>
          <w:sz w:val="14"/>
          <w:szCs w:val="14"/>
        </w:rPr>
      </w:pPr>
    </w:p>
    <w:p>
      <w:pPr>
        <w:pStyle w:val="BodyText"/>
        <w:spacing w:line="240" w:lineRule="auto"/>
        <w:ind w:left="514" w:right="0"/>
        <w:jc w:val="left"/>
      </w:pPr>
      <w:r>
        <w:rPr/>
        <w:t>公司前 </w:t>
      </w:r>
      <w:r>
        <w:rPr>
          <w:rFonts w:ascii="华文细黑" w:hAnsi="华文细黑" w:cs="华文细黑" w:eastAsia="华文细黑" w:hint="default"/>
        </w:rPr>
        <w:t>10 </w:t>
      </w:r>
      <w:r>
        <w:rPr/>
        <w:t>名普通股股东、前 </w:t>
      </w:r>
      <w:r>
        <w:rPr>
          <w:rFonts w:ascii="华文细黑" w:hAnsi="华文细黑" w:cs="华文细黑" w:eastAsia="华文细黑" w:hint="default"/>
        </w:rPr>
        <w:t>10</w:t>
      </w:r>
      <w:r>
        <w:rPr>
          <w:rFonts w:ascii="华文细黑" w:hAnsi="华文细黑" w:cs="华文细黑" w:eastAsia="华文细黑" w:hint="default"/>
          <w:spacing w:val="-4"/>
        </w:rPr>
        <w:t> </w:t>
      </w:r>
      <w:r>
        <w:rPr/>
        <w:t>名无限售条件普通股股东在报告期内未进行约定购回交易。</w:t>
      </w:r>
    </w:p>
    <w:p>
      <w:pPr>
        <w:spacing w:after="0" w:line="240" w:lineRule="auto"/>
        <w:jc w:val="left"/>
        <w:sectPr>
          <w:pgSz w:w="11910" w:h="16840"/>
          <w:pgMar w:header="917" w:footer="1019" w:top="1100" w:bottom="1200" w:left="620" w:right="0"/>
        </w:sectPr>
      </w:pPr>
    </w:p>
    <w:p>
      <w:pPr>
        <w:spacing w:line="240" w:lineRule="auto" w:before="0"/>
        <w:rPr>
          <w:rFonts w:ascii="华文细黑" w:hAnsi="华文细黑" w:cs="华文细黑" w:eastAsia="华文细黑" w:hint="default"/>
          <w:sz w:val="20"/>
          <w:szCs w:val="20"/>
        </w:rPr>
      </w:pPr>
    </w:p>
    <w:p>
      <w:pPr>
        <w:spacing w:line="240" w:lineRule="auto" w:before="5"/>
        <w:rPr>
          <w:rFonts w:ascii="华文细黑" w:hAnsi="华文细黑" w:cs="华文细黑" w:eastAsia="华文细黑" w:hint="default"/>
          <w:sz w:val="19"/>
          <w:szCs w:val="19"/>
        </w:rPr>
      </w:pPr>
    </w:p>
    <w:p>
      <w:pPr>
        <w:pStyle w:val="Heading5"/>
        <w:spacing w:line="240" w:lineRule="auto"/>
        <w:ind w:right="1023"/>
        <w:jc w:val="left"/>
        <w:rPr>
          <w:b w:val="0"/>
          <w:bCs w:val="0"/>
        </w:rPr>
      </w:pPr>
      <w:bookmarkStart w:name="2、公司控股股东情况" w:id="142"/>
      <w:bookmarkEnd w:id="142"/>
      <w:r>
        <w:rPr>
          <w:b w:val="0"/>
          <w:bCs w:val="0"/>
        </w:rPr>
      </w:r>
      <w:r>
        <w:rPr>
          <w:rFonts w:ascii="华文细黑" w:hAnsi="华文细黑" w:cs="华文细黑" w:eastAsia="华文细黑" w:hint="default"/>
        </w:rPr>
        <w:t>2</w:t>
      </w:r>
      <w:r>
        <w:rPr/>
        <w:t>、公司控股股东情况</w:t>
      </w:r>
      <w:r>
        <w:rPr>
          <w:b w:val="0"/>
          <w:bCs w:val="0"/>
        </w:rPr>
      </w:r>
    </w:p>
    <w:p>
      <w:pPr>
        <w:spacing w:line="240" w:lineRule="auto" w:before="1"/>
        <w:rPr>
          <w:rFonts w:ascii="华文细黑" w:hAnsi="华文细黑" w:cs="华文细黑" w:eastAsia="华文细黑" w:hint="default"/>
          <w:b/>
          <w:bCs/>
          <w:sz w:val="28"/>
          <w:szCs w:val="28"/>
        </w:rPr>
      </w:pPr>
    </w:p>
    <w:p>
      <w:pPr>
        <w:pStyle w:val="BodyText"/>
        <w:spacing w:line="410" w:lineRule="auto"/>
        <w:ind w:left="234" w:right="8232"/>
        <w:jc w:val="left"/>
      </w:pPr>
      <w:r>
        <w:rPr/>
        <w:t>控股股东性质：自然人控股 控股股东类型：法人</w:t>
      </w:r>
    </w:p>
    <w:tbl>
      <w:tblPr>
        <w:tblW w:w="0" w:type="auto"/>
        <w:jc w:val="left"/>
        <w:tblInd w:w="117" w:type="dxa"/>
        <w:tblLayout w:type="fixed"/>
        <w:tblCellMar>
          <w:top w:w="0" w:type="dxa"/>
          <w:left w:w="0" w:type="dxa"/>
          <w:bottom w:w="0" w:type="dxa"/>
          <w:right w:w="0" w:type="dxa"/>
        </w:tblCellMar>
        <w:tblLook w:val="01E0"/>
      </w:tblPr>
      <w:tblGrid>
        <w:gridCol w:w="2174"/>
        <w:gridCol w:w="1290"/>
        <w:gridCol w:w="1110"/>
        <w:gridCol w:w="2114"/>
        <w:gridCol w:w="2880"/>
      </w:tblGrid>
      <w:tr>
        <w:trPr>
          <w:trHeight w:val="713" w:hRule="exact"/>
        </w:trPr>
        <w:tc>
          <w:tcPr>
            <w:tcW w:w="217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54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控股股东名称</w:t>
            </w:r>
          </w:p>
        </w:tc>
        <w:tc>
          <w:tcPr>
            <w:tcW w:w="12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88" w:right="150" w:hanging="4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法定代表人</w:t>
            </w:r>
            <w:r>
              <w:rPr>
                <w:rFonts w:ascii="华文细黑" w:hAnsi="华文细黑" w:cs="华文细黑" w:eastAsia="华文细黑" w:hint="default"/>
                <w:sz w:val="18"/>
                <w:szCs w:val="18"/>
              </w:rPr>
              <w:t>/ </w:t>
            </w:r>
            <w:r>
              <w:rPr>
                <w:rFonts w:ascii="华文细黑" w:hAnsi="华文细黑" w:cs="华文细黑" w:eastAsia="华文细黑" w:hint="default"/>
                <w:sz w:val="18"/>
                <w:szCs w:val="18"/>
              </w:rPr>
              <w:t>单位负责人</w:t>
            </w:r>
          </w:p>
        </w:tc>
        <w:tc>
          <w:tcPr>
            <w:tcW w:w="11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8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成立日期</w:t>
            </w:r>
          </w:p>
        </w:tc>
        <w:tc>
          <w:tcPr>
            <w:tcW w:w="211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组织机构代码</w:t>
            </w:r>
          </w:p>
        </w:tc>
        <w:tc>
          <w:tcPr>
            <w:tcW w:w="28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89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主要经营业务</w:t>
            </w:r>
          </w:p>
        </w:tc>
      </w:tr>
      <w:tr>
        <w:trPr>
          <w:trHeight w:val="2274" w:hRule="exact"/>
        </w:trPr>
        <w:tc>
          <w:tcPr>
            <w:tcW w:w="217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2"/>
              <w:ind w:right="0"/>
              <w:jc w:val="left"/>
              <w:rPr>
                <w:rFonts w:ascii="华文细黑" w:hAnsi="华文细黑" w:cs="华文细黑" w:eastAsia="华文细黑" w:hint="default"/>
                <w:sz w:val="22"/>
                <w:szCs w:val="22"/>
              </w:rPr>
            </w:pPr>
          </w:p>
          <w:p>
            <w:pPr>
              <w:pStyle w:val="TableParagraph"/>
              <w:spacing w:line="295" w:lineRule="auto"/>
              <w:ind w:left="103" w:right="258"/>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 有限公司</w:t>
            </w:r>
          </w:p>
        </w:tc>
        <w:tc>
          <w:tcPr>
            <w:tcW w:w="12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3"/>
              <w:ind w:right="0"/>
              <w:jc w:val="left"/>
              <w:rPr>
                <w:rFonts w:ascii="华文细黑" w:hAnsi="华文细黑" w:cs="华文细黑" w:eastAsia="华文细黑" w:hint="default"/>
                <w:sz w:val="15"/>
                <w:szCs w:val="15"/>
              </w:rPr>
            </w:pPr>
          </w:p>
          <w:p>
            <w:pPr>
              <w:pStyle w:val="TableParagraph"/>
              <w:spacing w:line="240" w:lineRule="auto"/>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黄绍武</w:t>
            </w:r>
          </w:p>
        </w:tc>
        <w:tc>
          <w:tcPr>
            <w:tcW w:w="11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2"/>
              <w:ind w:right="0"/>
              <w:jc w:val="left"/>
              <w:rPr>
                <w:rFonts w:ascii="华文细黑" w:hAnsi="华文细黑" w:cs="华文细黑" w:eastAsia="华文细黑" w:hint="default"/>
                <w:sz w:val="22"/>
                <w:szCs w:val="22"/>
              </w:rPr>
            </w:pPr>
          </w:p>
          <w:p>
            <w:pPr>
              <w:pStyle w:val="TableParagraph"/>
              <w:spacing w:line="240" w:lineRule="auto"/>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2001 </w:t>
            </w: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01</w:t>
            </w:r>
          </w:p>
          <w:p>
            <w:pPr>
              <w:pStyle w:val="TableParagraph"/>
              <w:spacing w:line="240" w:lineRule="auto" w:before="58"/>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15</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日</w:t>
            </w:r>
          </w:p>
        </w:tc>
        <w:tc>
          <w:tcPr>
            <w:tcW w:w="21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3"/>
              <w:ind w:right="0"/>
              <w:jc w:val="left"/>
              <w:rPr>
                <w:rFonts w:ascii="华文细黑" w:hAnsi="华文细黑" w:cs="华文细黑" w:eastAsia="华文细黑" w:hint="default"/>
                <w:sz w:val="15"/>
                <w:szCs w:val="15"/>
              </w:rPr>
            </w:pPr>
          </w:p>
          <w:p>
            <w:pPr>
              <w:pStyle w:val="TableParagraph"/>
              <w:spacing w:line="240" w:lineRule="auto"/>
              <w:ind w:right="95"/>
              <w:jc w:val="center"/>
              <w:rPr>
                <w:rFonts w:ascii="华文细黑" w:hAnsi="华文细黑" w:cs="华文细黑" w:eastAsia="华文细黑" w:hint="default"/>
                <w:sz w:val="18"/>
                <w:szCs w:val="18"/>
              </w:rPr>
            </w:pPr>
            <w:r>
              <w:rPr>
                <w:rFonts w:ascii="华文细黑"/>
                <w:sz w:val="18"/>
              </w:rPr>
              <w:t>9144030072619721X8</w:t>
            </w:r>
          </w:p>
        </w:tc>
        <w:tc>
          <w:tcPr>
            <w:tcW w:w="2880"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投资兴办实业（具体项目另行申 </w:t>
            </w:r>
            <w:r>
              <w:rPr>
                <w:rFonts w:ascii="华文细黑" w:hAnsi="华文细黑" w:cs="华文细黑" w:eastAsia="华文细黑" w:hint="default"/>
                <w:spacing w:val="-6"/>
                <w:sz w:val="18"/>
                <w:szCs w:val="18"/>
              </w:rPr>
              <w:t>报）；国内商业、物资供销业（不</w:t>
            </w:r>
            <w:r>
              <w:rPr>
                <w:rFonts w:ascii="华文细黑" w:hAnsi="华文细黑" w:cs="华文细黑" w:eastAsia="华文细黑" w:hint="default"/>
                <w:sz w:val="18"/>
                <w:szCs w:val="18"/>
              </w:rPr>
              <w:t> </w:t>
            </w:r>
            <w:r>
              <w:rPr>
                <w:rFonts w:ascii="华文细黑" w:hAnsi="华文细黑" w:cs="华文细黑" w:eastAsia="华文细黑" w:hint="default"/>
                <w:spacing w:val="-6"/>
                <w:sz w:val="18"/>
                <w:szCs w:val="18"/>
              </w:rPr>
              <w:t>含专营、专卖、专控商品）；计算</w:t>
            </w:r>
            <w:r>
              <w:rPr>
                <w:rFonts w:ascii="华文细黑" w:hAnsi="华文细黑" w:cs="华文细黑" w:eastAsia="华文细黑" w:hint="default"/>
                <w:sz w:val="18"/>
                <w:szCs w:val="18"/>
              </w:rPr>
              <w:t> </w:t>
            </w:r>
            <w:r>
              <w:rPr>
                <w:rFonts w:ascii="华文细黑" w:hAnsi="华文细黑" w:cs="华文细黑" w:eastAsia="华文细黑" w:hint="default"/>
                <w:spacing w:val="-3"/>
                <w:sz w:val="18"/>
                <w:szCs w:val="18"/>
              </w:rPr>
              <w:t>机信息技术咨询服务；计算机软件</w:t>
            </w:r>
            <w:r>
              <w:rPr>
                <w:rFonts w:ascii="华文细黑" w:hAnsi="华文细黑" w:cs="华文细黑" w:eastAsia="华文细黑" w:hint="default"/>
                <w:spacing w:val="-36"/>
                <w:sz w:val="18"/>
                <w:szCs w:val="18"/>
              </w:rPr>
              <w:t> </w:t>
            </w:r>
            <w:r>
              <w:rPr>
                <w:rFonts w:ascii="华文细黑" w:hAnsi="华文细黑" w:cs="华文细黑" w:eastAsia="华文细黑" w:hint="default"/>
                <w:spacing w:val="-36"/>
                <w:sz w:val="18"/>
                <w:szCs w:val="18"/>
              </w:rPr>
            </w:r>
            <w:r>
              <w:rPr>
                <w:rFonts w:ascii="华文细黑" w:hAnsi="华文细黑" w:cs="华文细黑" w:eastAsia="华文细黑" w:hint="default"/>
                <w:spacing w:val="-3"/>
                <w:sz w:val="18"/>
                <w:szCs w:val="18"/>
              </w:rPr>
              <w:t>的开发；经济信息与企业管理咨询</w:t>
            </w:r>
          </w:p>
          <w:p>
            <w:pPr>
              <w:pStyle w:val="TableParagraph"/>
              <w:spacing w:line="295" w:lineRule="auto" w:before="13"/>
              <w:ind w:left="103" w:right="12"/>
              <w:jc w:val="left"/>
              <w:rPr>
                <w:rFonts w:ascii="华文细黑" w:hAnsi="华文细黑" w:cs="华文细黑" w:eastAsia="华文细黑" w:hint="default"/>
                <w:sz w:val="18"/>
                <w:szCs w:val="18"/>
              </w:rPr>
            </w:pPr>
            <w:r>
              <w:rPr>
                <w:rFonts w:ascii="华文细黑" w:hAnsi="华文细黑" w:cs="华文细黑" w:eastAsia="华文细黑" w:hint="default"/>
                <w:spacing w:val="-6"/>
                <w:sz w:val="18"/>
                <w:szCs w:val="18"/>
              </w:rPr>
              <w:t>（不含限制项目）；市场营销与企</w:t>
            </w:r>
            <w:r>
              <w:rPr>
                <w:rFonts w:ascii="华文细黑" w:hAnsi="华文细黑" w:cs="华文细黑" w:eastAsia="华文细黑" w:hint="default"/>
                <w:sz w:val="18"/>
                <w:szCs w:val="18"/>
              </w:rPr>
              <w:t> </w:t>
            </w:r>
            <w:r>
              <w:rPr>
                <w:rFonts w:ascii="华文细黑" w:hAnsi="华文细黑" w:cs="华文细黑" w:eastAsia="华文细黑" w:hint="default"/>
                <w:spacing w:val="-9"/>
                <w:sz w:val="18"/>
                <w:szCs w:val="18"/>
              </w:rPr>
              <w:t>业形象策划；投资咨询；资产管理。</w:t>
            </w:r>
          </w:p>
        </w:tc>
      </w:tr>
      <w:tr>
        <w:trPr>
          <w:trHeight w:val="1651" w:hRule="exact"/>
        </w:trPr>
        <w:tc>
          <w:tcPr>
            <w:tcW w:w="217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0"/>
              <w:ind w:right="0"/>
              <w:jc w:val="left"/>
              <w:rPr>
                <w:rFonts w:ascii="华文细黑" w:hAnsi="华文细黑" w:cs="华文细黑" w:eastAsia="华文细黑" w:hint="default"/>
                <w:sz w:val="25"/>
                <w:szCs w:val="25"/>
              </w:rPr>
            </w:pPr>
          </w:p>
          <w:p>
            <w:pPr>
              <w:pStyle w:val="TableParagraph"/>
              <w:spacing w:line="295" w:lineRule="auto"/>
              <w:ind w:left="103" w:right="258"/>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控股股东报告期内控股 和参股的其他境内外上 市公司的股权情况</w:t>
            </w:r>
          </w:p>
        </w:tc>
        <w:tc>
          <w:tcPr>
            <w:tcW w:w="7395" w:type="dxa"/>
            <w:gridSpan w:val="4"/>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1"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深圳市神州通投资集团有限公司持有深圳太辰光通信股份有限公司（</w:t>
            </w:r>
            <w:r>
              <w:rPr>
                <w:rFonts w:ascii="华文细黑" w:hAnsi="华文细黑" w:cs="华文细黑" w:eastAsia="华文细黑" w:hint="default"/>
                <w:sz w:val="18"/>
                <w:szCs w:val="18"/>
              </w:rPr>
              <w:t>300570</w:t>
            </w:r>
            <w:r>
              <w:rPr>
                <w:rFonts w:ascii="华文细黑" w:hAnsi="华文细黑" w:cs="华文细黑" w:eastAsia="华文细黑" w:hint="default"/>
                <w:sz w:val="18"/>
                <w:szCs w:val="18"/>
              </w:rPr>
              <w:t>）普通股 </w:t>
            </w:r>
            <w:r>
              <w:rPr>
                <w:rFonts w:ascii="华文细黑" w:hAnsi="华文细黑" w:cs="华文细黑" w:eastAsia="华文细黑" w:hint="default"/>
                <w:sz w:val="18"/>
                <w:szCs w:val="18"/>
              </w:rPr>
              <w:t>36,994,320 </w:t>
            </w:r>
            <w:r>
              <w:rPr>
                <w:rFonts w:ascii="华文细黑" w:hAnsi="华文细黑" w:cs="华文细黑" w:eastAsia="华文细黑" w:hint="default"/>
                <w:sz w:val="18"/>
                <w:szCs w:val="18"/>
              </w:rPr>
              <w:t>股，占其总股本的</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16.08%</w:t>
            </w:r>
            <w:r>
              <w:rPr>
                <w:rFonts w:ascii="华文细黑" w:hAnsi="华文细黑" w:cs="华文细黑" w:eastAsia="华文细黑" w:hint="default"/>
                <w:sz w:val="18"/>
                <w:szCs w:val="18"/>
              </w:rPr>
              <w:t>；深圳市神州通投资集团有限公司曾持有上海酷武供 </w:t>
            </w:r>
            <w:r>
              <w:rPr>
                <w:rFonts w:ascii="华文细黑" w:hAnsi="华文细黑" w:cs="华文细黑" w:eastAsia="华文细黑" w:hint="default"/>
                <w:spacing w:val="-3"/>
                <w:sz w:val="18"/>
                <w:szCs w:val="18"/>
              </w:rPr>
              <w:t>应链管理股份有限公司（</w:t>
            </w:r>
            <w:r>
              <w:rPr>
                <w:rFonts w:ascii="华文细黑" w:hAnsi="华文细黑" w:cs="华文细黑" w:eastAsia="华文细黑" w:hint="default"/>
                <w:spacing w:val="-3"/>
                <w:sz w:val="18"/>
                <w:szCs w:val="18"/>
              </w:rPr>
              <w:t>837241</w:t>
            </w:r>
            <w:r>
              <w:rPr>
                <w:rFonts w:ascii="华文细黑" w:hAnsi="华文细黑" w:cs="华文细黑" w:eastAsia="华文细黑" w:hint="default"/>
                <w:spacing w:val="-3"/>
                <w:sz w:val="18"/>
                <w:szCs w:val="18"/>
              </w:rPr>
              <w:t>）普通股 </w:t>
            </w:r>
            <w:r>
              <w:rPr>
                <w:rFonts w:ascii="华文细黑" w:hAnsi="华文细黑" w:cs="华文细黑" w:eastAsia="华文细黑" w:hint="default"/>
                <w:sz w:val="18"/>
                <w:szCs w:val="18"/>
              </w:rPr>
              <w:t>12,000,000 </w:t>
            </w:r>
            <w:r>
              <w:rPr>
                <w:rFonts w:ascii="华文细黑" w:hAnsi="华文细黑" w:cs="华文细黑" w:eastAsia="华文细黑" w:hint="default"/>
                <w:spacing w:val="-3"/>
                <w:sz w:val="18"/>
                <w:szCs w:val="18"/>
              </w:rPr>
              <w:t>股，占其总股本的</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60.00%</w:t>
            </w:r>
            <w:r>
              <w:rPr>
                <w:rFonts w:ascii="华文细黑" w:hAnsi="华文细黑" w:cs="华文细黑" w:eastAsia="华文细黑" w:hint="default"/>
                <w:sz w:val="18"/>
                <w:szCs w:val="18"/>
              </w:rPr>
              <w:t>，现正在办 </w:t>
            </w:r>
            <w:r>
              <w:rPr>
                <w:rFonts w:ascii="华文细黑" w:hAnsi="华文细黑" w:cs="华文细黑" w:eastAsia="华文细黑" w:hint="default"/>
                <w:spacing w:val="-1"/>
                <w:sz w:val="18"/>
                <w:szCs w:val="18"/>
              </w:rPr>
              <w:t>理上海酷武供应链管理股份有限公司股权转让事宜，股权转让协议已签订并进行公证，深圳</w:t>
            </w:r>
            <w:r>
              <w:rPr>
                <w:rFonts w:ascii="华文细黑" w:hAnsi="华文细黑" w:cs="华文细黑" w:eastAsia="华文细黑" w:hint="default"/>
                <w:spacing w:val="-27"/>
                <w:sz w:val="18"/>
                <w:szCs w:val="18"/>
              </w:rPr>
              <w:t> </w:t>
            </w:r>
            <w:r>
              <w:rPr>
                <w:rFonts w:ascii="华文细黑" w:hAnsi="华文细黑" w:cs="华文细黑" w:eastAsia="华文细黑" w:hint="default"/>
                <w:spacing w:val="-27"/>
                <w:sz w:val="18"/>
                <w:szCs w:val="18"/>
              </w:rPr>
            </w:r>
            <w:r>
              <w:rPr>
                <w:rFonts w:ascii="华文细黑" w:hAnsi="华文细黑" w:cs="华文细黑" w:eastAsia="华文细黑" w:hint="default"/>
                <w:sz w:val="18"/>
                <w:szCs w:val="18"/>
              </w:rPr>
              <w:t>市神州通投资集团有限公司已于报告期末收到股权转让款。</w:t>
            </w:r>
          </w:p>
        </w:tc>
      </w:tr>
    </w:tbl>
    <w:p>
      <w:pPr>
        <w:pStyle w:val="BodyText"/>
        <w:spacing w:line="240" w:lineRule="auto" w:before="13"/>
        <w:ind w:left="234" w:right="1023"/>
        <w:jc w:val="left"/>
      </w:pPr>
      <w:r>
        <w:rPr/>
        <w:t>控股股东报告期内变更</w:t>
      </w:r>
    </w:p>
    <w:p>
      <w:pPr>
        <w:pStyle w:val="BodyText"/>
        <w:spacing w:line="285" w:lineRule="auto" w:before="55"/>
        <w:ind w:left="234" w:right="6132"/>
        <w:jc w:val="left"/>
      </w:pPr>
      <w:r>
        <w:rPr/>
        <w:t>□ 适用 √</w:t>
      </w:r>
      <w:r>
        <w:rPr>
          <w:spacing w:val="51"/>
        </w:rPr>
        <w:t> </w:t>
      </w:r>
      <w:r>
        <w:rPr/>
        <w:t>不适用</w:t>
      </w:r>
      <w:r>
        <w:rPr/>
        <w:t> 公司报告期控股股东未发生变更。</w:t>
      </w:r>
    </w:p>
    <w:p>
      <w:pPr>
        <w:spacing w:line="240" w:lineRule="auto" w:before="3"/>
        <w:rPr>
          <w:rFonts w:ascii="华文细黑" w:hAnsi="华文细黑" w:cs="华文细黑" w:eastAsia="华文细黑" w:hint="default"/>
          <w:sz w:val="19"/>
          <w:szCs w:val="19"/>
        </w:rPr>
      </w:pPr>
    </w:p>
    <w:p>
      <w:pPr>
        <w:pStyle w:val="Heading5"/>
        <w:spacing w:line="240" w:lineRule="auto" w:before="0"/>
        <w:ind w:right="1023"/>
        <w:jc w:val="left"/>
        <w:rPr>
          <w:b w:val="0"/>
          <w:bCs w:val="0"/>
        </w:rPr>
      </w:pPr>
      <w:bookmarkStart w:name="3、公司实际控制人及其一致行动人" w:id="143"/>
      <w:bookmarkEnd w:id="143"/>
      <w:r>
        <w:rPr>
          <w:b w:val="0"/>
          <w:bCs w:val="0"/>
        </w:rPr>
      </w:r>
      <w:r>
        <w:rPr>
          <w:rFonts w:ascii="华文细黑" w:hAnsi="华文细黑" w:cs="华文细黑" w:eastAsia="华文细黑" w:hint="default"/>
        </w:rPr>
        <w:t>3</w:t>
      </w:r>
      <w:r>
        <w:rPr/>
        <w:t>、公司实际控制人及其一致行动人</w:t>
      </w:r>
      <w:r>
        <w:rPr>
          <w:b w:val="0"/>
          <w:bCs w:val="0"/>
        </w:rPr>
      </w:r>
    </w:p>
    <w:p>
      <w:pPr>
        <w:spacing w:line="240" w:lineRule="auto" w:before="7"/>
        <w:rPr>
          <w:rFonts w:ascii="华文细黑" w:hAnsi="华文细黑" w:cs="华文细黑" w:eastAsia="华文细黑" w:hint="default"/>
          <w:b/>
          <w:bCs/>
          <w:sz w:val="22"/>
          <w:szCs w:val="22"/>
        </w:rPr>
      </w:pPr>
    </w:p>
    <w:p>
      <w:pPr>
        <w:pStyle w:val="BodyText"/>
        <w:spacing w:line="285" w:lineRule="auto"/>
        <w:ind w:left="234" w:right="8022"/>
        <w:jc w:val="left"/>
      </w:pPr>
      <w:r>
        <w:rPr/>
        <w:t>实际控制人性质：境内自然人 实际控制人类型：自然人</w:t>
      </w:r>
    </w:p>
    <w:p>
      <w:pPr>
        <w:spacing w:line="240" w:lineRule="auto" w:before="10"/>
        <w:rPr>
          <w:rFonts w:ascii="华文细黑" w:hAnsi="华文细黑" w:cs="华文细黑" w:eastAsia="华文细黑" w:hint="default"/>
          <w:sz w:val="2"/>
          <w:szCs w:val="2"/>
        </w:rPr>
      </w:pPr>
    </w:p>
    <w:tbl>
      <w:tblPr>
        <w:tblW w:w="0" w:type="auto"/>
        <w:jc w:val="left"/>
        <w:tblInd w:w="117" w:type="dxa"/>
        <w:tblLayout w:type="fixed"/>
        <w:tblCellMar>
          <w:top w:w="0" w:type="dxa"/>
          <w:left w:w="0" w:type="dxa"/>
          <w:bottom w:w="0" w:type="dxa"/>
          <w:right w:w="0" w:type="dxa"/>
        </w:tblCellMar>
        <w:tblLook w:val="01E0"/>
      </w:tblPr>
      <w:tblGrid>
        <w:gridCol w:w="2392"/>
        <w:gridCol w:w="2392"/>
        <w:gridCol w:w="2393"/>
        <w:gridCol w:w="2392"/>
      </w:tblGrid>
      <w:tr>
        <w:trPr>
          <w:trHeight w:val="713" w:hRule="exact"/>
        </w:trPr>
        <w:tc>
          <w:tcPr>
            <w:tcW w:w="23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56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实际控制人姓名</w:t>
            </w:r>
          </w:p>
        </w:tc>
        <w:tc>
          <w:tcPr>
            <w:tcW w:w="23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47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与实际控制人关系</w:t>
            </w:r>
          </w:p>
        </w:tc>
        <w:tc>
          <w:tcPr>
            <w:tcW w:w="23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国籍</w:t>
            </w:r>
          </w:p>
        </w:tc>
        <w:tc>
          <w:tcPr>
            <w:tcW w:w="23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10" w:right="109" w:hanging="90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是否取得其他国家或地区居 留权</w:t>
            </w:r>
          </w:p>
        </w:tc>
      </w:tr>
      <w:tr>
        <w:trPr>
          <w:trHeight w:val="402" w:hRule="exact"/>
        </w:trPr>
        <w:tc>
          <w:tcPr>
            <w:tcW w:w="23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黄绍武</w:t>
            </w:r>
          </w:p>
        </w:tc>
        <w:tc>
          <w:tcPr>
            <w:tcW w:w="23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本人</w:t>
            </w:r>
          </w:p>
        </w:tc>
        <w:tc>
          <w:tcPr>
            <w:tcW w:w="23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中国</w:t>
            </w:r>
          </w:p>
        </w:tc>
        <w:tc>
          <w:tcPr>
            <w:tcW w:w="23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714" w:hRule="exact"/>
        </w:trPr>
        <w:tc>
          <w:tcPr>
            <w:tcW w:w="23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主要职业及职务</w:t>
            </w:r>
          </w:p>
        </w:tc>
        <w:tc>
          <w:tcPr>
            <w:tcW w:w="7177" w:type="dxa"/>
            <w:gridSpan w:val="3"/>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2"/>
                <w:sz w:val="18"/>
                <w:szCs w:val="18"/>
              </w:rPr>
              <w:t>深圳市神州通投资集团有限公司董事长、深圳市全球星投资管理有限公司董事长、本公司</w:t>
            </w:r>
            <w:r>
              <w:rPr>
                <w:rFonts w:ascii="华文细黑" w:hAnsi="华文细黑" w:cs="华文细黑" w:eastAsia="华文细黑" w:hint="default"/>
                <w:spacing w:val="-29"/>
                <w:sz w:val="18"/>
                <w:szCs w:val="18"/>
              </w:rPr>
              <w:t> </w:t>
            </w:r>
            <w:r>
              <w:rPr>
                <w:rFonts w:ascii="华文细黑" w:hAnsi="华文细黑" w:cs="华文细黑" w:eastAsia="华文细黑" w:hint="default"/>
                <w:spacing w:val="-29"/>
                <w:sz w:val="18"/>
                <w:szCs w:val="18"/>
              </w:rPr>
            </w:r>
            <w:r>
              <w:rPr>
                <w:rFonts w:ascii="华文细黑" w:hAnsi="华文细黑" w:cs="华文细黑" w:eastAsia="华文细黑" w:hint="default"/>
                <w:sz w:val="18"/>
                <w:szCs w:val="18"/>
              </w:rPr>
              <w:t>董事。</w:t>
            </w:r>
          </w:p>
        </w:tc>
      </w:tr>
      <w:tr>
        <w:trPr>
          <w:trHeight w:val="715" w:hRule="exact"/>
        </w:trPr>
        <w:tc>
          <w:tcPr>
            <w:tcW w:w="23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1"/>
              <w:ind w:left="103" w:right="18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过去 </w:t>
            </w:r>
            <w:r>
              <w:rPr>
                <w:rFonts w:ascii="华文细黑" w:hAnsi="华文细黑" w:cs="华文细黑" w:eastAsia="华文细黑" w:hint="default"/>
                <w:sz w:val="18"/>
                <w:szCs w:val="18"/>
              </w:rPr>
              <w:t>10</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年曾控股的境内外 上市公司情况</w:t>
            </w:r>
          </w:p>
        </w:tc>
        <w:tc>
          <w:tcPr>
            <w:tcW w:w="7177" w:type="dxa"/>
            <w:gridSpan w:val="3"/>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22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通过直接持股和间接持股的方式控股上市公司深圳市爱施德股份有限公司和上海酷武供 应链管理股份有限公司。</w:t>
            </w:r>
          </w:p>
        </w:tc>
      </w:tr>
    </w:tbl>
    <w:p>
      <w:pPr>
        <w:spacing w:line="240" w:lineRule="auto" w:before="11"/>
        <w:rPr>
          <w:rFonts w:ascii="华文细黑" w:hAnsi="华文细黑" w:cs="华文细黑" w:eastAsia="华文细黑" w:hint="default"/>
          <w:sz w:val="5"/>
          <w:szCs w:val="5"/>
        </w:rPr>
      </w:pPr>
    </w:p>
    <w:p>
      <w:pPr>
        <w:pStyle w:val="BodyText"/>
        <w:spacing w:line="240" w:lineRule="auto" w:before="10"/>
        <w:ind w:left="234" w:right="1023"/>
        <w:jc w:val="left"/>
      </w:pPr>
      <w:r>
        <w:rPr/>
        <w:t>实际控制人报告期内变更</w:t>
      </w:r>
    </w:p>
    <w:p>
      <w:pPr>
        <w:spacing w:line="240" w:lineRule="auto" w:before="14"/>
        <w:rPr>
          <w:rFonts w:ascii="华文细黑" w:hAnsi="华文细黑" w:cs="华文细黑" w:eastAsia="华文细黑" w:hint="default"/>
          <w:sz w:val="14"/>
          <w:szCs w:val="14"/>
        </w:rPr>
      </w:pPr>
    </w:p>
    <w:p>
      <w:pPr>
        <w:pStyle w:val="BodyText"/>
        <w:spacing w:line="412" w:lineRule="auto"/>
        <w:ind w:left="234" w:right="7392"/>
        <w:jc w:val="left"/>
      </w:pPr>
      <w:r>
        <w:rPr/>
        <w:t>□ 适用 √</w:t>
      </w:r>
      <w:r>
        <w:rPr>
          <w:spacing w:val="51"/>
        </w:rPr>
        <w:t> </w:t>
      </w:r>
      <w:r>
        <w:rPr/>
        <w:t>不适用</w:t>
      </w:r>
      <w:r>
        <w:rPr/>
        <w:t> 公司报告期实际控制人未发生变更。</w:t>
      </w:r>
    </w:p>
    <w:p>
      <w:pPr>
        <w:spacing w:after="0" w:line="412" w:lineRule="auto"/>
        <w:jc w:val="left"/>
        <w:sectPr>
          <w:pgSz w:w="11910" w:h="16840"/>
          <w:pgMar w:header="917" w:footer="1019" w:top="1100" w:bottom="1200" w:left="900" w:right="0"/>
        </w:sectPr>
      </w:pPr>
    </w:p>
    <w:p>
      <w:pPr>
        <w:spacing w:line="240" w:lineRule="auto" w:before="8"/>
        <w:rPr>
          <w:rFonts w:ascii="华文细黑" w:hAnsi="华文细黑" w:cs="华文细黑" w:eastAsia="华文细黑" w:hint="default"/>
          <w:sz w:val="26"/>
          <w:szCs w:val="26"/>
        </w:rPr>
      </w:pPr>
    </w:p>
    <w:p>
      <w:pPr>
        <w:pStyle w:val="BodyText"/>
        <w:spacing w:line="240" w:lineRule="auto" w:before="10"/>
        <w:ind w:left="154" w:right="1217"/>
        <w:jc w:val="left"/>
      </w:pPr>
      <w:r>
        <w:rPr/>
        <w:t>公司与实际控制人之间的产权及控制关系的方框图</w:t>
      </w:r>
    </w:p>
    <w:p>
      <w:pPr>
        <w:spacing w:line="240" w:lineRule="auto" w:before="8"/>
        <w:rPr>
          <w:rFonts w:ascii="华文细黑" w:hAnsi="华文细黑" w:cs="华文细黑" w:eastAsia="华文细黑" w:hint="default"/>
          <w:sz w:val="28"/>
          <w:szCs w:val="28"/>
        </w:rPr>
      </w:pPr>
    </w:p>
    <w:p>
      <w:pPr>
        <w:spacing w:line="3885" w:lineRule="exact"/>
        <w:ind w:left="1358" w:right="0" w:firstLine="0"/>
        <w:rPr>
          <w:rFonts w:ascii="华文细黑" w:hAnsi="华文细黑" w:cs="华文细黑" w:eastAsia="华文细黑" w:hint="default"/>
          <w:sz w:val="20"/>
          <w:szCs w:val="20"/>
        </w:rPr>
      </w:pPr>
      <w:r>
        <w:rPr>
          <w:rFonts w:ascii="华文细黑" w:hAnsi="华文细黑" w:cs="华文细黑" w:eastAsia="华文细黑" w:hint="default"/>
          <w:position w:val="-77"/>
          <w:sz w:val="20"/>
          <w:szCs w:val="20"/>
        </w:rPr>
        <w:drawing>
          <wp:inline distT="0" distB="0" distL="0" distR="0">
            <wp:extent cx="4589868" cy="2466975"/>
            <wp:effectExtent l="0" t="0" r="0" b="0"/>
            <wp:docPr id="9" name="image12.png" descr=""/>
            <wp:cNvGraphicFramePr>
              <a:graphicFrameLocks noChangeAspect="1"/>
            </wp:cNvGraphicFramePr>
            <a:graphic>
              <a:graphicData uri="http://schemas.openxmlformats.org/drawingml/2006/picture">
                <pic:pic>
                  <pic:nvPicPr>
                    <pic:cNvPr id="10" name="image12.png"/>
                    <pic:cNvPicPr/>
                  </pic:nvPicPr>
                  <pic:blipFill>
                    <a:blip r:embed="rId25" cstate="print"/>
                    <a:stretch>
                      <a:fillRect/>
                    </a:stretch>
                  </pic:blipFill>
                  <pic:spPr>
                    <a:xfrm>
                      <a:off x="0" y="0"/>
                      <a:ext cx="4589868" cy="2466975"/>
                    </a:xfrm>
                    <a:prstGeom prst="rect">
                      <a:avLst/>
                    </a:prstGeom>
                  </pic:spPr>
                </pic:pic>
              </a:graphicData>
            </a:graphic>
          </wp:inline>
        </w:drawing>
      </w:r>
      <w:r>
        <w:rPr>
          <w:rFonts w:ascii="华文细黑" w:hAnsi="华文细黑" w:cs="华文细黑" w:eastAsia="华文细黑" w:hint="default"/>
          <w:position w:val="-77"/>
          <w:sz w:val="20"/>
          <w:szCs w:val="20"/>
        </w:rPr>
      </w:r>
    </w:p>
    <w:p>
      <w:pPr>
        <w:spacing w:line="240" w:lineRule="auto" w:before="9"/>
        <w:rPr>
          <w:rFonts w:ascii="华文细黑" w:hAnsi="华文细黑" w:cs="华文细黑" w:eastAsia="华文细黑" w:hint="default"/>
          <w:sz w:val="17"/>
          <w:szCs w:val="17"/>
        </w:rPr>
      </w:pPr>
    </w:p>
    <w:p>
      <w:pPr>
        <w:pStyle w:val="BodyText"/>
        <w:spacing w:line="240" w:lineRule="auto" w:before="10"/>
        <w:ind w:left="154" w:right="1217"/>
        <w:jc w:val="left"/>
      </w:pPr>
      <w:r>
        <w:rPr/>
        <w:t>实际控制人通过信托或其他资产管理方式控制公司</w:t>
      </w:r>
    </w:p>
    <w:p>
      <w:pPr>
        <w:spacing w:line="240" w:lineRule="auto" w:before="5"/>
        <w:rPr>
          <w:rFonts w:ascii="华文细黑" w:hAnsi="华文细黑" w:cs="华文细黑" w:eastAsia="华文细黑" w:hint="default"/>
          <w:sz w:val="15"/>
          <w:szCs w:val="15"/>
        </w:rPr>
      </w:pPr>
    </w:p>
    <w:p>
      <w:pPr>
        <w:pStyle w:val="BodyText"/>
        <w:spacing w:line="240" w:lineRule="auto"/>
        <w:ind w:left="154" w:right="1217"/>
        <w:jc w:val="left"/>
      </w:pPr>
      <w:r>
        <w:rPr/>
        <w:t>□  适用  √</w:t>
      </w:r>
      <w:r>
        <w:rPr>
          <w:spacing w:val="51"/>
        </w:rPr>
        <w:t> </w:t>
      </w:r>
      <w:r>
        <w:rPr/>
        <w:t>不适用</w:t>
      </w:r>
    </w:p>
    <w:p>
      <w:pPr>
        <w:spacing w:line="240" w:lineRule="auto" w:before="4"/>
        <w:rPr>
          <w:rFonts w:ascii="华文细黑" w:hAnsi="华文细黑" w:cs="华文细黑" w:eastAsia="华文细黑" w:hint="default"/>
          <w:sz w:val="22"/>
          <w:szCs w:val="22"/>
        </w:rPr>
      </w:pPr>
    </w:p>
    <w:p>
      <w:pPr>
        <w:pStyle w:val="Heading5"/>
        <w:spacing w:line="240" w:lineRule="auto" w:before="0"/>
        <w:ind w:left="154" w:right="1217"/>
        <w:jc w:val="left"/>
        <w:rPr>
          <w:b w:val="0"/>
          <w:bCs w:val="0"/>
        </w:rPr>
      </w:pPr>
      <w:bookmarkStart w:name="4、其他持股在10%以上的法人股东" w:id="144"/>
      <w:bookmarkEnd w:id="144"/>
      <w:r>
        <w:rPr>
          <w:b w:val="0"/>
          <w:bCs w:val="0"/>
        </w:rPr>
      </w:r>
      <w:r>
        <w:rPr>
          <w:rFonts w:ascii="华文细黑" w:hAnsi="华文细黑" w:cs="华文细黑" w:eastAsia="华文细黑" w:hint="default"/>
        </w:rPr>
        <w:t>4</w:t>
      </w:r>
      <w:r>
        <w:rPr/>
        <w:t>、其他持股在</w:t>
      </w:r>
      <w:r>
        <w:rPr>
          <w:spacing w:val="-2"/>
        </w:rPr>
        <w:t> </w:t>
      </w:r>
      <w:r>
        <w:rPr>
          <w:rFonts w:ascii="华文细黑" w:hAnsi="华文细黑" w:cs="华文细黑" w:eastAsia="华文细黑" w:hint="default"/>
        </w:rPr>
        <w:t>10%</w:t>
      </w:r>
      <w:r>
        <w:rPr/>
        <w:t>以上的法人股东</w:t>
      </w:r>
      <w:r>
        <w:rPr>
          <w:b w:val="0"/>
          <w:bCs w:val="0"/>
        </w:rPr>
      </w:r>
    </w:p>
    <w:p>
      <w:pPr>
        <w:spacing w:line="240" w:lineRule="auto" w:before="7"/>
        <w:rPr>
          <w:rFonts w:ascii="华文细黑" w:hAnsi="华文细黑" w:cs="华文细黑" w:eastAsia="华文细黑" w:hint="default"/>
          <w:b/>
          <w:bCs/>
          <w:sz w:val="22"/>
          <w:szCs w:val="22"/>
        </w:rPr>
      </w:pPr>
    </w:p>
    <w:p>
      <w:pPr>
        <w:spacing w:line="494" w:lineRule="auto" w:before="0"/>
        <w:ind w:left="154" w:right="4329" w:firstLine="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 适用 √</w:t>
      </w:r>
      <w:r>
        <w:rPr>
          <w:rFonts w:ascii="华文细黑" w:hAnsi="华文细黑" w:cs="华文细黑" w:eastAsia="华文细黑" w:hint="default"/>
          <w:spacing w:val="51"/>
          <w:sz w:val="21"/>
          <w:szCs w:val="21"/>
        </w:rPr>
        <w:t> </w:t>
      </w:r>
      <w:r>
        <w:rPr>
          <w:rFonts w:ascii="华文细黑" w:hAnsi="华文细黑" w:cs="华文细黑" w:eastAsia="华文细黑" w:hint="default"/>
          <w:sz w:val="21"/>
          <w:szCs w:val="21"/>
        </w:rPr>
        <w:t>不适用</w:t>
      </w:r>
      <w:r>
        <w:rPr>
          <w:rFonts w:ascii="华文细黑" w:hAnsi="华文细黑" w:cs="华文细黑" w:eastAsia="华文细黑" w:hint="default"/>
          <w:sz w:val="21"/>
          <w:szCs w:val="21"/>
        </w:rPr>
        <w:t> </w:t>
      </w:r>
      <w:bookmarkStart w:name="5、控股股东、实际控制人、重组方及其他承诺主体股份限制减持情况" w:id="145"/>
      <w:bookmarkEnd w:id="145"/>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5</w:t>
      </w:r>
      <w:r>
        <w:rPr>
          <w:rFonts w:ascii="华文细黑" w:hAnsi="华文细黑" w:cs="华文细黑" w:eastAsia="华文细黑" w:hint="default"/>
          <w:b/>
          <w:bCs/>
          <w:sz w:val="21"/>
          <w:szCs w:val="21"/>
        </w:rPr>
        <w:t>、控股股东、实际控制人、重组方及其他承诺主体股份限制减持情况</w:t>
      </w:r>
      <w:r>
        <w:rPr>
          <w:rFonts w:ascii="华文细黑" w:hAnsi="华文细黑" w:cs="华文细黑" w:eastAsia="华文细黑" w:hint="default"/>
          <w:sz w:val="21"/>
          <w:szCs w:val="21"/>
        </w:rPr>
      </w:r>
    </w:p>
    <w:p>
      <w:pPr>
        <w:pStyle w:val="BodyText"/>
        <w:spacing w:line="240" w:lineRule="auto" w:before="77"/>
        <w:ind w:left="154" w:right="1217"/>
        <w:jc w:val="left"/>
      </w:pPr>
      <w:r>
        <w:rPr/>
        <w:t>□  适用  √</w:t>
      </w:r>
      <w:r>
        <w:rPr>
          <w:spacing w:val="51"/>
        </w:rPr>
        <w:t> </w:t>
      </w:r>
      <w:r>
        <w:rPr/>
        <w:t>不适用</w:t>
      </w:r>
    </w:p>
    <w:p>
      <w:pPr>
        <w:spacing w:after="0" w:line="240" w:lineRule="auto"/>
        <w:jc w:val="left"/>
        <w:sectPr>
          <w:pgSz w:w="11910" w:h="16840"/>
          <w:pgMar w:header="917" w:footer="1019" w:top="1100" w:bottom="1200" w:left="980" w:right="0"/>
        </w:sect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4"/>
        <w:rPr>
          <w:rFonts w:ascii="华文细黑" w:hAnsi="华文细黑" w:cs="华文细黑" w:eastAsia="华文细黑" w:hint="default"/>
          <w:sz w:val="14"/>
          <w:szCs w:val="14"/>
        </w:rPr>
      </w:pPr>
    </w:p>
    <w:p>
      <w:pPr>
        <w:pStyle w:val="Heading1"/>
        <w:spacing w:line="416" w:lineRule="exact"/>
        <w:ind w:right="1217"/>
        <w:jc w:val="left"/>
        <w:rPr>
          <w:b w:val="0"/>
          <w:bCs w:val="0"/>
        </w:rPr>
      </w:pPr>
      <w:bookmarkStart w:name="第七节 优先股相关情况" w:id="146"/>
      <w:bookmarkEnd w:id="146"/>
      <w:r>
        <w:rPr>
          <w:b w:val="0"/>
          <w:bCs w:val="0"/>
        </w:rPr>
      </w:r>
      <w:bookmarkStart w:name="_bookmark5" w:id="147"/>
      <w:bookmarkEnd w:id="147"/>
      <w:r>
        <w:rPr>
          <w:b w:val="0"/>
          <w:bCs w:val="0"/>
        </w:rPr>
      </w:r>
      <w:r>
        <w:rPr/>
        <w:t>第七节</w:t>
      </w:r>
      <w:r>
        <w:rPr>
          <w:spacing w:val="80"/>
        </w:rPr>
        <w:t> </w:t>
      </w:r>
      <w:r>
        <w:rPr/>
        <w:t>优先股相关情况</w:t>
      </w:r>
      <w:r>
        <w:rPr>
          <w:b w:val="0"/>
          <w:bCs w:val="0"/>
        </w:rPr>
      </w:r>
    </w:p>
    <w:p>
      <w:pPr>
        <w:spacing w:line="240" w:lineRule="auto" w:before="0"/>
        <w:rPr>
          <w:rFonts w:ascii="华文细黑" w:hAnsi="华文细黑" w:cs="华文细黑" w:eastAsia="华文细黑" w:hint="default"/>
          <w:b/>
          <w:bCs/>
          <w:sz w:val="20"/>
          <w:szCs w:val="20"/>
        </w:rPr>
      </w:pPr>
    </w:p>
    <w:p>
      <w:pPr>
        <w:spacing w:line="240" w:lineRule="auto" w:before="9"/>
        <w:rPr>
          <w:rFonts w:ascii="华文细黑" w:hAnsi="华文细黑" w:cs="华文细黑" w:eastAsia="华文细黑" w:hint="default"/>
          <w:b/>
          <w:bCs/>
          <w:sz w:val="20"/>
          <w:szCs w:val="20"/>
        </w:rPr>
      </w:pPr>
    </w:p>
    <w:p>
      <w:pPr>
        <w:pStyle w:val="BodyText"/>
        <w:spacing w:line="410" w:lineRule="auto" w:before="10"/>
        <w:ind w:left="154" w:right="8232"/>
        <w:jc w:val="left"/>
      </w:pPr>
      <w:r>
        <w:rPr/>
        <w:t>□ 适用 √</w:t>
      </w:r>
      <w:r>
        <w:rPr>
          <w:spacing w:val="51"/>
        </w:rPr>
        <w:t> </w:t>
      </w:r>
      <w:r>
        <w:rPr/>
        <w:t>不适用</w:t>
      </w:r>
      <w:r>
        <w:rPr/>
        <w:t> 报告期公司不存在优先股。</w:t>
      </w:r>
    </w:p>
    <w:p>
      <w:pPr>
        <w:spacing w:after="0" w:line="410" w:lineRule="auto"/>
        <w:jc w:val="left"/>
        <w:sectPr>
          <w:pgSz w:w="11910" w:h="16840"/>
          <w:pgMar w:header="917" w:footer="1019" w:top="1100" w:bottom="1200" w:left="980" w:right="0"/>
        </w:sect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4"/>
        <w:rPr>
          <w:rFonts w:ascii="华文细黑" w:hAnsi="华文细黑" w:cs="华文细黑" w:eastAsia="华文细黑" w:hint="default"/>
          <w:sz w:val="14"/>
          <w:szCs w:val="14"/>
        </w:rPr>
      </w:pPr>
    </w:p>
    <w:p>
      <w:pPr>
        <w:pStyle w:val="Heading1"/>
        <w:spacing w:line="416" w:lineRule="exact"/>
        <w:ind w:left="2029" w:right="0"/>
        <w:jc w:val="left"/>
        <w:rPr>
          <w:b w:val="0"/>
          <w:bCs w:val="0"/>
        </w:rPr>
      </w:pPr>
      <w:bookmarkStart w:name="第八节 董事、监事、高级管理人员和员工情况" w:id="148"/>
      <w:bookmarkEnd w:id="148"/>
      <w:r>
        <w:rPr>
          <w:b w:val="0"/>
          <w:bCs w:val="0"/>
        </w:rPr>
      </w:r>
      <w:bookmarkStart w:name="_bookmark6" w:id="149"/>
      <w:bookmarkEnd w:id="149"/>
      <w:r>
        <w:rPr>
          <w:b w:val="0"/>
          <w:bCs w:val="0"/>
        </w:rPr>
      </w:r>
      <w:r>
        <w:rPr/>
        <w:t>第八节</w:t>
      </w:r>
      <w:r>
        <w:rPr>
          <w:spacing w:val="79"/>
        </w:rPr>
        <w:t> </w:t>
      </w:r>
      <w:r>
        <w:rPr/>
        <w:t>董事、监事、高级管理人员和员工情况</w:t>
      </w:r>
      <w:r>
        <w:rPr>
          <w:b w:val="0"/>
          <w:bCs w:val="0"/>
        </w:rPr>
      </w:r>
    </w:p>
    <w:p>
      <w:pPr>
        <w:spacing w:line="240" w:lineRule="auto" w:before="4"/>
        <w:rPr>
          <w:rFonts w:ascii="华文细黑" w:hAnsi="华文细黑" w:cs="华文细黑" w:eastAsia="华文细黑" w:hint="default"/>
          <w:b/>
          <w:bCs/>
          <w:sz w:val="41"/>
          <w:szCs w:val="41"/>
        </w:rPr>
      </w:pPr>
    </w:p>
    <w:p>
      <w:pPr>
        <w:pStyle w:val="Heading2"/>
        <w:spacing w:line="240" w:lineRule="auto"/>
        <w:ind w:left="494" w:right="0"/>
        <w:jc w:val="left"/>
        <w:rPr>
          <w:b w:val="0"/>
          <w:bCs w:val="0"/>
        </w:rPr>
      </w:pPr>
      <w:bookmarkStart w:name="一、董事、监事和高级管理人员持股变动" w:id="150"/>
      <w:bookmarkEnd w:id="150"/>
      <w:r>
        <w:rPr>
          <w:b w:val="0"/>
          <w:bCs w:val="0"/>
        </w:rPr>
      </w:r>
      <w:r>
        <w:rPr/>
        <w:t>一、董事、监事和高级管理人员持股变动</w:t>
      </w:r>
      <w:r>
        <w:rPr>
          <w:b w:val="0"/>
          <w:bCs w:val="0"/>
        </w:rPr>
      </w:r>
    </w:p>
    <w:p>
      <w:pPr>
        <w:spacing w:line="240" w:lineRule="auto" w:before="0"/>
        <w:rPr>
          <w:rFonts w:ascii="华文细黑" w:hAnsi="华文细黑" w:cs="华文细黑" w:eastAsia="华文细黑" w:hint="default"/>
          <w:b/>
          <w:bCs/>
          <w:sz w:val="20"/>
          <w:szCs w:val="20"/>
        </w:rPr>
      </w:pPr>
    </w:p>
    <w:p>
      <w:pPr>
        <w:spacing w:line="240" w:lineRule="auto" w:before="12"/>
        <w:rPr>
          <w:rFonts w:ascii="华文细黑" w:hAnsi="华文细黑" w:cs="华文细黑" w:eastAsia="华文细黑" w:hint="default"/>
          <w:b/>
          <w:bCs/>
          <w:sz w:val="11"/>
          <w:szCs w:val="11"/>
        </w:rPr>
      </w:pPr>
    </w:p>
    <w:tbl>
      <w:tblPr>
        <w:tblW w:w="0" w:type="auto"/>
        <w:jc w:val="left"/>
        <w:tblInd w:w="111" w:type="dxa"/>
        <w:tblLayout w:type="fixed"/>
        <w:tblCellMar>
          <w:top w:w="0" w:type="dxa"/>
          <w:left w:w="0" w:type="dxa"/>
          <w:bottom w:w="0" w:type="dxa"/>
          <w:right w:w="0" w:type="dxa"/>
        </w:tblCellMar>
        <w:tblLook w:val="01E0"/>
      </w:tblPr>
      <w:tblGrid>
        <w:gridCol w:w="798"/>
        <w:gridCol w:w="940"/>
        <w:gridCol w:w="654"/>
        <w:gridCol w:w="502"/>
        <w:gridCol w:w="480"/>
        <w:gridCol w:w="734"/>
        <w:gridCol w:w="736"/>
        <w:gridCol w:w="1140"/>
        <w:gridCol w:w="1195"/>
        <w:gridCol w:w="1310"/>
        <w:gridCol w:w="736"/>
        <w:gridCol w:w="1170"/>
      </w:tblGrid>
      <w:tr>
        <w:trPr>
          <w:trHeight w:val="1333" w:hRule="exact"/>
        </w:trPr>
        <w:tc>
          <w:tcPr>
            <w:tcW w:w="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left="21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姓名</w:t>
            </w:r>
          </w:p>
        </w:tc>
        <w:tc>
          <w:tcPr>
            <w:tcW w:w="9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left="28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职务</w:t>
            </w:r>
          </w:p>
        </w:tc>
        <w:tc>
          <w:tcPr>
            <w:tcW w:w="6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24"/>
                <w:szCs w:val="24"/>
              </w:rPr>
            </w:pPr>
          </w:p>
          <w:p>
            <w:pPr>
              <w:pStyle w:val="TableParagraph"/>
              <w:spacing w:line="295" w:lineRule="auto"/>
              <w:ind w:left="141" w:right="14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任职 状态</w:t>
            </w:r>
          </w:p>
        </w:tc>
        <w:tc>
          <w:tcPr>
            <w:tcW w:w="5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24"/>
                <w:szCs w:val="24"/>
              </w:rPr>
            </w:pPr>
          </w:p>
          <w:p>
            <w:pPr>
              <w:pStyle w:val="TableParagraph"/>
              <w:spacing w:line="295" w:lineRule="auto"/>
              <w:ind w:left="156" w:right="155"/>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性 别</w:t>
            </w:r>
          </w:p>
        </w:tc>
        <w:tc>
          <w:tcPr>
            <w:tcW w:w="4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24"/>
                <w:szCs w:val="24"/>
              </w:rPr>
            </w:pPr>
          </w:p>
          <w:p>
            <w:pPr>
              <w:pStyle w:val="TableParagraph"/>
              <w:spacing w:line="295" w:lineRule="auto"/>
              <w:ind w:left="145" w:right="14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 龄</w:t>
            </w:r>
          </w:p>
        </w:tc>
        <w:tc>
          <w:tcPr>
            <w:tcW w:w="7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95" w:lineRule="auto"/>
              <w:ind w:left="182" w:right="18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任期 起始 日期</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95" w:lineRule="auto"/>
              <w:ind w:left="182" w:right="181"/>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任期 终止 日期</w:t>
            </w:r>
          </w:p>
        </w:tc>
        <w:tc>
          <w:tcPr>
            <w:tcW w:w="11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24"/>
                <w:szCs w:val="24"/>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期初持股数</w:t>
            </w:r>
          </w:p>
          <w:p>
            <w:pPr>
              <w:pStyle w:val="TableParagraph"/>
              <w:spacing w:line="240" w:lineRule="auto" w:before="59"/>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（股）</w:t>
            </w:r>
          </w:p>
        </w:tc>
        <w:tc>
          <w:tcPr>
            <w:tcW w:w="1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24"/>
                <w:szCs w:val="24"/>
              </w:rPr>
            </w:pPr>
          </w:p>
          <w:p>
            <w:pPr>
              <w:pStyle w:val="TableParagraph"/>
              <w:spacing w:line="295" w:lineRule="auto"/>
              <w:ind w:left="103" w:right="11" w:firstLine="3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本期增持股 </w:t>
            </w:r>
            <w:r>
              <w:rPr>
                <w:rFonts w:ascii="华文细黑" w:hAnsi="华文细黑" w:cs="华文细黑" w:eastAsia="华文细黑" w:hint="default"/>
                <w:spacing w:val="-2"/>
                <w:sz w:val="18"/>
                <w:szCs w:val="18"/>
              </w:rPr>
              <w:t>份数量（股）</w:t>
            </w:r>
          </w:p>
        </w:tc>
        <w:tc>
          <w:tcPr>
            <w:tcW w:w="13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24"/>
                <w:szCs w:val="24"/>
              </w:rPr>
            </w:pPr>
          </w:p>
          <w:p>
            <w:pPr>
              <w:pStyle w:val="TableParagraph"/>
              <w:spacing w:line="295" w:lineRule="auto"/>
              <w:ind w:left="200" w:right="107" w:hanging="9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本期减持股份 数量（股）</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82" w:right="181"/>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其他 增减 变动</w:t>
            </w:r>
          </w:p>
          <w:p>
            <w:pPr>
              <w:pStyle w:val="TableParagraph"/>
              <w:spacing w:line="240" w:lineRule="auto" w:before="14"/>
              <w:ind w:left="103" w:right="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（股）</w:t>
            </w:r>
          </w:p>
        </w:tc>
        <w:tc>
          <w:tcPr>
            <w:tcW w:w="11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24"/>
                <w:szCs w:val="24"/>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期末持股数</w:t>
            </w:r>
          </w:p>
          <w:p>
            <w:pPr>
              <w:pStyle w:val="TableParagraph"/>
              <w:spacing w:line="240" w:lineRule="auto" w:before="59"/>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（股）</w:t>
            </w:r>
          </w:p>
        </w:tc>
      </w:tr>
      <w:tr>
        <w:trPr>
          <w:trHeight w:val="1343" w:hRule="exact"/>
        </w:trPr>
        <w:tc>
          <w:tcPr>
            <w:tcW w:w="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5"/>
              <w:ind w:right="0"/>
              <w:jc w:val="left"/>
              <w:rPr>
                <w:rFonts w:ascii="华文细黑" w:hAnsi="华文细黑" w:cs="华文细黑" w:eastAsia="华文细黑" w:hint="default"/>
                <w:b/>
                <w:bCs/>
                <w:sz w:val="18"/>
                <w:szCs w:val="18"/>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黄文辉</w:t>
            </w:r>
          </w:p>
        </w:tc>
        <w:tc>
          <w:tcPr>
            <w:tcW w:w="9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5"/>
              <w:ind w:right="0"/>
              <w:jc w:val="left"/>
              <w:rPr>
                <w:rFonts w:ascii="华文细黑" w:hAnsi="华文细黑" w:cs="华文细黑" w:eastAsia="华文细黑" w:hint="default"/>
                <w:b/>
                <w:bCs/>
                <w:sz w:val="18"/>
                <w:szCs w:val="18"/>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董事长</w:t>
            </w:r>
          </w:p>
        </w:tc>
        <w:tc>
          <w:tcPr>
            <w:tcW w:w="6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5"/>
              <w:ind w:right="0"/>
              <w:jc w:val="left"/>
              <w:rPr>
                <w:rFonts w:ascii="华文细黑" w:hAnsi="华文细黑" w:cs="华文细黑" w:eastAsia="华文细黑" w:hint="default"/>
                <w:b/>
                <w:bCs/>
                <w:sz w:val="18"/>
                <w:szCs w:val="18"/>
              </w:rPr>
            </w:pPr>
          </w:p>
          <w:p>
            <w:pPr>
              <w:pStyle w:val="TableParagraph"/>
              <w:spacing w:line="240" w:lineRule="auto"/>
              <w:ind w:right="77"/>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5"/>
              <w:ind w:right="0"/>
              <w:jc w:val="left"/>
              <w:rPr>
                <w:rFonts w:ascii="华文细黑" w:hAnsi="华文细黑" w:cs="华文细黑" w:eastAsia="华文细黑" w:hint="default"/>
                <w:b/>
                <w:bCs/>
                <w:sz w:val="18"/>
                <w:szCs w:val="18"/>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男</w:t>
            </w:r>
          </w:p>
        </w:tc>
        <w:tc>
          <w:tcPr>
            <w:tcW w:w="4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5"/>
              <w:ind w:right="0"/>
              <w:jc w:val="left"/>
              <w:rPr>
                <w:rFonts w:ascii="华文细黑" w:hAnsi="华文细黑" w:cs="华文细黑" w:eastAsia="华文细黑" w:hint="default"/>
                <w:b/>
                <w:bCs/>
                <w:sz w:val="18"/>
                <w:szCs w:val="18"/>
              </w:rPr>
            </w:pPr>
          </w:p>
          <w:p>
            <w:pPr>
              <w:pStyle w:val="TableParagraph"/>
              <w:spacing w:line="240" w:lineRule="auto"/>
              <w:ind w:left="64" w:right="0"/>
              <w:jc w:val="center"/>
              <w:rPr>
                <w:rFonts w:ascii="华文细黑" w:hAnsi="华文细黑" w:cs="华文细黑" w:eastAsia="华文细黑" w:hint="default"/>
                <w:sz w:val="18"/>
                <w:szCs w:val="18"/>
              </w:rPr>
            </w:pPr>
            <w:r>
              <w:rPr>
                <w:rFonts w:ascii="华文细黑"/>
                <w:sz w:val="18"/>
              </w:rPr>
              <w:t>55</w:t>
            </w:r>
          </w:p>
        </w:tc>
        <w:tc>
          <w:tcPr>
            <w:tcW w:w="7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5"/>
              <w:ind w:left="103" w:right="0"/>
              <w:jc w:val="left"/>
              <w:rPr>
                <w:rFonts w:ascii="华文细黑" w:hAnsi="华文细黑" w:cs="华文细黑" w:eastAsia="华文细黑" w:hint="default"/>
                <w:sz w:val="18"/>
                <w:szCs w:val="18"/>
              </w:rPr>
            </w:pPr>
            <w:r>
              <w:rPr>
                <w:rFonts w:ascii="华文细黑"/>
                <w:sz w:val="18"/>
              </w:rPr>
              <w:t>2016</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5"/>
              <w:ind w:left="103" w:right="0"/>
              <w:jc w:val="left"/>
              <w:rPr>
                <w:rFonts w:ascii="华文细黑" w:hAnsi="华文细黑" w:cs="华文细黑" w:eastAsia="华文细黑" w:hint="default"/>
                <w:sz w:val="18"/>
                <w:szCs w:val="18"/>
              </w:rPr>
            </w:pPr>
            <w:r>
              <w:rPr>
                <w:rFonts w:ascii="华文细黑"/>
                <w:sz w:val="18"/>
              </w:rPr>
              <w:t>2019</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11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5"/>
              <w:ind w:right="0"/>
              <w:jc w:val="left"/>
              <w:rPr>
                <w:rFonts w:ascii="华文细黑" w:hAnsi="华文细黑" w:cs="华文细黑" w:eastAsia="华文细黑" w:hint="default"/>
                <w:b/>
                <w:bCs/>
                <w:sz w:val="18"/>
                <w:szCs w:val="18"/>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8,855,500</w:t>
            </w:r>
          </w:p>
        </w:tc>
        <w:tc>
          <w:tcPr>
            <w:tcW w:w="1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5"/>
              <w:ind w:right="0"/>
              <w:jc w:val="left"/>
              <w:rPr>
                <w:rFonts w:ascii="华文细黑" w:hAnsi="华文细黑" w:cs="华文细黑" w:eastAsia="华文细黑" w:hint="default"/>
                <w:b/>
                <w:bCs/>
                <w:sz w:val="18"/>
                <w:szCs w:val="18"/>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1,771,100</w:t>
            </w:r>
          </w:p>
        </w:tc>
        <w:tc>
          <w:tcPr>
            <w:tcW w:w="13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5"/>
              <w:ind w:right="0"/>
              <w:jc w:val="left"/>
              <w:rPr>
                <w:rFonts w:ascii="华文细黑" w:hAnsi="华文细黑" w:cs="华文细黑" w:eastAsia="华文细黑" w:hint="default"/>
                <w:b/>
                <w:bCs/>
                <w:sz w:val="18"/>
                <w:szCs w:val="18"/>
              </w:rPr>
            </w:pPr>
          </w:p>
          <w:p>
            <w:pPr>
              <w:pStyle w:val="TableParagraph"/>
              <w:spacing w:line="240" w:lineRule="auto"/>
              <w:ind w:right="99"/>
              <w:jc w:val="right"/>
              <w:rPr>
                <w:rFonts w:ascii="华文细黑" w:hAnsi="华文细黑" w:cs="华文细黑" w:eastAsia="华文细黑" w:hint="default"/>
                <w:sz w:val="18"/>
                <w:szCs w:val="18"/>
              </w:rPr>
            </w:pPr>
            <w:r>
              <w:rPr>
                <w:rFonts w:ascii="华文细黑"/>
                <w:sz w:val="18"/>
              </w:rPr>
              <w:t>5,313,300</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5"/>
              <w:ind w:right="0"/>
              <w:jc w:val="left"/>
              <w:rPr>
                <w:rFonts w:ascii="华文细黑" w:hAnsi="华文细黑" w:cs="华文细黑" w:eastAsia="华文细黑" w:hint="default"/>
                <w:b/>
                <w:bCs/>
                <w:sz w:val="18"/>
                <w:szCs w:val="18"/>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w:t>
            </w:r>
          </w:p>
        </w:tc>
        <w:tc>
          <w:tcPr>
            <w:tcW w:w="11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5"/>
              <w:ind w:right="0"/>
              <w:jc w:val="left"/>
              <w:rPr>
                <w:rFonts w:ascii="华文细黑" w:hAnsi="华文细黑" w:cs="华文细黑" w:eastAsia="华文细黑" w:hint="default"/>
                <w:b/>
                <w:bCs/>
                <w:sz w:val="18"/>
                <w:szCs w:val="18"/>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5,313,300</w:t>
            </w:r>
          </w:p>
        </w:tc>
      </w:tr>
      <w:tr>
        <w:trPr>
          <w:trHeight w:val="1338" w:hRule="exact"/>
        </w:trPr>
        <w:tc>
          <w:tcPr>
            <w:tcW w:w="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周友盟</w:t>
            </w:r>
          </w:p>
        </w:tc>
        <w:tc>
          <w:tcPr>
            <w:tcW w:w="9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24"/>
                <w:szCs w:val="24"/>
              </w:rPr>
            </w:pPr>
          </w:p>
          <w:p>
            <w:pPr>
              <w:pStyle w:val="TableParagraph"/>
              <w:spacing w:line="295" w:lineRule="auto"/>
              <w:ind w:left="103" w:right="10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副董事 长、总裁</w:t>
            </w:r>
          </w:p>
        </w:tc>
        <w:tc>
          <w:tcPr>
            <w:tcW w:w="6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77"/>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女</w:t>
            </w:r>
          </w:p>
        </w:tc>
        <w:tc>
          <w:tcPr>
            <w:tcW w:w="4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left="64" w:right="0"/>
              <w:jc w:val="center"/>
              <w:rPr>
                <w:rFonts w:ascii="华文细黑" w:hAnsi="华文细黑" w:cs="华文细黑" w:eastAsia="华文细黑" w:hint="default"/>
                <w:sz w:val="18"/>
                <w:szCs w:val="18"/>
              </w:rPr>
            </w:pPr>
            <w:r>
              <w:rPr>
                <w:rFonts w:ascii="华文细黑"/>
                <w:sz w:val="18"/>
              </w:rPr>
              <w:t>55</w:t>
            </w:r>
          </w:p>
        </w:tc>
        <w:tc>
          <w:tcPr>
            <w:tcW w:w="7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2016</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2019</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11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3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99"/>
              <w:jc w:val="right"/>
              <w:rPr>
                <w:rFonts w:ascii="华文细黑" w:hAnsi="华文细黑" w:cs="华文细黑" w:eastAsia="华文细黑" w:hint="default"/>
                <w:sz w:val="18"/>
                <w:szCs w:val="18"/>
              </w:rPr>
            </w:pPr>
            <w:r>
              <w:rPr>
                <w:rFonts w:ascii="华文细黑"/>
                <w:sz w:val="18"/>
              </w:rPr>
              <w:t>0</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w:t>
            </w:r>
          </w:p>
        </w:tc>
        <w:tc>
          <w:tcPr>
            <w:tcW w:w="11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r>
      <w:tr>
        <w:trPr>
          <w:trHeight w:val="1338" w:hRule="exact"/>
        </w:trPr>
        <w:tc>
          <w:tcPr>
            <w:tcW w:w="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黄绍武</w:t>
            </w:r>
          </w:p>
        </w:tc>
        <w:tc>
          <w:tcPr>
            <w:tcW w:w="9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w:t>
            </w:r>
          </w:p>
        </w:tc>
        <w:tc>
          <w:tcPr>
            <w:tcW w:w="6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77"/>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男</w:t>
            </w:r>
          </w:p>
        </w:tc>
        <w:tc>
          <w:tcPr>
            <w:tcW w:w="4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left="64" w:right="0"/>
              <w:jc w:val="center"/>
              <w:rPr>
                <w:rFonts w:ascii="华文细黑" w:hAnsi="华文细黑" w:cs="华文细黑" w:eastAsia="华文细黑" w:hint="default"/>
                <w:sz w:val="18"/>
                <w:szCs w:val="18"/>
              </w:rPr>
            </w:pPr>
            <w:r>
              <w:rPr>
                <w:rFonts w:ascii="华文细黑"/>
                <w:sz w:val="18"/>
              </w:rPr>
              <w:t>48</w:t>
            </w:r>
          </w:p>
        </w:tc>
        <w:tc>
          <w:tcPr>
            <w:tcW w:w="7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2016</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2019</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11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w w:val="95"/>
                <w:sz w:val="18"/>
              </w:rPr>
              <w:t>11,968,692</w:t>
            </w:r>
          </w:p>
        </w:tc>
        <w:tc>
          <w:tcPr>
            <w:tcW w:w="1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2,393,739</w:t>
            </w:r>
          </w:p>
        </w:tc>
        <w:tc>
          <w:tcPr>
            <w:tcW w:w="13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99"/>
              <w:jc w:val="right"/>
              <w:rPr>
                <w:rFonts w:ascii="华文细黑" w:hAnsi="华文细黑" w:cs="华文细黑" w:eastAsia="华文细黑" w:hint="default"/>
                <w:sz w:val="18"/>
                <w:szCs w:val="18"/>
              </w:rPr>
            </w:pPr>
            <w:r>
              <w:rPr>
                <w:rFonts w:ascii="华文细黑"/>
                <w:sz w:val="18"/>
              </w:rPr>
              <w:t>0</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w:t>
            </w:r>
          </w:p>
        </w:tc>
        <w:tc>
          <w:tcPr>
            <w:tcW w:w="11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w w:val="95"/>
                <w:sz w:val="18"/>
              </w:rPr>
              <w:t>14,362,431</w:t>
            </w:r>
          </w:p>
        </w:tc>
      </w:tr>
      <w:tr>
        <w:trPr>
          <w:trHeight w:val="1338" w:hRule="exact"/>
        </w:trPr>
        <w:tc>
          <w:tcPr>
            <w:tcW w:w="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喻子达</w:t>
            </w:r>
          </w:p>
        </w:tc>
        <w:tc>
          <w:tcPr>
            <w:tcW w:w="9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w:t>
            </w:r>
          </w:p>
        </w:tc>
        <w:tc>
          <w:tcPr>
            <w:tcW w:w="6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77"/>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男</w:t>
            </w:r>
          </w:p>
        </w:tc>
        <w:tc>
          <w:tcPr>
            <w:tcW w:w="4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left="64" w:right="0"/>
              <w:jc w:val="center"/>
              <w:rPr>
                <w:rFonts w:ascii="华文细黑" w:hAnsi="华文细黑" w:cs="华文细黑" w:eastAsia="华文细黑" w:hint="default"/>
                <w:sz w:val="18"/>
                <w:szCs w:val="18"/>
              </w:rPr>
            </w:pPr>
            <w:r>
              <w:rPr>
                <w:rFonts w:ascii="华文细黑"/>
                <w:sz w:val="18"/>
              </w:rPr>
              <w:t>54</w:t>
            </w:r>
          </w:p>
        </w:tc>
        <w:tc>
          <w:tcPr>
            <w:tcW w:w="7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2016</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2019</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11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3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99"/>
              <w:jc w:val="right"/>
              <w:rPr>
                <w:rFonts w:ascii="华文细黑" w:hAnsi="华文细黑" w:cs="华文细黑" w:eastAsia="华文细黑" w:hint="default"/>
                <w:sz w:val="18"/>
                <w:szCs w:val="18"/>
              </w:rPr>
            </w:pPr>
            <w:r>
              <w:rPr>
                <w:rFonts w:ascii="华文细黑"/>
                <w:sz w:val="18"/>
              </w:rPr>
              <w:t>0</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w:t>
            </w:r>
          </w:p>
        </w:tc>
        <w:tc>
          <w:tcPr>
            <w:tcW w:w="11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r>
      <w:tr>
        <w:trPr>
          <w:trHeight w:val="1338" w:hRule="exact"/>
        </w:trPr>
        <w:tc>
          <w:tcPr>
            <w:tcW w:w="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章卫东</w:t>
            </w:r>
          </w:p>
        </w:tc>
        <w:tc>
          <w:tcPr>
            <w:tcW w:w="9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独立董事</w:t>
            </w:r>
          </w:p>
        </w:tc>
        <w:tc>
          <w:tcPr>
            <w:tcW w:w="6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77"/>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男</w:t>
            </w:r>
          </w:p>
        </w:tc>
        <w:tc>
          <w:tcPr>
            <w:tcW w:w="4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left="64" w:right="0"/>
              <w:jc w:val="center"/>
              <w:rPr>
                <w:rFonts w:ascii="华文细黑" w:hAnsi="华文细黑" w:cs="华文细黑" w:eastAsia="华文细黑" w:hint="default"/>
                <w:sz w:val="18"/>
                <w:szCs w:val="18"/>
              </w:rPr>
            </w:pPr>
            <w:r>
              <w:rPr>
                <w:rFonts w:ascii="华文细黑"/>
                <w:sz w:val="18"/>
              </w:rPr>
              <w:t>55</w:t>
            </w:r>
          </w:p>
        </w:tc>
        <w:tc>
          <w:tcPr>
            <w:tcW w:w="7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2016</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2019</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11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3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99"/>
              <w:jc w:val="right"/>
              <w:rPr>
                <w:rFonts w:ascii="华文细黑" w:hAnsi="华文细黑" w:cs="华文细黑" w:eastAsia="华文细黑" w:hint="default"/>
                <w:sz w:val="18"/>
                <w:szCs w:val="18"/>
              </w:rPr>
            </w:pPr>
            <w:r>
              <w:rPr>
                <w:rFonts w:ascii="华文细黑"/>
                <w:sz w:val="18"/>
              </w:rPr>
              <w:t>0</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w:t>
            </w:r>
          </w:p>
        </w:tc>
        <w:tc>
          <w:tcPr>
            <w:tcW w:w="11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r>
      <w:tr>
        <w:trPr>
          <w:trHeight w:val="1338" w:hRule="exact"/>
        </w:trPr>
        <w:tc>
          <w:tcPr>
            <w:tcW w:w="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吕廷杰</w:t>
            </w:r>
          </w:p>
        </w:tc>
        <w:tc>
          <w:tcPr>
            <w:tcW w:w="9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独立董事</w:t>
            </w:r>
          </w:p>
        </w:tc>
        <w:tc>
          <w:tcPr>
            <w:tcW w:w="6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77"/>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男</w:t>
            </w:r>
          </w:p>
        </w:tc>
        <w:tc>
          <w:tcPr>
            <w:tcW w:w="4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left="64" w:right="0"/>
              <w:jc w:val="center"/>
              <w:rPr>
                <w:rFonts w:ascii="华文细黑" w:hAnsi="华文细黑" w:cs="华文细黑" w:eastAsia="华文细黑" w:hint="default"/>
                <w:sz w:val="18"/>
                <w:szCs w:val="18"/>
              </w:rPr>
            </w:pPr>
            <w:r>
              <w:rPr>
                <w:rFonts w:ascii="华文细黑"/>
                <w:sz w:val="18"/>
              </w:rPr>
              <w:t>63</w:t>
            </w:r>
          </w:p>
        </w:tc>
        <w:tc>
          <w:tcPr>
            <w:tcW w:w="7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2016</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2019</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11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3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99"/>
              <w:jc w:val="right"/>
              <w:rPr>
                <w:rFonts w:ascii="华文细黑" w:hAnsi="华文细黑" w:cs="华文细黑" w:eastAsia="华文细黑" w:hint="default"/>
                <w:sz w:val="18"/>
                <w:szCs w:val="18"/>
              </w:rPr>
            </w:pPr>
            <w:r>
              <w:rPr>
                <w:rFonts w:ascii="华文细黑"/>
                <w:sz w:val="18"/>
              </w:rPr>
              <w:t>0</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w:t>
            </w:r>
          </w:p>
        </w:tc>
        <w:tc>
          <w:tcPr>
            <w:tcW w:w="11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r>
      <w:tr>
        <w:trPr>
          <w:trHeight w:val="1338" w:hRule="exact"/>
        </w:trPr>
        <w:tc>
          <w:tcPr>
            <w:tcW w:w="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邓鹏</w:t>
            </w:r>
          </w:p>
        </w:tc>
        <w:tc>
          <w:tcPr>
            <w:tcW w:w="9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独立董事</w:t>
            </w:r>
          </w:p>
        </w:tc>
        <w:tc>
          <w:tcPr>
            <w:tcW w:w="6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77"/>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男</w:t>
            </w:r>
          </w:p>
        </w:tc>
        <w:tc>
          <w:tcPr>
            <w:tcW w:w="4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left="64" w:right="0"/>
              <w:jc w:val="center"/>
              <w:rPr>
                <w:rFonts w:ascii="华文细黑" w:hAnsi="华文细黑" w:cs="华文细黑" w:eastAsia="华文细黑" w:hint="default"/>
                <w:sz w:val="18"/>
                <w:szCs w:val="18"/>
              </w:rPr>
            </w:pPr>
            <w:r>
              <w:rPr>
                <w:rFonts w:ascii="华文细黑"/>
                <w:sz w:val="18"/>
              </w:rPr>
              <w:t>41</w:t>
            </w:r>
          </w:p>
        </w:tc>
        <w:tc>
          <w:tcPr>
            <w:tcW w:w="7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2016</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2019</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11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3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99"/>
              <w:jc w:val="right"/>
              <w:rPr>
                <w:rFonts w:ascii="华文细黑" w:hAnsi="华文细黑" w:cs="华文细黑" w:eastAsia="华文细黑" w:hint="default"/>
                <w:sz w:val="18"/>
                <w:szCs w:val="18"/>
              </w:rPr>
            </w:pPr>
            <w:r>
              <w:rPr>
                <w:rFonts w:ascii="华文细黑"/>
                <w:sz w:val="18"/>
              </w:rPr>
              <w:t>0</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w:t>
            </w:r>
          </w:p>
        </w:tc>
        <w:tc>
          <w:tcPr>
            <w:tcW w:w="11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r>
      <w:tr>
        <w:trPr>
          <w:trHeight w:val="714" w:hRule="exact"/>
        </w:trPr>
        <w:tc>
          <w:tcPr>
            <w:tcW w:w="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李菡</w:t>
            </w:r>
          </w:p>
        </w:tc>
        <w:tc>
          <w:tcPr>
            <w:tcW w:w="940"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0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监事会主 席</w:t>
            </w:r>
          </w:p>
        </w:tc>
        <w:tc>
          <w:tcPr>
            <w:tcW w:w="6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right="77"/>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女</w:t>
            </w:r>
          </w:p>
        </w:tc>
        <w:tc>
          <w:tcPr>
            <w:tcW w:w="4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left="64" w:right="0"/>
              <w:jc w:val="center"/>
              <w:rPr>
                <w:rFonts w:ascii="华文细黑" w:hAnsi="华文细黑" w:cs="华文细黑" w:eastAsia="华文细黑" w:hint="default"/>
                <w:sz w:val="18"/>
                <w:szCs w:val="18"/>
              </w:rPr>
            </w:pPr>
            <w:r>
              <w:rPr>
                <w:rFonts w:ascii="华文细黑"/>
                <w:sz w:val="18"/>
              </w:rPr>
              <w:t>35</w:t>
            </w:r>
          </w:p>
        </w:tc>
        <w:tc>
          <w:tcPr>
            <w:tcW w:w="7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0"/>
              <w:ind w:left="103" w:right="0"/>
              <w:jc w:val="left"/>
              <w:rPr>
                <w:rFonts w:ascii="华文细黑" w:hAnsi="华文细黑" w:cs="华文细黑" w:eastAsia="华文细黑" w:hint="default"/>
                <w:sz w:val="18"/>
                <w:szCs w:val="18"/>
              </w:rPr>
            </w:pPr>
            <w:r>
              <w:rPr>
                <w:rFonts w:ascii="华文细黑"/>
                <w:sz w:val="18"/>
              </w:rPr>
              <w:t>2016</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0"/>
              <w:ind w:left="103" w:right="0"/>
              <w:jc w:val="left"/>
              <w:rPr>
                <w:rFonts w:ascii="华文细黑" w:hAnsi="华文细黑" w:cs="华文细黑" w:eastAsia="华文细黑" w:hint="default"/>
                <w:sz w:val="18"/>
                <w:szCs w:val="18"/>
              </w:rPr>
            </w:pPr>
            <w:r>
              <w:rPr>
                <w:rFonts w:ascii="华文细黑"/>
                <w:sz w:val="18"/>
              </w:rPr>
              <w:t>2019</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tc>
        <w:tc>
          <w:tcPr>
            <w:tcW w:w="11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3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right="99"/>
              <w:jc w:val="right"/>
              <w:rPr>
                <w:rFonts w:ascii="华文细黑" w:hAnsi="华文细黑" w:cs="华文细黑" w:eastAsia="华文细黑" w:hint="default"/>
                <w:sz w:val="18"/>
                <w:szCs w:val="18"/>
              </w:rPr>
            </w:pPr>
            <w:r>
              <w:rPr>
                <w:rFonts w:ascii="华文细黑"/>
                <w:sz w:val="18"/>
              </w:rPr>
              <w:t>0</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w:t>
            </w:r>
          </w:p>
        </w:tc>
        <w:tc>
          <w:tcPr>
            <w:tcW w:w="11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64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11" w:type="dxa"/>
        <w:tblLayout w:type="fixed"/>
        <w:tblCellMar>
          <w:top w:w="0" w:type="dxa"/>
          <w:left w:w="0" w:type="dxa"/>
          <w:bottom w:w="0" w:type="dxa"/>
          <w:right w:w="0" w:type="dxa"/>
        </w:tblCellMar>
        <w:tblLook w:val="01E0"/>
      </w:tblPr>
      <w:tblGrid>
        <w:gridCol w:w="798"/>
        <w:gridCol w:w="940"/>
        <w:gridCol w:w="654"/>
        <w:gridCol w:w="502"/>
        <w:gridCol w:w="480"/>
        <w:gridCol w:w="734"/>
        <w:gridCol w:w="736"/>
        <w:gridCol w:w="1140"/>
        <w:gridCol w:w="1195"/>
        <w:gridCol w:w="1310"/>
        <w:gridCol w:w="736"/>
        <w:gridCol w:w="1170"/>
      </w:tblGrid>
      <w:tr>
        <w:trPr>
          <w:trHeight w:val="674" w:hRule="exact"/>
        </w:trPr>
        <w:tc>
          <w:tcPr>
            <w:tcW w:w="798"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940" w:type="dxa"/>
            <w:tcBorders>
              <w:top w:val="single" w:sz="4" w:space="0" w:color="FFC000"/>
              <w:left w:val="single" w:sz="4" w:space="0" w:color="FFC000"/>
              <w:bottom w:val="single" w:sz="4" w:space="0" w:color="FFC000"/>
              <w:right w:val="single" w:sz="4" w:space="0" w:color="FFC000"/>
            </w:tcBorders>
          </w:tcPr>
          <w:p>
            <w:pPr/>
          </w:p>
        </w:tc>
        <w:tc>
          <w:tcPr>
            <w:tcW w:w="654"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502" w:type="dxa"/>
            <w:tcBorders>
              <w:top w:val="single" w:sz="4" w:space="0" w:color="FFC000"/>
              <w:left w:val="single" w:sz="4" w:space="0" w:color="FFC000"/>
              <w:bottom w:val="single" w:sz="4" w:space="0" w:color="FFC000"/>
              <w:right w:val="single" w:sz="4" w:space="0" w:color="FFC000"/>
            </w:tcBorders>
          </w:tcPr>
          <w:p>
            <w:pPr/>
          </w:p>
        </w:tc>
        <w:tc>
          <w:tcPr>
            <w:tcW w:w="480"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734"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1140" w:type="dxa"/>
            <w:tcBorders>
              <w:top w:val="single" w:sz="4" w:space="0" w:color="FFC000"/>
              <w:left w:val="single" w:sz="4" w:space="0" w:color="FFC000"/>
              <w:bottom w:val="single" w:sz="4" w:space="0" w:color="FFC000"/>
              <w:right w:val="single" w:sz="4" w:space="0" w:color="FFC000"/>
            </w:tcBorders>
          </w:tcPr>
          <w:p>
            <w:pPr/>
          </w:p>
        </w:tc>
        <w:tc>
          <w:tcPr>
            <w:tcW w:w="1195"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310" w:type="dxa"/>
            <w:tcBorders>
              <w:top w:val="single" w:sz="4" w:space="0" w:color="FFC000"/>
              <w:left w:val="single" w:sz="4" w:space="0" w:color="FFC000"/>
              <w:bottom w:val="single" w:sz="4" w:space="0" w:color="FFC000"/>
              <w:right w:val="single" w:sz="4" w:space="0" w:color="FFC000"/>
            </w:tcBorders>
          </w:tcPr>
          <w:p>
            <w:pP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170" w:type="dxa"/>
            <w:tcBorders>
              <w:top w:val="single" w:sz="4" w:space="0" w:color="FFC000"/>
              <w:left w:val="single" w:sz="4" w:space="0" w:color="FFC000"/>
              <w:bottom w:val="single" w:sz="4" w:space="0" w:color="FFC000"/>
              <w:right w:val="single" w:sz="4" w:space="0" w:color="FFC000"/>
            </w:tcBorders>
          </w:tcPr>
          <w:p>
            <w:pPr/>
          </w:p>
        </w:tc>
      </w:tr>
      <w:tr>
        <w:trPr>
          <w:trHeight w:val="1338" w:hRule="exact"/>
        </w:trPr>
        <w:tc>
          <w:tcPr>
            <w:tcW w:w="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朱维佳</w:t>
            </w:r>
          </w:p>
        </w:tc>
        <w:tc>
          <w:tcPr>
            <w:tcW w:w="9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监事</w:t>
            </w:r>
          </w:p>
        </w:tc>
        <w:tc>
          <w:tcPr>
            <w:tcW w:w="6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77"/>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0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男</w:t>
            </w:r>
          </w:p>
        </w:tc>
        <w:tc>
          <w:tcPr>
            <w:tcW w:w="4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left="64" w:right="0"/>
              <w:jc w:val="center"/>
              <w:rPr>
                <w:rFonts w:ascii="华文细黑" w:hAnsi="华文细黑" w:cs="华文细黑" w:eastAsia="华文细黑" w:hint="default"/>
                <w:sz w:val="18"/>
                <w:szCs w:val="18"/>
              </w:rPr>
            </w:pPr>
            <w:r>
              <w:rPr>
                <w:rFonts w:ascii="华文细黑"/>
                <w:sz w:val="18"/>
              </w:rPr>
              <w:t>35</w:t>
            </w:r>
          </w:p>
        </w:tc>
        <w:tc>
          <w:tcPr>
            <w:tcW w:w="7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2016</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09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2019</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11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华文细黑" w:hAnsi="华文细黑" w:cs="华文细黑" w:eastAsia="华文细黑" w:hint="default"/>
                <w:sz w:val="18"/>
                <w:szCs w:val="18"/>
              </w:rPr>
            </w:pPr>
            <w:r>
              <w:rPr>
                <w:rFonts w:ascii="华文细黑"/>
                <w:sz w:val="18"/>
              </w:rPr>
              <w:t>0</w:t>
            </w:r>
          </w:p>
        </w:tc>
        <w:tc>
          <w:tcPr>
            <w:tcW w:w="13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99"/>
              <w:jc w:val="right"/>
              <w:rPr>
                <w:rFonts w:ascii="华文细黑" w:hAnsi="华文细黑" w:cs="华文细黑" w:eastAsia="华文细黑" w:hint="default"/>
                <w:sz w:val="18"/>
                <w:szCs w:val="18"/>
              </w:rPr>
            </w:pPr>
            <w:r>
              <w:rPr>
                <w:rFonts w:ascii="华文细黑"/>
                <w:sz w:val="18"/>
              </w:rPr>
              <w:t>0</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w:t>
            </w:r>
          </w:p>
        </w:tc>
        <w:tc>
          <w:tcPr>
            <w:tcW w:w="11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r>
      <w:tr>
        <w:trPr>
          <w:trHeight w:val="1338" w:hRule="exact"/>
        </w:trPr>
        <w:tc>
          <w:tcPr>
            <w:tcW w:w="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李琴</w:t>
            </w:r>
          </w:p>
        </w:tc>
        <w:tc>
          <w:tcPr>
            <w:tcW w:w="9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监事</w:t>
            </w:r>
          </w:p>
        </w:tc>
        <w:tc>
          <w:tcPr>
            <w:tcW w:w="6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77"/>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女</w:t>
            </w:r>
          </w:p>
        </w:tc>
        <w:tc>
          <w:tcPr>
            <w:tcW w:w="4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64" w:right="0"/>
              <w:jc w:val="center"/>
              <w:rPr>
                <w:rFonts w:ascii="华文细黑" w:hAnsi="华文细黑" w:cs="华文细黑" w:eastAsia="华文细黑" w:hint="default"/>
                <w:sz w:val="18"/>
                <w:szCs w:val="18"/>
              </w:rPr>
            </w:pPr>
            <w:r>
              <w:rPr>
                <w:rFonts w:ascii="华文细黑"/>
                <w:sz w:val="18"/>
              </w:rPr>
              <w:t>34</w:t>
            </w:r>
          </w:p>
        </w:tc>
        <w:tc>
          <w:tcPr>
            <w:tcW w:w="7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2017</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01</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2019</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11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华文细黑" w:hAnsi="华文细黑" w:cs="华文细黑" w:eastAsia="华文细黑" w:hint="default"/>
                <w:sz w:val="18"/>
                <w:szCs w:val="18"/>
              </w:rPr>
            </w:pPr>
            <w:r>
              <w:rPr>
                <w:rFonts w:ascii="华文细黑"/>
                <w:sz w:val="18"/>
              </w:rPr>
              <w:t>0</w:t>
            </w:r>
          </w:p>
        </w:tc>
        <w:tc>
          <w:tcPr>
            <w:tcW w:w="13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99"/>
              <w:jc w:val="right"/>
              <w:rPr>
                <w:rFonts w:ascii="华文细黑" w:hAnsi="华文细黑" w:cs="华文细黑" w:eastAsia="华文细黑" w:hint="default"/>
                <w:sz w:val="18"/>
                <w:szCs w:val="18"/>
              </w:rPr>
            </w:pPr>
            <w:r>
              <w:rPr>
                <w:rFonts w:ascii="华文细黑"/>
                <w:sz w:val="18"/>
              </w:rPr>
              <w:t>0</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w:t>
            </w:r>
          </w:p>
        </w:tc>
        <w:tc>
          <w:tcPr>
            <w:tcW w:w="11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r>
      <w:tr>
        <w:trPr>
          <w:trHeight w:val="1338" w:hRule="exact"/>
        </w:trPr>
        <w:tc>
          <w:tcPr>
            <w:tcW w:w="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陈亮</w:t>
            </w:r>
          </w:p>
        </w:tc>
        <w:tc>
          <w:tcPr>
            <w:tcW w:w="9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副总裁</w:t>
            </w:r>
          </w:p>
        </w:tc>
        <w:tc>
          <w:tcPr>
            <w:tcW w:w="6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77"/>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男</w:t>
            </w:r>
          </w:p>
        </w:tc>
        <w:tc>
          <w:tcPr>
            <w:tcW w:w="4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64" w:right="0"/>
              <w:jc w:val="center"/>
              <w:rPr>
                <w:rFonts w:ascii="华文细黑" w:hAnsi="华文细黑" w:cs="华文细黑" w:eastAsia="华文细黑" w:hint="default"/>
                <w:sz w:val="18"/>
                <w:szCs w:val="18"/>
              </w:rPr>
            </w:pPr>
            <w:r>
              <w:rPr>
                <w:rFonts w:ascii="华文细黑"/>
                <w:sz w:val="18"/>
              </w:rPr>
              <w:t>46</w:t>
            </w:r>
          </w:p>
        </w:tc>
        <w:tc>
          <w:tcPr>
            <w:tcW w:w="7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2016</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2019</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11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华文细黑" w:hAnsi="华文细黑" w:cs="华文细黑" w:eastAsia="华文细黑" w:hint="default"/>
                <w:sz w:val="18"/>
                <w:szCs w:val="18"/>
              </w:rPr>
            </w:pPr>
            <w:r>
              <w:rPr>
                <w:rFonts w:ascii="华文细黑"/>
                <w:sz w:val="18"/>
              </w:rPr>
              <w:t>0</w:t>
            </w:r>
          </w:p>
        </w:tc>
        <w:tc>
          <w:tcPr>
            <w:tcW w:w="13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99"/>
              <w:jc w:val="right"/>
              <w:rPr>
                <w:rFonts w:ascii="华文细黑" w:hAnsi="华文细黑" w:cs="华文细黑" w:eastAsia="华文细黑" w:hint="default"/>
                <w:sz w:val="18"/>
                <w:szCs w:val="18"/>
              </w:rPr>
            </w:pPr>
            <w:r>
              <w:rPr>
                <w:rFonts w:ascii="华文细黑"/>
                <w:sz w:val="18"/>
              </w:rPr>
              <w:t>0</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w:t>
            </w:r>
          </w:p>
        </w:tc>
        <w:tc>
          <w:tcPr>
            <w:tcW w:w="11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r>
      <w:tr>
        <w:trPr>
          <w:trHeight w:val="1338" w:hRule="exact"/>
        </w:trPr>
        <w:tc>
          <w:tcPr>
            <w:tcW w:w="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米泽东</w:t>
            </w:r>
          </w:p>
        </w:tc>
        <w:tc>
          <w:tcPr>
            <w:tcW w:w="940"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04"/>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副总裁、 财务负责 人、董事 会秘书</w:t>
            </w:r>
          </w:p>
        </w:tc>
        <w:tc>
          <w:tcPr>
            <w:tcW w:w="6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77"/>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男</w:t>
            </w:r>
          </w:p>
        </w:tc>
        <w:tc>
          <w:tcPr>
            <w:tcW w:w="4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64" w:right="0"/>
              <w:jc w:val="center"/>
              <w:rPr>
                <w:rFonts w:ascii="华文细黑" w:hAnsi="华文细黑" w:cs="华文细黑" w:eastAsia="华文细黑" w:hint="default"/>
                <w:sz w:val="18"/>
                <w:szCs w:val="18"/>
              </w:rPr>
            </w:pPr>
            <w:r>
              <w:rPr>
                <w:rFonts w:ascii="华文细黑"/>
                <w:sz w:val="18"/>
              </w:rPr>
              <w:t>42</w:t>
            </w:r>
          </w:p>
        </w:tc>
        <w:tc>
          <w:tcPr>
            <w:tcW w:w="7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2018</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08</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17</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2019</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11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华文细黑" w:hAnsi="华文细黑" w:cs="华文细黑" w:eastAsia="华文细黑" w:hint="default"/>
                <w:sz w:val="18"/>
                <w:szCs w:val="18"/>
              </w:rPr>
            </w:pPr>
            <w:r>
              <w:rPr>
                <w:rFonts w:ascii="华文细黑"/>
                <w:sz w:val="18"/>
              </w:rPr>
              <w:t>0</w:t>
            </w:r>
          </w:p>
        </w:tc>
        <w:tc>
          <w:tcPr>
            <w:tcW w:w="13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99"/>
              <w:jc w:val="right"/>
              <w:rPr>
                <w:rFonts w:ascii="华文细黑" w:hAnsi="华文细黑" w:cs="华文细黑" w:eastAsia="华文细黑" w:hint="default"/>
                <w:sz w:val="18"/>
                <w:szCs w:val="18"/>
              </w:rPr>
            </w:pPr>
            <w:r>
              <w:rPr>
                <w:rFonts w:ascii="华文细黑"/>
                <w:sz w:val="18"/>
              </w:rPr>
              <w:t>0</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w:t>
            </w:r>
          </w:p>
        </w:tc>
        <w:tc>
          <w:tcPr>
            <w:tcW w:w="11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r>
      <w:tr>
        <w:trPr>
          <w:trHeight w:val="1338" w:hRule="exact"/>
        </w:trPr>
        <w:tc>
          <w:tcPr>
            <w:tcW w:w="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刘红花</w:t>
            </w:r>
          </w:p>
        </w:tc>
        <w:tc>
          <w:tcPr>
            <w:tcW w:w="9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副总裁</w:t>
            </w:r>
          </w:p>
        </w:tc>
        <w:tc>
          <w:tcPr>
            <w:tcW w:w="6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77"/>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女</w:t>
            </w:r>
          </w:p>
        </w:tc>
        <w:tc>
          <w:tcPr>
            <w:tcW w:w="4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64" w:right="0"/>
              <w:jc w:val="center"/>
              <w:rPr>
                <w:rFonts w:ascii="华文细黑" w:hAnsi="华文细黑" w:cs="华文细黑" w:eastAsia="华文细黑" w:hint="default"/>
                <w:sz w:val="18"/>
                <w:szCs w:val="18"/>
              </w:rPr>
            </w:pPr>
            <w:r>
              <w:rPr>
                <w:rFonts w:ascii="华文细黑"/>
                <w:sz w:val="18"/>
              </w:rPr>
              <w:t>59</w:t>
            </w:r>
          </w:p>
        </w:tc>
        <w:tc>
          <w:tcPr>
            <w:tcW w:w="7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2016</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2019</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11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508,792</w:t>
            </w:r>
          </w:p>
        </w:tc>
        <w:tc>
          <w:tcPr>
            <w:tcW w:w="1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华文细黑" w:hAnsi="华文细黑" w:cs="华文细黑" w:eastAsia="华文细黑" w:hint="default"/>
                <w:sz w:val="18"/>
                <w:szCs w:val="18"/>
              </w:rPr>
            </w:pPr>
            <w:r>
              <w:rPr>
                <w:rFonts w:ascii="华文细黑"/>
                <w:sz w:val="18"/>
              </w:rPr>
              <w:t>101,759</w:t>
            </w:r>
          </w:p>
        </w:tc>
        <w:tc>
          <w:tcPr>
            <w:tcW w:w="13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99"/>
              <w:jc w:val="right"/>
              <w:rPr>
                <w:rFonts w:ascii="华文细黑" w:hAnsi="华文细黑" w:cs="华文细黑" w:eastAsia="华文细黑" w:hint="default"/>
                <w:sz w:val="18"/>
                <w:szCs w:val="18"/>
              </w:rPr>
            </w:pPr>
            <w:r>
              <w:rPr>
                <w:rFonts w:ascii="华文细黑"/>
                <w:sz w:val="18"/>
              </w:rPr>
              <w:t>0</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w:t>
            </w:r>
          </w:p>
        </w:tc>
        <w:tc>
          <w:tcPr>
            <w:tcW w:w="11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610,551</w:t>
            </w:r>
          </w:p>
        </w:tc>
      </w:tr>
      <w:tr>
        <w:trPr>
          <w:trHeight w:val="1338" w:hRule="exact"/>
        </w:trPr>
        <w:tc>
          <w:tcPr>
            <w:tcW w:w="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杨治</w:t>
            </w:r>
          </w:p>
        </w:tc>
        <w:tc>
          <w:tcPr>
            <w:tcW w:w="9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副总裁</w:t>
            </w:r>
          </w:p>
        </w:tc>
        <w:tc>
          <w:tcPr>
            <w:tcW w:w="6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77"/>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男</w:t>
            </w:r>
          </w:p>
        </w:tc>
        <w:tc>
          <w:tcPr>
            <w:tcW w:w="4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64" w:right="0"/>
              <w:jc w:val="center"/>
              <w:rPr>
                <w:rFonts w:ascii="华文细黑" w:hAnsi="华文细黑" w:cs="华文细黑" w:eastAsia="华文细黑" w:hint="default"/>
                <w:sz w:val="18"/>
                <w:szCs w:val="18"/>
              </w:rPr>
            </w:pPr>
            <w:r>
              <w:rPr>
                <w:rFonts w:ascii="华文细黑"/>
                <w:sz w:val="18"/>
              </w:rPr>
              <w:t>41</w:t>
            </w:r>
          </w:p>
        </w:tc>
        <w:tc>
          <w:tcPr>
            <w:tcW w:w="7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2016</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2019</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11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华文细黑" w:hAnsi="华文细黑" w:cs="华文细黑" w:eastAsia="华文细黑" w:hint="default"/>
                <w:sz w:val="18"/>
                <w:szCs w:val="18"/>
              </w:rPr>
            </w:pPr>
            <w:r>
              <w:rPr>
                <w:rFonts w:ascii="华文细黑"/>
                <w:sz w:val="18"/>
              </w:rPr>
              <w:t>0</w:t>
            </w:r>
          </w:p>
        </w:tc>
        <w:tc>
          <w:tcPr>
            <w:tcW w:w="13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99"/>
              <w:jc w:val="right"/>
              <w:rPr>
                <w:rFonts w:ascii="华文细黑" w:hAnsi="华文细黑" w:cs="华文细黑" w:eastAsia="华文细黑" w:hint="default"/>
                <w:sz w:val="18"/>
                <w:szCs w:val="18"/>
              </w:rPr>
            </w:pPr>
            <w:r>
              <w:rPr>
                <w:rFonts w:ascii="华文细黑"/>
                <w:sz w:val="18"/>
              </w:rPr>
              <w:t>0</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w:t>
            </w:r>
          </w:p>
        </w:tc>
        <w:tc>
          <w:tcPr>
            <w:tcW w:w="11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r>
      <w:tr>
        <w:trPr>
          <w:trHeight w:val="1338" w:hRule="exact"/>
        </w:trPr>
        <w:tc>
          <w:tcPr>
            <w:tcW w:w="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罗筱溪</w:t>
            </w:r>
          </w:p>
        </w:tc>
        <w:tc>
          <w:tcPr>
            <w:tcW w:w="9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95" w:lineRule="auto"/>
              <w:ind w:left="103" w:right="104"/>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副总裁、 董事会秘 书</w:t>
            </w:r>
          </w:p>
        </w:tc>
        <w:tc>
          <w:tcPr>
            <w:tcW w:w="6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77"/>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离任</w:t>
            </w:r>
          </w:p>
        </w:tc>
        <w:tc>
          <w:tcPr>
            <w:tcW w:w="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女</w:t>
            </w:r>
          </w:p>
        </w:tc>
        <w:tc>
          <w:tcPr>
            <w:tcW w:w="4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64" w:right="0"/>
              <w:jc w:val="center"/>
              <w:rPr>
                <w:rFonts w:ascii="华文细黑" w:hAnsi="华文细黑" w:cs="华文细黑" w:eastAsia="华文细黑" w:hint="default"/>
                <w:sz w:val="18"/>
                <w:szCs w:val="18"/>
              </w:rPr>
            </w:pPr>
            <w:r>
              <w:rPr>
                <w:rFonts w:ascii="华文细黑"/>
                <w:sz w:val="18"/>
              </w:rPr>
              <w:t>39</w:t>
            </w:r>
          </w:p>
        </w:tc>
        <w:tc>
          <w:tcPr>
            <w:tcW w:w="7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2016</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2018</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04</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26</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11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华文细黑" w:hAnsi="华文细黑" w:cs="华文细黑" w:eastAsia="华文细黑" w:hint="default"/>
                <w:sz w:val="18"/>
                <w:szCs w:val="18"/>
              </w:rPr>
            </w:pPr>
            <w:r>
              <w:rPr>
                <w:rFonts w:ascii="华文细黑"/>
                <w:sz w:val="18"/>
              </w:rPr>
              <w:t>0</w:t>
            </w:r>
          </w:p>
        </w:tc>
        <w:tc>
          <w:tcPr>
            <w:tcW w:w="13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99"/>
              <w:jc w:val="right"/>
              <w:rPr>
                <w:rFonts w:ascii="华文细黑" w:hAnsi="华文细黑" w:cs="华文细黑" w:eastAsia="华文细黑" w:hint="default"/>
                <w:sz w:val="18"/>
                <w:szCs w:val="18"/>
              </w:rPr>
            </w:pPr>
            <w:r>
              <w:rPr>
                <w:rFonts w:ascii="华文细黑"/>
                <w:sz w:val="18"/>
              </w:rPr>
              <w:t>0</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w:t>
            </w:r>
          </w:p>
        </w:tc>
        <w:tc>
          <w:tcPr>
            <w:tcW w:w="11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r>
      <w:tr>
        <w:trPr>
          <w:trHeight w:val="1338" w:hRule="exact"/>
        </w:trPr>
        <w:tc>
          <w:tcPr>
            <w:tcW w:w="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余斌</w:t>
            </w:r>
          </w:p>
        </w:tc>
        <w:tc>
          <w:tcPr>
            <w:tcW w:w="9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副总裁</w:t>
            </w:r>
          </w:p>
        </w:tc>
        <w:tc>
          <w:tcPr>
            <w:tcW w:w="6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77"/>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离任</w:t>
            </w:r>
          </w:p>
        </w:tc>
        <w:tc>
          <w:tcPr>
            <w:tcW w:w="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男</w:t>
            </w:r>
          </w:p>
        </w:tc>
        <w:tc>
          <w:tcPr>
            <w:tcW w:w="4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64" w:right="0"/>
              <w:jc w:val="center"/>
              <w:rPr>
                <w:rFonts w:ascii="华文细黑" w:hAnsi="华文细黑" w:cs="华文细黑" w:eastAsia="华文细黑" w:hint="default"/>
                <w:sz w:val="18"/>
                <w:szCs w:val="18"/>
              </w:rPr>
            </w:pPr>
            <w:r>
              <w:rPr>
                <w:rFonts w:ascii="华文细黑"/>
                <w:sz w:val="18"/>
              </w:rPr>
              <w:t>47</w:t>
            </w:r>
          </w:p>
        </w:tc>
        <w:tc>
          <w:tcPr>
            <w:tcW w:w="7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2016</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10</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sz w:val="18"/>
              </w:rPr>
              <w:t>2018</w:t>
            </w:r>
          </w:p>
          <w:p>
            <w:pPr>
              <w:pStyle w:val="TableParagraph"/>
              <w:spacing w:line="240" w:lineRule="auto" w:before="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08</w:t>
            </w:r>
          </w:p>
          <w:p>
            <w:pPr>
              <w:pStyle w:val="TableParagraph"/>
              <w:spacing w:line="295" w:lineRule="auto" w:before="58"/>
              <w:ind w:left="103" w:right="19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03</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日</w:t>
            </w:r>
          </w:p>
        </w:tc>
        <w:tc>
          <w:tcPr>
            <w:tcW w:w="11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华文细黑" w:hAnsi="华文细黑" w:cs="华文细黑" w:eastAsia="华文细黑" w:hint="default"/>
                <w:sz w:val="18"/>
                <w:szCs w:val="18"/>
              </w:rPr>
            </w:pPr>
            <w:r>
              <w:rPr>
                <w:rFonts w:ascii="华文细黑"/>
                <w:sz w:val="18"/>
              </w:rPr>
              <w:t>0</w:t>
            </w:r>
          </w:p>
        </w:tc>
        <w:tc>
          <w:tcPr>
            <w:tcW w:w="13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99"/>
              <w:jc w:val="right"/>
              <w:rPr>
                <w:rFonts w:ascii="华文细黑" w:hAnsi="华文细黑" w:cs="华文细黑" w:eastAsia="华文细黑" w:hint="default"/>
                <w:sz w:val="18"/>
                <w:szCs w:val="18"/>
              </w:rPr>
            </w:pPr>
            <w:r>
              <w:rPr>
                <w:rFonts w:ascii="华文细黑"/>
                <w:sz w:val="18"/>
              </w:rPr>
              <w:t>0</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0</w:t>
            </w:r>
          </w:p>
        </w:tc>
        <w:tc>
          <w:tcPr>
            <w:tcW w:w="11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r>
      <w:tr>
        <w:trPr>
          <w:trHeight w:val="402" w:hRule="exact"/>
        </w:trPr>
        <w:tc>
          <w:tcPr>
            <w:tcW w:w="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合计</w:t>
            </w:r>
          </w:p>
        </w:tc>
        <w:tc>
          <w:tcPr>
            <w:tcW w:w="9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sz w:val="18"/>
              </w:rPr>
              <w:t>--</w:t>
            </w:r>
          </w:p>
        </w:tc>
        <w:tc>
          <w:tcPr>
            <w:tcW w:w="6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1"/>
              <w:jc w:val="center"/>
              <w:rPr>
                <w:rFonts w:ascii="华文细黑" w:hAnsi="华文细黑" w:cs="华文细黑" w:eastAsia="华文细黑" w:hint="default"/>
                <w:sz w:val="18"/>
                <w:szCs w:val="18"/>
              </w:rPr>
            </w:pPr>
            <w:r>
              <w:rPr>
                <w:rFonts w:ascii="华文细黑"/>
                <w:sz w:val="18"/>
              </w:rPr>
              <w:t>--</w:t>
            </w:r>
          </w:p>
        </w:tc>
        <w:tc>
          <w:tcPr>
            <w:tcW w:w="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85"/>
              <w:jc w:val="right"/>
              <w:rPr>
                <w:rFonts w:ascii="华文细黑" w:hAnsi="华文细黑" w:cs="华文细黑" w:eastAsia="华文细黑" w:hint="default"/>
                <w:sz w:val="18"/>
                <w:szCs w:val="18"/>
              </w:rPr>
            </w:pPr>
            <w:r>
              <w:rPr>
                <w:rFonts w:ascii="华文细黑"/>
                <w:sz w:val="18"/>
              </w:rPr>
              <w:t>--</w:t>
            </w:r>
          </w:p>
        </w:tc>
        <w:tc>
          <w:tcPr>
            <w:tcW w:w="4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sz w:val="18"/>
              </w:rPr>
              <w:t>--</w:t>
            </w:r>
          </w:p>
        </w:tc>
        <w:tc>
          <w:tcPr>
            <w:tcW w:w="7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sz w:val="18"/>
              </w:rPr>
              <w:t>--</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sz w:val="18"/>
              </w:rPr>
              <w:t>--</w:t>
            </w:r>
          </w:p>
        </w:tc>
        <w:tc>
          <w:tcPr>
            <w:tcW w:w="11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w w:val="95"/>
                <w:sz w:val="18"/>
              </w:rPr>
              <w:t>21,332,984</w:t>
            </w:r>
          </w:p>
        </w:tc>
        <w:tc>
          <w:tcPr>
            <w:tcW w:w="1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100"/>
              <w:jc w:val="right"/>
              <w:rPr>
                <w:rFonts w:ascii="华文细黑" w:hAnsi="华文细黑" w:cs="华文细黑" w:eastAsia="华文细黑" w:hint="default"/>
                <w:sz w:val="18"/>
                <w:szCs w:val="18"/>
              </w:rPr>
            </w:pPr>
            <w:r>
              <w:rPr>
                <w:rFonts w:ascii="华文细黑"/>
                <w:sz w:val="18"/>
              </w:rPr>
              <w:t>4,266,598</w:t>
            </w:r>
          </w:p>
        </w:tc>
        <w:tc>
          <w:tcPr>
            <w:tcW w:w="13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99"/>
              <w:jc w:val="right"/>
              <w:rPr>
                <w:rFonts w:ascii="华文细黑" w:hAnsi="华文细黑" w:cs="华文细黑" w:eastAsia="华文细黑" w:hint="default"/>
                <w:sz w:val="18"/>
                <w:szCs w:val="18"/>
              </w:rPr>
            </w:pPr>
            <w:r>
              <w:rPr>
                <w:rFonts w:ascii="华文细黑"/>
                <w:sz w:val="18"/>
              </w:rPr>
              <w:t>5,313,300</w:t>
            </w:r>
          </w:p>
        </w:tc>
        <w:tc>
          <w:tcPr>
            <w:tcW w:w="7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0</w:t>
            </w:r>
          </w:p>
        </w:tc>
        <w:tc>
          <w:tcPr>
            <w:tcW w:w="11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w w:val="95"/>
                <w:sz w:val="18"/>
              </w:rPr>
              <w:t>20,286,282</w:t>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64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1"/>
          <w:szCs w:val="21"/>
        </w:rPr>
      </w:pPr>
    </w:p>
    <w:p>
      <w:pPr>
        <w:spacing w:line="396" w:lineRule="exact" w:before="0"/>
        <w:ind w:left="234" w:right="1023" w:firstLine="0"/>
        <w:jc w:val="left"/>
        <w:rPr>
          <w:rFonts w:ascii="华文细黑" w:hAnsi="华文细黑" w:cs="华文细黑" w:eastAsia="华文细黑" w:hint="default"/>
          <w:sz w:val="30"/>
          <w:szCs w:val="30"/>
        </w:rPr>
      </w:pPr>
      <w:bookmarkStart w:name="二、公司董事、监事、高级管理人员变动情况" w:id="151"/>
      <w:bookmarkEnd w:id="151"/>
      <w:r>
        <w:rPr/>
      </w:r>
      <w:r>
        <w:rPr>
          <w:rFonts w:ascii="华文细黑" w:hAnsi="华文细黑" w:cs="华文细黑" w:eastAsia="华文细黑" w:hint="default"/>
          <w:b/>
          <w:bCs/>
          <w:sz w:val="30"/>
          <w:szCs w:val="30"/>
        </w:rPr>
        <w:t>二、公司董事、监事、高级管理人员变动情况</w:t>
      </w:r>
      <w:r>
        <w:rPr>
          <w:rFonts w:ascii="华文细黑" w:hAnsi="华文细黑" w:cs="华文细黑" w:eastAsia="华文细黑" w:hint="default"/>
          <w:sz w:val="30"/>
          <w:szCs w:val="30"/>
        </w:rPr>
      </w:r>
    </w:p>
    <w:p>
      <w:pPr>
        <w:spacing w:line="240" w:lineRule="auto" w:before="1"/>
        <w:rPr>
          <w:rFonts w:ascii="华文细黑" w:hAnsi="华文细黑" w:cs="华文细黑" w:eastAsia="华文细黑" w:hint="default"/>
          <w:b/>
          <w:bCs/>
          <w:sz w:val="30"/>
          <w:szCs w:val="30"/>
        </w:rPr>
      </w:pPr>
    </w:p>
    <w:p>
      <w:pPr>
        <w:pStyle w:val="BodyText"/>
        <w:spacing w:line="240" w:lineRule="auto"/>
        <w:ind w:left="234" w:right="1023"/>
        <w:jc w:val="left"/>
      </w:pPr>
      <w:r>
        <w:rPr/>
        <w:t>√  适用  □</w:t>
      </w:r>
      <w:r>
        <w:rPr>
          <w:spacing w:val="51"/>
        </w:rPr>
        <w:t> </w:t>
      </w:r>
      <w:r>
        <w:rPr/>
        <w:t>不适用</w:t>
      </w:r>
    </w:p>
    <w:p>
      <w:pPr>
        <w:spacing w:line="240" w:lineRule="auto" w:before="11"/>
        <w:rPr>
          <w:rFonts w:ascii="华文细黑" w:hAnsi="华文细黑" w:cs="华文细黑" w:eastAsia="华文细黑" w:hint="default"/>
          <w:sz w:val="5"/>
          <w:szCs w:val="5"/>
        </w:rPr>
      </w:pPr>
    </w:p>
    <w:tbl>
      <w:tblPr>
        <w:tblW w:w="0" w:type="auto"/>
        <w:jc w:val="left"/>
        <w:tblInd w:w="117" w:type="dxa"/>
        <w:tblLayout w:type="fixed"/>
        <w:tblCellMar>
          <w:top w:w="0" w:type="dxa"/>
          <w:left w:w="0" w:type="dxa"/>
          <w:bottom w:w="0" w:type="dxa"/>
          <w:right w:w="0" w:type="dxa"/>
        </w:tblCellMar>
        <w:tblLook w:val="01E0"/>
      </w:tblPr>
      <w:tblGrid>
        <w:gridCol w:w="1330"/>
        <w:gridCol w:w="1330"/>
        <w:gridCol w:w="1331"/>
        <w:gridCol w:w="2818"/>
        <w:gridCol w:w="2759"/>
      </w:tblGrid>
      <w:tr>
        <w:trPr>
          <w:trHeight w:val="401" w:hRule="exact"/>
        </w:trPr>
        <w:tc>
          <w:tcPr>
            <w:tcW w:w="133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姓名</w:t>
            </w:r>
          </w:p>
        </w:tc>
        <w:tc>
          <w:tcPr>
            <w:tcW w:w="133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21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担任的职务</w:t>
            </w:r>
          </w:p>
        </w:tc>
        <w:tc>
          <w:tcPr>
            <w:tcW w:w="13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类型</w:t>
            </w:r>
          </w:p>
        </w:tc>
        <w:tc>
          <w:tcPr>
            <w:tcW w:w="281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日期</w:t>
            </w:r>
          </w:p>
        </w:tc>
        <w:tc>
          <w:tcPr>
            <w:tcW w:w="27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原因</w:t>
            </w:r>
          </w:p>
        </w:tc>
      </w:tr>
      <w:tr>
        <w:trPr>
          <w:trHeight w:val="402" w:hRule="exact"/>
        </w:trPr>
        <w:tc>
          <w:tcPr>
            <w:tcW w:w="13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罗筱溪</w:t>
            </w:r>
          </w:p>
        </w:tc>
        <w:tc>
          <w:tcPr>
            <w:tcW w:w="13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副总裁、董秘</w:t>
            </w:r>
          </w:p>
        </w:tc>
        <w:tc>
          <w:tcPr>
            <w:tcW w:w="133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离任</w:t>
            </w:r>
          </w:p>
        </w:tc>
        <w:tc>
          <w:tcPr>
            <w:tcW w:w="28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04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26</w:t>
            </w:r>
            <w:r>
              <w:rPr>
                <w:rFonts w:ascii="华文细黑" w:hAnsi="华文细黑" w:cs="华文细黑" w:eastAsia="华文细黑" w:hint="default"/>
                <w:spacing w:val="-6"/>
                <w:sz w:val="18"/>
                <w:szCs w:val="18"/>
              </w:rPr>
              <w:t> </w:t>
            </w:r>
            <w:r>
              <w:rPr>
                <w:rFonts w:ascii="华文细黑" w:hAnsi="华文细黑" w:cs="华文细黑" w:eastAsia="华文细黑" w:hint="default"/>
                <w:sz w:val="18"/>
                <w:szCs w:val="18"/>
              </w:rPr>
              <w:t>日</w:t>
            </w:r>
          </w:p>
        </w:tc>
        <w:tc>
          <w:tcPr>
            <w:tcW w:w="27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个人原因</w:t>
            </w:r>
          </w:p>
        </w:tc>
      </w:tr>
      <w:tr>
        <w:trPr>
          <w:trHeight w:val="403" w:hRule="exact"/>
        </w:trPr>
        <w:tc>
          <w:tcPr>
            <w:tcW w:w="13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余斌</w:t>
            </w:r>
          </w:p>
        </w:tc>
        <w:tc>
          <w:tcPr>
            <w:tcW w:w="13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副总裁</w:t>
            </w:r>
          </w:p>
        </w:tc>
        <w:tc>
          <w:tcPr>
            <w:tcW w:w="133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离任</w:t>
            </w:r>
          </w:p>
        </w:tc>
        <w:tc>
          <w:tcPr>
            <w:tcW w:w="28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08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03</w:t>
            </w:r>
            <w:r>
              <w:rPr>
                <w:rFonts w:ascii="华文细黑" w:hAnsi="华文细黑" w:cs="华文细黑" w:eastAsia="华文细黑" w:hint="default"/>
                <w:spacing w:val="-6"/>
                <w:sz w:val="18"/>
                <w:szCs w:val="18"/>
              </w:rPr>
              <w:t> </w:t>
            </w:r>
            <w:r>
              <w:rPr>
                <w:rFonts w:ascii="华文细黑" w:hAnsi="华文细黑" w:cs="华文细黑" w:eastAsia="华文细黑" w:hint="default"/>
                <w:sz w:val="18"/>
                <w:szCs w:val="18"/>
              </w:rPr>
              <w:t>日</w:t>
            </w:r>
          </w:p>
        </w:tc>
        <w:tc>
          <w:tcPr>
            <w:tcW w:w="27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个人原因</w:t>
            </w:r>
          </w:p>
        </w:tc>
      </w:tr>
    </w:tbl>
    <w:p>
      <w:pPr>
        <w:spacing w:line="240" w:lineRule="auto" w:before="11"/>
        <w:rPr>
          <w:rFonts w:ascii="华文细黑" w:hAnsi="华文细黑" w:cs="华文细黑" w:eastAsia="华文细黑" w:hint="default"/>
          <w:sz w:val="26"/>
          <w:szCs w:val="26"/>
        </w:rPr>
      </w:pPr>
    </w:p>
    <w:p>
      <w:pPr>
        <w:pStyle w:val="Heading2"/>
        <w:spacing w:line="396" w:lineRule="exact"/>
        <w:ind w:right="1023"/>
        <w:jc w:val="left"/>
        <w:rPr>
          <w:b w:val="0"/>
          <w:bCs w:val="0"/>
        </w:rPr>
      </w:pPr>
      <w:bookmarkStart w:name="三、任职情况" w:id="152"/>
      <w:bookmarkEnd w:id="152"/>
      <w:r>
        <w:rPr>
          <w:b w:val="0"/>
          <w:bCs w:val="0"/>
        </w:rPr>
      </w:r>
      <w:r>
        <w:rPr/>
        <w:t>三、任职情况</w:t>
      </w:r>
      <w:r>
        <w:rPr>
          <w:b w:val="0"/>
          <w:bCs w:val="0"/>
        </w:rPr>
      </w:r>
    </w:p>
    <w:p>
      <w:pPr>
        <w:spacing w:line="240" w:lineRule="auto" w:before="8"/>
        <w:rPr>
          <w:rFonts w:ascii="华文细黑" w:hAnsi="华文细黑" w:cs="华文细黑" w:eastAsia="华文细黑" w:hint="default"/>
          <w:b/>
          <w:bCs/>
          <w:sz w:val="35"/>
          <w:szCs w:val="35"/>
        </w:rPr>
      </w:pPr>
    </w:p>
    <w:p>
      <w:pPr>
        <w:pStyle w:val="BodyText"/>
        <w:spacing w:line="484" w:lineRule="auto"/>
        <w:ind w:left="654" w:right="1023"/>
        <w:jc w:val="left"/>
      </w:pPr>
      <w:r>
        <w:rPr/>
        <w:t>公司现任董事、监事、高级管理人员专业背景、主要工作经历以及目前在公司的主要职责 </w:t>
      </w:r>
      <w:r>
        <w:rPr>
          <w:rFonts w:ascii="华文细黑" w:hAnsi="华文细黑" w:cs="华文细黑" w:eastAsia="华文细黑" w:hint="default"/>
          <w:b/>
          <w:bCs/>
        </w:rPr>
        <w:t>1</w:t>
      </w:r>
      <w:r>
        <w:rPr>
          <w:rFonts w:ascii="华文细黑" w:hAnsi="华文细黑" w:cs="华文细黑" w:eastAsia="华文细黑" w:hint="default"/>
          <w:b/>
          <w:bCs/>
        </w:rPr>
        <w:t>、非独立董事</w:t>
      </w:r>
      <w:r>
        <w:rPr>
          <w:rFonts w:ascii="华文细黑" w:hAnsi="华文细黑" w:cs="华文细黑" w:eastAsia="华文细黑" w:hint="default"/>
          <w:b/>
          <w:bCs/>
          <w:w w:val="99"/>
        </w:rPr>
        <w:t> </w:t>
      </w:r>
      <w:r>
        <w:rPr>
          <w:rFonts w:ascii="华文细黑" w:hAnsi="华文细黑" w:cs="华文细黑" w:eastAsia="华文细黑" w:hint="default"/>
          <w:b/>
          <w:bCs/>
          <w:spacing w:val="-1"/>
        </w:rPr>
        <w:t>黄文辉先生：</w:t>
      </w:r>
      <w:r>
        <w:rPr>
          <w:spacing w:val="-1"/>
        </w:rPr>
        <w:t>中国国籍，无境外永久居留权，工商管理硕士。公司主要创始人之一，曾任江西东方明</w:t>
      </w:r>
    </w:p>
    <w:p>
      <w:pPr>
        <w:pStyle w:val="BodyText"/>
        <w:spacing w:line="236" w:lineRule="exact"/>
        <w:ind w:left="234" w:right="1023"/>
        <w:jc w:val="left"/>
      </w:pPr>
      <w:r>
        <w:rPr/>
        <w:t>珠通信发展有限公司总经理；现任本公司控股股东深圳市神州通投资集团有限公司董事、深圳市览众实业</w:t>
      </w:r>
    </w:p>
    <w:p>
      <w:pPr>
        <w:pStyle w:val="BodyText"/>
        <w:spacing w:line="484" w:lineRule="auto" w:before="171"/>
        <w:ind w:left="654" w:right="1023" w:hanging="420"/>
        <w:jc w:val="left"/>
      </w:pPr>
      <w:r>
        <w:rPr/>
        <w:t>有限公司董事长、本公司董事长。 </w:t>
      </w:r>
      <w:r>
        <w:rPr>
          <w:rFonts w:ascii="华文细黑" w:hAnsi="华文细黑" w:cs="华文细黑" w:eastAsia="华文细黑" w:hint="default"/>
          <w:b/>
          <w:bCs/>
          <w:spacing w:val="-1"/>
        </w:rPr>
        <w:t>周友盟女士：</w:t>
      </w:r>
      <w:r>
        <w:rPr>
          <w:spacing w:val="-1"/>
        </w:rPr>
        <w:t>中国国籍，无境外永久居留权，工学学士、工商管理硕士、管理学博士，全国五一劳动</w:t>
      </w:r>
    </w:p>
    <w:p>
      <w:pPr>
        <w:pStyle w:val="BodyText"/>
        <w:spacing w:line="237" w:lineRule="exact"/>
        <w:ind w:left="654" w:right="1023" w:hanging="420"/>
        <w:jc w:val="left"/>
      </w:pPr>
      <w:r>
        <w:rPr/>
        <w:t>奖章获得者，国务院政府津贴获得者。曾任中国联通集团市场营销部总经理；现任公司副董事长、总裁。</w:t>
      </w:r>
    </w:p>
    <w:p>
      <w:pPr>
        <w:spacing w:line="240" w:lineRule="auto" w:before="6"/>
        <w:rPr>
          <w:rFonts w:ascii="华文细黑" w:hAnsi="华文细黑" w:cs="华文细黑" w:eastAsia="华文细黑" w:hint="default"/>
          <w:sz w:val="21"/>
          <w:szCs w:val="21"/>
        </w:rPr>
      </w:pPr>
    </w:p>
    <w:p>
      <w:pPr>
        <w:pStyle w:val="BodyText"/>
        <w:spacing w:line="379" w:lineRule="auto"/>
        <w:ind w:left="234" w:right="1131" w:firstLine="420"/>
        <w:jc w:val="both"/>
      </w:pPr>
      <w:r>
        <w:rPr>
          <w:rFonts w:ascii="华文细黑" w:hAnsi="华文细黑" w:cs="华文细黑" w:eastAsia="华文细黑" w:hint="default"/>
          <w:b/>
          <w:bCs/>
          <w:spacing w:val="-1"/>
        </w:rPr>
        <w:t>黄绍武先生：</w:t>
      </w:r>
      <w:r>
        <w:rPr>
          <w:spacing w:val="-1"/>
        </w:rPr>
        <w:t>中国国籍，无境外永久居留权，公司实际控制人及主要创始人之一，曾任江西东方明珠</w:t>
      </w:r>
      <w:r>
        <w:rPr/>
        <w:t> </w:t>
      </w:r>
      <w:r>
        <w:rPr>
          <w:spacing w:val="-1"/>
        </w:rPr>
        <w:t>通信发展有限公司董事长，现任本公司控股股东深圳市神州通投资集团有限公司董事长、本公司主要股东</w:t>
      </w:r>
      <w:r>
        <w:rPr>
          <w:spacing w:val="-29"/>
        </w:rPr>
        <w:t> </w:t>
      </w:r>
      <w:r>
        <w:rPr>
          <w:spacing w:val="-29"/>
        </w:rPr>
      </w:r>
      <w:r>
        <w:rPr/>
        <w:t>深圳市全球星投资管理有限公司董事长兼总裁、本公司董事。</w:t>
      </w:r>
    </w:p>
    <w:p>
      <w:pPr>
        <w:pStyle w:val="BodyText"/>
        <w:spacing w:line="379" w:lineRule="auto" w:before="171"/>
        <w:ind w:left="234" w:right="1023" w:firstLine="420"/>
        <w:jc w:val="left"/>
      </w:pPr>
      <w:r>
        <w:rPr>
          <w:rFonts w:ascii="华文细黑" w:hAnsi="华文细黑" w:cs="华文细黑" w:eastAsia="华文细黑" w:hint="default"/>
          <w:b/>
          <w:bCs/>
        </w:rPr>
        <w:t>喻子达先生：</w:t>
      </w:r>
      <w:r>
        <w:rPr/>
        <w:t>中国国籍，无境外永久居留权，华中科技大学制冷专业学士、动力工程硕士，西安交通 </w:t>
      </w:r>
      <w:r>
        <w:rPr>
          <w:spacing w:val="-8"/>
        </w:rPr>
        <w:t>大学管理学博士。教授级高级工程师。曾任海尔集团副总裁、高级副总裁、执行副总裁兼首席技术官（</w:t>
      </w:r>
      <w:r>
        <w:rPr>
          <w:rFonts w:ascii="华文细黑" w:hAnsi="华文细黑" w:cs="华文细黑" w:eastAsia="华文细黑" w:hint="default"/>
          <w:spacing w:val="-8"/>
        </w:rPr>
        <w:t>CTO</w:t>
      </w:r>
      <w:r>
        <w:rPr>
          <w:spacing w:val="-8"/>
        </w:rPr>
        <w:t>）</w:t>
      </w:r>
      <w:r>
        <w:rPr>
          <w:spacing w:val="-25"/>
        </w:rPr>
        <w:t> </w:t>
      </w:r>
      <w:r>
        <w:rPr/>
        <w:t>兼数码及个人产品集团总裁等。中国国家级突出贡献中青年专家，享受国务院政府津贴，多次荣获国家科</w:t>
      </w:r>
      <w:r>
        <w:rPr/>
        <w:t> </w:t>
      </w:r>
      <w:r>
        <w:rPr>
          <w:spacing w:val="-3"/>
        </w:rPr>
        <w:t>技进步奖，并担任数字家电国家重点实验室主任。现任深圳市神州通投资集团有限公司总裁、本公司董事，</w:t>
      </w:r>
      <w:r>
        <w:rPr>
          <w:spacing w:val="-38"/>
        </w:rPr>
        <w:t> </w:t>
      </w:r>
      <w:r>
        <w:rPr>
          <w:spacing w:val="-38"/>
        </w:rPr>
      </w:r>
      <w:r>
        <w:rPr/>
        <w:t>深圳市国家级领军人才。</w:t>
      </w:r>
    </w:p>
    <w:p>
      <w:pPr>
        <w:spacing w:line="484" w:lineRule="auto" w:before="171"/>
        <w:ind w:left="654" w:right="1023" w:firstLine="0"/>
        <w:jc w:val="left"/>
        <w:rPr>
          <w:rFonts w:ascii="华文细黑" w:hAnsi="华文细黑" w:cs="华文细黑" w:eastAsia="华文细黑" w:hint="default"/>
          <w:sz w:val="21"/>
          <w:szCs w:val="21"/>
        </w:rPr>
      </w:pP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、独立董事</w:t>
      </w:r>
      <w:r>
        <w:rPr>
          <w:rFonts w:ascii="华文细黑" w:hAnsi="华文细黑" w:cs="华文细黑" w:eastAsia="华文细黑" w:hint="default"/>
          <w:b/>
          <w:bCs/>
          <w:w w:val="99"/>
          <w:sz w:val="21"/>
          <w:szCs w:val="21"/>
        </w:rPr>
        <w:t> </w:t>
      </w:r>
      <w:r>
        <w:rPr>
          <w:rFonts w:ascii="华文细黑" w:hAnsi="华文细黑" w:cs="华文细黑" w:eastAsia="华文细黑" w:hint="default"/>
          <w:b/>
          <w:bCs/>
          <w:spacing w:val="-1"/>
          <w:sz w:val="21"/>
          <w:szCs w:val="21"/>
        </w:rPr>
        <w:t>章卫东先生：</w:t>
      </w:r>
      <w:r>
        <w:rPr>
          <w:rFonts w:ascii="华文细黑" w:hAnsi="华文细黑" w:cs="华文细黑" w:eastAsia="华文细黑" w:hint="default"/>
          <w:spacing w:val="-1"/>
          <w:sz w:val="21"/>
          <w:szCs w:val="21"/>
        </w:rPr>
        <w:t>中国国籍，无境外永久居留权，获华中科技大学管理学博士学位，武汉大学经济与管理</w:t>
      </w:r>
    </w:p>
    <w:p>
      <w:pPr>
        <w:pStyle w:val="BodyText"/>
        <w:spacing w:line="236" w:lineRule="exact"/>
        <w:ind w:left="234" w:right="1023"/>
        <w:jc w:val="left"/>
      </w:pPr>
      <w:r>
        <w:rPr/>
        <w:t>学院工商管理博士后。现任江西财经大学会计学院会计学教授、博士生导师；财政部管理会计咨询专家，</w:t>
      </w:r>
    </w:p>
    <w:p>
      <w:pPr>
        <w:pStyle w:val="BodyText"/>
        <w:spacing w:line="240" w:lineRule="auto" w:before="171"/>
        <w:ind w:left="234" w:right="1023"/>
        <w:jc w:val="left"/>
      </w:pPr>
      <w:r>
        <w:rPr>
          <w:spacing w:val="-5"/>
        </w:rPr>
        <w:t>江西省注册会计师协会常务理事，中国商业会计学会常务理事，本公司独立董事。章卫东先生是江西省“新</w:t>
      </w:r>
    </w:p>
    <w:p>
      <w:pPr>
        <w:spacing w:after="0" w:line="240" w:lineRule="auto"/>
        <w:jc w:val="left"/>
        <w:sectPr>
          <w:pgSz w:w="11910" w:h="16840"/>
          <w:pgMar w:header="917" w:footer="1019" w:top="1100" w:bottom="1200" w:left="900" w:right="0"/>
        </w:sectPr>
      </w:pPr>
    </w:p>
    <w:p>
      <w:pPr>
        <w:spacing w:line="240" w:lineRule="auto" w:before="7"/>
        <w:rPr>
          <w:rFonts w:ascii="华文细黑" w:hAnsi="华文细黑" w:cs="华文细黑" w:eastAsia="华文细黑" w:hint="default"/>
          <w:sz w:val="26"/>
          <w:szCs w:val="26"/>
        </w:rPr>
      </w:pPr>
    </w:p>
    <w:p>
      <w:pPr>
        <w:pStyle w:val="BodyText"/>
        <w:spacing w:line="484" w:lineRule="auto" w:before="10"/>
        <w:ind w:left="574" w:right="1116" w:hanging="420"/>
        <w:jc w:val="left"/>
      </w:pPr>
      <w:r>
        <w:rPr/>
        <w:t>世纪百千万人才工程”人选，江西省中青年学科带头人，江西省“赣鄱英才</w:t>
      </w:r>
      <w:r>
        <w:rPr>
          <w:rFonts w:ascii="华文细黑" w:hAnsi="华文细黑" w:cs="华文细黑" w:eastAsia="华文细黑" w:hint="default"/>
        </w:rPr>
        <w:t>555</w:t>
      </w:r>
      <w:r>
        <w:rPr/>
        <w:t>工程”领军人才。 </w:t>
      </w:r>
      <w:r>
        <w:rPr>
          <w:rFonts w:ascii="华文细黑" w:hAnsi="华文细黑" w:cs="华文细黑" w:eastAsia="华文细黑" w:hint="default"/>
          <w:b/>
          <w:bCs/>
          <w:spacing w:val="-1"/>
        </w:rPr>
        <w:t>吕廷杰先生：</w:t>
      </w:r>
      <w:r>
        <w:rPr>
          <w:spacing w:val="-1"/>
        </w:rPr>
        <w:t>中国国籍，无境外永久居留权，中共党员，北京邮电大学管理工程硕士，日本京都大学</w:t>
      </w:r>
    </w:p>
    <w:p>
      <w:pPr>
        <w:pStyle w:val="BodyText"/>
        <w:spacing w:line="236" w:lineRule="exact"/>
        <w:ind w:left="154" w:right="0"/>
        <w:jc w:val="left"/>
      </w:pPr>
      <w:r>
        <w:rPr/>
        <w:t>应用系统工程博士。现任北京邮电大学经济管理学院教授、博士生导师。北京邮电大学电子商务研究中心</w:t>
      </w:r>
    </w:p>
    <w:p>
      <w:pPr>
        <w:pStyle w:val="BodyText"/>
        <w:spacing w:line="379" w:lineRule="auto" w:before="171"/>
        <w:ind w:left="154" w:right="1116"/>
        <w:jc w:val="left"/>
      </w:pPr>
      <w:r>
        <w:rPr>
          <w:spacing w:val="-1"/>
        </w:rPr>
        <w:t>主任。中国联合网络通信股份有限公司、大唐高鸿数据网络技术股份有限公司、京东方科技集团股份有限</w:t>
      </w:r>
      <w:r>
        <w:rPr>
          <w:spacing w:val="-31"/>
        </w:rPr>
        <w:t> </w:t>
      </w:r>
      <w:r>
        <w:rPr>
          <w:spacing w:val="-31"/>
        </w:rPr>
      </w:r>
      <w:r>
        <w:rPr/>
        <w:t>公司独立董事、本公司独立董事。</w:t>
      </w:r>
    </w:p>
    <w:p>
      <w:pPr>
        <w:pStyle w:val="BodyText"/>
        <w:spacing w:line="379" w:lineRule="auto" w:before="171"/>
        <w:ind w:left="154" w:right="1131" w:firstLine="420"/>
        <w:jc w:val="both"/>
      </w:pPr>
      <w:r>
        <w:rPr>
          <w:rFonts w:ascii="华文细黑" w:hAnsi="华文细黑" w:cs="华文细黑" w:eastAsia="华文细黑" w:hint="default"/>
          <w:b/>
          <w:bCs/>
          <w:spacing w:val="-2"/>
        </w:rPr>
        <w:t>邓鹏先生：</w:t>
      </w:r>
      <w:r>
        <w:rPr>
          <w:spacing w:val="-2"/>
        </w:rPr>
        <w:t>中国国籍，无境外永久居留权，湖南大学法律硕士，获</w:t>
      </w:r>
      <w:r>
        <w:rPr>
          <w:rFonts w:ascii="华文细黑" w:hAnsi="华文细黑" w:cs="华文细黑" w:eastAsia="华文细黑" w:hint="default"/>
          <w:spacing w:val="-2"/>
        </w:rPr>
        <w:t>2015</w:t>
      </w:r>
      <w:r>
        <w:rPr>
          <w:spacing w:val="-2"/>
        </w:rPr>
        <w:t>年度长沙市优秀律师。邓鹏先</w:t>
      </w:r>
      <w:r>
        <w:rPr/>
        <w:t> </w:t>
      </w:r>
      <w:r>
        <w:rPr>
          <w:spacing w:val="-1"/>
        </w:rPr>
        <w:t>生曾在中国民主建国会湖南省委员会工作，曾任湖南省宁乡县对外经济贸易合作局副局长、湖南天地人律</w:t>
      </w:r>
      <w:r>
        <w:rPr>
          <w:spacing w:val="-29"/>
        </w:rPr>
        <w:t> </w:t>
      </w:r>
      <w:r>
        <w:rPr>
          <w:spacing w:val="-29"/>
        </w:rPr>
      </w:r>
      <w:r>
        <w:rPr>
          <w:spacing w:val="-1"/>
        </w:rPr>
        <w:t>师事务所律师、湖南湘和律师事务所管理合伙人、湖南湘达律师事务所高级合伙人。现任佛山佛塑科技集</w:t>
      </w:r>
      <w:r>
        <w:rPr>
          <w:spacing w:val="-31"/>
        </w:rPr>
        <w:t> </w:t>
      </w:r>
      <w:r>
        <w:rPr>
          <w:spacing w:val="-31"/>
        </w:rPr>
      </w:r>
      <w:r>
        <w:rPr>
          <w:spacing w:val="-1"/>
        </w:rPr>
        <w:t>团股份有限公司独立董事，湖南湘达律师事务所主任、中国国际贸易促进委员会（长沙）商事法律咨询与</w:t>
      </w:r>
      <w:r>
        <w:rPr>
          <w:spacing w:val="-34"/>
        </w:rPr>
        <w:t> </w:t>
      </w:r>
      <w:r>
        <w:rPr>
          <w:spacing w:val="-34"/>
        </w:rPr>
      </w:r>
      <w:r>
        <w:rPr/>
        <w:t>投诉中心专家顾问、湖南省律师协会涉外委员会委员。</w:t>
      </w:r>
    </w:p>
    <w:p>
      <w:pPr>
        <w:pStyle w:val="BodyText"/>
        <w:spacing w:line="484" w:lineRule="auto" w:before="171"/>
        <w:ind w:left="574" w:right="1116"/>
        <w:jc w:val="left"/>
      </w:pPr>
      <w:r>
        <w:rPr>
          <w:rFonts w:ascii="华文细黑" w:hAnsi="华文细黑" w:cs="华文细黑" w:eastAsia="华文细黑" w:hint="default"/>
          <w:b/>
          <w:bCs/>
        </w:rPr>
        <w:t>3</w:t>
      </w:r>
      <w:r>
        <w:rPr>
          <w:rFonts w:ascii="华文细黑" w:hAnsi="华文细黑" w:cs="华文细黑" w:eastAsia="华文细黑" w:hint="default"/>
          <w:b/>
          <w:bCs/>
        </w:rPr>
        <w:t>、监事</w:t>
      </w:r>
      <w:r>
        <w:rPr>
          <w:rFonts w:ascii="华文细黑" w:hAnsi="华文细黑" w:cs="华文细黑" w:eastAsia="华文细黑" w:hint="default"/>
          <w:b/>
          <w:bCs/>
          <w:w w:val="99"/>
        </w:rPr>
        <w:t> </w:t>
      </w:r>
      <w:r>
        <w:rPr>
          <w:rFonts w:ascii="华文细黑" w:hAnsi="华文细黑" w:cs="华文细黑" w:eastAsia="华文细黑" w:hint="default"/>
          <w:b/>
          <w:bCs/>
          <w:spacing w:val="-1"/>
        </w:rPr>
        <w:t>李菡女士</w:t>
      </w:r>
      <w:r>
        <w:rPr>
          <w:spacing w:val="-1"/>
        </w:rPr>
        <w:t>：中国国籍，无境外永久居留权，中南财经政法大学，法学硕士。曾任浙江省绍兴公安局副</w:t>
      </w:r>
    </w:p>
    <w:p>
      <w:pPr>
        <w:pStyle w:val="BodyText"/>
        <w:spacing w:line="236" w:lineRule="exact"/>
        <w:ind w:left="154" w:right="0"/>
        <w:jc w:val="left"/>
      </w:pPr>
      <w:r>
        <w:rPr/>
        <w:t>主任科员；广东深鹏律师事务所主任助理。</w:t>
      </w:r>
      <w:r>
        <w:rPr>
          <w:rFonts w:ascii="华文细黑" w:hAnsi="华文细黑" w:cs="华文细黑" w:eastAsia="华文细黑" w:hint="default"/>
        </w:rPr>
        <w:t>2012</w:t>
      </w:r>
      <w:r>
        <w:rPr/>
        <w:t>年加盟本公司，现任本公司法务经理。</w:t>
      </w:r>
      <w:r>
        <w:rPr>
          <w:rFonts w:ascii="华文细黑" w:hAnsi="华文细黑" w:cs="华文细黑" w:eastAsia="华文细黑" w:hint="default"/>
        </w:rPr>
        <w:t>2015</w:t>
      </w:r>
      <w:r>
        <w:rPr/>
        <w:t>年</w:t>
      </w:r>
      <w:r>
        <w:rPr>
          <w:rFonts w:ascii="华文细黑" w:hAnsi="华文细黑" w:cs="华文细黑" w:eastAsia="华文细黑" w:hint="default"/>
        </w:rPr>
        <w:t>3</w:t>
      </w:r>
      <w:r>
        <w:rPr/>
        <w:t>月至今任</w:t>
      </w:r>
    </w:p>
    <w:p>
      <w:pPr>
        <w:pStyle w:val="BodyText"/>
        <w:spacing w:line="379" w:lineRule="auto" w:before="171"/>
        <w:ind w:left="154" w:right="1118"/>
        <w:jc w:val="left"/>
      </w:pPr>
      <w:r>
        <w:rPr/>
        <w:t>公司监事会职工代表监事。</w:t>
      </w:r>
      <w:r>
        <w:rPr>
          <w:rFonts w:ascii="华文细黑" w:hAnsi="华文细黑" w:cs="华文细黑" w:eastAsia="华文细黑" w:hint="default"/>
        </w:rPr>
        <w:t>2017</w:t>
      </w:r>
      <w:r>
        <w:rPr/>
        <w:t>年</w:t>
      </w:r>
      <w:r>
        <w:rPr>
          <w:rFonts w:ascii="华文细黑" w:hAnsi="华文细黑" w:cs="华文细黑" w:eastAsia="华文细黑" w:hint="default"/>
        </w:rPr>
        <w:t>2</w:t>
      </w:r>
      <w:r>
        <w:rPr/>
        <w:t>月</w:t>
      </w:r>
      <w:r>
        <w:rPr>
          <w:rFonts w:ascii="华文细黑" w:hAnsi="华文细黑" w:cs="华文细黑" w:eastAsia="华文细黑" w:hint="default"/>
        </w:rPr>
        <w:t>27</w:t>
      </w:r>
      <w:r>
        <w:rPr/>
        <w:t>日，经第四届监事会第五次（临时）会议审议，被选举为公司第 四届监事会主席。</w:t>
      </w:r>
    </w:p>
    <w:p>
      <w:pPr>
        <w:pStyle w:val="BodyText"/>
        <w:spacing w:line="379" w:lineRule="auto" w:before="171"/>
        <w:ind w:left="154" w:right="1129" w:firstLine="420"/>
        <w:jc w:val="both"/>
      </w:pPr>
      <w:r>
        <w:rPr>
          <w:rFonts w:ascii="华文细黑" w:hAnsi="华文细黑" w:cs="华文细黑" w:eastAsia="华文细黑" w:hint="default"/>
          <w:b/>
          <w:bCs/>
          <w:spacing w:val="-1"/>
        </w:rPr>
        <w:t>朱维佳先生：</w:t>
      </w:r>
      <w:r>
        <w:rPr>
          <w:spacing w:val="-1"/>
        </w:rPr>
        <w:t>中国国籍，无境外永久居留权，东北财经大学，财务管理专业，本科学历。曾任中华工</w:t>
      </w:r>
      <w:r>
        <w:rPr/>
        <w:t> </w:t>
      </w:r>
      <w:r>
        <w:rPr>
          <w:spacing w:val="-2"/>
        </w:rPr>
        <w:t>商时报江苏记者站会计，</w:t>
      </w:r>
      <w:r>
        <w:rPr>
          <w:rFonts w:ascii="华文细黑" w:hAnsi="华文细黑" w:cs="华文细黑" w:eastAsia="华文细黑" w:hint="default"/>
          <w:spacing w:val="-2"/>
        </w:rPr>
        <w:t>2005</w:t>
      </w:r>
      <w:r>
        <w:rPr>
          <w:spacing w:val="-2"/>
        </w:rPr>
        <w:t>年加盟本公司，历任本公司审计项目主管、审计项目经理；现任本公司审计</w:t>
      </w:r>
      <w:r>
        <w:rPr>
          <w:spacing w:val="-25"/>
        </w:rPr>
        <w:t> </w:t>
      </w:r>
      <w:r>
        <w:rPr>
          <w:spacing w:val="-25"/>
        </w:rPr>
      </w:r>
      <w:r>
        <w:rPr/>
        <w:t>部总监助理。</w:t>
      </w:r>
      <w:r>
        <w:rPr>
          <w:rFonts w:ascii="华文细黑" w:hAnsi="华文细黑" w:cs="华文细黑" w:eastAsia="华文细黑" w:hint="default"/>
        </w:rPr>
        <w:t>2015</w:t>
      </w:r>
      <w:r>
        <w:rPr/>
        <w:t>年</w:t>
      </w:r>
      <w:r>
        <w:rPr>
          <w:rFonts w:ascii="华文细黑" w:hAnsi="华文细黑" w:cs="华文细黑" w:eastAsia="华文细黑" w:hint="default"/>
        </w:rPr>
        <w:t>3</w:t>
      </w:r>
      <w:r>
        <w:rPr/>
        <w:t>月至今任公司监事会监事。</w:t>
      </w:r>
    </w:p>
    <w:p>
      <w:pPr>
        <w:pStyle w:val="BodyText"/>
        <w:spacing w:line="379" w:lineRule="auto" w:before="171"/>
        <w:ind w:left="154" w:right="1130" w:firstLine="420"/>
        <w:jc w:val="both"/>
      </w:pPr>
      <w:r>
        <w:rPr>
          <w:rFonts w:ascii="华文细黑" w:hAnsi="华文细黑" w:cs="华文细黑" w:eastAsia="华文细黑" w:hint="default"/>
          <w:b/>
          <w:bCs/>
          <w:spacing w:val="-1"/>
        </w:rPr>
        <w:t>李琴女士：</w:t>
      </w:r>
      <w:r>
        <w:rPr>
          <w:spacing w:val="-1"/>
        </w:rPr>
        <w:t>中国国籍，无境外永久居留权，江西财经大学，会计学专业，本科学历。曾任瑞华会计师</w:t>
      </w:r>
      <w:r>
        <w:rPr/>
        <w:t> 事务所（特殊普通合伙）高级项目经理职务。现任本公司财务管理部财务经理职务。</w:t>
      </w:r>
      <w:r>
        <w:rPr>
          <w:rFonts w:ascii="华文细黑" w:hAnsi="华文细黑" w:cs="华文细黑" w:eastAsia="华文细黑" w:hint="default"/>
        </w:rPr>
        <w:t>2017</w:t>
      </w:r>
      <w:r>
        <w:rPr/>
        <w:t>年</w:t>
      </w:r>
      <w:r>
        <w:rPr>
          <w:rFonts w:ascii="华文细黑" w:hAnsi="华文细黑" w:cs="华文细黑" w:eastAsia="华文细黑" w:hint="default"/>
        </w:rPr>
        <w:t>1</w:t>
      </w:r>
      <w:r>
        <w:rPr/>
        <w:t>月至今任公</w:t>
      </w:r>
      <w:r>
        <w:rPr>
          <w:spacing w:val="-30"/>
        </w:rPr>
        <w:t> </w:t>
      </w:r>
      <w:r>
        <w:rPr>
          <w:spacing w:val="-30"/>
        </w:rPr>
      </w:r>
      <w:r>
        <w:rPr/>
        <w:t>司监事会监事。</w:t>
      </w:r>
    </w:p>
    <w:p>
      <w:pPr>
        <w:spacing w:line="484" w:lineRule="auto" w:before="171"/>
        <w:ind w:left="574" w:right="5711" w:firstLine="0"/>
        <w:jc w:val="left"/>
        <w:rPr>
          <w:rFonts w:ascii="华文细黑" w:hAnsi="华文细黑" w:cs="华文细黑" w:eastAsia="华文细黑" w:hint="default"/>
          <w:sz w:val="21"/>
          <w:szCs w:val="21"/>
        </w:rPr>
      </w:pPr>
      <w:r>
        <w:rPr>
          <w:rFonts w:ascii="华文细黑" w:hAnsi="华文细黑" w:cs="华文细黑" w:eastAsia="华文细黑" w:hint="default"/>
          <w:b/>
          <w:bCs/>
          <w:sz w:val="21"/>
          <w:szCs w:val="21"/>
        </w:rPr>
        <w:t>4</w:t>
      </w:r>
      <w:r>
        <w:rPr>
          <w:rFonts w:ascii="华文细黑" w:hAnsi="华文细黑" w:cs="华文细黑" w:eastAsia="华文细黑" w:hint="default"/>
          <w:b/>
          <w:bCs/>
          <w:sz w:val="21"/>
          <w:szCs w:val="21"/>
        </w:rPr>
        <w:t>、高级管理人员</w:t>
      </w:r>
      <w:r>
        <w:rPr>
          <w:rFonts w:ascii="华文细黑" w:hAnsi="华文细黑" w:cs="华文细黑" w:eastAsia="华文细黑" w:hint="default"/>
          <w:b/>
          <w:bCs/>
          <w:w w:val="99"/>
          <w:sz w:val="21"/>
          <w:szCs w:val="21"/>
        </w:rPr>
        <w:t> </w:t>
      </w:r>
      <w:r>
        <w:rPr>
          <w:rFonts w:ascii="华文细黑" w:hAnsi="华文细黑" w:cs="华文细黑" w:eastAsia="华文细黑" w:hint="default"/>
          <w:b/>
          <w:bCs/>
          <w:sz w:val="21"/>
          <w:szCs w:val="21"/>
        </w:rPr>
        <w:t>周友盟女士：</w:t>
      </w:r>
      <w:r>
        <w:rPr>
          <w:rFonts w:ascii="华文细黑" w:hAnsi="华文细黑" w:cs="华文细黑" w:eastAsia="华文细黑" w:hint="default"/>
          <w:sz w:val="21"/>
          <w:szCs w:val="21"/>
        </w:rPr>
        <w:t>副董事长、总裁，见前述董事介绍。</w:t>
      </w:r>
    </w:p>
    <w:p>
      <w:pPr>
        <w:pStyle w:val="BodyText"/>
        <w:spacing w:line="379" w:lineRule="auto" w:before="71"/>
        <w:ind w:left="154" w:right="1110" w:firstLine="420"/>
        <w:jc w:val="both"/>
      </w:pPr>
      <w:r>
        <w:rPr>
          <w:rFonts w:ascii="华文细黑" w:hAnsi="华文细黑" w:cs="华文细黑" w:eastAsia="华文细黑" w:hint="default"/>
          <w:b/>
          <w:bCs/>
          <w:spacing w:val="-1"/>
        </w:rPr>
        <w:t>陈亮先生：</w:t>
      </w:r>
      <w:r>
        <w:rPr>
          <w:spacing w:val="-1"/>
        </w:rPr>
        <w:t>中国国籍，无境外永久居留权，斯特拉斯克莱德大学（英国）通信管理硕士、中山大学通</w:t>
      </w:r>
      <w:r>
        <w:rPr/>
        <w:t> 信工程硕士。曾任职于中国联通，历任中国联通广东省分公司网络优化中心总经理、个人客户部总经理、 </w:t>
      </w:r>
      <w:r>
        <w:rPr>
          <w:spacing w:val="-1"/>
        </w:rPr>
        <w:t>移动业务营销中心总经理、中国联通汕头市分公司总经理、中国联通吉林省分公司副总经理。现任公司副</w:t>
      </w:r>
      <w:r>
        <w:rPr>
          <w:spacing w:val="-31"/>
        </w:rPr>
        <w:t> </w:t>
      </w:r>
      <w:r>
        <w:rPr>
          <w:spacing w:val="-31"/>
        </w:rPr>
      </w:r>
      <w:r>
        <w:rPr/>
        <w:t>总裁。</w:t>
      </w:r>
    </w:p>
    <w:p>
      <w:pPr>
        <w:spacing w:after="0" w:line="379" w:lineRule="auto"/>
        <w:jc w:val="both"/>
        <w:sectPr>
          <w:pgSz w:w="11910" w:h="16840"/>
          <w:pgMar w:header="917" w:footer="1019" w:top="1100" w:bottom="1200" w:left="980" w:right="0"/>
        </w:sectPr>
      </w:pPr>
    </w:p>
    <w:p>
      <w:pPr>
        <w:spacing w:line="240" w:lineRule="auto" w:before="8"/>
        <w:rPr>
          <w:rFonts w:ascii="华文细黑" w:hAnsi="华文细黑" w:cs="华文细黑" w:eastAsia="华文细黑" w:hint="default"/>
          <w:sz w:val="26"/>
          <w:szCs w:val="26"/>
        </w:rPr>
      </w:pPr>
    </w:p>
    <w:p>
      <w:pPr>
        <w:pStyle w:val="BodyText"/>
        <w:spacing w:line="379" w:lineRule="auto" w:before="10"/>
        <w:ind w:left="234" w:right="1110" w:firstLine="420"/>
        <w:jc w:val="both"/>
      </w:pPr>
      <w:r>
        <w:rPr>
          <w:rFonts w:ascii="华文细黑" w:hAnsi="华文细黑" w:cs="华文细黑" w:eastAsia="华文细黑" w:hint="default"/>
          <w:b/>
          <w:bCs/>
          <w:spacing w:val="-1"/>
        </w:rPr>
        <w:t>杨治先生：</w:t>
      </w:r>
      <w:r>
        <w:rPr>
          <w:spacing w:val="-1"/>
        </w:rPr>
        <w:t>中国国籍，无境外永久居留权，浙江大学学士，曾任本公司三星业务部总监，分销事业一</w:t>
      </w:r>
      <w:r>
        <w:rPr/>
        <w:t> 部总经理，北京酷人通讯科技有限公司副总经理，分销联通事业部总经理，现任本公司分销业务总经理、 分销事业群</w:t>
      </w:r>
      <w:r>
        <w:rPr>
          <w:rFonts w:ascii="华文细黑" w:hAnsi="华文细黑" w:cs="华文细黑" w:eastAsia="华文细黑" w:hint="default"/>
        </w:rPr>
        <w:t>CEO</w:t>
      </w:r>
      <w:r>
        <w:rPr/>
        <w:t>、公司副总裁。</w:t>
      </w:r>
    </w:p>
    <w:p>
      <w:pPr>
        <w:pStyle w:val="BodyText"/>
        <w:spacing w:line="379" w:lineRule="auto" w:before="171"/>
        <w:ind w:left="234" w:right="1130" w:firstLine="420"/>
        <w:jc w:val="both"/>
      </w:pPr>
      <w:r>
        <w:rPr>
          <w:rFonts w:ascii="华文细黑" w:hAnsi="华文细黑" w:cs="华文细黑" w:eastAsia="华文细黑" w:hint="default"/>
          <w:b/>
          <w:bCs/>
          <w:spacing w:val="-1"/>
        </w:rPr>
        <w:t>刘红花女士：</w:t>
      </w:r>
      <w:r>
        <w:rPr>
          <w:spacing w:val="-1"/>
        </w:rPr>
        <w:t>中国国籍，无境外永久居留权，本科学历，注册会计师、注册评估师。曾任江西南昌钟</w:t>
      </w:r>
      <w:r>
        <w:rPr/>
        <w:t> </w:t>
      </w:r>
      <w:r>
        <w:rPr>
          <w:spacing w:val="-1"/>
        </w:rPr>
        <w:t>厂财务科长，江西南昌市红光机械厂财务科长，江西东方明珠通信实业有限公司财务部经理、本公司财务</w:t>
      </w:r>
      <w:r>
        <w:rPr>
          <w:spacing w:val="-31"/>
        </w:rPr>
        <w:t> </w:t>
      </w:r>
      <w:r>
        <w:rPr>
          <w:spacing w:val="-31"/>
        </w:rPr>
      </w:r>
      <w:r>
        <w:rPr/>
        <w:t>部经理、审计部经理，现任本公司副总裁、审计法务监察部负责人。</w:t>
      </w:r>
    </w:p>
    <w:p>
      <w:pPr>
        <w:pStyle w:val="BodyText"/>
        <w:spacing w:line="379" w:lineRule="auto" w:before="171"/>
        <w:ind w:left="234" w:right="1131" w:firstLine="420"/>
        <w:jc w:val="both"/>
      </w:pPr>
      <w:r>
        <w:rPr>
          <w:rFonts w:ascii="华文细黑" w:hAnsi="华文细黑" w:cs="华文细黑" w:eastAsia="华文细黑" w:hint="default"/>
          <w:b/>
          <w:bCs/>
          <w:spacing w:val="-1"/>
        </w:rPr>
        <w:t>米泽东先生：</w:t>
      </w:r>
      <w:r>
        <w:rPr>
          <w:spacing w:val="-1"/>
        </w:rPr>
        <w:t>中国国籍，无境外永久居留权，中南民族大学货币银行学学士。曾在广东清远大中塑胶</w:t>
      </w:r>
      <w:r>
        <w:rPr/>
        <w:t> </w:t>
      </w:r>
      <w:r>
        <w:rPr>
          <w:spacing w:val="-2"/>
        </w:rPr>
        <w:t>制品有限公司、聚友实业（集团）有限公司任职；</w:t>
      </w:r>
      <w:r>
        <w:rPr>
          <w:rFonts w:ascii="华文细黑" w:hAnsi="华文细黑" w:cs="华文细黑" w:eastAsia="华文细黑" w:hint="default"/>
          <w:spacing w:val="-2"/>
        </w:rPr>
        <w:t>2007</w:t>
      </w:r>
      <w:r>
        <w:rPr>
          <w:spacing w:val="-2"/>
        </w:rPr>
        <w:t>年任公司财务中心总监，现任公司副总裁、财务负</w:t>
      </w:r>
      <w:r>
        <w:rPr>
          <w:spacing w:val="-26"/>
        </w:rPr>
        <w:t> </w:t>
      </w:r>
      <w:r>
        <w:rPr>
          <w:spacing w:val="-26"/>
        </w:rPr>
      </w:r>
      <w:r>
        <w:rPr/>
        <w:t>责人兼董事会秘书。</w:t>
      </w:r>
    </w:p>
    <w:p>
      <w:pPr>
        <w:spacing w:line="240" w:lineRule="auto" w:before="0"/>
        <w:rPr>
          <w:rFonts w:ascii="华文细黑" w:hAnsi="华文细黑" w:cs="华文细黑" w:eastAsia="华文细黑" w:hint="default"/>
          <w:sz w:val="20"/>
          <w:szCs w:val="20"/>
        </w:rPr>
      </w:pPr>
    </w:p>
    <w:p>
      <w:pPr>
        <w:spacing w:line="240" w:lineRule="auto" w:before="6"/>
        <w:rPr>
          <w:rFonts w:ascii="华文细黑" w:hAnsi="华文细黑" w:cs="华文细黑" w:eastAsia="华文细黑" w:hint="default"/>
          <w:sz w:val="17"/>
          <w:szCs w:val="17"/>
        </w:rPr>
      </w:pPr>
    </w:p>
    <w:p>
      <w:pPr>
        <w:pStyle w:val="BodyText"/>
        <w:spacing w:line="240" w:lineRule="auto"/>
        <w:ind w:left="234" w:right="1023"/>
        <w:jc w:val="left"/>
      </w:pPr>
      <w:r>
        <w:rPr/>
        <w:t>在股东单位任职情况</w:t>
      </w:r>
    </w:p>
    <w:p>
      <w:pPr>
        <w:spacing w:line="240" w:lineRule="auto" w:before="0"/>
        <w:rPr>
          <w:rFonts w:ascii="华文细黑" w:hAnsi="华文细黑" w:cs="华文细黑" w:eastAsia="华文细黑" w:hint="default"/>
          <w:sz w:val="15"/>
          <w:szCs w:val="15"/>
        </w:rPr>
      </w:pPr>
    </w:p>
    <w:p>
      <w:pPr>
        <w:pStyle w:val="BodyText"/>
        <w:spacing w:line="240" w:lineRule="auto"/>
        <w:ind w:left="234" w:right="1023"/>
        <w:jc w:val="left"/>
      </w:pPr>
      <w:r>
        <w:rPr/>
        <w:t>√  适用  □</w:t>
      </w:r>
      <w:r>
        <w:rPr>
          <w:spacing w:val="51"/>
        </w:rPr>
        <w:t> </w:t>
      </w:r>
      <w:r>
        <w:rPr/>
        <w:t>不适用</w:t>
      </w:r>
    </w:p>
    <w:p>
      <w:pPr>
        <w:spacing w:line="240" w:lineRule="auto" w:before="4"/>
        <w:rPr>
          <w:rFonts w:ascii="华文细黑" w:hAnsi="华文细黑" w:cs="华文细黑" w:eastAsia="华文细黑" w:hint="default"/>
          <w:sz w:val="11"/>
          <w:szCs w:val="11"/>
        </w:rPr>
      </w:pPr>
    </w:p>
    <w:tbl>
      <w:tblPr>
        <w:tblW w:w="0" w:type="auto"/>
        <w:jc w:val="left"/>
        <w:tblInd w:w="117" w:type="dxa"/>
        <w:tblLayout w:type="fixed"/>
        <w:tblCellMar>
          <w:top w:w="0" w:type="dxa"/>
          <w:left w:w="0" w:type="dxa"/>
          <w:bottom w:w="0" w:type="dxa"/>
          <w:right w:w="0" w:type="dxa"/>
        </w:tblCellMar>
        <w:tblLook w:val="01E0"/>
      </w:tblPr>
      <w:tblGrid>
        <w:gridCol w:w="1064"/>
        <w:gridCol w:w="3105"/>
        <w:gridCol w:w="1320"/>
        <w:gridCol w:w="1726"/>
        <w:gridCol w:w="2821"/>
      </w:tblGrid>
      <w:tr>
        <w:trPr>
          <w:trHeight w:val="714" w:hRule="exact"/>
        </w:trPr>
        <w:tc>
          <w:tcPr>
            <w:tcW w:w="10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346" w:right="165"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任职人员 姓名</w:t>
            </w:r>
          </w:p>
        </w:tc>
        <w:tc>
          <w:tcPr>
            <w:tcW w:w="310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0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股东单位名称</w:t>
            </w:r>
          </w:p>
        </w:tc>
        <w:tc>
          <w:tcPr>
            <w:tcW w:w="132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295" w:right="113"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在股东单位担 任的职务</w:t>
            </w:r>
          </w:p>
        </w:tc>
        <w:tc>
          <w:tcPr>
            <w:tcW w:w="172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任期起始日期</w:t>
            </w:r>
          </w:p>
        </w:tc>
        <w:tc>
          <w:tcPr>
            <w:tcW w:w="282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23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在股东单位是否领取报酬津贴</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黄绍武</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w:t>
            </w:r>
          </w:p>
        </w:tc>
        <w:tc>
          <w:tcPr>
            <w:tcW w:w="13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董事长</w:t>
            </w:r>
          </w:p>
        </w:tc>
        <w:tc>
          <w:tcPr>
            <w:tcW w:w="17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2001</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01</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15</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日</w:t>
            </w:r>
          </w:p>
        </w:tc>
        <w:tc>
          <w:tcPr>
            <w:tcW w:w="282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黄绍武</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深圳市全球星投资管理有限公司</w:t>
            </w:r>
          </w:p>
        </w:tc>
        <w:tc>
          <w:tcPr>
            <w:tcW w:w="13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董事长兼总裁</w:t>
            </w:r>
          </w:p>
        </w:tc>
        <w:tc>
          <w:tcPr>
            <w:tcW w:w="17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2000</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01</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26</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日</w:t>
            </w:r>
          </w:p>
        </w:tc>
        <w:tc>
          <w:tcPr>
            <w:tcW w:w="282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黄文辉</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w:t>
            </w:r>
          </w:p>
        </w:tc>
        <w:tc>
          <w:tcPr>
            <w:tcW w:w="13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w:t>
            </w:r>
          </w:p>
        </w:tc>
        <w:tc>
          <w:tcPr>
            <w:tcW w:w="17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2001</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01</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15</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日</w:t>
            </w:r>
          </w:p>
        </w:tc>
        <w:tc>
          <w:tcPr>
            <w:tcW w:w="282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黄文辉</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深圳市全球星投资管理有限公司</w:t>
            </w:r>
          </w:p>
        </w:tc>
        <w:tc>
          <w:tcPr>
            <w:tcW w:w="13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w:t>
            </w:r>
          </w:p>
        </w:tc>
        <w:tc>
          <w:tcPr>
            <w:tcW w:w="17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2000</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01</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26</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日</w:t>
            </w:r>
          </w:p>
        </w:tc>
        <w:tc>
          <w:tcPr>
            <w:tcW w:w="282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喻子达</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w:t>
            </w:r>
          </w:p>
        </w:tc>
        <w:tc>
          <w:tcPr>
            <w:tcW w:w="13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董事兼总裁</w:t>
            </w:r>
          </w:p>
        </w:tc>
        <w:tc>
          <w:tcPr>
            <w:tcW w:w="17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2013</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09</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23</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日</w:t>
            </w:r>
          </w:p>
        </w:tc>
        <w:tc>
          <w:tcPr>
            <w:tcW w:w="282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喻子达</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深圳市全球星投资管理有限公司</w:t>
            </w:r>
          </w:p>
        </w:tc>
        <w:tc>
          <w:tcPr>
            <w:tcW w:w="13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w:t>
            </w:r>
          </w:p>
        </w:tc>
        <w:tc>
          <w:tcPr>
            <w:tcW w:w="17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2014</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06</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24</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日</w:t>
            </w:r>
          </w:p>
        </w:tc>
        <w:tc>
          <w:tcPr>
            <w:tcW w:w="282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米泽东</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新余爱乐投资管理中心（有限合伙）</w:t>
            </w:r>
          </w:p>
        </w:tc>
        <w:tc>
          <w:tcPr>
            <w:tcW w:w="13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合伙人</w:t>
            </w:r>
          </w:p>
        </w:tc>
        <w:tc>
          <w:tcPr>
            <w:tcW w:w="17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2015</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06</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18</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日</w:t>
            </w:r>
          </w:p>
        </w:tc>
        <w:tc>
          <w:tcPr>
            <w:tcW w:w="282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陈亮</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新余爱乐投资管理中心（有限合伙）</w:t>
            </w:r>
          </w:p>
        </w:tc>
        <w:tc>
          <w:tcPr>
            <w:tcW w:w="13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合伙人</w:t>
            </w:r>
          </w:p>
        </w:tc>
        <w:tc>
          <w:tcPr>
            <w:tcW w:w="17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2015</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06</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18</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日</w:t>
            </w:r>
          </w:p>
        </w:tc>
        <w:tc>
          <w:tcPr>
            <w:tcW w:w="282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杨治</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新余爱乐投资管理中心（有限合伙）</w:t>
            </w:r>
          </w:p>
        </w:tc>
        <w:tc>
          <w:tcPr>
            <w:tcW w:w="13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合伙人</w:t>
            </w:r>
          </w:p>
        </w:tc>
        <w:tc>
          <w:tcPr>
            <w:tcW w:w="17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2015</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06</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18</w:t>
            </w:r>
            <w:r>
              <w:rPr>
                <w:rFonts w:ascii="华文细黑" w:hAnsi="华文细黑" w:cs="华文细黑" w:eastAsia="华文细黑" w:hint="default"/>
                <w:spacing w:val="-13"/>
                <w:sz w:val="18"/>
                <w:szCs w:val="18"/>
              </w:rPr>
              <w:t> </w:t>
            </w:r>
            <w:r>
              <w:rPr>
                <w:rFonts w:ascii="华文细黑" w:hAnsi="华文细黑" w:cs="华文细黑" w:eastAsia="华文细黑" w:hint="default"/>
                <w:sz w:val="18"/>
                <w:szCs w:val="18"/>
              </w:rPr>
              <w:t>日</w:t>
            </w:r>
          </w:p>
        </w:tc>
        <w:tc>
          <w:tcPr>
            <w:tcW w:w="282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bl>
    <w:p>
      <w:pPr>
        <w:spacing w:after="0" w:line="240" w:lineRule="auto"/>
        <w:jc w:val="left"/>
        <w:rPr>
          <w:rFonts w:ascii="华文细黑" w:hAnsi="华文细黑" w:cs="华文细黑" w:eastAsia="华文细黑" w:hint="default"/>
          <w:sz w:val="18"/>
          <w:szCs w:val="18"/>
        </w:rPr>
        <w:sectPr>
          <w:pgSz w:w="11910" w:h="16840"/>
          <w:pgMar w:header="917" w:footer="1019" w:top="1100" w:bottom="1200" w:left="900" w:right="0"/>
        </w:sectPr>
      </w:pPr>
    </w:p>
    <w:p>
      <w:pPr>
        <w:spacing w:line="240" w:lineRule="auto" w:before="12"/>
        <w:rPr>
          <w:rFonts w:ascii="华文细黑" w:hAnsi="华文细黑" w:cs="华文细黑" w:eastAsia="华文细黑" w:hint="default"/>
          <w:sz w:val="23"/>
          <w:szCs w:val="23"/>
        </w:rPr>
      </w:pPr>
    </w:p>
    <w:p>
      <w:pPr>
        <w:pStyle w:val="BodyText"/>
        <w:spacing w:line="240" w:lineRule="auto" w:before="10"/>
        <w:ind w:left="234" w:right="1023"/>
        <w:jc w:val="left"/>
      </w:pPr>
      <w:r>
        <w:rPr/>
        <w:t>在其他单位任职情况</w:t>
      </w:r>
    </w:p>
    <w:p>
      <w:pPr>
        <w:pStyle w:val="BodyText"/>
        <w:spacing w:line="240" w:lineRule="auto" w:before="56"/>
        <w:ind w:left="234" w:right="1023"/>
        <w:jc w:val="left"/>
      </w:pPr>
      <w:r>
        <w:rPr/>
        <w:t>√  适用  □</w:t>
      </w:r>
      <w:r>
        <w:rPr>
          <w:spacing w:val="51"/>
        </w:rPr>
        <w:t> </w:t>
      </w:r>
      <w:r>
        <w:rPr/>
        <w:t>不适用</w:t>
      </w:r>
    </w:p>
    <w:p>
      <w:pPr>
        <w:spacing w:line="240" w:lineRule="auto" w:before="11"/>
        <w:rPr>
          <w:rFonts w:ascii="华文细黑" w:hAnsi="华文细黑" w:cs="华文细黑" w:eastAsia="华文细黑" w:hint="default"/>
          <w:sz w:val="5"/>
          <w:szCs w:val="5"/>
        </w:rPr>
      </w:pPr>
    </w:p>
    <w:tbl>
      <w:tblPr>
        <w:tblW w:w="0" w:type="auto"/>
        <w:jc w:val="left"/>
        <w:tblInd w:w="117" w:type="dxa"/>
        <w:tblLayout w:type="fixed"/>
        <w:tblCellMar>
          <w:top w:w="0" w:type="dxa"/>
          <w:left w:w="0" w:type="dxa"/>
          <w:bottom w:w="0" w:type="dxa"/>
          <w:right w:w="0" w:type="dxa"/>
        </w:tblCellMar>
        <w:tblLook w:val="01E0"/>
      </w:tblPr>
      <w:tblGrid>
        <w:gridCol w:w="1064"/>
        <w:gridCol w:w="3105"/>
        <w:gridCol w:w="1306"/>
        <w:gridCol w:w="1740"/>
        <w:gridCol w:w="2680"/>
      </w:tblGrid>
      <w:tr>
        <w:trPr>
          <w:trHeight w:val="714" w:hRule="exact"/>
        </w:trPr>
        <w:tc>
          <w:tcPr>
            <w:tcW w:w="10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346" w:right="165"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任职人员 姓名</w:t>
            </w:r>
          </w:p>
        </w:tc>
        <w:tc>
          <w:tcPr>
            <w:tcW w:w="310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0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其他单位名称</w:t>
            </w:r>
          </w:p>
        </w:tc>
        <w:tc>
          <w:tcPr>
            <w:tcW w:w="130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286" w:right="107"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在其他单位担 任的职务</w:t>
            </w:r>
          </w:p>
        </w:tc>
        <w:tc>
          <w:tcPr>
            <w:tcW w:w="17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任期起始日期</w:t>
            </w:r>
          </w:p>
        </w:tc>
        <w:tc>
          <w:tcPr>
            <w:tcW w:w="26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在其他单位是否领取报酬津贴</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黄文辉</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深圳市览众实业有限公司</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执行董事</w:t>
            </w:r>
          </w:p>
        </w:tc>
        <w:tc>
          <w:tcPr>
            <w:tcW w:w="17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2003</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11</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28</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日</w:t>
            </w:r>
          </w:p>
        </w:tc>
        <w:tc>
          <w:tcPr>
            <w:tcW w:w="2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黄文辉</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深圳市神州通产业投资发展有限公司</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w:t>
            </w:r>
          </w:p>
        </w:tc>
        <w:tc>
          <w:tcPr>
            <w:tcW w:w="17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2005</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09</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15</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日</w:t>
            </w:r>
          </w:p>
        </w:tc>
        <w:tc>
          <w:tcPr>
            <w:tcW w:w="2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黄文辉</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江西神州通旅游投资发展有限公司</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w:t>
            </w:r>
          </w:p>
        </w:tc>
        <w:tc>
          <w:tcPr>
            <w:tcW w:w="17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2005</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08</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22</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日</w:t>
            </w:r>
          </w:p>
        </w:tc>
        <w:tc>
          <w:tcPr>
            <w:tcW w:w="2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黄文辉</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深圳市华鼎投资有限公司</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监事</w:t>
            </w:r>
          </w:p>
        </w:tc>
        <w:tc>
          <w:tcPr>
            <w:tcW w:w="17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2007</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04</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27</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日</w:t>
            </w:r>
          </w:p>
        </w:tc>
        <w:tc>
          <w:tcPr>
            <w:tcW w:w="2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黄绍武</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深圳市神州通产业投资发展有限公司</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董事长兼总裁</w:t>
            </w:r>
          </w:p>
        </w:tc>
        <w:tc>
          <w:tcPr>
            <w:tcW w:w="17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2005</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09</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15</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日</w:t>
            </w:r>
          </w:p>
        </w:tc>
        <w:tc>
          <w:tcPr>
            <w:tcW w:w="2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714"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黄绍武</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深圳市华夏风投资有限公司</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1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执行（常务） 董事兼总经理</w:t>
            </w:r>
          </w:p>
        </w:tc>
        <w:tc>
          <w:tcPr>
            <w:tcW w:w="17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2003</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12</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12</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日</w:t>
            </w:r>
          </w:p>
        </w:tc>
        <w:tc>
          <w:tcPr>
            <w:tcW w:w="2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黄绍武</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江西神州通旅游投资发展有限公司</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董事长</w:t>
            </w:r>
          </w:p>
        </w:tc>
        <w:tc>
          <w:tcPr>
            <w:tcW w:w="17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2005</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08</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22</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日</w:t>
            </w:r>
          </w:p>
        </w:tc>
        <w:tc>
          <w:tcPr>
            <w:tcW w:w="2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喻子达</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上海酷武供应链管理股份有限公司</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w:t>
            </w:r>
          </w:p>
        </w:tc>
        <w:tc>
          <w:tcPr>
            <w:tcW w:w="17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2015</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09</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08</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日</w:t>
            </w:r>
          </w:p>
        </w:tc>
        <w:tc>
          <w:tcPr>
            <w:tcW w:w="2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喻子达</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深圳太辰光通信股份有限公司</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w:t>
            </w:r>
          </w:p>
        </w:tc>
        <w:tc>
          <w:tcPr>
            <w:tcW w:w="17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2014</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05</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27</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日</w:t>
            </w:r>
          </w:p>
        </w:tc>
        <w:tc>
          <w:tcPr>
            <w:tcW w:w="2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刘红花</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江西神州通旅游投资发展有限公司</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监事</w:t>
            </w:r>
          </w:p>
        </w:tc>
        <w:tc>
          <w:tcPr>
            <w:tcW w:w="17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2005</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08</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22</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日</w:t>
            </w:r>
          </w:p>
        </w:tc>
        <w:tc>
          <w:tcPr>
            <w:tcW w:w="2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米泽东</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华贵人寿保险股份有限公司</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w:t>
            </w:r>
          </w:p>
        </w:tc>
        <w:tc>
          <w:tcPr>
            <w:tcW w:w="17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2017</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02</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17</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日</w:t>
            </w:r>
          </w:p>
        </w:tc>
        <w:tc>
          <w:tcPr>
            <w:tcW w:w="2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章卫东</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江西财经大学</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教授</w:t>
            </w:r>
          </w:p>
        </w:tc>
        <w:tc>
          <w:tcPr>
            <w:tcW w:w="17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1995</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10</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01</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日</w:t>
            </w:r>
          </w:p>
        </w:tc>
        <w:tc>
          <w:tcPr>
            <w:tcW w:w="2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章卫东</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江西铜业股份有限公司</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独立董事</w:t>
            </w:r>
          </w:p>
        </w:tc>
        <w:tc>
          <w:tcPr>
            <w:tcW w:w="17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2012</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06</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日</w:t>
            </w:r>
          </w:p>
        </w:tc>
        <w:tc>
          <w:tcPr>
            <w:tcW w:w="2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吕廷杰</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北京邮电大学</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教授</w:t>
            </w:r>
          </w:p>
        </w:tc>
        <w:tc>
          <w:tcPr>
            <w:tcW w:w="17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1985</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06</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01</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日</w:t>
            </w:r>
          </w:p>
        </w:tc>
        <w:tc>
          <w:tcPr>
            <w:tcW w:w="2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吕廷杰</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中国联合网络通信股份有限公司</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独立董事</w:t>
            </w:r>
          </w:p>
        </w:tc>
        <w:tc>
          <w:tcPr>
            <w:tcW w:w="17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2016</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05</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11</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日</w:t>
            </w:r>
          </w:p>
        </w:tc>
        <w:tc>
          <w:tcPr>
            <w:tcW w:w="2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吕廷杰</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大唐高鸿数据网络技术股份有限公司</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独立董事</w:t>
            </w:r>
          </w:p>
        </w:tc>
        <w:tc>
          <w:tcPr>
            <w:tcW w:w="17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2012</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05</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21</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日</w:t>
            </w:r>
          </w:p>
        </w:tc>
        <w:tc>
          <w:tcPr>
            <w:tcW w:w="2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吕廷杰</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京东方科技集团股份有限公司</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独立董事</w:t>
            </w:r>
          </w:p>
        </w:tc>
        <w:tc>
          <w:tcPr>
            <w:tcW w:w="17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2014</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06</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01</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日</w:t>
            </w:r>
          </w:p>
        </w:tc>
        <w:tc>
          <w:tcPr>
            <w:tcW w:w="2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邓鹏</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湖南湘达律师事务所</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主任</w:t>
            </w:r>
          </w:p>
        </w:tc>
        <w:tc>
          <w:tcPr>
            <w:tcW w:w="17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2016</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01</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01</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日</w:t>
            </w:r>
          </w:p>
        </w:tc>
        <w:tc>
          <w:tcPr>
            <w:tcW w:w="2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402" w:hRule="exact"/>
        </w:trPr>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邓鹏</w:t>
            </w:r>
          </w:p>
        </w:tc>
        <w:tc>
          <w:tcPr>
            <w:tcW w:w="3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佛山佛塑科技集团股份有限公司</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独立董事</w:t>
            </w:r>
          </w:p>
        </w:tc>
        <w:tc>
          <w:tcPr>
            <w:tcW w:w="17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2016</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09</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月</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19</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日</w:t>
            </w:r>
          </w:p>
        </w:tc>
        <w:tc>
          <w:tcPr>
            <w:tcW w:w="26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bl>
    <w:p>
      <w:pPr>
        <w:spacing w:line="240" w:lineRule="auto" w:before="11"/>
        <w:rPr>
          <w:rFonts w:ascii="华文细黑" w:hAnsi="华文细黑" w:cs="华文细黑" w:eastAsia="华文细黑" w:hint="default"/>
          <w:sz w:val="5"/>
          <w:szCs w:val="5"/>
        </w:rPr>
      </w:pPr>
    </w:p>
    <w:p>
      <w:pPr>
        <w:pStyle w:val="BodyText"/>
        <w:spacing w:line="240" w:lineRule="auto" w:before="10"/>
        <w:ind w:left="234" w:right="1023"/>
        <w:jc w:val="left"/>
      </w:pPr>
      <w:r>
        <w:rPr/>
        <w:t>公司现任及报告期内离任董事、监事和高级管理人员近三年证券监管机构处罚的情况</w:t>
      </w:r>
    </w:p>
    <w:p>
      <w:pPr>
        <w:spacing w:line="240" w:lineRule="auto" w:before="0"/>
        <w:rPr>
          <w:rFonts w:ascii="华文细黑" w:hAnsi="华文细黑" w:cs="华文细黑" w:eastAsia="华文细黑" w:hint="default"/>
          <w:sz w:val="15"/>
          <w:szCs w:val="15"/>
        </w:rPr>
      </w:pPr>
    </w:p>
    <w:p>
      <w:pPr>
        <w:pStyle w:val="BodyText"/>
        <w:spacing w:line="240" w:lineRule="auto"/>
        <w:ind w:left="234" w:right="1023"/>
        <w:jc w:val="left"/>
      </w:pPr>
      <w:r>
        <w:rPr/>
        <w:t>□  适用  √</w:t>
      </w:r>
      <w:r>
        <w:rPr>
          <w:spacing w:val="51"/>
        </w:rPr>
        <w:t> </w:t>
      </w:r>
      <w:r>
        <w:rPr/>
        <w:t>不适用</w:t>
      </w:r>
    </w:p>
    <w:p>
      <w:pPr>
        <w:spacing w:line="240" w:lineRule="auto" w:before="0"/>
        <w:rPr>
          <w:rFonts w:ascii="华文细黑" w:hAnsi="华文细黑" w:cs="华文细黑" w:eastAsia="华文细黑" w:hint="default"/>
          <w:sz w:val="20"/>
          <w:szCs w:val="20"/>
        </w:rPr>
      </w:pPr>
    </w:p>
    <w:p>
      <w:pPr>
        <w:spacing w:line="240" w:lineRule="auto" w:before="4"/>
        <w:rPr>
          <w:rFonts w:ascii="华文细黑" w:hAnsi="华文细黑" w:cs="华文细黑" w:eastAsia="华文细黑" w:hint="default"/>
          <w:sz w:val="13"/>
          <w:szCs w:val="13"/>
        </w:rPr>
      </w:pPr>
    </w:p>
    <w:p>
      <w:pPr>
        <w:pStyle w:val="Heading2"/>
        <w:spacing w:line="240" w:lineRule="auto"/>
        <w:ind w:right="1023"/>
        <w:jc w:val="left"/>
        <w:rPr>
          <w:b w:val="0"/>
          <w:bCs w:val="0"/>
        </w:rPr>
      </w:pPr>
      <w:bookmarkStart w:name="四、董事、监事、高级管理人员报酬情况" w:id="153"/>
      <w:bookmarkEnd w:id="153"/>
      <w:r>
        <w:rPr>
          <w:b w:val="0"/>
          <w:bCs w:val="0"/>
        </w:rPr>
      </w:r>
      <w:r>
        <w:rPr/>
        <w:t>四、董事、监事、高级管理人员报酬情况</w:t>
      </w:r>
      <w:r>
        <w:rPr>
          <w:b w:val="0"/>
          <w:bCs w:val="0"/>
        </w:rPr>
      </w:r>
    </w:p>
    <w:p>
      <w:pPr>
        <w:spacing w:line="240" w:lineRule="auto" w:before="0"/>
        <w:rPr>
          <w:rFonts w:ascii="华文细黑" w:hAnsi="华文细黑" w:cs="华文细黑" w:eastAsia="华文细黑" w:hint="default"/>
          <w:b/>
          <w:bCs/>
          <w:sz w:val="30"/>
          <w:szCs w:val="30"/>
        </w:rPr>
      </w:pPr>
    </w:p>
    <w:p>
      <w:pPr>
        <w:pStyle w:val="BodyText"/>
        <w:spacing w:line="412" w:lineRule="auto"/>
        <w:ind w:left="654" w:right="4242" w:hanging="420"/>
        <w:jc w:val="left"/>
        <w:rPr>
          <w:rFonts w:ascii="华文细黑" w:hAnsi="华文细黑" w:cs="华文细黑" w:eastAsia="华文细黑" w:hint="default"/>
        </w:rPr>
      </w:pPr>
      <w:r>
        <w:rPr/>
        <w:t>董事、监事、高级管理人员报酬的决策程序、确定依据、实际支付情况 </w:t>
      </w:r>
      <w:r>
        <w:rPr>
          <w:rFonts w:ascii="华文细黑" w:hAnsi="华文细黑" w:cs="华文细黑" w:eastAsia="华文细黑" w:hint="default"/>
          <w:b/>
          <w:bCs/>
        </w:rPr>
        <w:t>1</w:t>
      </w:r>
      <w:r>
        <w:rPr>
          <w:rFonts w:ascii="华文细黑" w:hAnsi="华文细黑" w:cs="华文细黑" w:eastAsia="华文细黑" w:hint="default"/>
          <w:b/>
          <w:bCs/>
        </w:rPr>
        <w:t>、决策依据</w:t>
      </w:r>
      <w:r>
        <w:rPr>
          <w:rFonts w:ascii="华文细黑" w:hAnsi="华文细黑" w:cs="华文细黑" w:eastAsia="华文细黑" w:hint="default"/>
        </w:rPr>
      </w:r>
    </w:p>
    <w:p>
      <w:pPr>
        <w:pStyle w:val="BodyText"/>
        <w:spacing w:line="379" w:lineRule="auto" w:before="128"/>
        <w:ind w:left="234" w:right="1023" w:firstLine="420"/>
        <w:jc w:val="left"/>
      </w:pPr>
      <w:r>
        <w:rPr>
          <w:spacing w:val="-10"/>
        </w:rPr>
        <w:t>根据公司《章程》、《股东大会议事规则》、《董事、监事薪酬管理办法》等相关规定，公司董事、监事</w:t>
      </w:r>
      <w:r>
        <w:rPr/>
        <w:t> </w:t>
      </w:r>
      <w:r>
        <w:rPr>
          <w:spacing w:val="-1"/>
        </w:rPr>
        <w:t>的报酬由公司股东大会决定，公司高级管理人员的报酬由公司董事会决定。薪酬与考核委员会研究和审查</w:t>
      </w:r>
    </w:p>
    <w:p>
      <w:pPr>
        <w:spacing w:after="0" w:line="379" w:lineRule="auto"/>
        <w:jc w:val="left"/>
        <w:sectPr>
          <w:pgSz w:w="11910" w:h="16840"/>
          <w:pgMar w:header="917" w:footer="1019" w:top="1100" w:bottom="1200" w:left="900" w:right="0"/>
        </w:sectPr>
      </w:pPr>
    </w:p>
    <w:p>
      <w:pPr>
        <w:spacing w:line="240" w:lineRule="auto" w:before="7"/>
        <w:rPr>
          <w:rFonts w:ascii="华文细黑" w:hAnsi="华文细黑" w:cs="华文细黑" w:eastAsia="华文细黑" w:hint="default"/>
          <w:sz w:val="26"/>
          <w:szCs w:val="26"/>
        </w:rPr>
      </w:pPr>
    </w:p>
    <w:p>
      <w:pPr>
        <w:spacing w:line="475" w:lineRule="auto" w:before="10"/>
        <w:ind w:left="654" w:right="6972" w:hanging="42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董事、高级管理人员的薪酬政策与方案。 </w:t>
      </w: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、确定程序</w:t>
      </w:r>
      <w:r>
        <w:rPr>
          <w:rFonts w:ascii="华文细黑" w:hAnsi="华文细黑" w:cs="华文细黑" w:eastAsia="华文细黑" w:hint="default"/>
          <w:sz w:val="21"/>
          <w:szCs w:val="21"/>
        </w:rPr>
      </w:r>
    </w:p>
    <w:p>
      <w:pPr>
        <w:pStyle w:val="BodyText"/>
        <w:spacing w:line="240" w:lineRule="auto" w:before="70"/>
        <w:ind w:left="654" w:right="1023"/>
        <w:jc w:val="left"/>
      </w:pPr>
      <w:r>
        <w:rPr/>
        <w:t>（</w:t>
      </w:r>
      <w:r>
        <w:rPr>
          <w:rFonts w:ascii="华文细黑" w:hAnsi="华文细黑" w:cs="华文细黑" w:eastAsia="华文细黑" w:hint="default"/>
        </w:rPr>
        <w:t>1</w:t>
      </w:r>
      <w:r>
        <w:rPr/>
        <w:t>）公司根据《董事、监事薪酬管理办法》发放董事、监事津贴。</w:t>
      </w:r>
    </w:p>
    <w:p>
      <w:pPr>
        <w:pStyle w:val="BodyText"/>
        <w:spacing w:line="379" w:lineRule="auto" w:before="171"/>
        <w:ind w:left="234" w:right="1130" w:firstLine="421"/>
        <w:jc w:val="both"/>
      </w:pPr>
      <w:r>
        <w:rPr>
          <w:spacing w:val="-4"/>
        </w:rPr>
        <w:t>（</w:t>
      </w:r>
      <w:r>
        <w:rPr>
          <w:rFonts w:ascii="华文细黑" w:hAnsi="华文细黑" w:cs="华文细黑" w:eastAsia="华文细黑" w:hint="default"/>
          <w:spacing w:val="-4"/>
        </w:rPr>
        <w:t>2</w:t>
      </w:r>
      <w:r>
        <w:rPr>
          <w:spacing w:val="-4"/>
        </w:rPr>
        <w:t>）公司于</w:t>
      </w:r>
      <w:r>
        <w:rPr>
          <w:rFonts w:ascii="华文细黑" w:hAnsi="华文细黑" w:cs="华文细黑" w:eastAsia="华文细黑" w:hint="default"/>
          <w:spacing w:val="-4"/>
        </w:rPr>
        <w:t>2018</w:t>
      </w:r>
      <w:r>
        <w:rPr>
          <w:spacing w:val="-4"/>
        </w:rPr>
        <w:t>年</w:t>
      </w:r>
      <w:r>
        <w:rPr>
          <w:rFonts w:ascii="华文细黑" w:hAnsi="华文细黑" w:cs="华文细黑" w:eastAsia="华文细黑" w:hint="default"/>
          <w:spacing w:val="-4"/>
        </w:rPr>
        <w:t>4</w:t>
      </w:r>
      <w:r>
        <w:rPr>
          <w:spacing w:val="-4"/>
        </w:rPr>
        <w:t>月</w:t>
      </w:r>
      <w:r>
        <w:rPr>
          <w:rFonts w:ascii="华文细黑" w:hAnsi="华文细黑" w:cs="华文细黑" w:eastAsia="华文细黑" w:hint="default"/>
          <w:spacing w:val="-4"/>
        </w:rPr>
        <w:t>13</w:t>
      </w:r>
      <w:r>
        <w:rPr>
          <w:spacing w:val="-4"/>
        </w:rPr>
        <w:t>日召开了第四届董事会薪酬与考核委员会</w:t>
      </w:r>
      <w:r>
        <w:rPr>
          <w:rFonts w:ascii="华文细黑" w:hAnsi="华文细黑" w:cs="华文细黑" w:eastAsia="华文细黑" w:hint="default"/>
          <w:spacing w:val="-4"/>
        </w:rPr>
        <w:t>2018</w:t>
      </w:r>
      <w:r>
        <w:rPr>
          <w:spacing w:val="-4"/>
        </w:rPr>
        <w:t>年第一次会议审议通过了《关</w:t>
      </w:r>
      <w:r>
        <w:rPr/>
        <w:t> </w:t>
      </w:r>
      <w:r>
        <w:rPr>
          <w:spacing w:val="-3"/>
        </w:rPr>
        <w:t>于确认</w:t>
      </w:r>
      <w:r>
        <w:rPr>
          <w:rFonts w:ascii="华文细黑" w:hAnsi="华文细黑" w:cs="华文细黑" w:eastAsia="华文细黑" w:hint="default"/>
          <w:spacing w:val="-3"/>
        </w:rPr>
        <w:t>2017</w:t>
      </w:r>
      <w:r>
        <w:rPr>
          <w:spacing w:val="-3"/>
        </w:rPr>
        <w:t>年董事长和副董事长薪酬的议案》和《关于确认</w:t>
      </w:r>
      <w:r>
        <w:rPr>
          <w:rFonts w:ascii="华文细黑" w:hAnsi="华文细黑" w:cs="华文细黑" w:eastAsia="华文细黑" w:hint="default"/>
          <w:spacing w:val="-3"/>
        </w:rPr>
        <w:t>2017</w:t>
      </w:r>
      <w:r>
        <w:rPr>
          <w:spacing w:val="-3"/>
        </w:rPr>
        <w:t>年高级管理人员薪酬的议案》，以上议案</w:t>
      </w:r>
      <w:r>
        <w:rPr>
          <w:spacing w:val="-18"/>
        </w:rPr>
        <w:t> </w:t>
      </w:r>
      <w:r>
        <w:rPr>
          <w:spacing w:val="-18"/>
        </w:rPr>
      </w:r>
      <w:r>
        <w:rPr/>
        <w:t>同时经公司第四届董事会第十四次（定期）会议审议通过。</w:t>
      </w:r>
    </w:p>
    <w:p>
      <w:pPr>
        <w:pStyle w:val="BodyText"/>
        <w:spacing w:line="240" w:lineRule="auto" w:before="81"/>
        <w:ind w:left="0" w:right="1169"/>
        <w:jc w:val="right"/>
      </w:pPr>
      <w:r>
        <w:rPr/>
        <w:t>根据 </w:t>
      </w:r>
      <w:r>
        <w:rPr>
          <w:rFonts w:ascii="华文细黑" w:hAnsi="华文细黑" w:cs="华文细黑" w:eastAsia="华文细黑" w:hint="default"/>
        </w:rPr>
        <w:t>2018</w:t>
      </w:r>
      <w:r>
        <w:rPr>
          <w:rFonts w:ascii="华文细黑" w:hAnsi="华文细黑" w:cs="华文细黑" w:eastAsia="华文细黑" w:hint="default"/>
          <w:spacing w:val="-2"/>
        </w:rPr>
        <w:t> </w:t>
      </w:r>
      <w:r>
        <w:rPr/>
        <w:t>年的经营情况，报告期内董事、监事和高级管理人员自愿降薪，这充分体现高管团队对股</w:t>
      </w:r>
    </w:p>
    <w:p>
      <w:pPr>
        <w:pStyle w:val="BodyText"/>
        <w:spacing w:line="379" w:lineRule="auto" w:before="170"/>
        <w:ind w:left="0" w:right="1146"/>
        <w:jc w:val="right"/>
      </w:pPr>
      <w:r>
        <w:rPr/>
        <w:t>东及对公司发展高度负责的态度，同时部分高级管理人员于 </w:t>
      </w:r>
      <w:r>
        <w:rPr>
          <w:rFonts w:ascii="华文细黑" w:hAnsi="华文细黑" w:cs="华文细黑" w:eastAsia="华文细黑" w:hint="default"/>
        </w:rPr>
        <w:t>2019 </w:t>
      </w:r>
      <w:r>
        <w:rPr/>
        <w:t>年 </w:t>
      </w:r>
      <w:r>
        <w:rPr>
          <w:rFonts w:ascii="华文细黑" w:hAnsi="华文细黑" w:cs="华文细黑" w:eastAsia="华文细黑" w:hint="default"/>
        </w:rPr>
        <w:t>2 </w:t>
      </w:r>
      <w:r>
        <w:rPr/>
        <w:t>月 </w:t>
      </w:r>
      <w:r>
        <w:rPr>
          <w:rFonts w:ascii="华文细黑" w:hAnsi="华文细黑" w:cs="华文细黑" w:eastAsia="华文细黑" w:hint="default"/>
        </w:rPr>
        <w:t>1</w:t>
      </w:r>
      <w:r>
        <w:rPr>
          <w:rFonts w:ascii="华文细黑" w:hAnsi="华文细黑" w:cs="华文细黑" w:eastAsia="华文细黑" w:hint="default"/>
          <w:spacing w:val="-2"/>
        </w:rPr>
        <w:t> </w:t>
      </w:r>
      <w:r>
        <w:rPr/>
        <w:t>日向董事会提交了《关于增持 </w:t>
      </w:r>
      <w:r>
        <w:rPr>
          <w:spacing w:val="-3"/>
        </w:rPr>
        <w:t>公司股份计划的函》，并已公告，也体现了管理层对公司可持续发展的信心和决心。具体报酬情况如下：</w:t>
      </w:r>
    </w:p>
    <w:p>
      <w:pPr>
        <w:spacing w:before="29"/>
        <w:ind w:left="0" w:right="1130" w:firstLine="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单位：万元</w:t>
      </w:r>
    </w:p>
    <w:p>
      <w:pPr>
        <w:spacing w:line="240" w:lineRule="auto" w:before="12"/>
        <w:rPr>
          <w:rFonts w:ascii="华文细黑" w:hAnsi="华文细黑" w:cs="华文细黑" w:eastAsia="华文细黑" w:hint="default"/>
          <w:sz w:val="6"/>
          <w:szCs w:val="6"/>
        </w:rPr>
      </w:pPr>
    </w:p>
    <w:tbl>
      <w:tblPr>
        <w:tblW w:w="0" w:type="auto"/>
        <w:jc w:val="left"/>
        <w:tblInd w:w="117" w:type="dxa"/>
        <w:tblLayout w:type="fixed"/>
        <w:tblCellMar>
          <w:top w:w="0" w:type="dxa"/>
          <w:left w:w="0" w:type="dxa"/>
          <w:bottom w:w="0" w:type="dxa"/>
          <w:right w:w="0" w:type="dxa"/>
        </w:tblCellMar>
        <w:tblLook w:val="01E0"/>
      </w:tblPr>
      <w:tblGrid>
        <w:gridCol w:w="963"/>
        <w:gridCol w:w="2126"/>
        <w:gridCol w:w="1134"/>
        <w:gridCol w:w="1134"/>
        <w:gridCol w:w="2693"/>
        <w:gridCol w:w="2410"/>
      </w:tblGrid>
      <w:tr>
        <w:trPr>
          <w:trHeight w:val="402" w:hRule="exact"/>
        </w:trPr>
        <w:tc>
          <w:tcPr>
            <w:tcW w:w="9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29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姓名</w:t>
            </w:r>
          </w:p>
        </w:tc>
        <w:tc>
          <w:tcPr>
            <w:tcW w:w="212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职务</w:t>
            </w:r>
          </w:p>
        </w:tc>
        <w:tc>
          <w:tcPr>
            <w:tcW w:w="11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性别</w:t>
            </w:r>
          </w:p>
        </w:tc>
        <w:tc>
          <w:tcPr>
            <w:tcW w:w="11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2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任职状态</w:t>
            </w:r>
          </w:p>
        </w:tc>
        <w:tc>
          <w:tcPr>
            <w:tcW w:w="26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26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从公司获得的税前报酬总额</w:t>
            </w:r>
          </w:p>
        </w:tc>
        <w:tc>
          <w:tcPr>
            <w:tcW w:w="24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1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是否在公司关联方获取报酬</w:t>
            </w:r>
          </w:p>
        </w:tc>
      </w:tr>
      <w:tr>
        <w:trPr>
          <w:trHeight w:val="402" w:hRule="exact"/>
        </w:trPr>
        <w:tc>
          <w:tcPr>
            <w:tcW w:w="9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黄文辉</w:t>
            </w:r>
          </w:p>
        </w:tc>
        <w:tc>
          <w:tcPr>
            <w:tcW w:w="21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董事长</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男</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26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244.62</w:t>
            </w:r>
          </w:p>
        </w:tc>
        <w:tc>
          <w:tcPr>
            <w:tcW w:w="2410"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9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周友盟</w:t>
            </w:r>
          </w:p>
        </w:tc>
        <w:tc>
          <w:tcPr>
            <w:tcW w:w="21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副董事长、总裁</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女</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26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234.72</w:t>
            </w:r>
          </w:p>
        </w:tc>
        <w:tc>
          <w:tcPr>
            <w:tcW w:w="2410"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9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黄绍武</w:t>
            </w:r>
          </w:p>
        </w:tc>
        <w:tc>
          <w:tcPr>
            <w:tcW w:w="21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董事（实际控制人）</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男</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26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c>
          <w:tcPr>
            <w:tcW w:w="2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402" w:hRule="exact"/>
        </w:trPr>
        <w:tc>
          <w:tcPr>
            <w:tcW w:w="9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喻子达</w:t>
            </w:r>
          </w:p>
        </w:tc>
        <w:tc>
          <w:tcPr>
            <w:tcW w:w="21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男</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26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c>
          <w:tcPr>
            <w:tcW w:w="2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r>
        <w:trPr>
          <w:trHeight w:val="402" w:hRule="exact"/>
        </w:trPr>
        <w:tc>
          <w:tcPr>
            <w:tcW w:w="9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章卫东</w:t>
            </w:r>
          </w:p>
        </w:tc>
        <w:tc>
          <w:tcPr>
            <w:tcW w:w="21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独立董事</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男</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26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w w:val="95"/>
                <w:sz w:val="18"/>
              </w:rPr>
              <w:t>12</w:t>
            </w:r>
            <w:r>
              <w:rPr>
                <w:rFonts w:ascii="华文细黑"/>
                <w:w w:val="95"/>
                <w:sz w:val="18"/>
              </w:rPr>
            </w:r>
          </w:p>
        </w:tc>
        <w:tc>
          <w:tcPr>
            <w:tcW w:w="2410"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9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吕廷杰</w:t>
            </w:r>
          </w:p>
        </w:tc>
        <w:tc>
          <w:tcPr>
            <w:tcW w:w="21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独立董事</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男</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26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w w:val="95"/>
                <w:sz w:val="18"/>
              </w:rPr>
              <w:t>12</w:t>
            </w:r>
            <w:r>
              <w:rPr>
                <w:rFonts w:ascii="华文细黑"/>
                <w:w w:val="95"/>
                <w:sz w:val="18"/>
              </w:rPr>
            </w:r>
          </w:p>
        </w:tc>
        <w:tc>
          <w:tcPr>
            <w:tcW w:w="2410"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9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邓鹏</w:t>
            </w:r>
          </w:p>
        </w:tc>
        <w:tc>
          <w:tcPr>
            <w:tcW w:w="21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独立董事</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男</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26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w w:val="95"/>
                <w:sz w:val="18"/>
              </w:rPr>
              <w:t>12</w:t>
            </w:r>
            <w:r>
              <w:rPr>
                <w:rFonts w:ascii="华文细黑"/>
                <w:w w:val="95"/>
                <w:sz w:val="18"/>
              </w:rPr>
            </w:r>
          </w:p>
        </w:tc>
        <w:tc>
          <w:tcPr>
            <w:tcW w:w="2410"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9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朱维佳</w:t>
            </w:r>
          </w:p>
        </w:tc>
        <w:tc>
          <w:tcPr>
            <w:tcW w:w="21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监事</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男</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26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40.86</w:t>
            </w:r>
          </w:p>
        </w:tc>
        <w:tc>
          <w:tcPr>
            <w:tcW w:w="2410"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9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李菡</w:t>
            </w:r>
          </w:p>
        </w:tc>
        <w:tc>
          <w:tcPr>
            <w:tcW w:w="21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监事会主席</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女</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26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25.79</w:t>
            </w:r>
          </w:p>
        </w:tc>
        <w:tc>
          <w:tcPr>
            <w:tcW w:w="2410"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9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李琴</w:t>
            </w:r>
          </w:p>
        </w:tc>
        <w:tc>
          <w:tcPr>
            <w:tcW w:w="21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监事</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女</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26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25.42</w:t>
            </w:r>
          </w:p>
        </w:tc>
        <w:tc>
          <w:tcPr>
            <w:tcW w:w="2410"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9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罗筱溪</w:t>
            </w:r>
          </w:p>
        </w:tc>
        <w:tc>
          <w:tcPr>
            <w:tcW w:w="21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副总裁、董事会秘书</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女</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离任</w:t>
            </w:r>
          </w:p>
        </w:tc>
        <w:tc>
          <w:tcPr>
            <w:tcW w:w="26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29.14</w:t>
            </w:r>
          </w:p>
        </w:tc>
        <w:tc>
          <w:tcPr>
            <w:tcW w:w="2410" w:type="dxa"/>
            <w:tcBorders>
              <w:top w:val="single" w:sz="4" w:space="0" w:color="FFC000"/>
              <w:left w:val="single" w:sz="4" w:space="0" w:color="FFC000"/>
              <w:bottom w:val="single" w:sz="4" w:space="0" w:color="FFC000"/>
              <w:right w:val="single" w:sz="4" w:space="0" w:color="FFC000"/>
            </w:tcBorders>
          </w:tcPr>
          <w:p>
            <w:pPr/>
          </w:p>
        </w:tc>
      </w:tr>
      <w:tr>
        <w:trPr>
          <w:trHeight w:val="714" w:hRule="exact"/>
        </w:trPr>
        <w:tc>
          <w:tcPr>
            <w:tcW w:w="9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米泽东</w:t>
            </w:r>
          </w:p>
        </w:tc>
        <w:tc>
          <w:tcPr>
            <w:tcW w:w="2126"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7"/>
                <w:sz w:val="18"/>
                <w:szCs w:val="18"/>
              </w:rPr>
              <w:t>副总裁、财务负责人、董</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事会秘书</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男</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26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80.38</w:t>
            </w:r>
          </w:p>
        </w:tc>
        <w:tc>
          <w:tcPr>
            <w:tcW w:w="2410"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9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刘红花</w:t>
            </w:r>
          </w:p>
        </w:tc>
        <w:tc>
          <w:tcPr>
            <w:tcW w:w="21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副总裁、内审部负责人</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女</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26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92.43</w:t>
            </w:r>
          </w:p>
        </w:tc>
        <w:tc>
          <w:tcPr>
            <w:tcW w:w="2410"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9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余斌</w:t>
            </w:r>
          </w:p>
        </w:tc>
        <w:tc>
          <w:tcPr>
            <w:tcW w:w="21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副总裁</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男</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离任</w:t>
            </w:r>
          </w:p>
        </w:tc>
        <w:tc>
          <w:tcPr>
            <w:tcW w:w="26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65.52</w:t>
            </w:r>
          </w:p>
        </w:tc>
        <w:tc>
          <w:tcPr>
            <w:tcW w:w="2410"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9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杨治</w:t>
            </w:r>
          </w:p>
        </w:tc>
        <w:tc>
          <w:tcPr>
            <w:tcW w:w="21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副总裁</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男</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26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105.43</w:t>
            </w:r>
          </w:p>
        </w:tc>
        <w:tc>
          <w:tcPr>
            <w:tcW w:w="2410"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9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陈亮</w:t>
            </w:r>
          </w:p>
        </w:tc>
        <w:tc>
          <w:tcPr>
            <w:tcW w:w="21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副总裁</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男</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现任</w:t>
            </w:r>
          </w:p>
        </w:tc>
        <w:tc>
          <w:tcPr>
            <w:tcW w:w="26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146.46</w:t>
            </w:r>
          </w:p>
        </w:tc>
        <w:tc>
          <w:tcPr>
            <w:tcW w:w="2410" w:type="dxa"/>
            <w:tcBorders>
              <w:top w:val="single" w:sz="4" w:space="0" w:color="FFC000"/>
              <w:left w:val="single" w:sz="4" w:space="0" w:color="FFC000"/>
              <w:bottom w:val="single" w:sz="4" w:space="0" w:color="FFC000"/>
              <w:right w:val="single" w:sz="4" w:space="0" w:color="FFC000"/>
            </w:tcBorders>
          </w:tcPr>
          <w:p>
            <w:pPr/>
          </w:p>
        </w:tc>
      </w:tr>
      <w:tr>
        <w:trPr>
          <w:trHeight w:val="402" w:hRule="exact"/>
        </w:trPr>
        <w:tc>
          <w:tcPr>
            <w:tcW w:w="9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合计</w:t>
            </w:r>
          </w:p>
        </w:tc>
        <w:tc>
          <w:tcPr>
            <w:tcW w:w="21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sz w:val="18"/>
              </w:rPr>
              <w:t>--</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
              <w:jc w:val="center"/>
              <w:rPr>
                <w:rFonts w:ascii="华文细黑" w:hAnsi="华文细黑" w:cs="华文细黑" w:eastAsia="华文细黑" w:hint="default"/>
                <w:sz w:val="18"/>
                <w:szCs w:val="18"/>
              </w:rPr>
            </w:pPr>
            <w:r>
              <w:rPr>
                <w:rFonts w:ascii="华文细黑"/>
                <w:sz w:val="18"/>
              </w:rPr>
              <w:t>--</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
              <w:jc w:val="center"/>
              <w:rPr>
                <w:rFonts w:ascii="华文细黑" w:hAnsi="华文细黑" w:cs="华文细黑" w:eastAsia="华文细黑" w:hint="default"/>
                <w:sz w:val="18"/>
                <w:szCs w:val="18"/>
              </w:rPr>
            </w:pPr>
            <w:r>
              <w:rPr>
                <w:rFonts w:ascii="华文细黑"/>
                <w:sz w:val="18"/>
              </w:rPr>
              <w:t>--</w:t>
            </w:r>
          </w:p>
        </w:tc>
        <w:tc>
          <w:tcPr>
            <w:tcW w:w="26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1,126.77</w:t>
            </w:r>
          </w:p>
        </w:tc>
        <w:tc>
          <w:tcPr>
            <w:tcW w:w="2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sz w:val="18"/>
              </w:rPr>
              <w:t>--</w:t>
            </w:r>
          </w:p>
        </w:tc>
      </w:tr>
    </w:tbl>
    <w:p>
      <w:pPr>
        <w:spacing w:line="240" w:lineRule="auto" w:before="0"/>
        <w:rPr>
          <w:rFonts w:ascii="华文细黑" w:hAnsi="华文细黑" w:cs="华文细黑" w:eastAsia="华文细黑" w:hint="default"/>
          <w:sz w:val="20"/>
          <w:szCs w:val="20"/>
        </w:rPr>
      </w:pPr>
    </w:p>
    <w:p>
      <w:pPr>
        <w:pStyle w:val="BodyText"/>
        <w:spacing w:line="240" w:lineRule="auto" w:before="162"/>
        <w:ind w:left="234" w:right="1023"/>
        <w:jc w:val="left"/>
      </w:pPr>
      <w:r>
        <w:rPr/>
        <w:t>公司董事、高级管理人员报告期内被授予的股权激励情况</w:t>
      </w:r>
    </w:p>
    <w:p>
      <w:pPr>
        <w:spacing w:line="240" w:lineRule="auto" w:before="13"/>
        <w:rPr>
          <w:rFonts w:ascii="华文细黑" w:hAnsi="华文细黑" w:cs="华文细黑" w:eastAsia="华文细黑" w:hint="default"/>
          <w:sz w:val="14"/>
          <w:szCs w:val="14"/>
        </w:rPr>
      </w:pPr>
    </w:p>
    <w:p>
      <w:pPr>
        <w:pStyle w:val="BodyText"/>
        <w:spacing w:line="240" w:lineRule="auto"/>
        <w:ind w:left="234" w:right="1023"/>
        <w:jc w:val="left"/>
      </w:pPr>
      <w:r>
        <w:rPr/>
        <w:t>□  适用  √</w:t>
      </w:r>
      <w:r>
        <w:rPr>
          <w:spacing w:val="51"/>
        </w:rPr>
        <w:t> </w:t>
      </w:r>
      <w:r>
        <w:rPr/>
        <w:t>不适用</w:t>
      </w:r>
    </w:p>
    <w:p>
      <w:pPr>
        <w:spacing w:after="0" w:line="240" w:lineRule="auto"/>
        <w:jc w:val="left"/>
        <w:sectPr>
          <w:pgSz w:w="11910" w:h="16840"/>
          <w:pgMar w:header="917" w:footer="1019" w:top="1100" w:bottom="1200" w:left="900" w:right="0"/>
        </w:sectPr>
      </w:pPr>
    </w:p>
    <w:p>
      <w:pPr>
        <w:spacing w:line="240" w:lineRule="auto" w:before="2"/>
        <w:rPr>
          <w:rFonts w:ascii="华文细黑" w:hAnsi="华文细黑" w:cs="华文细黑" w:eastAsia="华文细黑" w:hint="default"/>
          <w:sz w:val="29"/>
          <w:szCs w:val="29"/>
        </w:rPr>
      </w:pPr>
    </w:p>
    <w:p>
      <w:pPr>
        <w:pStyle w:val="Heading2"/>
        <w:spacing w:line="396" w:lineRule="exact"/>
        <w:ind w:right="1023"/>
        <w:jc w:val="left"/>
        <w:rPr>
          <w:b w:val="0"/>
          <w:bCs w:val="0"/>
        </w:rPr>
      </w:pPr>
      <w:bookmarkStart w:name="五、公司员工情况" w:id="154"/>
      <w:bookmarkEnd w:id="154"/>
      <w:r>
        <w:rPr>
          <w:b w:val="0"/>
          <w:bCs w:val="0"/>
        </w:rPr>
      </w:r>
      <w:r>
        <w:rPr/>
        <w:t>五、公司员工情况</w:t>
      </w:r>
      <w:r>
        <w:rPr>
          <w:b w:val="0"/>
          <w:bCs w:val="0"/>
        </w:rPr>
      </w:r>
    </w:p>
    <w:p>
      <w:pPr>
        <w:spacing w:line="240" w:lineRule="auto" w:before="0"/>
        <w:rPr>
          <w:rFonts w:ascii="华文细黑" w:hAnsi="华文细黑" w:cs="华文细黑" w:eastAsia="华文细黑" w:hint="default"/>
          <w:b/>
          <w:bCs/>
          <w:sz w:val="30"/>
          <w:szCs w:val="30"/>
        </w:rPr>
      </w:pPr>
    </w:p>
    <w:p>
      <w:pPr>
        <w:pStyle w:val="Heading5"/>
        <w:spacing w:line="240" w:lineRule="auto" w:before="0"/>
        <w:ind w:right="1023"/>
        <w:jc w:val="left"/>
        <w:rPr>
          <w:b w:val="0"/>
          <w:bCs w:val="0"/>
        </w:rPr>
      </w:pPr>
      <w:bookmarkStart w:name="1、员工数量、专业构成及教育程度" w:id="155"/>
      <w:bookmarkEnd w:id="155"/>
      <w:r>
        <w:rPr>
          <w:b w:val="0"/>
          <w:bCs w:val="0"/>
        </w:rPr>
      </w:r>
      <w:r>
        <w:rPr>
          <w:rFonts w:ascii="华文细黑" w:hAnsi="华文细黑" w:cs="华文细黑" w:eastAsia="华文细黑" w:hint="default"/>
        </w:rPr>
        <w:t>1</w:t>
      </w:r>
      <w:r>
        <w:rPr/>
        <w:t>、员工数量、专业构成及教育程度</w:t>
      </w:r>
      <w:r>
        <w:rPr>
          <w:b w:val="0"/>
          <w:bCs w:val="0"/>
        </w:rPr>
      </w:r>
    </w:p>
    <w:p>
      <w:pPr>
        <w:spacing w:line="240" w:lineRule="auto" w:before="4"/>
        <w:rPr>
          <w:rFonts w:ascii="华文细黑" w:hAnsi="华文细黑" w:cs="华文细黑" w:eastAsia="华文细黑" w:hint="default"/>
          <w:b/>
          <w:bCs/>
          <w:sz w:val="24"/>
          <w:szCs w:val="24"/>
        </w:rPr>
      </w:pPr>
    </w:p>
    <w:tbl>
      <w:tblPr>
        <w:tblW w:w="0" w:type="auto"/>
        <w:jc w:val="left"/>
        <w:tblInd w:w="117" w:type="dxa"/>
        <w:tblLayout w:type="fixed"/>
        <w:tblCellMar>
          <w:top w:w="0" w:type="dxa"/>
          <w:left w:w="0" w:type="dxa"/>
          <w:bottom w:w="0" w:type="dxa"/>
          <w:right w:w="0" w:type="dxa"/>
        </w:tblCellMar>
        <w:tblLook w:val="01E0"/>
      </w:tblPr>
      <w:tblGrid>
        <w:gridCol w:w="4784"/>
        <w:gridCol w:w="4785"/>
      </w:tblGrid>
      <w:tr>
        <w:trPr>
          <w:trHeight w:val="402" w:hRule="exact"/>
        </w:trPr>
        <w:tc>
          <w:tcPr>
            <w:tcW w:w="4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母公司在职员工的数量（人）</w:t>
            </w:r>
          </w:p>
        </w:tc>
        <w:tc>
          <w:tcPr>
            <w:tcW w:w="4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w w:val="95"/>
                <w:sz w:val="18"/>
              </w:rPr>
              <w:t>1,478</w:t>
            </w:r>
          </w:p>
        </w:tc>
      </w:tr>
      <w:tr>
        <w:trPr>
          <w:trHeight w:val="402" w:hRule="exact"/>
        </w:trPr>
        <w:tc>
          <w:tcPr>
            <w:tcW w:w="4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主要子公司在职员工的数量（人）</w:t>
            </w:r>
          </w:p>
        </w:tc>
        <w:tc>
          <w:tcPr>
            <w:tcW w:w="4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w w:val="95"/>
                <w:sz w:val="18"/>
              </w:rPr>
              <w:t>1,166</w:t>
            </w:r>
          </w:p>
        </w:tc>
      </w:tr>
      <w:tr>
        <w:trPr>
          <w:trHeight w:val="402" w:hRule="exact"/>
        </w:trPr>
        <w:tc>
          <w:tcPr>
            <w:tcW w:w="4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在职员工的数量合计（人）</w:t>
            </w:r>
          </w:p>
        </w:tc>
        <w:tc>
          <w:tcPr>
            <w:tcW w:w="4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w w:val="95"/>
                <w:sz w:val="18"/>
              </w:rPr>
              <w:t>2,644</w:t>
            </w:r>
          </w:p>
        </w:tc>
      </w:tr>
      <w:tr>
        <w:trPr>
          <w:trHeight w:val="402" w:hRule="exact"/>
        </w:trPr>
        <w:tc>
          <w:tcPr>
            <w:tcW w:w="4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当期领取薪酬员工总人数（人）</w:t>
            </w:r>
          </w:p>
        </w:tc>
        <w:tc>
          <w:tcPr>
            <w:tcW w:w="4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w w:val="95"/>
                <w:sz w:val="18"/>
              </w:rPr>
              <w:t>2,714</w:t>
            </w:r>
          </w:p>
        </w:tc>
      </w:tr>
      <w:tr>
        <w:trPr>
          <w:trHeight w:val="402" w:hRule="exact"/>
        </w:trPr>
        <w:tc>
          <w:tcPr>
            <w:tcW w:w="4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母公司及主要子公司需承担费用的离退休职工人数（人）</w:t>
            </w:r>
          </w:p>
        </w:tc>
        <w:tc>
          <w:tcPr>
            <w:tcW w:w="4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r>
      <w:tr>
        <w:trPr>
          <w:trHeight w:val="402" w:hRule="exact"/>
        </w:trPr>
        <w:tc>
          <w:tcPr>
            <w:tcW w:w="9569" w:type="dxa"/>
            <w:gridSpan w:val="2"/>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b/>
                <w:bCs/>
                <w:sz w:val="18"/>
                <w:szCs w:val="18"/>
              </w:rPr>
              <w:t>专业构成</w:t>
            </w:r>
            <w:r>
              <w:rPr>
                <w:rFonts w:ascii="华文细黑" w:hAnsi="华文细黑" w:cs="华文细黑" w:eastAsia="华文细黑" w:hint="default"/>
                <w:sz w:val="18"/>
                <w:szCs w:val="18"/>
              </w:rPr>
            </w:r>
          </w:p>
        </w:tc>
      </w:tr>
      <w:tr>
        <w:trPr>
          <w:trHeight w:val="402" w:hRule="exact"/>
        </w:trPr>
        <w:tc>
          <w:tcPr>
            <w:tcW w:w="4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专业构成类别</w:t>
            </w:r>
          </w:p>
        </w:tc>
        <w:tc>
          <w:tcPr>
            <w:tcW w:w="4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57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专业构成人数（人）</w:t>
            </w:r>
          </w:p>
        </w:tc>
      </w:tr>
      <w:tr>
        <w:trPr>
          <w:trHeight w:val="402" w:hRule="exact"/>
        </w:trPr>
        <w:tc>
          <w:tcPr>
            <w:tcW w:w="4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销售人员</w:t>
            </w:r>
          </w:p>
        </w:tc>
        <w:tc>
          <w:tcPr>
            <w:tcW w:w="4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w w:val="95"/>
                <w:sz w:val="18"/>
              </w:rPr>
              <w:t>2,087</w:t>
            </w:r>
          </w:p>
        </w:tc>
      </w:tr>
      <w:tr>
        <w:trPr>
          <w:trHeight w:val="402" w:hRule="exact"/>
        </w:trPr>
        <w:tc>
          <w:tcPr>
            <w:tcW w:w="4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技术人员</w:t>
            </w:r>
          </w:p>
        </w:tc>
        <w:tc>
          <w:tcPr>
            <w:tcW w:w="4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w w:val="95"/>
                <w:sz w:val="18"/>
              </w:rPr>
              <w:t>100</w:t>
            </w:r>
            <w:r>
              <w:rPr>
                <w:rFonts w:ascii="华文细黑"/>
                <w:w w:val="95"/>
                <w:sz w:val="18"/>
              </w:rPr>
            </w:r>
          </w:p>
        </w:tc>
      </w:tr>
      <w:tr>
        <w:trPr>
          <w:trHeight w:val="402" w:hRule="exact"/>
        </w:trPr>
        <w:tc>
          <w:tcPr>
            <w:tcW w:w="4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财务人员</w:t>
            </w:r>
          </w:p>
        </w:tc>
        <w:tc>
          <w:tcPr>
            <w:tcW w:w="4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w w:val="95"/>
                <w:sz w:val="18"/>
              </w:rPr>
              <w:t>186</w:t>
            </w:r>
            <w:r>
              <w:rPr>
                <w:rFonts w:ascii="华文细黑"/>
                <w:w w:val="95"/>
                <w:sz w:val="18"/>
              </w:rPr>
            </w:r>
          </w:p>
        </w:tc>
      </w:tr>
      <w:tr>
        <w:trPr>
          <w:trHeight w:val="402" w:hRule="exact"/>
        </w:trPr>
        <w:tc>
          <w:tcPr>
            <w:tcW w:w="4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行政人员</w:t>
            </w:r>
          </w:p>
        </w:tc>
        <w:tc>
          <w:tcPr>
            <w:tcW w:w="4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sz w:val="18"/>
              </w:rPr>
              <w:t>85</w:t>
            </w:r>
          </w:p>
        </w:tc>
      </w:tr>
      <w:tr>
        <w:trPr>
          <w:trHeight w:val="402" w:hRule="exact"/>
        </w:trPr>
        <w:tc>
          <w:tcPr>
            <w:tcW w:w="4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4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w w:val="95"/>
                <w:sz w:val="18"/>
              </w:rPr>
              <w:t>186</w:t>
            </w:r>
            <w:r>
              <w:rPr>
                <w:rFonts w:ascii="华文细黑"/>
                <w:w w:val="95"/>
                <w:sz w:val="18"/>
              </w:rPr>
            </w:r>
          </w:p>
        </w:tc>
      </w:tr>
      <w:tr>
        <w:trPr>
          <w:trHeight w:val="402" w:hRule="exact"/>
        </w:trPr>
        <w:tc>
          <w:tcPr>
            <w:tcW w:w="4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合计</w:t>
            </w:r>
          </w:p>
        </w:tc>
        <w:tc>
          <w:tcPr>
            <w:tcW w:w="4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w w:val="95"/>
                <w:sz w:val="18"/>
              </w:rPr>
              <w:t>2,644</w:t>
            </w:r>
          </w:p>
        </w:tc>
      </w:tr>
      <w:tr>
        <w:trPr>
          <w:trHeight w:val="402" w:hRule="exact"/>
        </w:trPr>
        <w:tc>
          <w:tcPr>
            <w:tcW w:w="9569" w:type="dxa"/>
            <w:gridSpan w:val="2"/>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b/>
                <w:bCs/>
                <w:sz w:val="18"/>
                <w:szCs w:val="18"/>
              </w:rPr>
              <w:t>教育程度</w:t>
            </w:r>
            <w:r>
              <w:rPr>
                <w:rFonts w:ascii="华文细黑" w:hAnsi="华文细黑" w:cs="华文细黑" w:eastAsia="华文细黑" w:hint="default"/>
                <w:sz w:val="18"/>
                <w:szCs w:val="18"/>
              </w:rPr>
            </w:r>
          </w:p>
        </w:tc>
      </w:tr>
      <w:tr>
        <w:trPr>
          <w:trHeight w:val="402" w:hRule="exact"/>
        </w:trPr>
        <w:tc>
          <w:tcPr>
            <w:tcW w:w="4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教育程度类别</w:t>
            </w:r>
          </w:p>
        </w:tc>
        <w:tc>
          <w:tcPr>
            <w:tcW w:w="4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数量（人）</w:t>
            </w:r>
          </w:p>
        </w:tc>
      </w:tr>
      <w:tr>
        <w:trPr>
          <w:trHeight w:val="402" w:hRule="exact"/>
        </w:trPr>
        <w:tc>
          <w:tcPr>
            <w:tcW w:w="4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博士</w:t>
            </w:r>
          </w:p>
        </w:tc>
        <w:tc>
          <w:tcPr>
            <w:tcW w:w="4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1</w:t>
            </w:r>
          </w:p>
        </w:tc>
      </w:tr>
      <w:tr>
        <w:trPr>
          <w:trHeight w:val="402" w:hRule="exact"/>
        </w:trPr>
        <w:tc>
          <w:tcPr>
            <w:tcW w:w="4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硕士</w:t>
            </w:r>
          </w:p>
        </w:tc>
        <w:tc>
          <w:tcPr>
            <w:tcW w:w="4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w w:val="95"/>
                <w:sz w:val="18"/>
              </w:rPr>
              <w:t>35</w:t>
            </w:r>
            <w:r>
              <w:rPr>
                <w:rFonts w:ascii="华文细黑"/>
                <w:w w:val="95"/>
                <w:sz w:val="18"/>
              </w:rPr>
            </w:r>
          </w:p>
        </w:tc>
      </w:tr>
      <w:tr>
        <w:trPr>
          <w:trHeight w:val="402" w:hRule="exact"/>
        </w:trPr>
        <w:tc>
          <w:tcPr>
            <w:tcW w:w="4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本科</w:t>
            </w:r>
          </w:p>
        </w:tc>
        <w:tc>
          <w:tcPr>
            <w:tcW w:w="4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w w:val="95"/>
                <w:sz w:val="18"/>
              </w:rPr>
              <w:t>935</w:t>
            </w:r>
            <w:r>
              <w:rPr>
                <w:rFonts w:ascii="华文细黑"/>
                <w:w w:val="95"/>
                <w:sz w:val="18"/>
              </w:rPr>
            </w:r>
          </w:p>
        </w:tc>
      </w:tr>
      <w:tr>
        <w:trPr>
          <w:trHeight w:val="402" w:hRule="exact"/>
        </w:trPr>
        <w:tc>
          <w:tcPr>
            <w:tcW w:w="4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大专</w:t>
            </w:r>
          </w:p>
        </w:tc>
        <w:tc>
          <w:tcPr>
            <w:tcW w:w="4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w w:val="95"/>
                <w:sz w:val="18"/>
              </w:rPr>
              <w:t>1,343</w:t>
            </w:r>
          </w:p>
        </w:tc>
      </w:tr>
      <w:tr>
        <w:trPr>
          <w:trHeight w:val="402" w:hRule="exact"/>
        </w:trPr>
        <w:tc>
          <w:tcPr>
            <w:tcW w:w="4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大专以下</w:t>
            </w:r>
          </w:p>
        </w:tc>
        <w:tc>
          <w:tcPr>
            <w:tcW w:w="4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w w:val="95"/>
                <w:sz w:val="18"/>
              </w:rPr>
              <w:t>330</w:t>
            </w:r>
            <w:r>
              <w:rPr>
                <w:rFonts w:ascii="华文细黑"/>
                <w:w w:val="95"/>
                <w:sz w:val="18"/>
              </w:rPr>
            </w:r>
          </w:p>
        </w:tc>
      </w:tr>
      <w:tr>
        <w:trPr>
          <w:trHeight w:val="402" w:hRule="exact"/>
        </w:trPr>
        <w:tc>
          <w:tcPr>
            <w:tcW w:w="47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合计</w:t>
            </w:r>
          </w:p>
        </w:tc>
        <w:tc>
          <w:tcPr>
            <w:tcW w:w="4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w w:val="95"/>
                <w:sz w:val="18"/>
              </w:rPr>
              <w:t>2,644</w:t>
            </w:r>
          </w:p>
        </w:tc>
      </w:tr>
    </w:tbl>
    <w:p>
      <w:pPr>
        <w:spacing w:line="240" w:lineRule="auto" w:before="9"/>
        <w:rPr>
          <w:rFonts w:ascii="华文细黑" w:hAnsi="华文细黑" w:cs="华文细黑" w:eastAsia="华文细黑" w:hint="default"/>
          <w:b/>
          <w:bCs/>
          <w:sz w:val="18"/>
          <w:szCs w:val="18"/>
        </w:rPr>
      </w:pPr>
    </w:p>
    <w:p>
      <w:pPr>
        <w:spacing w:before="10"/>
        <w:ind w:left="234" w:right="1023" w:firstLine="0"/>
        <w:jc w:val="left"/>
        <w:rPr>
          <w:rFonts w:ascii="华文细黑" w:hAnsi="华文细黑" w:cs="华文细黑" w:eastAsia="华文细黑" w:hint="default"/>
          <w:sz w:val="21"/>
          <w:szCs w:val="21"/>
        </w:rPr>
      </w:pPr>
      <w:bookmarkStart w:name="2、薪酬政策" w:id="156"/>
      <w:bookmarkEnd w:id="156"/>
      <w:r>
        <w:rPr/>
      </w: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、薪酬政策</w:t>
      </w:r>
      <w:r>
        <w:rPr>
          <w:rFonts w:ascii="华文细黑" w:hAnsi="华文细黑" w:cs="华文细黑" w:eastAsia="华文细黑" w:hint="default"/>
          <w:sz w:val="21"/>
          <w:szCs w:val="21"/>
        </w:rPr>
      </w:r>
    </w:p>
    <w:p>
      <w:pPr>
        <w:spacing w:line="240" w:lineRule="auto" w:before="12"/>
        <w:rPr>
          <w:rFonts w:ascii="华文细黑" w:hAnsi="华文细黑" w:cs="华文细黑" w:eastAsia="华文细黑" w:hint="default"/>
          <w:b/>
          <w:bCs/>
          <w:sz w:val="27"/>
          <w:szCs w:val="27"/>
        </w:rPr>
      </w:pPr>
    </w:p>
    <w:p>
      <w:pPr>
        <w:pStyle w:val="BodyText"/>
        <w:spacing w:line="379" w:lineRule="auto"/>
        <w:ind w:left="234" w:right="1131" w:firstLine="420"/>
        <w:jc w:val="both"/>
      </w:pPr>
      <w:r>
        <w:rPr>
          <w:spacing w:val="-1"/>
        </w:rPr>
        <w:t>公司员工薪酬由薪资、考核奖金、激励奖金三部分构成。其中，薪资实行月薪制，根据岗位承担责任</w:t>
      </w:r>
      <w:r>
        <w:rPr/>
        <w:t> </w:t>
      </w:r>
      <w:r>
        <w:rPr>
          <w:spacing w:val="-1"/>
        </w:rPr>
        <w:t>的大小和任职条件的高低，结合任职人员的能力和综合条件，参照同行业薪酬标准，以月度为周期根据考</w:t>
      </w:r>
      <w:r>
        <w:rPr>
          <w:spacing w:val="-31"/>
        </w:rPr>
        <w:t> </w:t>
      </w:r>
      <w:r>
        <w:rPr>
          <w:spacing w:val="-31"/>
        </w:rPr>
      </w:r>
      <w:r>
        <w:rPr>
          <w:spacing w:val="-1"/>
        </w:rPr>
        <w:t>勤核算计发；考核奖金根据不同情况实行月度制、季度制、半年制及年度制，根据员工的绩效考核结果计</w:t>
      </w:r>
      <w:r>
        <w:rPr>
          <w:spacing w:val="-34"/>
        </w:rPr>
        <w:t> </w:t>
      </w:r>
      <w:r>
        <w:rPr>
          <w:spacing w:val="-34"/>
        </w:rPr>
      </w:r>
      <w:r>
        <w:rPr/>
        <w:t>发；激励奖金实行年度制，根据公司年度经营业绩情况进行计提。</w:t>
      </w:r>
    </w:p>
    <w:p>
      <w:pPr>
        <w:spacing w:after="0" w:line="379" w:lineRule="auto"/>
        <w:jc w:val="both"/>
        <w:sectPr>
          <w:pgSz w:w="11910" w:h="16840"/>
          <w:pgMar w:header="917" w:footer="1019" w:top="1100" w:bottom="1200" w:left="900" w:right="0"/>
        </w:sectPr>
      </w:pPr>
    </w:p>
    <w:p>
      <w:pPr>
        <w:spacing w:line="240" w:lineRule="auto" w:before="0"/>
        <w:rPr>
          <w:rFonts w:ascii="华文细黑" w:hAnsi="华文细黑" w:cs="华文细黑" w:eastAsia="华文细黑" w:hint="default"/>
          <w:sz w:val="21"/>
          <w:szCs w:val="21"/>
        </w:rPr>
      </w:pPr>
    </w:p>
    <w:p>
      <w:pPr>
        <w:pStyle w:val="Heading5"/>
        <w:spacing w:line="240" w:lineRule="auto"/>
        <w:ind w:left="154" w:right="1217"/>
        <w:jc w:val="left"/>
        <w:rPr>
          <w:b w:val="0"/>
          <w:bCs w:val="0"/>
        </w:rPr>
      </w:pPr>
      <w:bookmarkStart w:name="3、培训计划" w:id="157"/>
      <w:bookmarkEnd w:id="157"/>
      <w:r>
        <w:rPr>
          <w:b w:val="0"/>
          <w:bCs w:val="0"/>
        </w:rPr>
      </w:r>
      <w:r>
        <w:rPr>
          <w:rFonts w:ascii="华文细黑" w:hAnsi="华文细黑" w:cs="华文细黑" w:eastAsia="华文细黑" w:hint="default"/>
        </w:rPr>
        <w:t>3</w:t>
      </w:r>
      <w:r>
        <w:rPr/>
        <w:t>、培训计划</w:t>
      </w:r>
      <w:r>
        <w:rPr>
          <w:b w:val="0"/>
          <w:bCs w:val="0"/>
        </w:rPr>
      </w:r>
    </w:p>
    <w:p>
      <w:pPr>
        <w:spacing w:line="240" w:lineRule="auto" w:before="12"/>
        <w:rPr>
          <w:rFonts w:ascii="华文细黑" w:hAnsi="华文细黑" w:cs="华文细黑" w:eastAsia="华文细黑" w:hint="default"/>
          <w:b/>
          <w:bCs/>
          <w:sz w:val="27"/>
          <w:szCs w:val="27"/>
        </w:rPr>
      </w:pPr>
    </w:p>
    <w:p>
      <w:pPr>
        <w:pStyle w:val="BodyText"/>
        <w:spacing w:line="379" w:lineRule="auto"/>
        <w:ind w:left="154" w:right="1134" w:firstLine="420"/>
        <w:jc w:val="left"/>
      </w:pPr>
      <w:r>
        <w:rPr/>
        <w:t>公司对新员工安排入职系统培训；定期组织员工进行培训，培训内容涵盖文化、管理、审计、</w:t>
      </w:r>
      <w:r>
        <w:rPr>
          <w:rFonts w:ascii="华文细黑" w:hAnsi="华文细黑" w:cs="华文细黑" w:eastAsia="华文细黑" w:hint="default"/>
        </w:rPr>
        <w:t>IT</w:t>
      </w:r>
      <w:r>
        <w:rPr/>
        <w:t>、业</w:t>
      </w:r>
      <w:r>
        <w:rPr>
          <w:spacing w:val="1"/>
        </w:rPr>
        <w:t> </w:t>
      </w:r>
      <w:r>
        <w:rPr/>
        <w:t>务等。开发线上学习平台，为员工提供移动终端学习通道。</w:t>
      </w:r>
    </w:p>
    <w:p>
      <w:pPr>
        <w:spacing w:line="240" w:lineRule="auto" w:before="0"/>
        <w:rPr>
          <w:rFonts w:ascii="华文细黑" w:hAnsi="华文细黑" w:cs="华文细黑" w:eastAsia="华文细黑" w:hint="default"/>
          <w:sz w:val="20"/>
          <w:szCs w:val="20"/>
        </w:rPr>
      </w:pPr>
    </w:p>
    <w:p>
      <w:pPr>
        <w:spacing w:line="240" w:lineRule="auto" w:before="7"/>
        <w:rPr>
          <w:rFonts w:ascii="华文细黑" w:hAnsi="华文细黑" w:cs="华文细黑" w:eastAsia="华文细黑" w:hint="default"/>
          <w:sz w:val="23"/>
          <w:szCs w:val="23"/>
        </w:rPr>
      </w:pPr>
    </w:p>
    <w:p>
      <w:pPr>
        <w:pStyle w:val="Heading5"/>
        <w:spacing w:line="240" w:lineRule="auto" w:before="0"/>
        <w:ind w:left="154" w:right="1217"/>
        <w:jc w:val="left"/>
        <w:rPr>
          <w:b w:val="0"/>
          <w:bCs w:val="0"/>
        </w:rPr>
      </w:pPr>
      <w:bookmarkStart w:name="4、劳务外包情况" w:id="158"/>
      <w:bookmarkEnd w:id="158"/>
      <w:r>
        <w:rPr>
          <w:b w:val="0"/>
          <w:bCs w:val="0"/>
        </w:rPr>
      </w:r>
      <w:r>
        <w:rPr>
          <w:rFonts w:ascii="华文细黑" w:hAnsi="华文细黑" w:cs="华文细黑" w:eastAsia="华文细黑" w:hint="default"/>
        </w:rPr>
        <w:t>4</w:t>
      </w:r>
      <w:r>
        <w:rPr/>
        <w:t>、劳务外包情况</w:t>
      </w:r>
      <w:r>
        <w:rPr>
          <w:b w:val="0"/>
          <w:bCs w:val="0"/>
        </w:rPr>
      </w:r>
    </w:p>
    <w:p>
      <w:pPr>
        <w:spacing w:line="240" w:lineRule="auto" w:before="6"/>
        <w:rPr>
          <w:rFonts w:ascii="华文细黑" w:hAnsi="华文细黑" w:cs="华文细黑" w:eastAsia="华文细黑" w:hint="default"/>
          <w:b/>
          <w:bCs/>
          <w:sz w:val="22"/>
          <w:szCs w:val="22"/>
        </w:rPr>
      </w:pPr>
    </w:p>
    <w:p>
      <w:pPr>
        <w:pStyle w:val="BodyText"/>
        <w:spacing w:line="240" w:lineRule="auto"/>
        <w:ind w:left="154" w:right="1217"/>
        <w:jc w:val="left"/>
      </w:pPr>
      <w:r>
        <w:rPr/>
        <w:t>□  适用  √</w:t>
      </w:r>
      <w:r>
        <w:rPr>
          <w:spacing w:val="51"/>
        </w:rPr>
        <w:t> </w:t>
      </w:r>
      <w:r>
        <w:rPr/>
        <w:t>不适用</w:t>
      </w:r>
    </w:p>
    <w:p>
      <w:pPr>
        <w:spacing w:after="0" w:line="240" w:lineRule="auto"/>
        <w:jc w:val="left"/>
        <w:sectPr>
          <w:pgSz w:w="11910" w:h="16840"/>
          <w:pgMar w:header="917" w:footer="1019" w:top="1100" w:bottom="1200" w:left="980" w:right="0"/>
        </w:sect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4"/>
        <w:rPr>
          <w:rFonts w:ascii="华文细黑" w:hAnsi="华文细黑" w:cs="华文细黑" w:eastAsia="华文细黑" w:hint="default"/>
          <w:sz w:val="14"/>
          <w:szCs w:val="14"/>
        </w:rPr>
      </w:pPr>
    </w:p>
    <w:p>
      <w:pPr>
        <w:pStyle w:val="Heading1"/>
        <w:spacing w:line="416" w:lineRule="exact"/>
        <w:ind w:left="137" w:right="1113"/>
        <w:jc w:val="center"/>
        <w:rPr>
          <w:b w:val="0"/>
          <w:bCs w:val="0"/>
        </w:rPr>
      </w:pPr>
      <w:bookmarkStart w:name="第九节 公司治理" w:id="159"/>
      <w:bookmarkEnd w:id="159"/>
      <w:r>
        <w:rPr>
          <w:b w:val="0"/>
          <w:bCs w:val="0"/>
        </w:rPr>
      </w:r>
      <w:bookmarkStart w:name="_bookmark7" w:id="160"/>
      <w:bookmarkEnd w:id="160"/>
      <w:r>
        <w:rPr>
          <w:b w:val="0"/>
          <w:bCs w:val="0"/>
        </w:rPr>
      </w:r>
      <w:r>
        <w:rPr/>
        <w:t>第九节</w:t>
      </w:r>
      <w:r>
        <w:rPr>
          <w:spacing w:val="79"/>
        </w:rPr>
        <w:t> </w:t>
      </w:r>
      <w:r>
        <w:rPr/>
        <w:t>公司治理</w:t>
      </w:r>
      <w:r>
        <w:rPr>
          <w:b w:val="0"/>
          <w:bCs w:val="0"/>
        </w:rPr>
      </w:r>
    </w:p>
    <w:p>
      <w:pPr>
        <w:spacing w:line="240" w:lineRule="auto" w:before="0"/>
        <w:rPr>
          <w:rFonts w:ascii="华文细黑" w:hAnsi="华文细黑" w:cs="华文细黑" w:eastAsia="华文细黑" w:hint="default"/>
          <w:b/>
          <w:bCs/>
          <w:sz w:val="20"/>
          <w:szCs w:val="20"/>
        </w:rPr>
      </w:pPr>
    </w:p>
    <w:p>
      <w:pPr>
        <w:spacing w:line="240" w:lineRule="auto" w:before="4"/>
        <w:rPr>
          <w:rFonts w:ascii="华文细黑" w:hAnsi="华文细黑" w:cs="华文细黑" w:eastAsia="华文细黑" w:hint="default"/>
          <w:b/>
          <w:bCs/>
          <w:sz w:val="23"/>
          <w:szCs w:val="23"/>
        </w:rPr>
      </w:pPr>
    </w:p>
    <w:p>
      <w:pPr>
        <w:pStyle w:val="Heading2"/>
        <w:spacing w:line="396" w:lineRule="exact"/>
        <w:ind w:left="154" w:right="1217"/>
        <w:jc w:val="left"/>
        <w:rPr>
          <w:b w:val="0"/>
          <w:bCs w:val="0"/>
        </w:rPr>
      </w:pPr>
      <w:bookmarkStart w:name="一、公司治理的基本状况" w:id="161"/>
      <w:bookmarkEnd w:id="161"/>
      <w:r>
        <w:rPr>
          <w:b w:val="0"/>
          <w:bCs w:val="0"/>
        </w:rPr>
      </w:r>
      <w:r>
        <w:rPr/>
        <w:t>一、公司治理的基本状况</w:t>
      </w:r>
      <w:r>
        <w:rPr>
          <w:b w:val="0"/>
          <w:bCs w:val="0"/>
        </w:rPr>
      </w:r>
    </w:p>
    <w:p>
      <w:pPr>
        <w:spacing w:line="240" w:lineRule="auto" w:before="7"/>
        <w:rPr>
          <w:rFonts w:ascii="华文细黑" w:hAnsi="华文细黑" w:cs="华文细黑" w:eastAsia="华文细黑" w:hint="default"/>
          <w:b/>
          <w:bCs/>
          <w:sz w:val="35"/>
          <w:szCs w:val="35"/>
        </w:rPr>
      </w:pPr>
    </w:p>
    <w:p>
      <w:pPr>
        <w:pStyle w:val="BodyText"/>
        <w:spacing w:line="379" w:lineRule="auto"/>
        <w:ind w:left="154" w:right="1133" w:firstLine="420"/>
        <w:jc w:val="both"/>
      </w:pPr>
      <w:r>
        <w:rPr>
          <w:spacing w:val="-14"/>
        </w:rPr>
        <w:t>报告期内，公司严格按照《公司法》、《证券法》、《上市公司治理准则》、《深圳证券交易所股票上市规</w:t>
      </w:r>
      <w:r>
        <w:rPr/>
        <w:t> </w:t>
      </w:r>
      <w:r>
        <w:rPr>
          <w:spacing w:val="-1"/>
        </w:rPr>
        <w:t>则》和《深圳证券交易所中小企业板上市公司规范运作指引》等相关法律、法规的规定，不断完善公司法</w:t>
      </w:r>
      <w:r>
        <w:rPr>
          <w:spacing w:val="-31"/>
        </w:rPr>
        <w:t> </w:t>
      </w:r>
      <w:r>
        <w:rPr>
          <w:spacing w:val="-31"/>
        </w:rPr>
      </w:r>
      <w:r>
        <w:rPr/>
        <w:t>人治理结构，提高公司治理水平，健全内部控制体系，规范公司运作。</w:t>
      </w:r>
    </w:p>
    <w:p>
      <w:pPr>
        <w:pStyle w:val="BodyText"/>
        <w:spacing w:line="379" w:lineRule="auto" w:before="160"/>
        <w:ind w:left="154" w:right="1111" w:firstLine="420"/>
        <w:jc w:val="both"/>
      </w:pPr>
      <w:r>
        <w:rPr>
          <w:spacing w:val="-5"/>
        </w:rPr>
        <w:t>报告期内，公司按照《上市公司股东大会规则》、《公司章程》等规定的要求，规范三会召集、召开、</w:t>
      </w:r>
      <w:r>
        <w:rPr/>
        <w:t> </w:t>
      </w:r>
      <w:r>
        <w:rPr>
          <w:spacing w:val="-1"/>
        </w:rPr>
        <w:t>表决程序，董事、监事依法行使职权，能够勤勉、尽责地履行权利、义务和责任，维护公司及股东的合法</w:t>
      </w:r>
      <w:r>
        <w:rPr>
          <w:spacing w:val="-31"/>
        </w:rPr>
        <w:t> </w:t>
      </w:r>
      <w:r>
        <w:rPr>
          <w:spacing w:val="-31"/>
        </w:rPr>
      </w:r>
      <w:r>
        <w:rPr>
          <w:spacing w:val="-1"/>
        </w:rPr>
        <w:t>权益。公司按照相关信息披露制度要求，真实、准确、完整、及时地履行信息披露义务，确保公司所有股</w:t>
      </w:r>
      <w:r>
        <w:rPr>
          <w:spacing w:val="-31"/>
        </w:rPr>
        <w:t> </w:t>
      </w:r>
      <w:r>
        <w:rPr>
          <w:spacing w:val="-31"/>
        </w:rPr>
      </w:r>
      <w:r>
        <w:rPr/>
        <w:t>东能够以平等的机会获得信息。</w:t>
      </w:r>
    </w:p>
    <w:p>
      <w:pPr>
        <w:pStyle w:val="BodyText"/>
        <w:spacing w:line="379" w:lineRule="auto" w:before="160"/>
        <w:ind w:left="154" w:right="1131" w:firstLine="420"/>
        <w:jc w:val="both"/>
      </w:pPr>
      <w:r>
        <w:rPr>
          <w:spacing w:val="-1"/>
        </w:rPr>
        <w:t>截至报告期末，公司不存在向大股东、实际控制人提供未公开信息等治理非规范情况。公司治理的实</w:t>
      </w:r>
      <w:r>
        <w:rPr/>
        <w:t> </w:t>
      </w:r>
      <w:r>
        <w:rPr>
          <w:spacing w:val="-1"/>
        </w:rPr>
        <w:t>际状况符合中国证监会发布的有关上市公司治理的规范性文件要求，未收到被监管部门采取行政监管措施</w:t>
      </w:r>
      <w:r>
        <w:rPr>
          <w:spacing w:val="-29"/>
        </w:rPr>
        <w:t> </w:t>
      </w:r>
      <w:r>
        <w:rPr>
          <w:spacing w:val="-29"/>
        </w:rPr>
      </w:r>
      <w:r>
        <w:rPr/>
        <w:t>的有关文件。</w:t>
      </w:r>
    </w:p>
    <w:p>
      <w:pPr>
        <w:spacing w:line="475" w:lineRule="auto" w:before="160"/>
        <w:ind w:left="574" w:right="0" w:firstLine="0"/>
        <w:jc w:val="left"/>
        <w:rPr>
          <w:rFonts w:ascii="华文细黑" w:hAnsi="华文细黑" w:cs="华文细黑" w:eastAsia="华文细黑" w:hint="default"/>
          <w:sz w:val="21"/>
          <w:szCs w:val="21"/>
        </w:rPr>
      </w:pPr>
      <w:r>
        <w:rPr>
          <w:rFonts w:ascii="华文细黑" w:hAnsi="华文细黑" w:cs="华文细黑" w:eastAsia="华文细黑" w:hint="default"/>
          <w:b/>
          <w:bCs/>
          <w:sz w:val="21"/>
          <w:szCs w:val="21"/>
        </w:rPr>
        <w:t>1</w:t>
      </w:r>
      <w:r>
        <w:rPr>
          <w:rFonts w:ascii="华文细黑" w:hAnsi="华文细黑" w:cs="华文细黑" w:eastAsia="华文细黑" w:hint="default"/>
          <w:b/>
          <w:bCs/>
          <w:sz w:val="21"/>
          <w:szCs w:val="21"/>
        </w:rPr>
        <w:t>、关于股东和股东大会</w:t>
      </w:r>
      <w:r>
        <w:rPr>
          <w:rFonts w:ascii="华文细黑" w:hAnsi="华文细黑" w:cs="华文细黑" w:eastAsia="华文细黑" w:hint="default"/>
          <w:b/>
          <w:bCs/>
          <w:w w:val="99"/>
          <w:sz w:val="21"/>
          <w:szCs w:val="21"/>
        </w:rPr>
        <w:t> </w:t>
      </w:r>
      <w:r>
        <w:rPr>
          <w:rFonts w:ascii="华文细黑" w:hAnsi="华文细黑" w:cs="华文细黑" w:eastAsia="华文细黑" w:hint="default"/>
          <w:spacing w:val="-8"/>
          <w:sz w:val="21"/>
          <w:szCs w:val="21"/>
        </w:rPr>
        <w:t>公司严格按照《公司法》、《公司章程》和《股东大会议事规则》的规定和要求，规范股东大会的召集、</w:t>
      </w:r>
    </w:p>
    <w:p>
      <w:pPr>
        <w:pStyle w:val="BodyText"/>
        <w:spacing w:line="246" w:lineRule="exact"/>
        <w:ind w:left="154" w:right="1217"/>
        <w:jc w:val="left"/>
      </w:pPr>
      <w:r>
        <w:rPr/>
        <w:t>召开、表决程序，平等对待所有股东，确保股东特别是中小股东享有平等地位和合法权益。</w:t>
      </w:r>
    </w:p>
    <w:p>
      <w:pPr>
        <w:spacing w:line="240" w:lineRule="auto" w:before="9"/>
        <w:rPr>
          <w:rFonts w:ascii="华文细黑" w:hAnsi="华文细黑" w:cs="华文细黑" w:eastAsia="华文细黑" w:hint="default"/>
          <w:sz w:val="20"/>
          <w:szCs w:val="20"/>
        </w:rPr>
      </w:pPr>
    </w:p>
    <w:p>
      <w:pPr>
        <w:spacing w:line="475" w:lineRule="auto" w:before="0"/>
        <w:ind w:left="574" w:right="1116" w:firstLine="0"/>
        <w:jc w:val="left"/>
        <w:rPr>
          <w:rFonts w:ascii="华文细黑" w:hAnsi="华文细黑" w:cs="华文细黑" w:eastAsia="华文细黑" w:hint="default"/>
          <w:sz w:val="21"/>
          <w:szCs w:val="21"/>
        </w:rPr>
      </w:pP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w:t>
      </w:r>
      <w:r>
        <w:rPr>
          <w:rFonts w:ascii="华文细黑" w:hAnsi="华文细黑" w:cs="华文细黑" w:eastAsia="华文细黑" w:hint="default"/>
          <w:b/>
          <w:bCs/>
          <w:spacing w:val="52"/>
          <w:sz w:val="21"/>
          <w:szCs w:val="21"/>
        </w:rPr>
        <w:t> </w:t>
      </w:r>
      <w:r>
        <w:rPr>
          <w:rFonts w:ascii="华文细黑" w:hAnsi="华文细黑" w:cs="华文细黑" w:eastAsia="华文细黑" w:hint="default"/>
          <w:b/>
          <w:bCs/>
          <w:sz w:val="21"/>
          <w:szCs w:val="21"/>
        </w:rPr>
        <w:t>关于控股股东与公司的关系</w:t>
      </w:r>
      <w:r>
        <w:rPr>
          <w:rFonts w:ascii="华文细黑" w:hAnsi="华文细黑" w:cs="华文细黑" w:eastAsia="华文细黑" w:hint="default"/>
          <w:b/>
          <w:bCs/>
          <w:w w:val="99"/>
          <w:sz w:val="21"/>
          <w:szCs w:val="21"/>
        </w:rPr>
        <w:t> </w:t>
      </w:r>
      <w:r>
        <w:rPr>
          <w:rFonts w:ascii="华文细黑" w:hAnsi="华文细黑" w:cs="华文细黑" w:eastAsia="华文细黑" w:hint="default"/>
          <w:spacing w:val="-1"/>
          <w:sz w:val="21"/>
          <w:szCs w:val="21"/>
        </w:rPr>
        <w:t>公司拥有完整的业务体系和面向市场独立经营的能力，在业务、资产、人员、财务、机构上独立于控</w:t>
      </w:r>
    </w:p>
    <w:p>
      <w:pPr>
        <w:pStyle w:val="BodyText"/>
        <w:spacing w:line="246" w:lineRule="exact"/>
        <w:ind w:left="154" w:right="0"/>
        <w:jc w:val="left"/>
      </w:pPr>
      <w:r>
        <w:rPr/>
        <w:t>股股东，公司董事会、监事会和股东大会独立运作。公司控股股东没有超越公司股东大会直接或间接干预</w:t>
      </w:r>
    </w:p>
    <w:p>
      <w:pPr>
        <w:spacing w:line="475" w:lineRule="auto" w:before="171"/>
        <w:ind w:left="574" w:right="5082" w:hanging="42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公司的决策和经营活动的行为，不存在占用公司资金的情况。 </w:t>
      </w:r>
      <w:r>
        <w:rPr>
          <w:rFonts w:ascii="华文细黑" w:hAnsi="华文细黑" w:cs="华文细黑" w:eastAsia="华文细黑" w:hint="default"/>
          <w:b/>
          <w:bCs/>
          <w:sz w:val="21"/>
          <w:szCs w:val="21"/>
        </w:rPr>
        <w:t>3</w:t>
      </w:r>
      <w:r>
        <w:rPr>
          <w:rFonts w:ascii="华文细黑" w:hAnsi="华文细黑" w:cs="华文细黑" w:eastAsia="华文细黑" w:hint="default"/>
          <w:b/>
          <w:bCs/>
          <w:sz w:val="21"/>
          <w:szCs w:val="21"/>
        </w:rPr>
        <w:t>、</w:t>
      </w:r>
      <w:r>
        <w:rPr>
          <w:rFonts w:ascii="华文细黑" w:hAnsi="华文细黑" w:cs="华文细黑" w:eastAsia="华文细黑" w:hint="default"/>
          <w:b/>
          <w:bCs/>
          <w:spacing w:val="51"/>
          <w:sz w:val="21"/>
          <w:szCs w:val="21"/>
        </w:rPr>
        <w:t> </w:t>
      </w:r>
      <w:r>
        <w:rPr>
          <w:rFonts w:ascii="华文细黑" w:hAnsi="华文细黑" w:cs="华文细黑" w:eastAsia="华文细黑" w:hint="default"/>
          <w:b/>
          <w:bCs/>
          <w:sz w:val="21"/>
          <w:szCs w:val="21"/>
        </w:rPr>
        <w:t>关于董事和董事会</w:t>
      </w:r>
      <w:r>
        <w:rPr>
          <w:rFonts w:ascii="华文细黑" w:hAnsi="华文细黑" w:cs="华文细黑" w:eastAsia="华文细黑" w:hint="default"/>
          <w:sz w:val="21"/>
          <w:szCs w:val="21"/>
        </w:rPr>
      </w:r>
    </w:p>
    <w:p>
      <w:pPr>
        <w:pStyle w:val="BodyText"/>
        <w:spacing w:line="379" w:lineRule="auto" w:before="69"/>
        <w:ind w:left="154" w:right="1023" w:firstLine="420"/>
        <w:jc w:val="left"/>
      </w:pPr>
      <w:r>
        <w:rPr/>
        <w:t>公司董事的选聘程序公开、公平、公正；截止本报告披露日公司有董事</w:t>
      </w:r>
      <w:r>
        <w:rPr>
          <w:rFonts w:ascii="华文细黑" w:hAnsi="华文细黑" w:cs="华文细黑" w:eastAsia="华文细黑" w:hint="default"/>
        </w:rPr>
        <w:t>7</w:t>
      </w:r>
      <w:r>
        <w:rPr/>
        <w:t>名，其中独立董事</w:t>
      </w:r>
      <w:r>
        <w:rPr>
          <w:rFonts w:ascii="华文细黑" w:hAnsi="华文细黑" w:cs="华文细黑" w:eastAsia="华文细黑" w:hint="default"/>
        </w:rPr>
        <w:t>3</w:t>
      </w:r>
      <w:r>
        <w:rPr/>
        <w:t>名，董事 </w:t>
      </w:r>
      <w:r>
        <w:rPr>
          <w:spacing w:val="-6"/>
        </w:rPr>
        <w:t>会的人数及人员构成符合法律法规的要求。董事会能够严格按照《公司法》、《公司章程》和《董事会议事</w:t>
      </w:r>
      <w:r>
        <w:rPr>
          <w:spacing w:val="-7"/>
        </w:rPr>
        <w:t> </w:t>
      </w:r>
      <w:r>
        <w:rPr>
          <w:spacing w:val="-7"/>
        </w:rPr>
      </w:r>
      <w:r>
        <w:rPr>
          <w:spacing w:val="-3"/>
        </w:rPr>
        <w:t>规则》等法律法规和制度的要求开展工作。公司董事诚信、勤勉地履行职责，亲自出席董事会和股东大会，</w:t>
      </w:r>
      <w:r>
        <w:rPr>
          <w:spacing w:val="-44"/>
        </w:rPr>
        <w:t> </w:t>
      </w:r>
      <w:r>
        <w:rPr>
          <w:spacing w:val="-44"/>
        </w:rPr>
      </w:r>
      <w:r>
        <w:rPr/>
        <w:t>积极参加由深圳证监局及深圳证券交易所组织的相关培训，熟悉有关法律法规，并能够不受影响地独立履</w:t>
      </w:r>
      <w:r>
        <w:rPr/>
        <w:t> 行职责。公司董事会下设战略委员会、提名委员会、审计委员会、薪酬与考核委员会四个专门委员会，为</w:t>
      </w:r>
    </w:p>
    <w:p>
      <w:pPr>
        <w:spacing w:after="0" w:line="379" w:lineRule="auto"/>
        <w:jc w:val="left"/>
        <w:sectPr>
          <w:pgSz w:w="11910" w:h="16840"/>
          <w:pgMar w:header="917" w:footer="1019" w:top="1100" w:bottom="1200" w:left="980" w:right="0"/>
        </w:sectPr>
      </w:pPr>
    </w:p>
    <w:p>
      <w:pPr>
        <w:spacing w:line="240" w:lineRule="auto" w:before="7"/>
        <w:rPr>
          <w:rFonts w:ascii="华文细黑" w:hAnsi="华文细黑" w:cs="华文细黑" w:eastAsia="华文细黑" w:hint="default"/>
          <w:sz w:val="26"/>
          <w:szCs w:val="26"/>
        </w:rPr>
      </w:pPr>
    </w:p>
    <w:p>
      <w:pPr>
        <w:spacing w:line="475" w:lineRule="auto" w:before="10"/>
        <w:ind w:left="574" w:right="7182" w:hanging="42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董事会的决策提供专业的意见和参考。 </w:t>
      </w:r>
      <w:r>
        <w:rPr>
          <w:rFonts w:ascii="华文细黑" w:hAnsi="华文细黑" w:cs="华文细黑" w:eastAsia="华文细黑" w:hint="default"/>
          <w:b/>
          <w:bCs/>
          <w:sz w:val="21"/>
          <w:szCs w:val="21"/>
        </w:rPr>
        <w:t>4</w:t>
      </w:r>
      <w:r>
        <w:rPr>
          <w:rFonts w:ascii="华文细黑" w:hAnsi="华文细黑" w:cs="华文细黑" w:eastAsia="华文细黑" w:hint="default"/>
          <w:b/>
          <w:bCs/>
          <w:sz w:val="21"/>
          <w:szCs w:val="21"/>
        </w:rPr>
        <w:t>、</w:t>
      </w:r>
      <w:r>
        <w:rPr>
          <w:rFonts w:ascii="华文细黑" w:hAnsi="华文细黑" w:cs="华文细黑" w:eastAsia="华文细黑" w:hint="default"/>
          <w:b/>
          <w:bCs/>
          <w:spacing w:val="51"/>
          <w:sz w:val="21"/>
          <w:szCs w:val="21"/>
        </w:rPr>
        <w:t> </w:t>
      </w:r>
      <w:r>
        <w:rPr>
          <w:rFonts w:ascii="华文细黑" w:hAnsi="华文细黑" w:cs="华文细黑" w:eastAsia="华文细黑" w:hint="default"/>
          <w:b/>
          <w:bCs/>
          <w:sz w:val="21"/>
          <w:szCs w:val="21"/>
        </w:rPr>
        <w:t>关于监事和监事会</w:t>
      </w:r>
      <w:r>
        <w:rPr>
          <w:rFonts w:ascii="华文细黑" w:hAnsi="华文细黑" w:cs="华文细黑" w:eastAsia="华文细黑" w:hint="default"/>
          <w:sz w:val="21"/>
          <w:szCs w:val="21"/>
        </w:rPr>
      </w:r>
    </w:p>
    <w:p>
      <w:pPr>
        <w:pStyle w:val="BodyText"/>
        <w:spacing w:line="379" w:lineRule="auto" w:before="70"/>
        <w:ind w:left="154" w:right="1132" w:firstLine="420"/>
        <w:jc w:val="both"/>
      </w:pPr>
      <w:r>
        <w:rPr>
          <w:spacing w:val="-4"/>
        </w:rPr>
        <w:t>公司严格按照《公司法》、《公司章程》的规定选举产生股东代表监事</w:t>
      </w:r>
      <w:r>
        <w:rPr>
          <w:rFonts w:ascii="华文细黑" w:hAnsi="华文细黑" w:cs="华文细黑" w:eastAsia="华文细黑" w:hint="default"/>
          <w:spacing w:val="-4"/>
        </w:rPr>
        <w:t>2</w:t>
      </w:r>
      <w:r>
        <w:rPr>
          <w:spacing w:val="-4"/>
        </w:rPr>
        <w:t>名，通过职工代表大会选举了</w:t>
      </w:r>
      <w:r>
        <w:rPr/>
        <w:t> </w:t>
      </w:r>
      <w:r>
        <w:rPr>
          <w:spacing w:val="-4"/>
        </w:rPr>
        <w:t>职工代表监事</w:t>
      </w:r>
      <w:r>
        <w:rPr>
          <w:rFonts w:ascii="华文细黑" w:hAnsi="华文细黑" w:cs="华文细黑" w:eastAsia="华文细黑" w:hint="default"/>
          <w:spacing w:val="-4"/>
        </w:rPr>
        <w:t>1</w:t>
      </w:r>
      <w:r>
        <w:rPr>
          <w:spacing w:val="-4"/>
        </w:rPr>
        <w:t>名，监事会的人数及构成符合法律、法规的要求；公司各位监事严格按照《公司法》、《公</w:t>
      </w:r>
      <w:r>
        <w:rPr>
          <w:spacing w:val="-16"/>
        </w:rPr>
        <w:t> </w:t>
      </w:r>
      <w:r>
        <w:rPr>
          <w:spacing w:val="-16"/>
        </w:rPr>
      </w:r>
      <w:r>
        <w:rPr>
          <w:spacing w:val="-1"/>
        </w:rPr>
        <w:t>司章程》和《监事会议事规则》的有关规定认真履行职责，监事会对公司财务状况、重大事项以及公司董</w:t>
      </w:r>
      <w:r>
        <w:rPr>
          <w:spacing w:val="-31"/>
        </w:rPr>
        <w:t> </w:t>
      </w:r>
      <w:r>
        <w:rPr>
          <w:spacing w:val="-31"/>
        </w:rPr>
      </w:r>
      <w:r>
        <w:rPr/>
        <w:t>事及高级管理人员履行职责的合法、合规性进行监督，维护公司及股东的合法权益。</w:t>
      </w:r>
    </w:p>
    <w:p>
      <w:pPr>
        <w:spacing w:line="475" w:lineRule="auto" w:before="160"/>
        <w:ind w:left="574" w:right="1116" w:firstLine="0"/>
        <w:jc w:val="left"/>
        <w:rPr>
          <w:rFonts w:ascii="华文细黑" w:hAnsi="华文细黑" w:cs="华文细黑" w:eastAsia="华文细黑" w:hint="default"/>
          <w:sz w:val="21"/>
          <w:szCs w:val="21"/>
        </w:rPr>
      </w:pPr>
      <w:r>
        <w:rPr>
          <w:rFonts w:ascii="华文细黑" w:hAnsi="华文细黑" w:cs="华文细黑" w:eastAsia="华文细黑" w:hint="default"/>
          <w:b/>
          <w:bCs/>
          <w:sz w:val="21"/>
          <w:szCs w:val="21"/>
        </w:rPr>
        <w:t>5</w:t>
      </w:r>
      <w:r>
        <w:rPr>
          <w:rFonts w:ascii="华文细黑" w:hAnsi="华文细黑" w:cs="华文细黑" w:eastAsia="华文细黑" w:hint="default"/>
          <w:b/>
          <w:bCs/>
          <w:sz w:val="21"/>
          <w:szCs w:val="21"/>
        </w:rPr>
        <w:t>、</w:t>
      </w:r>
      <w:r>
        <w:rPr>
          <w:rFonts w:ascii="华文细黑" w:hAnsi="华文细黑" w:cs="华文细黑" w:eastAsia="华文细黑" w:hint="default"/>
          <w:b/>
          <w:bCs/>
          <w:spacing w:val="52"/>
          <w:sz w:val="21"/>
          <w:szCs w:val="21"/>
        </w:rPr>
        <w:t> </w:t>
      </w:r>
      <w:r>
        <w:rPr>
          <w:rFonts w:ascii="华文细黑" w:hAnsi="华文细黑" w:cs="华文细黑" w:eastAsia="华文细黑" w:hint="default"/>
          <w:b/>
          <w:bCs/>
          <w:sz w:val="21"/>
          <w:szCs w:val="21"/>
        </w:rPr>
        <w:t>关于绩效评价与激励约束机制</w:t>
      </w:r>
      <w:r>
        <w:rPr>
          <w:rFonts w:ascii="华文细黑" w:hAnsi="华文细黑" w:cs="华文细黑" w:eastAsia="华文细黑" w:hint="default"/>
          <w:b/>
          <w:bCs/>
          <w:w w:val="99"/>
          <w:sz w:val="21"/>
          <w:szCs w:val="21"/>
        </w:rPr>
        <w:t> </w:t>
      </w:r>
      <w:r>
        <w:rPr>
          <w:rFonts w:ascii="华文细黑" w:hAnsi="华文细黑" w:cs="华文细黑" w:eastAsia="华文细黑" w:hint="default"/>
          <w:spacing w:val="-1"/>
          <w:sz w:val="21"/>
          <w:szCs w:val="21"/>
        </w:rPr>
        <w:t>公司建立了公正透明的高级管理人员的绩效评价标准和程序，建立了高级管理人员的薪酬与公司绩效</w:t>
      </w:r>
    </w:p>
    <w:p>
      <w:pPr>
        <w:pStyle w:val="BodyText"/>
        <w:spacing w:line="246" w:lineRule="exact"/>
        <w:ind w:left="154" w:right="0"/>
        <w:jc w:val="both"/>
      </w:pPr>
      <w:r>
        <w:rPr/>
        <w:t>相联系的激励机制，与公司高级管理人员签订岗位目标责任书，并以量化的考核指标定期对高级管理人员</w:t>
      </w:r>
    </w:p>
    <w:p>
      <w:pPr>
        <w:pStyle w:val="BodyText"/>
        <w:spacing w:line="379" w:lineRule="auto" w:before="171"/>
        <w:ind w:left="154" w:right="1131"/>
        <w:jc w:val="both"/>
      </w:pPr>
      <w:r>
        <w:rPr>
          <w:spacing w:val="-1"/>
        </w:rPr>
        <w:t>进行业绩考核，保持了高级管理人员的稳定性。公司高级管理人员的任免履行了法定的程序，严格按照有</w:t>
      </w:r>
      <w:r>
        <w:rPr>
          <w:spacing w:val="-31"/>
        </w:rPr>
        <w:t> </w:t>
      </w:r>
      <w:r>
        <w:rPr>
          <w:spacing w:val="-31"/>
        </w:rPr>
      </w:r>
      <w:r>
        <w:rPr/>
        <w:t>关法律法规和《公司章程》的规定进行。</w:t>
      </w:r>
    </w:p>
    <w:p>
      <w:pPr>
        <w:pStyle w:val="BodyText"/>
        <w:spacing w:line="475" w:lineRule="auto" w:before="160"/>
        <w:ind w:left="574" w:right="1017"/>
        <w:jc w:val="left"/>
      </w:pPr>
      <w:r>
        <w:rPr>
          <w:rFonts w:ascii="华文细黑" w:hAnsi="华文细黑" w:cs="华文细黑" w:eastAsia="华文细黑" w:hint="default"/>
          <w:b/>
          <w:bCs/>
        </w:rPr>
        <w:t>6</w:t>
      </w:r>
      <w:r>
        <w:rPr>
          <w:rFonts w:ascii="华文细黑" w:hAnsi="华文细黑" w:cs="华文细黑" w:eastAsia="华文细黑" w:hint="default"/>
          <w:b/>
          <w:bCs/>
        </w:rPr>
        <w:t>、</w:t>
      </w:r>
      <w:r>
        <w:rPr>
          <w:rFonts w:ascii="华文细黑" w:hAnsi="华文细黑" w:cs="华文细黑" w:eastAsia="华文细黑" w:hint="default"/>
          <w:b/>
          <w:bCs/>
          <w:spacing w:val="52"/>
        </w:rPr>
        <w:t> </w:t>
      </w:r>
      <w:r>
        <w:rPr>
          <w:rFonts w:ascii="华文细黑" w:hAnsi="华文细黑" w:cs="华文细黑" w:eastAsia="华文细黑" w:hint="default"/>
          <w:b/>
          <w:bCs/>
        </w:rPr>
        <w:t>关于相关利益者</w:t>
      </w:r>
      <w:r>
        <w:rPr>
          <w:rFonts w:ascii="华文细黑" w:hAnsi="华文细黑" w:cs="华文细黑" w:eastAsia="华文细黑" w:hint="default"/>
          <w:b/>
          <w:bCs/>
          <w:w w:val="99"/>
        </w:rPr>
        <w:t> </w:t>
      </w:r>
      <w:r>
        <w:rPr>
          <w:spacing w:val="-3"/>
        </w:rPr>
        <w:t>公司能够充分尊重和维护相关利益者的合法权益，加强与相关利益者合作，加强与各方的沟通和交流，</w:t>
      </w:r>
    </w:p>
    <w:p>
      <w:pPr>
        <w:pStyle w:val="BodyText"/>
        <w:spacing w:line="246" w:lineRule="exact"/>
        <w:ind w:left="154" w:right="0"/>
        <w:jc w:val="both"/>
      </w:pPr>
      <w:r>
        <w:rPr/>
        <w:t>在创造利润最大化的同时，实现社会、股东、员工等各方利益的协调平衡，以推动公司持续、稳定、健康</w:t>
      </w:r>
    </w:p>
    <w:p>
      <w:pPr>
        <w:pStyle w:val="BodyText"/>
        <w:spacing w:line="240" w:lineRule="auto" w:before="171"/>
        <w:ind w:left="154" w:right="0"/>
        <w:jc w:val="both"/>
      </w:pPr>
      <w:r>
        <w:rPr/>
        <w:t>地发展。</w:t>
      </w:r>
    </w:p>
    <w:p>
      <w:pPr>
        <w:spacing w:line="240" w:lineRule="auto" w:before="9"/>
        <w:rPr>
          <w:rFonts w:ascii="华文细黑" w:hAnsi="华文细黑" w:cs="华文细黑" w:eastAsia="华文细黑" w:hint="default"/>
          <w:sz w:val="20"/>
          <w:szCs w:val="20"/>
        </w:rPr>
      </w:pPr>
    </w:p>
    <w:p>
      <w:pPr>
        <w:spacing w:line="475" w:lineRule="auto" w:before="0"/>
        <w:ind w:left="574" w:right="1116" w:firstLine="0"/>
        <w:jc w:val="left"/>
        <w:rPr>
          <w:rFonts w:ascii="华文细黑" w:hAnsi="华文细黑" w:cs="华文细黑" w:eastAsia="华文细黑" w:hint="default"/>
          <w:sz w:val="21"/>
          <w:szCs w:val="21"/>
        </w:rPr>
      </w:pPr>
      <w:r>
        <w:rPr>
          <w:rFonts w:ascii="华文细黑" w:hAnsi="华文细黑" w:cs="华文细黑" w:eastAsia="华文细黑" w:hint="default"/>
          <w:b/>
          <w:bCs/>
          <w:sz w:val="21"/>
          <w:szCs w:val="21"/>
        </w:rPr>
        <w:t>7</w:t>
      </w:r>
      <w:r>
        <w:rPr>
          <w:rFonts w:ascii="华文细黑" w:hAnsi="华文细黑" w:cs="华文细黑" w:eastAsia="华文细黑" w:hint="default"/>
          <w:b/>
          <w:bCs/>
          <w:sz w:val="21"/>
          <w:szCs w:val="21"/>
        </w:rPr>
        <w:t>、</w:t>
      </w:r>
      <w:r>
        <w:rPr>
          <w:rFonts w:ascii="华文细黑" w:hAnsi="华文细黑" w:cs="华文细黑" w:eastAsia="华文细黑" w:hint="default"/>
          <w:b/>
          <w:bCs/>
          <w:spacing w:val="52"/>
          <w:sz w:val="21"/>
          <w:szCs w:val="21"/>
        </w:rPr>
        <w:t> </w:t>
      </w:r>
      <w:r>
        <w:rPr>
          <w:rFonts w:ascii="华文细黑" w:hAnsi="华文细黑" w:cs="华文细黑" w:eastAsia="华文细黑" w:hint="default"/>
          <w:b/>
          <w:bCs/>
          <w:sz w:val="21"/>
          <w:szCs w:val="21"/>
        </w:rPr>
        <w:t>关于信息披露与透明度</w:t>
      </w:r>
      <w:r>
        <w:rPr>
          <w:rFonts w:ascii="华文细黑" w:hAnsi="华文细黑" w:cs="华文细黑" w:eastAsia="华文细黑" w:hint="default"/>
          <w:b/>
          <w:bCs/>
          <w:w w:val="99"/>
          <w:sz w:val="21"/>
          <w:szCs w:val="21"/>
        </w:rPr>
        <w:t> </w:t>
      </w:r>
      <w:r>
        <w:rPr>
          <w:rFonts w:ascii="华文细黑" w:hAnsi="华文细黑" w:cs="华文细黑" w:eastAsia="华文细黑" w:hint="default"/>
          <w:spacing w:val="-6"/>
          <w:sz w:val="21"/>
          <w:szCs w:val="21"/>
        </w:rPr>
        <w:t>公司严格按照《信息披露事务管理制度》、《投资者关系管理制度》和《重大信息内部报告制度》的相</w:t>
      </w:r>
    </w:p>
    <w:p>
      <w:pPr>
        <w:pStyle w:val="BodyText"/>
        <w:spacing w:line="246" w:lineRule="exact"/>
        <w:ind w:left="154" w:right="0"/>
        <w:jc w:val="both"/>
      </w:pPr>
      <w:r>
        <w:rPr/>
        <w:t>关规定，确定了信息披露的基本原则、信息披露义务人和职责、信息披露的内容、信息的提供与收集、信</w:t>
      </w:r>
    </w:p>
    <w:p>
      <w:pPr>
        <w:pStyle w:val="BodyText"/>
        <w:spacing w:line="240" w:lineRule="auto" w:before="171"/>
        <w:ind w:left="154" w:right="0"/>
        <w:jc w:val="both"/>
      </w:pPr>
      <w:r>
        <w:rPr>
          <w:spacing w:val="18"/>
        </w:rPr>
        <w:t>息披露的</w:t>
      </w:r>
      <w:r>
        <w:rPr>
          <w:spacing w:val="20"/>
        </w:rPr>
        <w:t>程</w:t>
      </w:r>
      <w:r>
        <w:rPr>
          <w:spacing w:val="18"/>
        </w:rPr>
        <w:t>序</w:t>
      </w:r>
      <w:r>
        <w:rPr/>
        <w:t>、</w:t>
      </w:r>
      <w:r>
        <w:rPr>
          <w:spacing w:val="-34"/>
        </w:rPr>
        <w:t> </w:t>
      </w:r>
      <w:r>
        <w:rPr>
          <w:spacing w:val="18"/>
        </w:rPr>
        <w:t>信息</w:t>
      </w:r>
      <w:r>
        <w:rPr>
          <w:spacing w:val="20"/>
        </w:rPr>
        <w:t>披</w:t>
      </w:r>
      <w:r>
        <w:rPr>
          <w:spacing w:val="18"/>
        </w:rPr>
        <w:t>露方式及</w:t>
      </w:r>
      <w:r>
        <w:rPr>
          <w:spacing w:val="20"/>
        </w:rPr>
        <w:t>保</w:t>
      </w:r>
      <w:r>
        <w:rPr>
          <w:spacing w:val="18"/>
        </w:rPr>
        <w:t>密措施</w:t>
      </w:r>
      <w:r>
        <w:rPr/>
        <w:t>。</w:t>
      </w:r>
      <w:r>
        <w:rPr>
          <w:spacing w:val="-34"/>
        </w:rPr>
        <w:t> </w:t>
      </w:r>
      <w:r>
        <w:rPr>
          <w:spacing w:val="20"/>
        </w:rPr>
        <w:t>公</w:t>
      </w:r>
      <w:r>
        <w:rPr>
          <w:spacing w:val="18"/>
        </w:rPr>
        <w:t>司指定</w:t>
      </w:r>
      <w:r>
        <w:rPr/>
        <w:t>《</w:t>
      </w:r>
      <w:r>
        <w:rPr>
          <w:spacing w:val="-34"/>
        </w:rPr>
        <w:t> </w:t>
      </w:r>
      <w:r>
        <w:rPr>
          <w:spacing w:val="20"/>
        </w:rPr>
        <w:t>中</w:t>
      </w:r>
      <w:r>
        <w:rPr>
          <w:spacing w:val="18"/>
        </w:rPr>
        <w:t>国证券</w:t>
      </w:r>
      <w:r>
        <w:rPr/>
        <w:t>报</w:t>
      </w:r>
      <w:r>
        <w:rPr>
          <w:spacing w:val="-34"/>
        </w:rPr>
        <w:t> </w:t>
      </w:r>
      <w:r>
        <w:rPr>
          <w:spacing w:val="-86"/>
        </w:rPr>
        <w:t>》、</w:t>
      </w:r>
      <w:r>
        <w:rPr/>
        <w:t>《</w:t>
      </w:r>
      <w:r>
        <w:rPr>
          <w:spacing w:val="-34"/>
        </w:rPr>
        <w:t> </w:t>
      </w:r>
      <w:r>
        <w:rPr>
          <w:spacing w:val="18"/>
        </w:rPr>
        <w:t>证券时</w:t>
      </w:r>
      <w:r>
        <w:rPr>
          <w:spacing w:val="20"/>
        </w:rPr>
        <w:t>报</w:t>
      </w:r>
      <w:r>
        <w:rPr/>
        <w:t>》</w:t>
      </w:r>
      <w:r>
        <w:rPr>
          <w:spacing w:val="-34"/>
        </w:rPr>
        <w:t> </w:t>
      </w:r>
      <w:r>
        <w:rPr>
          <w:spacing w:val="18"/>
        </w:rPr>
        <w:t>和巨潮</w:t>
      </w:r>
      <w:r>
        <w:rPr>
          <w:spacing w:val="20"/>
        </w:rPr>
        <w:t>资讯</w:t>
      </w:r>
      <w:r>
        <w:rPr/>
        <w:t>网</w:t>
      </w:r>
    </w:p>
    <w:p>
      <w:pPr>
        <w:pStyle w:val="BodyText"/>
        <w:spacing w:line="379" w:lineRule="auto" w:before="171"/>
        <w:ind w:left="154" w:right="1132"/>
        <w:jc w:val="both"/>
      </w:pPr>
      <w:r>
        <w:rPr/>
        <w:t>（</w:t>
      </w:r>
      <w:hyperlink r:id="rId21">
        <w:r>
          <w:rPr>
            <w:rFonts w:ascii="华文细黑" w:hAnsi="华文细黑" w:cs="华文细黑" w:eastAsia="华文细黑" w:hint="default"/>
          </w:rPr>
          <w:t>www.cninfo.com.cn</w:t>
        </w:r>
      </w:hyperlink>
      <w:r>
        <w:rPr/>
        <w:t>）为公司信息披露的媒体。公司指定董事会秘书负责信息披露工作、接待投资者</w:t>
      </w:r>
      <w:r>
        <w:rPr>
          <w:spacing w:val="-48"/>
        </w:rPr>
        <w:t> </w:t>
      </w:r>
      <w:r>
        <w:rPr>
          <w:spacing w:val="-48"/>
        </w:rPr>
      </w:r>
      <w:r>
        <w:rPr>
          <w:spacing w:val="-1"/>
        </w:rPr>
        <w:t>的来访和咨询，公平对待所有投资者，真实、准确、完整、及时地进行信息披露，提高公司透明度，保障</w:t>
      </w:r>
      <w:r>
        <w:rPr>
          <w:spacing w:val="-33"/>
        </w:rPr>
        <w:t> </w:t>
      </w:r>
      <w:r>
        <w:rPr>
          <w:spacing w:val="-33"/>
        </w:rPr>
      </w:r>
      <w:r>
        <w:rPr/>
        <w:t>全体股东的合法权益。</w:t>
      </w:r>
    </w:p>
    <w:p>
      <w:pPr>
        <w:spacing w:line="475" w:lineRule="auto" w:before="160"/>
        <w:ind w:left="574" w:right="1116" w:firstLine="0"/>
        <w:jc w:val="left"/>
        <w:rPr>
          <w:rFonts w:ascii="华文细黑" w:hAnsi="华文细黑" w:cs="华文细黑" w:eastAsia="华文细黑" w:hint="default"/>
          <w:sz w:val="21"/>
          <w:szCs w:val="21"/>
        </w:rPr>
      </w:pPr>
      <w:r>
        <w:rPr>
          <w:rFonts w:ascii="华文细黑" w:hAnsi="华文细黑" w:cs="华文细黑" w:eastAsia="华文细黑" w:hint="default"/>
          <w:b/>
          <w:bCs/>
          <w:sz w:val="21"/>
          <w:szCs w:val="21"/>
        </w:rPr>
        <w:t>8</w:t>
      </w:r>
      <w:r>
        <w:rPr>
          <w:rFonts w:ascii="华文细黑" w:hAnsi="华文细黑" w:cs="华文细黑" w:eastAsia="华文细黑" w:hint="default"/>
          <w:b/>
          <w:bCs/>
          <w:sz w:val="21"/>
          <w:szCs w:val="21"/>
        </w:rPr>
        <w:t>、</w:t>
      </w:r>
      <w:r>
        <w:rPr>
          <w:rFonts w:ascii="华文细黑" w:hAnsi="华文细黑" w:cs="华文细黑" w:eastAsia="华文细黑" w:hint="default"/>
          <w:b/>
          <w:bCs/>
          <w:spacing w:val="52"/>
          <w:sz w:val="21"/>
          <w:szCs w:val="21"/>
        </w:rPr>
        <w:t> </w:t>
      </w:r>
      <w:r>
        <w:rPr>
          <w:rFonts w:ascii="华文细黑" w:hAnsi="华文细黑" w:cs="华文细黑" w:eastAsia="华文细黑" w:hint="default"/>
          <w:b/>
          <w:bCs/>
          <w:sz w:val="21"/>
          <w:szCs w:val="21"/>
        </w:rPr>
        <w:t>关于内部控制制度</w:t>
      </w:r>
      <w:r>
        <w:rPr>
          <w:rFonts w:ascii="华文细黑" w:hAnsi="华文细黑" w:cs="华文细黑" w:eastAsia="华文细黑" w:hint="default"/>
          <w:b/>
          <w:bCs/>
          <w:w w:val="99"/>
          <w:sz w:val="21"/>
          <w:szCs w:val="21"/>
        </w:rPr>
        <w:t> </w:t>
      </w:r>
      <w:r>
        <w:rPr>
          <w:rFonts w:ascii="华文细黑" w:hAnsi="华文细黑" w:cs="华文细黑" w:eastAsia="华文细黑" w:hint="default"/>
          <w:spacing w:val="-1"/>
          <w:sz w:val="21"/>
          <w:szCs w:val="21"/>
        </w:rPr>
        <w:t>公司已经建立了内部审计制度，设置内部审计部门，内部审计部门对公司日常运行、内控制度和公司</w:t>
      </w:r>
    </w:p>
    <w:p>
      <w:pPr>
        <w:pStyle w:val="BodyText"/>
        <w:spacing w:line="246" w:lineRule="exact"/>
        <w:ind w:left="154" w:right="0"/>
        <w:jc w:val="both"/>
      </w:pPr>
      <w:r>
        <w:rPr/>
        <w:t>重大关联交易等重大事项进行有效控制。</w:t>
      </w:r>
    </w:p>
    <w:p>
      <w:pPr>
        <w:spacing w:line="240" w:lineRule="auto" w:before="9"/>
        <w:rPr>
          <w:rFonts w:ascii="华文细黑" w:hAnsi="华文细黑" w:cs="华文细黑" w:eastAsia="华文细黑" w:hint="default"/>
          <w:sz w:val="20"/>
          <w:szCs w:val="20"/>
        </w:rPr>
      </w:pPr>
    </w:p>
    <w:p>
      <w:pPr>
        <w:pStyle w:val="BodyText"/>
        <w:spacing w:line="379" w:lineRule="auto"/>
        <w:ind w:left="154" w:right="1131" w:firstLine="420"/>
        <w:jc w:val="both"/>
      </w:pPr>
      <w:r>
        <w:rPr>
          <w:spacing w:val="-1"/>
        </w:rPr>
        <w:t>报告期内，公司修订了《公司章程》，进一步完善了公司内部控制制度。目前，公司各项制度已涵盖</w:t>
      </w:r>
      <w:r>
        <w:rPr/>
        <w:t> </w:t>
      </w:r>
      <w:r>
        <w:rPr>
          <w:spacing w:val="-1"/>
        </w:rPr>
        <w:t>管理、经营、财务、信息披露、内部审计、风险控制等方面，为公司的规范运作与健康发展提供了良好的</w:t>
      </w:r>
    </w:p>
    <w:p>
      <w:pPr>
        <w:spacing w:after="0" w:line="379" w:lineRule="auto"/>
        <w:jc w:val="both"/>
        <w:sectPr>
          <w:pgSz w:w="11910" w:h="16840"/>
          <w:pgMar w:header="917" w:footer="1019" w:top="1100" w:bottom="1200" w:left="980" w:right="0"/>
        </w:sectPr>
      </w:pPr>
    </w:p>
    <w:p>
      <w:pPr>
        <w:spacing w:line="240" w:lineRule="auto" w:before="7"/>
        <w:rPr>
          <w:rFonts w:ascii="华文细黑" w:hAnsi="华文细黑" w:cs="华文细黑" w:eastAsia="华文细黑" w:hint="default"/>
          <w:sz w:val="26"/>
          <w:szCs w:val="26"/>
        </w:rPr>
      </w:pPr>
    </w:p>
    <w:p>
      <w:pPr>
        <w:pStyle w:val="BodyText"/>
        <w:spacing w:line="240" w:lineRule="auto" w:before="10"/>
        <w:ind w:left="154" w:right="1217"/>
        <w:jc w:val="left"/>
      </w:pPr>
      <w:r>
        <w:rPr/>
        <w:t>制度保障。</w:t>
      </w:r>
    </w:p>
    <w:p>
      <w:pPr>
        <w:spacing w:line="240" w:lineRule="auto" w:before="9"/>
        <w:rPr>
          <w:rFonts w:ascii="华文细黑" w:hAnsi="华文细黑" w:cs="华文细黑" w:eastAsia="华文细黑" w:hint="default"/>
          <w:sz w:val="20"/>
          <w:szCs w:val="20"/>
        </w:rPr>
      </w:pPr>
    </w:p>
    <w:p>
      <w:pPr>
        <w:spacing w:line="475" w:lineRule="auto" w:before="0"/>
        <w:ind w:left="574" w:right="1136" w:firstLine="0"/>
        <w:jc w:val="left"/>
        <w:rPr>
          <w:rFonts w:ascii="华文细黑" w:hAnsi="华文细黑" w:cs="华文细黑" w:eastAsia="华文细黑" w:hint="default"/>
          <w:sz w:val="21"/>
          <w:szCs w:val="21"/>
        </w:rPr>
      </w:pPr>
      <w:r>
        <w:rPr>
          <w:rFonts w:ascii="华文细黑" w:hAnsi="华文细黑" w:cs="华文细黑" w:eastAsia="华文细黑" w:hint="default"/>
          <w:b/>
          <w:bCs/>
          <w:sz w:val="21"/>
          <w:szCs w:val="21"/>
        </w:rPr>
        <w:t>9</w:t>
      </w:r>
      <w:r>
        <w:rPr>
          <w:rFonts w:ascii="华文细黑" w:hAnsi="华文细黑" w:cs="华文细黑" w:eastAsia="华文细黑" w:hint="default"/>
          <w:b/>
          <w:bCs/>
          <w:sz w:val="21"/>
          <w:szCs w:val="21"/>
        </w:rPr>
        <w:t>、</w:t>
      </w:r>
      <w:r>
        <w:rPr>
          <w:rFonts w:ascii="华文细黑" w:hAnsi="华文细黑" w:cs="华文细黑" w:eastAsia="华文细黑" w:hint="default"/>
          <w:b/>
          <w:bCs/>
          <w:spacing w:val="52"/>
          <w:sz w:val="21"/>
          <w:szCs w:val="21"/>
        </w:rPr>
        <w:t> </w:t>
      </w:r>
      <w:r>
        <w:rPr>
          <w:rFonts w:ascii="华文细黑" w:hAnsi="华文细黑" w:cs="华文细黑" w:eastAsia="华文细黑" w:hint="default"/>
          <w:b/>
          <w:bCs/>
          <w:sz w:val="21"/>
          <w:szCs w:val="21"/>
        </w:rPr>
        <w:t>公司治理专项活动开展情况以及内幕信息知情人登记管理制度的制定、实施情况</w:t>
      </w:r>
      <w:r>
        <w:rPr>
          <w:rFonts w:ascii="华文细黑" w:hAnsi="华文细黑" w:cs="华文细黑" w:eastAsia="华文细黑" w:hint="default"/>
          <w:b/>
          <w:bCs/>
          <w:w w:val="99"/>
          <w:sz w:val="21"/>
          <w:szCs w:val="21"/>
        </w:rPr>
        <w:t> </w:t>
      </w:r>
      <w:r>
        <w:rPr>
          <w:rFonts w:ascii="华文细黑" w:hAnsi="华文细黑" w:cs="华文细黑" w:eastAsia="华文细黑" w:hint="default"/>
          <w:spacing w:val="-1"/>
          <w:sz w:val="21"/>
          <w:szCs w:val="21"/>
        </w:rPr>
        <w:t>公司已根据中国证监会发布的《关于上市公司建立内幕信息知情人登记管理制度的规定》（证监会公</w:t>
      </w:r>
    </w:p>
    <w:p>
      <w:pPr>
        <w:pStyle w:val="BodyText"/>
        <w:spacing w:line="246" w:lineRule="exact"/>
        <w:ind w:left="154" w:right="0"/>
        <w:jc w:val="left"/>
      </w:pPr>
      <w:r>
        <w:rPr/>
        <w:t>告</w:t>
      </w:r>
      <w:r>
        <w:rPr>
          <w:rFonts w:ascii="华文细黑" w:hAnsi="华文细黑" w:cs="华文细黑" w:eastAsia="华文细黑" w:hint="default"/>
        </w:rPr>
        <w:t>[2011]30</w:t>
      </w:r>
      <w:r>
        <w:rPr/>
        <w:t>号）及深圳证券交易所相关文件的要求，制定了《内幕信息知情人登记制度》和《外部信息报</w:t>
      </w:r>
    </w:p>
    <w:p>
      <w:pPr>
        <w:pStyle w:val="BodyText"/>
        <w:spacing w:line="388" w:lineRule="auto" w:before="171"/>
        <w:ind w:left="154" w:right="1122"/>
        <w:jc w:val="left"/>
      </w:pPr>
      <w:r>
        <w:rPr>
          <w:spacing w:val="-5"/>
        </w:rPr>
        <w:t>送和使用管理制度》，对外部信息使用人就公司内幕信息的保密作出了相关规定，并于</w:t>
      </w:r>
      <w:r>
        <w:rPr>
          <w:rFonts w:ascii="华文细黑" w:hAnsi="华文细黑" w:cs="华文细黑" w:eastAsia="华文细黑" w:hint="default"/>
          <w:spacing w:val="-5"/>
        </w:rPr>
        <w:t>2010</w:t>
      </w:r>
      <w:r>
        <w:rPr>
          <w:spacing w:val="-5"/>
        </w:rPr>
        <w:t>年</w:t>
      </w:r>
      <w:r>
        <w:rPr>
          <w:rFonts w:ascii="华文细黑" w:hAnsi="华文细黑" w:cs="华文细黑" w:eastAsia="华文细黑" w:hint="default"/>
          <w:spacing w:val="-5"/>
        </w:rPr>
        <w:t>8</w:t>
      </w:r>
      <w:r>
        <w:rPr>
          <w:spacing w:val="-5"/>
        </w:rPr>
        <w:t>月</w:t>
      </w:r>
      <w:r>
        <w:rPr>
          <w:rFonts w:ascii="华文细黑" w:hAnsi="华文细黑" w:cs="华文细黑" w:eastAsia="华文细黑" w:hint="default"/>
          <w:spacing w:val="-5"/>
        </w:rPr>
        <w:t>19</w:t>
      </w:r>
      <w:r>
        <w:rPr>
          <w:spacing w:val="-5"/>
        </w:rPr>
        <w:t>日在巨</w:t>
      </w:r>
      <w:r>
        <w:rPr>
          <w:spacing w:val="-12"/>
        </w:rPr>
        <w:t> </w:t>
      </w:r>
      <w:r>
        <w:rPr/>
        <w:t>潮资讯网（</w:t>
      </w:r>
      <w:hyperlink r:id="rId21">
        <w:r>
          <w:rPr>
            <w:rFonts w:ascii="华文细黑" w:hAnsi="华文细黑" w:cs="华文细黑" w:eastAsia="华文细黑" w:hint="default"/>
          </w:rPr>
          <w:t>www.cninfo.com.cn</w:t>
        </w:r>
      </w:hyperlink>
      <w:r>
        <w:rPr/>
        <w:t>）进行披露。报告期内，公司严格按照上述有关规定执行，不存在被监</w:t>
      </w:r>
      <w:r>
        <w:rPr>
          <w:spacing w:val="-50"/>
        </w:rPr>
        <w:t> </w:t>
      </w:r>
      <w:r>
        <w:rPr>
          <w:spacing w:val="-50"/>
        </w:rPr>
      </w:r>
      <w:r>
        <w:rPr/>
        <w:t>管部门采取监管措施或行政处罚的情况，不存在董事、监事和高级管理人员违规买卖公司股票的情况。 公司治理的实际状况与中国证监会发布的有关上市公司治理的规范性文件是否存在重大差异</w:t>
      </w:r>
    </w:p>
    <w:p>
      <w:pPr>
        <w:pStyle w:val="BodyText"/>
        <w:spacing w:line="410" w:lineRule="auto" w:before="71"/>
        <w:ind w:left="154" w:right="2352"/>
        <w:jc w:val="left"/>
      </w:pPr>
      <w:r>
        <w:rPr/>
        <w:t>□ 是 √ 否 公司治理的实际状况与中国证监会发布的有关上市公司治理的规范性文件不存在重大差异。</w:t>
      </w:r>
    </w:p>
    <w:p>
      <w:pPr>
        <w:spacing w:line="240" w:lineRule="auto" w:before="13"/>
        <w:rPr>
          <w:rFonts w:ascii="华文细黑" w:hAnsi="华文细黑" w:cs="华文细黑" w:eastAsia="华文细黑" w:hint="default"/>
          <w:sz w:val="21"/>
          <w:szCs w:val="21"/>
        </w:rPr>
      </w:pPr>
    </w:p>
    <w:p>
      <w:pPr>
        <w:pStyle w:val="Heading2"/>
        <w:spacing w:line="352" w:lineRule="auto"/>
        <w:ind w:left="154" w:right="1116"/>
        <w:jc w:val="left"/>
        <w:rPr>
          <w:b w:val="0"/>
          <w:bCs w:val="0"/>
        </w:rPr>
      </w:pPr>
      <w:bookmarkStart w:name="二、公司相对于控股股东在业务、人员、资产、机构、财务等方面的独立情况" w:id="162"/>
      <w:bookmarkEnd w:id="162"/>
      <w:r>
        <w:rPr>
          <w:b w:val="0"/>
          <w:bCs w:val="0"/>
        </w:rPr>
      </w:r>
      <w:r>
        <w:rPr/>
        <w:t>二、公司相对于控股股东在业务、人员、资产、机构、财务等方面的独立</w:t>
      </w:r>
      <w:r>
        <w:rPr>
          <w:spacing w:val="-54"/>
        </w:rPr>
        <w:t> </w:t>
      </w:r>
      <w:r>
        <w:rPr/>
        <w:t>情况</w:t>
      </w:r>
      <w:r>
        <w:rPr>
          <w:b w:val="0"/>
          <w:bCs w:val="0"/>
        </w:rPr>
      </w:r>
    </w:p>
    <w:p>
      <w:pPr>
        <w:spacing w:line="240" w:lineRule="auto" w:before="10"/>
        <w:rPr>
          <w:rFonts w:ascii="华文细黑" w:hAnsi="华文细黑" w:cs="华文细黑" w:eastAsia="华文细黑" w:hint="default"/>
          <w:b/>
          <w:bCs/>
          <w:sz w:val="24"/>
          <w:szCs w:val="24"/>
        </w:rPr>
      </w:pPr>
    </w:p>
    <w:p>
      <w:pPr>
        <w:pStyle w:val="BodyText"/>
        <w:spacing w:line="475" w:lineRule="auto"/>
        <w:ind w:left="574" w:right="1116"/>
        <w:jc w:val="left"/>
      </w:pPr>
      <w:r>
        <w:rPr/>
        <w:t>公司拥有独立的业务和经营自主能力，在业务、人员、资产、机构、财务等方面独立于控股股东。 </w:t>
      </w:r>
      <w:r>
        <w:rPr>
          <w:spacing w:val="-1"/>
        </w:rPr>
        <w:t>公司在业务、人员、资产、机构、财务上完全独立于控股股东，具有独立的业务、运营体系及经营能</w:t>
      </w:r>
    </w:p>
    <w:p>
      <w:pPr>
        <w:pStyle w:val="BodyText"/>
        <w:spacing w:line="246" w:lineRule="exact"/>
        <w:ind w:left="154" w:right="0"/>
        <w:jc w:val="left"/>
      </w:pPr>
      <w:r>
        <w:rPr/>
        <w:t>力。公司控股股东能严格规范自己的行为，不会越权直接或间接干预公司的决策和经营活动，也不存在占</w:t>
      </w:r>
    </w:p>
    <w:p>
      <w:pPr>
        <w:pStyle w:val="BodyText"/>
        <w:spacing w:line="475" w:lineRule="auto" w:before="171"/>
        <w:ind w:left="574" w:right="1116" w:hanging="420"/>
        <w:jc w:val="left"/>
      </w:pPr>
      <w:r>
        <w:rPr/>
        <w:t>用公司资产的情况。 </w:t>
      </w:r>
      <w:r>
        <w:rPr>
          <w:spacing w:val="-1"/>
        </w:rPr>
        <w:t>报告期内，公司严格按照《公司法》和《公司章程》的有关规定规范运作，逐步健全了公司的法人治</w:t>
      </w:r>
    </w:p>
    <w:p>
      <w:pPr>
        <w:pStyle w:val="BodyText"/>
        <w:spacing w:line="246" w:lineRule="exact"/>
        <w:ind w:left="154" w:right="0"/>
        <w:jc w:val="left"/>
      </w:pPr>
      <w:r>
        <w:rPr/>
        <w:t>理结构，在业务、资产、人员、机构、财务等方面做到了与控股股东分开，具有独立完整的业务及自主经</w:t>
      </w:r>
    </w:p>
    <w:p>
      <w:pPr>
        <w:pStyle w:val="BodyText"/>
        <w:spacing w:line="475" w:lineRule="auto" w:before="171"/>
        <w:ind w:left="574" w:right="1134" w:hanging="420"/>
        <w:jc w:val="left"/>
      </w:pPr>
      <w:r>
        <w:rPr/>
        <w:t>营能力，具体如下： </w:t>
      </w:r>
      <w:r>
        <w:rPr>
          <w:rFonts w:ascii="华文细黑" w:hAnsi="华文细黑" w:cs="华文细黑" w:eastAsia="华文细黑" w:hint="default"/>
        </w:rPr>
        <w:t>1</w:t>
      </w:r>
      <w:r>
        <w:rPr/>
        <w:t>、业务独立方面：公司主要从事智能终端供应链服务，具有完全独立的业务运作系统，主营业务收</w:t>
      </w:r>
    </w:p>
    <w:p>
      <w:pPr>
        <w:pStyle w:val="BodyText"/>
        <w:spacing w:line="246" w:lineRule="exact"/>
        <w:ind w:left="154" w:right="1217"/>
        <w:jc w:val="left"/>
      </w:pPr>
      <w:r>
        <w:rPr/>
        <w:t>入和业务利润完全不依赖于控股股东及其他关联方。</w:t>
      </w:r>
    </w:p>
    <w:p>
      <w:pPr>
        <w:spacing w:line="240" w:lineRule="auto" w:before="9"/>
        <w:rPr>
          <w:rFonts w:ascii="华文细黑" w:hAnsi="华文细黑" w:cs="华文细黑" w:eastAsia="华文细黑" w:hint="default"/>
          <w:sz w:val="20"/>
          <w:szCs w:val="20"/>
        </w:rPr>
      </w:pPr>
    </w:p>
    <w:p>
      <w:pPr>
        <w:pStyle w:val="BodyText"/>
        <w:spacing w:line="379" w:lineRule="auto"/>
        <w:ind w:left="154" w:right="1131" w:firstLine="420"/>
        <w:jc w:val="both"/>
      </w:pPr>
      <w:r>
        <w:rPr>
          <w:rFonts w:ascii="华文细黑" w:hAnsi="华文细黑" w:cs="华文细黑" w:eastAsia="华文细黑" w:hint="default"/>
        </w:rPr>
        <w:t>2</w:t>
      </w:r>
      <w:r>
        <w:rPr/>
        <w:t>、资产完整方面：公司由深圳市爱施德实业有限公司整体变更设立，变更时未进行任何业务和资产 </w:t>
      </w:r>
      <w:r>
        <w:rPr>
          <w:spacing w:val="-1"/>
        </w:rPr>
        <w:t>的剥离，深圳市爱施德实业有限公司的业务、资产、机构及相关债权、债务均已整体进入本公司。公司拥</w:t>
      </w:r>
      <w:r>
        <w:rPr>
          <w:spacing w:val="-31"/>
        </w:rPr>
        <w:t> </w:t>
      </w:r>
      <w:r>
        <w:rPr>
          <w:spacing w:val="-31"/>
        </w:rPr>
      </w:r>
      <w:r>
        <w:rPr>
          <w:spacing w:val="-1"/>
        </w:rPr>
        <w:t>有完整的销售系统、支持系统和配套设施；对经营相关资产均合法拥有所有权或使用权；具有独立的产品</w:t>
      </w:r>
      <w:r>
        <w:rPr>
          <w:spacing w:val="-31"/>
        </w:rPr>
        <w:t> </w:t>
      </w:r>
      <w:r>
        <w:rPr>
          <w:spacing w:val="-31"/>
        </w:rPr>
      </w:r>
      <w:r>
        <w:rPr>
          <w:spacing w:val="-1"/>
        </w:rPr>
        <w:t>采购和产品销售系统。公司与股东之间的资产产权界定清晰，生产经营场所独立，不存在依靠股东的经营</w:t>
      </w:r>
      <w:r>
        <w:rPr>
          <w:spacing w:val="-31"/>
        </w:rPr>
        <w:t> </w:t>
      </w:r>
      <w:r>
        <w:rPr>
          <w:spacing w:val="-31"/>
        </w:rPr>
      </w:r>
      <w:r>
        <w:rPr>
          <w:spacing w:val="-1"/>
        </w:rPr>
        <w:t>场所进行经营的情况。报告期内，公司没有以资产为各股东的债务提供担保，公司对所有资产拥有完全的</w:t>
      </w:r>
    </w:p>
    <w:p>
      <w:pPr>
        <w:spacing w:after="0" w:line="379" w:lineRule="auto"/>
        <w:jc w:val="both"/>
        <w:sectPr>
          <w:pgSz w:w="11910" w:h="16840"/>
          <w:pgMar w:header="917" w:footer="1019" w:top="1100" w:bottom="1200" w:left="980" w:right="0"/>
        </w:sectPr>
      </w:pPr>
    </w:p>
    <w:p>
      <w:pPr>
        <w:spacing w:line="240" w:lineRule="auto" w:before="7"/>
        <w:rPr>
          <w:rFonts w:ascii="华文细黑" w:hAnsi="华文细黑" w:cs="华文细黑" w:eastAsia="华文细黑" w:hint="default"/>
          <w:sz w:val="26"/>
          <w:szCs w:val="26"/>
        </w:rPr>
      </w:pPr>
    </w:p>
    <w:p>
      <w:pPr>
        <w:pStyle w:val="BodyText"/>
        <w:spacing w:line="475" w:lineRule="auto" w:before="10"/>
        <w:ind w:left="654" w:right="1023" w:hanging="420"/>
        <w:jc w:val="left"/>
      </w:pPr>
      <w:r>
        <w:rPr/>
        <w:t>控制权、支配权。 </w:t>
      </w:r>
      <w:r>
        <w:rPr>
          <w:rFonts w:ascii="华文细黑" w:hAnsi="华文细黑" w:cs="华文细黑" w:eastAsia="华文细黑" w:hint="default"/>
        </w:rPr>
        <w:t>3</w:t>
      </w:r>
      <w:r>
        <w:rPr/>
        <w:t>、人员独立方面：公司董事、监事、及高级管理人员均依合法程序选举或聘任，不存在主要股东超</w:t>
      </w:r>
    </w:p>
    <w:p>
      <w:pPr>
        <w:pStyle w:val="BodyText"/>
        <w:spacing w:line="246" w:lineRule="exact"/>
        <w:ind w:left="234" w:right="0"/>
        <w:jc w:val="both"/>
      </w:pPr>
      <w:r>
        <w:rPr/>
        <w:t>越公司董事会和股东大会做出人事任免决定的情况。公司董事长、总裁、副总裁、财务负责人、董事会秘</w:t>
      </w:r>
    </w:p>
    <w:p>
      <w:pPr>
        <w:pStyle w:val="BodyText"/>
        <w:spacing w:line="379" w:lineRule="auto" w:before="172"/>
        <w:ind w:left="234" w:right="1130"/>
        <w:jc w:val="both"/>
      </w:pPr>
      <w:r>
        <w:rPr>
          <w:spacing w:val="-1"/>
        </w:rPr>
        <w:t>书等高级管理人员均专职在本公司工作并领取报酬，未在股东单位及其下属企业担任任何行政职务，亦未</w:t>
      </w:r>
      <w:r>
        <w:rPr>
          <w:spacing w:val="-29"/>
        </w:rPr>
        <w:t> </w:t>
      </w:r>
      <w:r>
        <w:rPr>
          <w:spacing w:val="-29"/>
        </w:rPr>
      </w:r>
      <w:r>
        <w:rPr>
          <w:spacing w:val="-1"/>
        </w:rPr>
        <w:t>在与公司业务相同或相近的其他企业任职。公司已建立了独立的人事档案、人事聘用和任免制度以及独立</w:t>
      </w:r>
      <w:r>
        <w:rPr>
          <w:spacing w:val="-29"/>
        </w:rPr>
        <w:t> </w:t>
      </w:r>
      <w:r>
        <w:rPr>
          <w:spacing w:val="-29"/>
        </w:rPr>
      </w:r>
      <w:r>
        <w:rPr>
          <w:spacing w:val="-1"/>
        </w:rPr>
        <w:t>的工资薪酬管理制度，并与全体员工签订了劳动合同，由公司人力资源部门独立负责公司员工的聘任、考</w:t>
      </w:r>
      <w:r>
        <w:rPr>
          <w:spacing w:val="-30"/>
        </w:rPr>
        <w:t> </w:t>
      </w:r>
      <w:r>
        <w:rPr>
          <w:spacing w:val="-30"/>
        </w:rPr>
      </w:r>
      <w:r>
        <w:rPr/>
        <w:t>核和奖惩；公司在员工的社会保障、工资薪酬等方面均与股东单位分账独立。</w:t>
      </w:r>
    </w:p>
    <w:p>
      <w:pPr>
        <w:pStyle w:val="BodyText"/>
        <w:spacing w:line="379" w:lineRule="auto" w:before="160"/>
        <w:ind w:left="234" w:right="1023" w:firstLine="420"/>
        <w:jc w:val="left"/>
      </w:pPr>
      <w:r>
        <w:rPr>
          <w:rFonts w:ascii="华文细黑" w:hAnsi="华文细黑" w:cs="华文细黑" w:eastAsia="华文细黑" w:hint="default"/>
        </w:rPr>
        <w:t>4</w:t>
      </w:r>
      <w:r>
        <w:rPr/>
        <w:t>、财务独立方面：公司已按照《企业会计准则》的要求建立了一套独立、完整、规范的财务会计核 </w:t>
      </w:r>
      <w:r>
        <w:rPr>
          <w:spacing w:val="-3"/>
        </w:rPr>
        <w:t>算体系和财务管理制度，并建立了相应的内部控制制度，独立做出财务决策。公司设立了独立的财务部门，</w:t>
      </w:r>
      <w:r>
        <w:rPr>
          <w:spacing w:val="-38"/>
        </w:rPr>
        <w:t> </w:t>
      </w:r>
      <w:r>
        <w:rPr>
          <w:spacing w:val="-38"/>
        </w:rPr>
      </w:r>
      <w:r>
        <w:rPr/>
        <w:t>配备了专职财务人员；公司在银行单独开立账户，拥有独立的银行账号；公司作为独立的纳税人，依法独</w:t>
      </w:r>
      <w:r>
        <w:rPr/>
        <w:t> 立纳税。</w:t>
      </w:r>
    </w:p>
    <w:p>
      <w:pPr>
        <w:pStyle w:val="BodyText"/>
        <w:spacing w:line="379" w:lineRule="auto" w:before="160"/>
        <w:ind w:left="234" w:right="1110" w:firstLine="420"/>
        <w:jc w:val="both"/>
      </w:pPr>
      <w:r>
        <w:rPr>
          <w:rFonts w:ascii="华文细黑" w:hAnsi="华文细黑" w:cs="华文细黑" w:eastAsia="华文细黑" w:hint="default"/>
        </w:rPr>
        <w:t>5</w:t>
      </w:r>
      <w:r>
        <w:rPr/>
        <w:t>、机构独立方面：公司设有股东大会、董事会、监事会以及公司各级管理部门等机构，独立行使经 </w:t>
      </w:r>
      <w:r>
        <w:rPr>
          <w:spacing w:val="-1"/>
        </w:rPr>
        <w:t>营管理职权。公司建立了完善的组织结构，拥有完整的采购、销售系统及支持部门，各部门已构成了一个</w:t>
      </w:r>
      <w:r>
        <w:rPr>
          <w:spacing w:val="-34"/>
        </w:rPr>
        <w:t> </w:t>
      </w:r>
      <w:r>
        <w:rPr>
          <w:spacing w:val="-34"/>
        </w:rPr>
      </w:r>
      <w:r>
        <w:rPr/>
        <w:t>有机整体。报告期内，公司与股东不存在机构混同的情形，未发生股东干预本公司正常经营活动的现象。</w:t>
      </w:r>
    </w:p>
    <w:p>
      <w:pPr>
        <w:spacing w:line="240" w:lineRule="auto" w:before="1"/>
        <w:rPr>
          <w:rFonts w:ascii="华文细黑" w:hAnsi="华文细黑" w:cs="华文细黑" w:eastAsia="华文细黑" w:hint="default"/>
          <w:sz w:val="24"/>
          <w:szCs w:val="24"/>
        </w:rPr>
      </w:pPr>
    </w:p>
    <w:p>
      <w:pPr>
        <w:pStyle w:val="Heading2"/>
        <w:spacing w:line="240" w:lineRule="auto"/>
        <w:ind w:right="0"/>
        <w:jc w:val="both"/>
        <w:rPr>
          <w:b w:val="0"/>
          <w:bCs w:val="0"/>
        </w:rPr>
      </w:pPr>
      <w:bookmarkStart w:name="三、同业竞争情况" w:id="163"/>
      <w:bookmarkEnd w:id="163"/>
      <w:r>
        <w:rPr>
          <w:b w:val="0"/>
          <w:bCs w:val="0"/>
        </w:rPr>
      </w:r>
      <w:r>
        <w:rPr/>
        <w:t>三、同业竞争情况</w:t>
      </w:r>
      <w:r>
        <w:rPr>
          <w:b w:val="0"/>
          <w:bCs w:val="0"/>
        </w:rPr>
      </w:r>
    </w:p>
    <w:p>
      <w:pPr>
        <w:pStyle w:val="BodyText"/>
        <w:spacing w:line="240" w:lineRule="auto" w:before="242"/>
        <w:ind w:left="234" w:right="0"/>
        <w:jc w:val="both"/>
      </w:pPr>
      <w:r>
        <w:rPr/>
        <w:t>□  适用  √</w:t>
      </w:r>
      <w:r>
        <w:rPr>
          <w:spacing w:val="51"/>
        </w:rPr>
        <w:t> </w:t>
      </w:r>
      <w:r>
        <w:rPr/>
        <w:t>不适用</w:t>
      </w:r>
    </w:p>
    <w:p>
      <w:pPr>
        <w:spacing w:line="240" w:lineRule="auto" w:before="12"/>
        <w:rPr>
          <w:rFonts w:ascii="华文细黑" w:hAnsi="华文细黑" w:cs="华文细黑" w:eastAsia="华文细黑" w:hint="default"/>
          <w:sz w:val="27"/>
          <w:szCs w:val="27"/>
        </w:rPr>
      </w:pPr>
    </w:p>
    <w:p>
      <w:pPr>
        <w:pStyle w:val="Heading2"/>
        <w:spacing w:line="240" w:lineRule="auto"/>
        <w:ind w:right="0"/>
        <w:jc w:val="both"/>
        <w:rPr>
          <w:b w:val="0"/>
          <w:bCs w:val="0"/>
        </w:rPr>
      </w:pPr>
      <w:bookmarkStart w:name="四、报告期内召开的年度股东大会和临时股东大会的有关情况" w:id="164"/>
      <w:bookmarkEnd w:id="164"/>
      <w:r>
        <w:rPr>
          <w:b w:val="0"/>
          <w:bCs w:val="0"/>
        </w:rPr>
      </w:r>
      <w:r>
        <w:rPr/>
        <w:t>四、报告期内召开的年度股东大会和临时股东大会的有关情况</w:t>
      </w:r>
      <w:r>
        <w:rPr>
          <w:b w:val="0"/>
          <w:bCs w:val="0"/>
        </w:rPr>
      </w:r>
    </w:p>
    <w:p>
      <w:pPr>
        <w:pStyle w:val="Heading5"/>
        <w:spacing w:line="240" w:lineRule="auto" w:before="182"/>
        <w:ind w:right="0"/>
        <w:jc w:val="both"/>
        <w:rPr>
          <w:b w:val="0"/>
          <w:bCs w:val="0"/>
        </w:rPr>
      </w:pPr>
      <w:bookmarkStart w:name="1、本报告期股东大会情况" w:id="165"/>
      <w:bookmarkEnd w:id="165"/>
      <w:r>
        <w:rPr>
          <w:b w:val="0"/>
          <w:bCs w:val="0"/>
        </w:rPr>
      </w:r>
      <w:r>
        <w:rPr>
          <w:rFonts w:ascii="华文细黑" w:hAnsi="华文细黑" w:cs="华文细黑" w:eastAsia="华文细黑" w:hint="default"/>
        </w:rPr>
        <w:t>1</w:t>
      </w:r>
      <w:r>
        <w:rPr/>
        <w:t>、本报告期股东大会情况</w:t>
      </w:r>
      <w:r>
        <w:rPr>
          <w:b w:val="0"/>
          <w:bCs w:val="0"/>
        </w:rPr>
      </w:r>
    </w:p>
    <w:p>
      <w:pPr>
        <w:spacing w:line="240" w:lineRule="auto" w:before="0"/>
        <w:rPr>
          <w:rFonts w:ascii="华文细黑" w:hAnsi="华文细黑" w:cs="华文细黑" w:eastAsia="华文细黑" w:hint="default"/>
          <w:b/>
          <w:bCs/>
          <w:sz w:val="3"/>
          <w:szCs w:val="3"/>
        </w:rPr>
      </w:pPr>
    </w:p>
    <w:tbl>
      <w:tblPr>
        <w:tblW w:w="0" w:type="auto"/>
        <w:jc w:val="left"/>
        <w:tblInd w:w="117" w:type="dxa"/>
        <w:tblLayout w:type="fixed"/>
        <w:tblCellMar>
          <w:top w:w="0" w:type="dxa"/>
          <w:left w:w="0" w:type="dxa"/>
          <w:bottom w:w="0" w:type="dxa"/>
          <w:right w:w="0" w:type="dxa"/>
        </w:tblCellMar>
        <w:tblLook w:val="01E0"/>
      </w:tblPr>
      <w:tblGrid>
        <w:gridCol w:w="1378"/>
        <w:gridCol w:w="1366"/>
        <w:gridCol w:w="944"/>
        <w:gridCol w:w="1770"/>
        <w:gridCol w:w="1800"/>
        <w:gridCol w:w="2308"/>
      </w:tblGrid>
      <w:tr>
        <w:trPr>
          <w:trHeight w:val="714" w:hRule="exact"/>
        </w:trPr>
        <w:tc>
          <w:tcPr>
            <w:tcW w:w="13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left="3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会议届次</w:t>
            </w:r>
          </w:p>
        </w:tc>
        <w:tc>
          <w:tcPr>
            <w:tcW w:w="136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会议类型</w:t>
            </w:r>
          </w:p>
        </w:tc>
        <w:tc>
          <w:tcPr>
            <w:tcW w:w="9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95" w:right="107" w:hanging="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投资者参 与比例</w:t>
            </w:r>
          </w:p>
        </w:tc>
        <w:tc>
          <w:tcPr>
            <w:tcW w:w="17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召开日期</w:t>
            </w:r>
          </w:p>
        </w:tc>
        <w:tc>
          <w:tcPr>
            <w:tcW w:w="180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披露日期</w:t>
            </w:r>
          </w:p>
        </w:tc>
        <w:tc>
          <w:tcPr>
            <w:tcW w:w="23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披露索引</w:t>
            </w:r>
          </w:p>
        </w:tc>
      </w:tr>
      <w:tr>
        <w:trPr>
          <w:trHeight w:val="1026" w:hRule="exact"/>
        </w:trPr>
        <w:tc>
          <w:tcPr>
            <w:tcW w:w="13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95" w:lineRule="auto"/>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2017</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年年度股 东大会</w:t>
            </w:r>
          </w:p>
        </w:tc>
        <w:tc>
          <w:tcPr>
            <w:tcW w:w="13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24"/>
                <w:szCs w:val="24"/>
              </w:rPr>
            </w:pPr>
          </w:p>
          <w:p>
            <w:pPr>
              <w:pStyle w:val="TableParagraph"/>
              <w:spacing w:line="240" w:lineRule="auto"/>
              <w:ind w:right="67"/>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年度股东大会</w:t>
            </w:r>
          </w:p>
        </w:tc>
        <w:tc>
          <w:tcPr>
            <w:tcW w:w="9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24"/>
                <w:szCs w:val="24"/>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68.29%</w:t>
            </w:r>
          </w:p>
        </w:tc>
        <w:tc>
          <w:tcPr>
            <w:tcW w:w="17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24"/>
                <w:szCs w:val="24"/>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05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21</w:t>
            </w:r>
            <w:r>
              <w:rPr>
                <w:rFonts w:ascii="华文细黑" w:hAnsi="华文细黑" w:cs="华文细黑" w:eastAsia="华文细黑" w:hint="default"/>
                <w:spacing w:val="-14"/>
                <w:sz w:val="18"/>
                <w:szCs w:val="18"/>
              </w:rPr>
              <w:t> </w:t>
            </w:r>
            <w:r>
              <w:rPr>
                <w:rFonts w:ascii="华文细黑" w:hAnsi="华文细黑" w:cs="华文细黑" w:eastAsia="华文细黑" w:hint="default"/>
                <w:sz w:val="18"/>
                <w:szCs w:val="18"/>
              </w:rPr>
              <w:t>日</w:t>
            </w:r>
          </w:p>
        </w:tc>
        <w:tc>
          <w:tcPr>
            <w:tcW w:w="18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24"/>
                <w:szCs w:val="24"/>
              </w:rPr>
            </w:pPr>
          </w:p>
          <w:p>
            <w:pPr>
              <w:pStyle w:val="TableParagraph"/>
              <w:spacing w:line="240" w:lineRule="auto"/>
              <w:ind w:right="2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05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22</w:t>
            </w:r>
            <w:r>
              <w:rPr>
                <w:rFonts w:ascii="华文细黑" w:hAnsi="华文细黑" w:cs="华文细黑" w:eastAsia="华文细黑" w:hint="default"/>
                <w:spacing w:val="-6"/>
                <w:sz w:val="18"/>
                <w:szCs w:val="18"/>
              </w:rPr>
              <w:t> </w:t>
            </w:r>
            <w:r>
              <w:rPr>
                <w:rFonts w:ascii="华文细黑" w:hAnsi="华文细黑" w:cs="华文细黑" w:eastAsia="华文细黑" w:hint="default"/>
                <w:sz w:val="18"/>
                <w:szCs w:val="18"/>
              </w:rPr>
              <w:t>日</w:t>
            </w:r>
          </w:p>
        </w:tc>
        <w:tc>
          <w:tcPr>
            <w:tcW w:w="2308"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212"/>
              <w:jc w:val="left"/>
              <w:rPr>
                <w:rFonts w:ascii="华文细黑" w:hAnsi="华文细黑" w:cs="华文细黑" w:eastAsia="华文细黑" w:hint="default"/>
                <w:sz w:val="18"/>
                <w:szCs w:val="18"/>
              </w:rPr>
            </w:pPr>
            <w:r>
              <w:rPr>
                <w:rFonts w:ascii="华文细黑" w:hAnsi="华文细黑" w:cs="华文细黑" w:eastAsia="华文细黑" w:hint="default"/>
                <w:spacing w:val="-15"/>
                <w:sz w:val="18"/>
                <w:szCs w:val="18"/>
              </w:rPr>
              <w:t>《中国证券报》、《证券时</w:t>
            </w:r>
            <w:r>
              <w:rPr>
                <w:rFonts w:ascii="华文细黑" w:hAnsi="华文细黑" w:cs="华文细黑" w:eastAsia="华文细黑" w:hint="default"/>
                <w:sz w:val="18"/>
                <w:szCs w:val="18"/>
              </w:rPr>
              <w:t> 报》和巨潮资讯网</w:t>
            </w:r>
          </w:p>
          <w:p>
            <w:pPr>
              <w:pStyle w:val="TableParagraph"/>
              <w:spacing w:line="240" w:lineRule="auto" w:before="1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hyperlink r:id="rId26">
              <w:r>
                <w:rPr>
                  <w:rFonts w:ascii="华文细黑" w:hAnsi="华文细黑" w:cs="华文细黑" w:eastAsia="华文细黑" w:hint="default"/>
                  <w:sz w:val="18"/>
                  <w:szCs w:val="18"/>
                </w:rPr>
                <w:t>www.cninfo.com</w:t>
              </w:r>
            </w:hyperlink>
            <w:r>
              <w:rPr>
                <w:rFonts w:ascii="华文细黑" w:hAnsi="华文细黑" w:cs="华文细黑" w:eastAsia="华文细黑" w:hint="default"/>
                <w:sz w:val="18"/>
                <w:szCs w:val="18"/>
              </w:rPr>
              <w:t>）</w:t>
            </w:r>
          </w:p>
        </w:tc>
      </w:tr>
      <w:tr>
        <w:trPr>
          <w:trHeight w:val="1026" w:hRule="exact"/>
        </w:trPr>
        <w:tc>
          <w:tcPr>
            <w:tcW w:w="13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95" w:lineRule="auto"/>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年第一次 临时股东大会</w:t>
            </w:r>
          </w:p>
        </w:tc>
        <w:tc>
          <w:tcPr>
            <w:tcW w:w="13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24"/>
                <w:szCs w:val="24"/>
              </w:rPr>
            </w:pPr>
          </w:p>
          <w:p>
            <w:pPr>
              <w:pStyle w:val="TableParagraph"/>
              <w:spacing w:line="240" w:lineRule="auto"/>
              <w:ind w:right="67"/>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临时股东大会</w:t>
            </w:r>
          </w:p>
        </w:tc>
        <w:tc>
          <w:tcPr>
            <w:tcW w:w="9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24"/>
                <w:szCs w:val="24"/>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68.30%</w:t>
            </w:r>
          </w:p>
        </w:tc>
        <w:tc>
          <w:tcPr>
            <w:tcW w:w="17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24"/>
                <w:szCs w:val="24"/>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08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03</w:t>
            </w:r>
            <w:r>
              <w:rPr>
                <w:rFonts w:ascii="华文细黑" w:hAnsi="华文细黑" w:cs="华文细黑" w:eastAsia="华文细黑" w:hint="default"/>
                <w:spacing w:val="-14"/>
                <w:sz w:val="18"/>
                <w:szCs w:val="18"/>
              </w:rPr>
              <w:t> </w:t>
            </w:r>
            <w:r>
              <w:rPr>
                <w:rFonts w:ascii="华文细黑" w:hAnsi="华文细黑" w:cs="华文细黑" w:eastAsia="华文细黑" w:hint="default"/>
                <w:sz w:val="18"/>
                <w:szCs w:val="18"/>
              </w:rPr>
              <w:t>日</w:t>
            </w:r>
          </w:p>
        </w:tc>
        <w:tc>
          <w:tcPr>
            <w:tcW w:w="18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24"/>
                <w:szCs w:val="24"/>
              </w:rPr>
            </w:pPr>
          </w:p>
          <w:p>
            <w:pPr>
              <w:pStyle w:val="TableParagraph"/>
              <w:spacing w:line="240" w:lineRule="auto"/>
              <w:ind w:right="2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08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04</w:t>
            </w:r>
            <w:r>
              <w:rPr>
                <w:rFonts w:ascii="华文细黑" w:hAnsi="华文细黑" w:cs="华文细黑" w:eastAsia="华文细黑" w:hint="default"/>
                <w:spacing w:val="-6"/>
                <w:sz w:val="18"/>
                <w:szCs w:val="18"/>
              </w:rPr>
              <w:t> </w:t>
            </w:r>
            <w:r>
              <w:rPr>
                <w:rFonts w:ascii="华文细黑" w:hAnsi="华文细黑" w:cs="华文细黑" w:eastAsia="华文细黑" w:hint="default"/>
                <w:sz w:val="18"/>
                <w:szCs w:val="18"/>
              </w:rPr>
              <w:t>日</w:t>
            </w:r>
          </w:p>
        </w:tc>
        <w:tc>
          <w:tcPr>
            <w:tcW w:w="2308"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212"/>
              <w:jc w:val="left"/>
              <w:rPr>
                <w:rFonts w:ascii="华文细黑" w:hAnsi="华文细黑" w:cs="华文细黑" w:eastAsia="华文细黑" w:hint="default"/>
                <w:sz w:val="18"/>
                <w:szCs w:val="18"/>
              </w:rPr>
            </w:pPr>
            <w:r>
              <w:rPr>
                <w:rFonts w:ascii="华文细黑" w:hAnsi="华文细黑" w:cs="华文细黑" w:eastAsia="华文细黑" w:hint="default"/>
                <w:spacing w:val="-15"/>
                <w:sz w:val="18"/>
                <w:szCs w:val="18"/>
              </w:rPr>
              <w:t>《中国证券报》、《证券时</w:t>
            </w:r>
            <w:r>
              <w:rPr>
                <w:rFonts w:ascii="华文细黑" w:hAnsi="华文细黑" w:cs="华文细黑" w:eastAsia="华文细黑" w:hint="default"/>
                <w:sz w:val="18"/>
                <w:szCs w:val="18"/>
              </w:rPr>
              <w:t> 报》和巨潮资讯网</w:t>
            </w:r>
          </w:p>
          <w:p>
            <w:pPr>
              <w:pStyle w:val="TableParagraph"/>
              <w:spacing w:line="240" w:lineRule="auto" w:before="1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hyperlink r:id="rId26">
              <w:r>
                <w:rPr>
                  <w:rFonts w:ascii="华文细黑" w:hAnsi="华文细黑" w:cs="华文细黑" w:eastAsia="华文细黑" w:hint="default"/>
                  <w:sz w:val="18"/>
                  <w:szCs w:val="18"/>
                </w:rPr>
                <w:t>www.cninfo.com</w:t>
              </w:r>
            </w:hyperlink>
            <w:r>
              <w:rPr>
                <w:rFonts w:ascii="华文细黑" w:hAnsi="华文细黑" w:cs="华文细黑" w:eastAsia="华文细黑" w:hint="default"/>
                <w:sz w:val="18"/>
                <w:szCs w:val="18"/>
              </w:rPr>
              <w:t>）</w:t>
            </w:r>
          </w:p>
        </w:tc>
      </w:tr>
      <w:tr>
        <w:trPr>
          <w:trHeight w:val="1026" w:hRule="exact"/>
        </w:trPr>
        <w:tc>
          <w:tcPr>
            <w:tcW w:w="13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95" w:lineRule="auto"/>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年第二次 临时股东大会</w:t>
            </w:r>
          </w:p>
        </w:tc>
        <w:tc>
          <w:tcPr>
            <w:tcW w:w="13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b/>
                <w:bCs/>
                <w:sz w:val="24"/>
                <w:szCs w:val="24"/>
              </w:rPr>
            </w:pPr>
          </w:p>
          <w:p>
            <w:pPr>
              <w:pStyle w:val="TableParagraph"/>
              <w:spacing w:line="240" w:lineRule="auto"/>
              <w:ind w:right="67"/>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临时股东大会</w:t>
            </w:r>
          </w:p>
        </w:tc>
        <w:tc>
          <w:tcPr>
            <w:tcW w:w="9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b/>
                <w:bCs/>
                <w:sz w:val="24"/>
                <w:szCs w:val="24"/>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68.23%</w:t>
            </w:r>
          </w:p>
        </w:tc>
        <w:tc>
          <w:tcPr>
            <w:tcW w:w="17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b/>
                <w:bCs/>
                <w:sz w:val="24"/>
                <w:szCs w:val="24"/>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12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18</w:t>
            </w:r>
            <w:r>
              <w:rPr>
                <w:rFonts w:ascii="华文细黑" w:hAnsi="华文细黑" w:cs="华文细黑" w:eastAsia="华文细黑" w:hint="default"/>
                <w:spacing w:val="-14"/>
                <w:sz w:val="18"/>
                <w:szCs w:val="18"/>
              </w:rPr>
              <w:t> </w:t>
            </w:r>
            <w:r>
              <w:rPr>
                <w:rFonts w:ascii="华文细黑" w:hAnsi="华文细黑" w:cs="华文细黑" w:eastAsia="华文细黑" w:hint="default"/>
                <w:sz w:val="18"/>
                <w:szCs w:val="18"/>
              </w:rPr>
              <w:t>日</w:t>
            </w:r>
          </w:p>
        </w:tc>
        <w:tc>
          <w:tcPr>
            <w:tcW w:w="18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b/>
                <w:bCs/>
                <w:sz w:val="24"/>
                <w:szCs w:val="24"/>
              </w:rPr>
            </w:pPr>
          </w:p>
          <w:p>
            <w:pPr>
              <w:pStyle w:val="TableParagraph"/>
              <w:spacing w:line="240" w:lineRule="auto"/>
              <w:ind w:right="2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12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19</w:t>
            </w:r>
            <w:r>
              <w:rPr>
                <w:rFonts w:ascii="华文细黑" w:hAnsi="华文细黑" w:cs="华文细黑" w:eastAsia="华文细黑" w:hint="default"/>
                <w:spacing w:val="-6"/>
                <w:sz w:val="18"/>
                <w:szCs w:val="18"/>
              </w:rPr>
              <w:t> </w:t>
            </w:r>
            <w:r>
              <w:rPr>
                <w:rFonts w:ascii="华文细黑" w:hAnsi="华文细黑" w:cs="华文细黑" w:eastAsia="华文细黑" w:hint="default"/>
                <w:sz w:val="18"/>
                <w:szCs w:val="18"/>
              </w:rPr>
              <w:t>日</w:t>
            </w:r>
          </w:p>
        </w:tc>
        <w:tc>
          <w:tcPr>
            <w:tcW w:w="2308"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212"/>
              <w:jc w:val="left"/>
              <w:rPr>
                <w:rFonts w:ascii="华文细黑" w:hAnsi="华文细黑" w:cs="华文细黑" w:eastAsia="华文细黑" w:hint="default"/>
                <w:sz w:val="18"/>
                <w:szCs w:val="18"/>
              </w:rPr>
            </w:pPr>
            <w:r>
              <w:rPr>
                <w:rFonts w:ascii="华文细黑" w:hAnsi="华文细黑" w:cs="华文细黑" w:eastAsia="华文细黑" w:hint="default"/>
                <w:spacing w:val="-15"/>
                <w:sz w:val="18"/>
                <w:szCs w:val="18"/>
              </w:rPr>
              <w:t>《中国证券报》、《证券时</w:t>
            </w:r>
            <w:r>
              <w:rPr>
                <w:rFonts w:ascii="华文细黑" w:hAnsi="华文细黑" w:cs="华文细黑" w:eastAsia="华文细黑" w:hint="default"/>
                <w:sz w:val="18"/>
                <w:szCs w:val="18"/>
              </w:rPr>
              <w:t> 报》和巨潮资讯网</w:t>
            </w:r>
          </w:p>
          <w:p>
            <w:pPr>
              <w:pStyle w:val="TableParagraph"/>
              <w:spacing w:line="240" w:lineRule="auto" w:before="1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hyperlink r:id="rId26">
              <w:r>
                <w:rPr>
                  <w:rFonts w:ascii="华文细黑" w:hAnsi="华文细黑" w:cs="华文细黑" w:eastAsia="华文细黑" w:hint="default"/>
                  <w:sz w:val="18"/>
                  <w:szCs w:val="18"/>
                </w:rPr>
                <w:t>www.cninfo.com</w:t>
              </w:r>
            </w:hyperlink>
            <w:r>
              <w:rPr>
                <w:rFonts w:ascii="华文细黑" w:hAnsi="华文细黑" w:cs="华文细黑" w:eastAsia="华文细黑" w:hint="default"/>
                <w:sz w:val="18"/>
                <w:szCs w:val="18"/>
              </w:rPr>
              <w:t>）</w:t>
            </w:r>
          </w:p>
        </w:tc>
      </w:tr>
    </w:tbl>
    <w:p>
      <w:pPr>
        <w:spacing w:after="0" w:line="240" w:lineRule="auto"/>
        <w:jc w:val="left"/>
        <w:rPr>
          <w:rFonts w:ascii="华文细黑" w:hAnsi="华文细黑" w:cs="华文细黑" w:eastAsia="华文细黑" w:hint="default"/>
          <w:sz w:val="18"/>
          <w:szCs w:val="18"/>
        </w:rPr>
        <w:sectPr>
          <w:pgSz w:w="11910" w:h="16840"/>
          <w:pgMar w:header="917" w:footer="1019" w:top="1100" w:bottom="1200" w:left="900" w:right="0"/>
        </w:sectPr>
      </w:pPr>
    </w:p>
    <w:p>
      <w:pPr>
        <w:spacing w:line="240" w:lineRule="auto" w:before="0"/>
        <w:rPr>
          <w:rFonts w:ascii="华文细黑" w:hAnsi="华文细黑" w:cs="华文细黑" w:eastAsia="华文细黑" w:hint="default"/>
          <w:b/>
          <w:bCs/>
          <w:sz w:val="21"/>
          <w:szCs w:val="21"/>
        </w:rPr>
      </w:pPr>
    </w:p>
    <w:p>
      <w:pPr>
        <w:spacing w:before="10"/>
        <w:ind w:left="234" w:right="1023" w:firstLine="0"/>
        <w:jc w:val="left"/>
        <w:rPr>
          <w:rFonts w:ascii="华文细黑" w:hAnsi="华文细黑" w:cs="华文细黑" w:eastAsia="华文细黑" w:hint="default"/>
          <w:sz w:val="21"/>
          <w:szCs w:val="21"/>
        </w:rPr>
      </w:pPr>
      <w:bookmarkStart w:name="2、表决权恢复的优先股股东请求召开临时股东大会" w:id="166"/>
      <w:bookmarkEnd w:id="166"/>
      <w:r>
        <w:rPr/>
      </w: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、表决权恢复的优先股股东请求召开临时股东大会</w:t>
      </w:r>
      <w:r>
        <w:rPr>
          <w:rFonts w:ascii="华文细黑" w:hAnsi="华文细黑" w:cs="华文细黑" w:eastAsia="华文细黑" w:hint="default"/>
          <w:sz w:val="21"/>
          <w:szCs w:val="21"/>
        </w:rPr>
      </w:r>
    </w:p>
    <w:p>
      <w:pPr>
        <w:spacing w:line="240" w:lineRule="auto" w:before="6"/>
        <w:rPr>
          <w:rFonts w:ascii="华文细黑" w:hAnsi="华文细黑" w:cs="华文细黑" w:eastAsia="华文细黑" w:hint="default"/>
          <w:b/>
          <w:bCs/>
          <w:sz w:val="22"/>
          <w:szCs w:val="22"/>
        </w:rPr>
      </w:pPr>
    </w:p>
    <w:p>
      <w:pPr>
        <w:pStyle w:val="BodyText"/>
        <w:spacing w:line="240" w:lineRule="auto"/>
        <w:ind w:left="234" w:right="1023"/>
        <w:jc w:val="left"/>
      </w:pPr>
      <w:r>
        <w:rPr/>
        <w:t>□  适用  √</w:t>
      </w:r>
      <w:r>
        <w:rPr>
          <w:spacing w:val="51"/>
        </w:rPr>
        <w:t> </w:t>
      </w:r>
      <w:r>
        <w:rPr/>
        <w:t>不适用</w:t>
      </w:r>
    </w:p>
    <w:p>
      <w:pPr>
        <w:spacing w:line="240" w:lineRule="auto" w:before="11"/>
        <w:rPr>
          <w:rFonts w:ascii="华文细黑" w:hAnsi="华文细黑" w:cs="华文细黑" w:eastAsia="华文细黑" w:hint="default"/>
          <w:sz w:val="27"/>
          <w:szCs w:val="27"/>
        </w:rPr>
      </w:pPr>
    </w:p>
    <w:p>
      <w:pPr>
        <w:pStyle w:val="Heading2"/>
        <w:spacing w:line="240" w:lineRule="auto"/>
        <w:ind w:right="1023"/>
        <w:jc w:val="left"/>
        <w:rPr>
          <w:b w:val="0"/>
          <w:bCs w:val="0"/>
        </w:rPr>
      </w:pPr>
      <w:bookmarkStart w:name="五、报告期内独立董事履行职责的情况" w:id="167"/>
      <w:bookmarkEnd w:id="167"/>
      <w:r>
        <w:rPr>
          <w:b w:val="0"/>
          <w:bCs w:val="0"/>
        </w:rPr>
      </w:r>
      <w:r>
        <w:rPr/>
        <w:t>五、报告期内独立董事履行职责的情况</w:t>
      </w:r>
      <w:r>
        <w:rPr>
          <w:b w:val="0"/>
          <w:bCs w:val="0"/>
        </w:rPr>
      </w:r>
    </w:p>
    <w:p>
      <w:pPr>
        <w:spacing w:line="240" w:lineRule="auto" w:before="0"/>
        <w:rPr>
          <w:rFonts w:ascii="华文细黑" w:hAnsi="华文细黑" w:cs="华文细黑" w:eastAsia="华文细黑" w:hint="default"/>
          <w:b/>
          <w:bCs/>
          <w:sz w:val="30"/>
          <w:szCs w:val="30"/>
        </w:rPr>
      </w:pPr>
    </w:p>
    <w:p>
      <w:pPr>
        <w:pStyle w:val="Heading5"/>
        <w:spacing w:line="240" w:lineRule="auto" w:before="0"/>
        <w:ind w:right="1023"/>
        <w:jc w:val="left"/>
        <w:rPr>
          <w:b w:val="0"/>
          <w:bCs w:val="0"/>
        </w:rPr>
      </w:pPr>
      <w:bookmarkStart w:name="1、独立董事出席董事会及股东大会的情况" w:id="168"/>
      <w:bookmarkEnd w:id="168"/>
      <w:r>
        <w:rPr>
          <w:b w:val="0"/>
          <w:bCs w:val="0"/>
        </w:rPr>
      </w:r>
      <w:r>
        <w:rPr>
          <w:rFonts w:ascii="华文细黑" w:hAnsi="华文细黑" w:cs="华文细黑" w:eastAsia="华文细黑" w:hint="default"/>
        </w:rPr>
        <w:t>1</w:t>
      </w:r>
      <w:r>
        <w:rPr/>
        <w:t>、独立董事出席董事会及股东大会的情况</w:t>
      </w:r>
      <w:r>
        <w:rPr>
          <w:b w:val="0"/>
          <w:bCs w:val="0"/>
        </w:rPr>
      </w:r>
    </w:p>
    <w:p>
      <w:pPr>
        <w:spacing w:line="240" w:lineRule="auto" w:before="4"/>
        <w:rPr>
          <w:rFonts w:ascii="华文细黑" w:hAnsi="华文细黑" w:cs="华文细黑" w:eastAsia="华文细黑" w:hint="default"/>
          <w:b/>
          <w:bCs/>
          <w:sz w:val="24"/>
          <w:szCs w:val="24"/>
        </w:rPr>
      </w:pPr>
    </w:p>
    <w:tbl>
      <w:tblPr>
        <w:tblW w:w="0" w:type="auto"/>
        <w:jc w:val="left"/>
        <w:tblInd w:w="117" w:type="dxa"/>
        <w:tblLayout w:type="fixed"/>
        <w:tblCellMar>
          <w:top w:w="0" w:type="dxa"/>
          <w:left w:w="0" w:type="dxa"/>
          <w:bottom w:w="0" w:type="dxa"/>
          <w:right w:w="0" w:type="dxa"/>
        </w:tblCellMar>
        <w:tblLook w:val="01E0"/>
      </w:tblPr>
      <w:tblGrid>
        <w:gridCol w:w="1427"/>
        <w:gridCol w:w="1164"/>
        <w:gridCol w:w="1164"/>
        <w:gridCol w:w="1163"/>
        <w:gridCol w:w="1163"/>
        <w:gridCol w:w="1073"/>
        <w:gridCol w:w="1394"/>
        <w:gridCol w:w="1022"/>
      </w:tblGrid>
      <w:tr>
        <w:trPr>
          <w:trHeight w:val="402" w:hRule="exact"/>
        </w:trPr>
        <w:tc>
          <w:tcPr>
            <w:tcW w:w="9571" w:type="dxa"/>
            <w:gridSpan w:val="8"/>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独立董事出席董事会及股东大会的情况</w:t>
            </w:r>
          </w:p>
        </w:tc>
      </w:tr>
      <w:tr>
        <w:trPr>
          <w:trHeight w:val="1026" w:hRule="exact"/>
        </w:trPr>
        <w:tc>
          <w:tcPr>
            <w:tcW w:w="142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24"/>
                <w:szCs w:val="24"/>
              </w:rPr>
            </w:pPr>
          </w:p>
          <w:p>
            <w:pPr>
              <w:pStyle w:val="TableParagraph"/>
              <w:spacing w:line="240" w:lineRule="auto"/>
              <w:ind w:left="16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独立董事姓名</w:t>
            </w:r>
          </w:p>
        </w:tc>
        <w:tc>
          <w:tcPr>
            <w:tcW w:w="11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27" w:right="125"/>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本报告期应 参加董事会 次数</w:t>
            </w:r>
          </w:p>
        </w:tc>
        <w:tc>
          <w:tcPr>
            <w:tcW w:w="11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95" w:lineRule="auto"/>
              <w:ind w:left="217" w:right="125" w:hanging="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现场出席董 事会次数</w:t>
            </w:r>
          </w:p>
        </w:tc>
        <w:tc>
          <w:tcPr>
            <w:tcW w:w="11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26" w:right="125"/>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以通讯方式 参加董事会 次数</w:t>
            </w:r>
          </w:p>
        </w:tc>
        <w:tc>
          <w:tcPr>
            <w:tcW w:w="11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95" w:lineRule="auto"/>
              <w:ind w:left="215" w:right="125" w:hanging="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委托出席董 事会次数</w:t>
            </w:r>
          </w:p>
        </w:tc>
        <w:tc>
          <w:tcPr>
            <w:tcW w:w="107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95" w:lineRule="auto"/>
              <w:ind w:left="260" w:right="171" w:hanging="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缺席董事 会次数</w:t>
            </w:r>
          </w:p>
        </w:tc>
        <w:tc>
          <w:tcPr>
            <w:tcW w:w="139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51" w:right="15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是否连续两次 未亲自参加董 事会会议</w:t>
            </w:r>
          </w:p>
        </w:tc>
        <w:tc>
          <w:tcPr>
            <w:tcW w:w="10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95" w:lineRule="auto"/>
              <w:ind w:left="146" w:right="14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出席股东 大会次数</w:t>
            </w:r>
          </w:p>
        </w:tc>
      </w:tr>
      <w:tr>
        <w:trPr>
          <w:trHeight w:val="402" w:hRule="exact"/>
        </w:trPr>
        <w:tc>
          <w:tcPr>
            <w:tcW w:w="14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章卫东</w:t>
            </w:r>
          </w:p>
        </w:tc>
        <w:tc>
          <w:tcPr>
            <w:tcW w:w="11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w w:val="95"/>
                <w:sz w:val="18"/>
              </w:rPr>
              <w:t>11</w:t>
            </w:r>
            <w:r>
              <w:rPr>
                <w:rFonts w:ascii="华文细黑"/>
                <w:w w:val="95"/>
                <w:sz w:val="18"/>
              </w:rPr>
            </w:r>
          </w:p>
        </w:tc>
        <w:tc>
          <w:tcPr>
            <w:tcW w:w="11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2</w:t>
            </w:r>
          </w:p>
        </w:tc>
        <w:tc>
          <w:tcPr>
            <w:tcW w:w="11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9</w:t>
            </w:r>
          </w:p>
        </w:tc>
        <w:tc>
          <w:tcPr>
            <w:tcW w:w="11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c>
          <w:tcPr>
            <w:tcW w:w="107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0</w:t>
            </w:r>
          </w:p>
        </w:tc>
        <w:tc>
          <w:tcPr>
            <w:tcW w:w="13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c>
          <w:tcPr>
            <w:tcW w:w="10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1</w:t>
            </w:r>
          </w:p>
        </w:tc>
      </w:tr>
      <w:tr>
        <w:trPr>
          <w:trHeight w:val="402" w:hRule="exact"/>
        </w:trPr>
        <w:tc>
          <w:tcPr>
            <w:tcW w:w="14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吕廷杰</w:t>
            </w:r>
          </w:p>
        </w:tc>
        <w:tc>
          <w:tcPr>
            <w:tcW w:w="11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w w:val="95"/>
                <w:sz w:val="18"/>
              </w:rPr>
              <w:t>11</w:t>
            </w:r>
            <w:r>
              <w:rPr>
                <w:rFonts w:ascii="华文细黑"/>
                <w:w w:val="95"/>
                <w:sz w:val="18"/>
              </w:rPr>
            </w:r>
          </w:p>
        </w:tc>
        <w:tc>
          <w:tcPr>
            <w:tcW w:w="11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1</w:t>
            </w:r>
          </w:p>
        </w:tc>
        <w:tc>
          <w:tcPr>
            <w:tcW w:w="11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9</w:t>
            </w:r>
          </w:p>
        </w:tc>
        <w:tc>
          <w:tcPr>
            <w:tcW w:w="11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1</w:t>
            </w:r>
          </w:p>
        </w:tc>
        <w:tc>
          <w:tcPr>
            <w:tcW w:w="107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0</w:t>
            </w:r>
          </w:p>
        </w:tc>
        <w:tc>
          <w:tcPr>
            <w:tcW w:w="13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c>
          <w:tcPr>
            <w:tcW w:w="10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r>
      <w:tr>
        <w:trPr>
          <w:trHeight w:val="402" w:hRule="exact"/>
        </w:trPr>
        <w:tc>
          <w:tcPr>
            <w:tcW w:w="14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邓鹏</w:t>
            </w:r>
          </w:p>
        </w:tc>
        <w:tc>
          <w:tcPr>
            <w:tcW w:w="11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w w:val="95"/>
                <w:sz w:val="18"/>
              </w:rPr>
              <w:t>11</w:t>
            </w:r>
            <w:r>
              <w:rPr>
                <w:rFonts w:ascii="华文细黑"/>
                <w:w w:val="95"/>
                <w:sz w:val="18"/>
              </w:rPr>
            </w:r>
          </w:p>
        </w:tc>
        <w:tc>
          <w:tcPr>
            <w:tcW w:w="11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1</w:t>
            </w:r>
          </w:p>
        </w:tc>
        <w:tc>
          <w:tcPr>
            <w:tcW w:w="11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pacing w:val="-1"/>
                <w:w w:val="95"/>
                <w:sz w:val="18"/>
              </w:rPr>
              <w:t>10</w:t>
            </w:r>
            <w:r>
              <w:rPr>
                <w:rFonts w:ascii="华文细黑"/>
                <w:w w:val="95"/>
                <w:sz w:val="18"/>
              </w:rPr>
            </w:r>
          </w:p>
        </w:tc>
        <w:tc>
          <w:tcPr>
            <w:tcW w:w="11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c>
          <w:tcPr>
            <w:tcW w:w="107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2"/>
              <w:jc w:val="right"/>
              <w:rPr>
                <w:rFonts w:ascii="华文细黑" w:hAnsi="华文细黑" w:cs="华文细黑" w:eastAsia="华文细黑" w:hint="default"/>
                <w:sz w:val="18"/>
                <w:szCs w:val="18"/>
              </w:rPr>
            </w:pPr>
            <w:r>
              <w:rPr>
                <w:rFonts w:ascii="华文细黑"/>
                <w:sz w:val="18"/>
              </w:rPr>
              <w:t>0</w:t>
            </w:r>
          </w:p>
        </w:tc>
        <w:tc>
          <w:tcPr>
            <w:tcW w:w="13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c>
          <w:tcPr>
            <w:tcW w:w="10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r>
    </w:tbl>
    <w:p>
      <w:pPr>
        <w:spacing w:line="494" w:lineRule="auto" w:before="13"/>
        <w:ind w:left="234" w:right="6641" w:firstLine="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连续两次未亲自出席董事会的说明 </w:t>
      </w:r>
      <w:bookmarkStart w:name="2、独立董事对公司有关事项提出异议的情况" w:id="169"/>
      <w:bookmarkEnd w:id="169"/>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、独立董事对公司有关事项提出异议的情况</w:t>
      </w:r>
      <w:r>
        <w:rPr>
          <w:rFonts w:ascii="华文细黑" w:hAnsi="华文细黑" w:cs="华文细黑" w:eastAsia="华文细黑" w:hint="default"/>
          <w:sz w:val="21"/>
          <w:szCs w:val="21"/>
        </w:rPr>
      </w:r>
    </w:p>
    <w:p>
      <w:pPr>
        <w:pStyle w:val="BodyText"/>
        <w:spacing w:line="240" w:lineRule="auto" w:before="77"/>
        <w:ind w:left="234" w:right="1023"/>
        <w:jc w:val="left"/>
      </w:pPr>
      <w:r>
        <w:rPr/>
        <w:t>独立董事对公司有关事项是否提出异议</w:t>
      </w:r>
    </w:p>
    <w:p>
      <w:pPr>
        <w:pStyle w:val="BodyText"/>
        <w:spacing w:line="348" w:lineRule="auto" w:before="55"/>
        <w:ind w:left="234" w:right="6342"/>
        <w:jc w:val="left"/>
      </w:pPr>
      <w:r>
        <w:rPr/>
        <w:t>□ 是 √ 否 报告期内独立董事对公司有关事项未提出异议。</w:t>
      </w:r>
    </w:p>
    <w:p>
      <w:pPr>
        <w:spacing w:line="614" w:lineRule="exact" w:before="52"/>
        <w:ind w:left="234" w:right="7392" w:firstLine="0"/>
        <w:jc w:val="left"/>
        <w:rPr>
          <w:rFonts w:ascii="华文细黑" w:hAnsi="华文细黑" w:cs="华文细黑" w:eastAsia="华文细黑" w:hint="default"/>
          <w:sz w:val="21"/>
          <w:szCs w:val="21"/>
        </w:rPr>
      </w:pPr>
      <w:bookmarkStart w:name="3、独立董事履行职责的其他说明" w:id="170"/>
      <w:bookmarkEnd w:id="170"/>
      <w:r>
        <w:rPr/>
      </w:r>
      <w:r>
        <w:rPr>
          <w:rFonts w:ascii="华文细黑" w:hAnsi="华文细黑" w:cs="华文细黑" w:eastAsia="华文细黑" w:hint="default"/>
          <w:b/>
          <w:bCs/>
          <w:sz w:val="21"/>
          <w:szCs w:val="21"/>
        </w:rPr>
        <w:t>3</w:t>
      </w:r>
      <w:r>
        <w:rPr>
          <w:rFonts w:ascii="华文细黑" w:hAnsi="华文细黑" w:cs="华文细黑" w:eastAsia="华文细黑" w:hint="default"/>
          <w:b/>
          <w:bCs/>
          <w:sz w:val="21"/>
          <w:szCs w:val="21"/>
        </w:rPr>
        <w:t>、独立董事履行职责的其他说明</w:t>
      </w:r>
      <w:r>
        <w:rPr>
          <w:rFonts w:ascii="华文细黑" w:hAnsi="华文细黑" w:cs="华文细黑" w:eastAsia="华文细黑" w:hint="default"/>
          <w:b/>
          <w:bCs/>
          <w:w w:val="99"/>
          <w:sz w:val="21"/>
          <w:szCs w:val="21"/>
        </w:rPr>
        <w:t> </w:t>
      </w:r>
      <w:r>
        <w:rPr>
          <w:rFonts w:ascii="华文细黑" w:hAnsi="华文细黑" w:cs="华文细黑" w:eastAsia="华文细黑" w:hint="default"/>
          <w:sz w:val="21"/>
          <w:szCs w:val="21"/>
        </w:rPr>
        <w:t>独立董事对公司有关建议是否被采纳</w:t>
      </w:r>
    </w:p>
    <w:p>
      <w:pPr>
        <w:pStyle w:val="BodyText"/>
        <w:spacing w:line="272" w:lineRule="exact"/>
        <w:ind w:left="234" w:right="1023"/>
        <w:jc w:val="left"/>
      </w:pPr>
      <w:r>
        <w:rPr/>
        <w:t>√  是  □  否</w:t>
      </w:r>
    </w:p>
    <w:p>
      <w:pPr>
        <w:pStyle w:val="BodyText"/>
        <w:spacing w:line="475" w:lineRule="auto" w:before="133"/>
        <w:ind w:left="654" w:right="1023" w:hanging="420"/>
        <w:jc w:val="left"/>
      </w:pPr>
      <w:r>
        <w:rPr/>
        <w:t>独立董事对公司有关建议被采纳或未被采纳的说明 </w:t>
      </w:r>
      <w:r>
        <w:rPr>
          <w:spacing w:val="-1"/>
        </w:rPr>
        <w:t>在报告期内，公司独立董事严格依据《独立董事工作制度》勤勉尽责，忠实履行独立董事职责。各位</w:t>
      </w:r>
    </w:p>
    <w:p>
      <w:pPr>
        <w:pStyle w:val="BodyText"/>
        <w:spacing w:line="245" w:lineRule="exact"/>
        <w:ind w:left="234" w:right="1023"/>
        <w:jc w:val="left"/>
      </w:pPr>
      <w:r>
        <w:rPr/>
        <w:t>独立董事通过认真审阅公司董事会及专门委员会的各项议案，及时了解和沟通，发表独立意见，行使其职</w:t>
      </w:r>
    </w:p>
    <w:p>
      <w:pPr>
        <w:pStyle w:val="BodyText"/>
        <w:spacing w:line="379" w:lineRule="auto" w:before="171"/>
        <w:ind w:left="234" w:right="1023"/>
        <w:jc w:val="left"/>
      </w:pPr>
      <w:r>
        <w:rPr/>
        <w:t>权；通过发表事前意见和独立意见等方式，对公司关联交易、利润分配、对外担保、改聘审计机构等其他 </w:t>
      </w:r>
      <w:r>
        <w:rPr>
          <w:spacing w:val="-3"/>
        </w:rPr>
        <w:t>需要独立董事发表意见的事项发表专业意见；独立董事关注公司运作的规范性，现场了解公司的经营情况，</w:t>
      </w:r>
      <w:r>
        <w:rPr>
          <w:spacing w:val="-40"/>
        </w:rPr>
        <w:t> </w:t>
      </w:r>
      <w:r>
        <w:rPr>
          <w:spacing w:val="-40"/>
        </w:rPr>
      </w:r>
      <w:r>
        <w:rPr/>
        <w:t>积极履行做为独立董事义务与职责。</w:t>
      </w:r>
    </w:p>
    <w:p>
      <w:pPr>
        <w:pStyle w:val="BodyText"/>
        <w:spacing w:line="379" w:lineRule="auto" w:before="160"/>
        <w:ind w:left="234" w:right="1023" w:firstLine="420"/>
        <w:jc w:val="left"/>
      </w:pPr>
      <w:r>
        <w:rPr>
          <w:spacing w:val="-1"/>
        </w:rPr>
        <w:t>独立董事独立地发表了专业性的意见，对公司财务报表、经营活动和投资决策进行了有效监督，有助</w:t>
      </w:r>
      <w:r>
        <w:rPr/>
        <w:t> 于完善公司内部控制机制，提高公司管理水平，维护公司和全体股东的合法权益。</w:t>
      </w:r>
    </w:p>
    <w:p>
      <w:pPr>
        <w:spacing w:after="0" w:line="379" w:lineRule="auto"/>
        <w:jc w:val="left"/>
        <w:sectPr>
          <w:pgSz w:w="11910" w:h="16840"/>
          <w:pgMar w:header="917" w:footer="1019" w:top="1100" w:bottom="1200" w:left="900" w:right="0"/>
        </w:sectPr>
      </w:pPr>
    </w:p>
    <w:p>
      <w:pPr>
        <w:spacing w:line="240" w:lineRule="auto" w:before="2"/>
        <w:rPr>
          <w:rFonts w:ascii="华文细黑" w:hAnsi="华文细黑" w:cs="华文细黑" w:eastAsia="华文细黑" w:hint="default"/>
          <w:sz w:val="29"/>
          <w:szCs w:val="29"/>
        </w:rPr>
      </w:pPr>
    </w:p>
    <w:p>
      <w:pPr>
        <w:pStyle w:val="Heading2"/>
        <w:spacing w:line="396" w:lineRule="exact"/>
        <w:ind w:left="154" w:right="1217"/>
        <w:jc w:val="left"/>
        <w:rPr>
          <w:b w:val="0"/>
          <w:bCs w:val="0"/>
        </w:rPr>
      </w:pPr>
      <w:bookmarkStart w:name="六、董事会下设专门委员会在报告期内履行职责情况" w:id="171"/>
      <w:bookmarkEnd w:id="171"/>
      <w:r>
        <w:rPr>
          <w:b w:val="0"/>
          <w:bCs w:val="0"/>
        </w:rPr>
      </w:r>
      <w:r>
        <w:rPr/>
        <w:t>六、董事会下设专门委员会在报告期内履行职责情况</w:t>
      </w:r>
      <w:r>
        <w:rPr>
          <w:b w:val="0"/>
          <w:bCs w:val="0"/>
        </w:rPr>
      </w:r>
    </w:p>
    <w:p>
      <w:pPr>
        <w:spacing w:line="240" w:lineRule="auto" w:before="7"/>
        <w:rPr>
          <w:rFonts w:ascii="华文细黑" w:hAnsi="华文细黑" w:cs="华文细黑" w:eastAsia="华文细黑" w:hint="default"/>
          <w:b/>
          <w:bCs/>
          <w:sz w:val="35"/>
          <w:szCs w:val="35"/>
        </w:rPr>
      </w:pPr>
    </w:p>
    <w:p>
      <w:pPr>
        <w:pStyle w:val="BodyText"/>
        <w:spacing w:line="379" w:lineRule="auto"/>
        <w:ind w:left="154" w:right="1130" w:firstLine="420"/>
        <w:jc w:val="both"/>
      </w:pPr>
      <w:r>
        <w:rPr>
          <w:spacing w:val="-1"/>
        </w:rPr>
        <w:t>公司董事会下设战略委员会、审计委员会、提名委员会、薪酬与考核委员会。报告期内，公司董事会</w:t>
      </w:r>
      <w:r>
        <w:rPr/>
        <w:t> </w:t>
      </w:r>
      <w:r>
        <w:rPr>
          <w:spacing w:val="-2"/>
        </w:rPr>
        <w:t>各专门委员会充分发挥专业性作用，科学决策，审慎监督，切实履行工作职责，为公司</w:t>
      </w:r>
      <w:r>
        <w:rPr>
          <w:rFonts w:ascii="华文细黑" w:hAnsi="华文细黑" w:cs="华文细黑" w:eastAsia="华文细黑" w:hint="default"/>
          <w:spacing w:val="-2"/>
        </w:rPr>
        <w:t>2018</w:t>
      </w:r>
      <w:r>
        <w:rPr>
          <w:spacing w:val="-2"/>
        </w:rPr>
        <w:t>年度的组织建</w:t>
      </w:r>
      <w:r>
        <w:rPr>
          <w:spacing w:val="-24"/>
        </w:rPr>
        <w:t> </w:t>
      </w:r>
      <w:r>
        <w:rPr/>
        <w:t>设和团队管理做了大量的工作，有效提升了公司管理水平。</w:t>
      </w:r>
    </w:p>
    <w:p>
      <w:pPr>
        <w:pStyle w:val="BodyText"/>
        <w:spacing w:line="379" w:lineRule="auto" w:before="40"/>
        <w:ind w:left="154" w:right="1129" w:firstLine="420"/>
        <w:jc w:val="both"/>
      </w:pPr>
      <w:r>
        <w:rPr>
          <w:spacing w:val="-6"/>
        </w:rPr>
        <w:t>公司董事会战略委员会按照《独立董事工作制度》、《战略委员会实施细则》等相关制度的规定，深入</w:t>
      </w:r>
      <w:r>
        <w:rPr/>
        <w:t> </w:t>
      </w:r>
      <w:r>
        <w:rPr>
          <w:spacing w:val="-1"/>
        </w:rPr>
        <w:t>了解公司的经营情况及发展状况，对公司各项对外投资事项进行审核，积极研究符合公司发展方向的战略</w:t>
      </w:r>
      <w:r>
        <w:rPr>
          <w:spacing w:val="-29"/>
        </w:rPr>
        <w:t> </w:t>
      </w:r>
      <w:r>
        <w:rPr>
          <w:spacing w:val="-29"/>
        </w:rPr>
      </w:r>
      <w:r>
        <w:rPr>
          <w:spacing w:val="-1"/>
        </w:rPr>
        <w:t>布局，为公司的健康、快速发展出谋划策。报告期内，共召开战略委员会</w:t>
      </w:r>
      <w:r>
        <w:rPr>
          <w:rFonts w:ascii="华文细黑" w:hAnsi="华文细黑" w:cs="华文细黑" w:eastAsia="华文细黑" w:hint="default"/>
          <w:spacing w:val="-1"/>
        </w:rPr>
        <w:t>2</w:t>
      </w:r>
      <w:r>
        <w:rPr>
          <w:spacing w:val="-1"/>
        </w:rPr>
        <w:t>次，审议议案</w:t>
      </w:r>
      <w:r>
        <w:rPr>
          <w:rFonts w:ascii="华文细黑" w:hAnsi="华文细黑" w:cs="华文细黑" w:eastAsia="华文细黑" w:hint="default"/>
          <w:spacing w:val="-1"/>
        </w:rPr>
        <w:t>3</w:t>
      </w:r>
      <w:r>
        <w:rPr>
          <w:spacing w:val="-1"/>
        </w:rPr>
        <w:t>项，不存在异议</w:t>
      </w:r>
      <w:r>
        <w:rPr/>
        <w:t> 事项。</w:t>
      </w:r>
    </w:p>
    <w:p>
      <w:pPr>
        <w:pStyle w:val="BodyText"/>
        <w:spacing w:line="379" w:lineRule="auto" w:before="40"/>
        <w:ind w:left="154" w:right="1017" w:firstLine="420"/>
        <w:jc w:val="left"/>
      </w:pPr>
      <w:r>
        <w:rPr>
          <w:spacing w:val="-3"/>
        </w:rPr>
        <w:t>公司董事会审计委员会严格按照《独立董事工作制度》和《审计委员会实施细则》等相关制度的规定，</w:t>
      </w:r>
      <w:r>
        <w:rPr/>
        <w:t> 审议了公司关于</w:t>
      </w:r>
      <w:r>
        <w:rPr>
          <w:rFonts w:ascii="华文细黑" w:hAnsi="华文细黑" w:cs="华文细黑" w:eastAsia="华文细黑" w:hint="default"/>
        </w:rPr>
        <w:t>2017</w:t>
      </w:r>
      <w:r>
        <w:rPr/>
        <w:t>年度计提资产减值准备事项、关于公司</w:t>
      </w:r>
      <w:r>
        <w:rPr>
          <w:rFonts w:ascii="华文细黑" w:hAnsi="华文细黑" w:cs="华文细黑" w:eastAsia="华文细黑" w:hint="default"/>
        </w:rPr>
        <w:t>2018</w:t>
      </w:r>
      <w:r>
        <w:rPr/>
        <w:t>年增加申请银行综合授信额度的事项、</w:t>
      </w:r>
      <w:r>
        <w:rPr>
          <w:spacing w:val="34"/>
        </w:rPr>
        <w:t> </w:t>
      </w:r>
      <w:r>
        <w:rPr>
          <w:spacing w:val="34"/>
        </w:rPr>
      </w:r>
      <w:r>
        <w:rPr>
          <w:rFonts w:ascii="华文细黑" w:hAnsi="华文细黑" w:cs="华文细黑" w:eastAsia="华文细黑" w:hint="default"/>
        </w:rPr>
        <w:t>2018</w:t>
      </w:r>
      <w:r>
        <w:rPr/>
        <w:t>年各项对外担保事项、关于调整对外投资开展创新业务暨关联交易事项、关于控股股东向公司提供财 务资助的事项、关于授权公司经营层处置交易性金融资产及可供出售金融资产事项、关于核销应收账款的 事项、</w:t>
      </w:r>
      <w:r>
        <w:rPr>
          <w:rFonts w:ascii="华文细黑" w:hAnsi="华文细黑" w:cs="华文细黑" w:eastAsia="华文细黑" w:hint="default"/>
        </w:rPr>
        <w:t>2017</w:t>
      </w:r>
      <w:r>
        <w:rPr/>
        <w:t>年年度报告、</w:t>
      </w:r>
      <w:r>
        <w:rPr>
          <w:rFonts w:ascii="华文细黑" w:hAnsi="华文细黑" w:cs="华文细黑" w:eastAsia="华文细黑" w:hint="default"/>
        </w:rPr>
        <w:t>2018</w:t>
      </w:r>
      <w:r>
        <w:rPr/>
        <w:t>年第一季度报告、</w:t>
      </w:r>
      <w:r>
        <w:rPr>
          <w:rFonts w:ascii="华文细黑" w:hAnsi="华文细黑" w:cs="华文细黑" w:eastAsia="华文细黑" w:hint="default"/>
        </w:rPr>
        <w:t>2018</w:t>
      </w:r>
      <w:r>
        <w:rPr/>
        <w:t>年半年度报告和</w:t>
      </w:r>
      <w:r>
        <w:rPr>
          <w:rFonts w:ascii="华文细黑" w:hAnsi="华文细黑" w:cs="华文细黑" w:eastAsia="华文细黑" w:hint="default"/>
        </w:rPr>
        <w:t>2018</w:t>
      </w:r>
      <w:r>
        <w:rPr/>
        <w:t>年第三季度报告等事项。报告</w:t>
      </w:r>
      <w:r>
        <w:rPr>
          <w:spacing w:val="-49"/>
        </w:rPr>
        <w:t> </w:t>
      </w:r>
      <w:r>
        <w:rPr>
          <w:spacing w:val="-49"/>
        </w:rPr>
      </w:r>
      <w:r>
        <w:rPr/>
        <w:t>期内，共召开审计委员会</w:t>
      </w:r>
      <w:r>
        <w:rPr>
          <w:rFonts w:ascii="华文细黑" w:hAnsi="华文细黑" w:cs="华文细黑" w:eastAsia="华文细黑" w:hint="default"/>
        </w:rPr>
        <w:t>5</w:t>
      </w:r>
      <w:r>
        <w:rPr/>
        <w:t>次，审议议案</w:t>
      </w:r>
      <w:r>
        <w:rPr>
          <w:rFonts w:ascii="华文细黑" w:hAnsi="华文细黑" w:cs="华文细黑" w:eastAsia="华文细黑" w:hint="default"/>
        </w:rPr>
        <w:t>27</w:t>
      </w:r>
      <w:r>
        <w:rPr/>
        <w:t>项，不存在异议事项。</w:t>
      </w:r>
    </w:p>
    <w:p>
      <w:pPr>
        <w:pStyle w:val="BodyText"/>
        <w:spacing w:line="379" w:lineRule="auto" w:before="40"/>
        <w:ind w:left="154" w:right="1131" w:firstLine="420"/>
        <w:jc w:val="both"/>
      </w:pPr>
      <w:r>
        <w:rPr>
          <w:spacing w:val="-1"/>
        </w:rPr>
        <w:t>公司董事会薪酬与考核委员会严格按照《独立董事工作制度》和《薪酬与考核委员会实施细则》等相</w:t>
      </w:r>
      <w:r>
        <w:rPr/>
        <w:t> </w:t>
      </w:r>
      <w:r>
        <w:rPr>
          <w:spacing w:val="-2"/>
        </w:rPr>
        <w:t>关制度的规定，审议并确认</w:t>
      </w:r>
      <w:r>
        <w:rPr>
          <w:rFonts w:ascii="华文细黑" w:hAnsi="华文细黑" w:cs="华文细黑" w:eastAsia="华文细黑" w:hint="default"/>
          <w:spacing w:val="-2"/>
        </w:rPr>
        <w:t>2017</w:t>
      </w:r>
      <w:r>
        <w:rPr>
          <w:spacing w:val="-2"/>
        </w:rPr>
        <w:t>年董事长、副董事长及公司高级管理人员的薪酬。报告期内，共召开薪酬</w:t>
      </w:r>
      <w:r>
        <w:rPr>
          <w:spacing w:val="-25"/>
        </w:rPr>
        <w:t> </w:t>
      </w:r>
      <w:r>
        <w:rPr>
          <w:spacing w:val="-25"/>
        </w:rPr>
      </w:r>
      <w:r>
        <w:rPr/>
        <w:t>与考核委员会</w:t>
      </w:r>
      <w:r>
        <w:rPr>
          <w:rFonts w:ascii="华文细黑" w:hAnsi="华文细黑" w:cs="华文细黑" w:eastAsia="华文细黑" w:hint="default"/>
        </w:rPr>
        <w:t>1</w:t>
      </w:r>
      <w:r>
        <w:rPr/>
        <w:t>次，审议议案</w:t>
      </w:r>
      <w:r>
        <w:rPr>
          <w:rFonts w:ascii="华文细黑" w:hAnsi="华文细黑" w:cs="华文细黑" w:eastAsia="华文细黑" w:hint="default"/>
        </w:rPr>
        <w:t>2</w:t>
      </w:r>
      <w:r>
        <w:rPr/>
        <w:t>项，不存在异议事项。</w:t>
      </w:r>
    </w:p>
    <w:p>
      <w:pPr>
        <w:pStyle w:val="BodyText"/>
        <w:spacing w:line="379" w:lineRule="auto" w:before="40"/>
        <w:ind w:left="154" w:right="1129" w:firstLine="420"/>
        <w:jc w:val="both"/>
      </w:pPr>
      <w:r>
        <w:rPr>
          <w:spacing w:val="-6"/>
        </w:rPr>
        <w:t>公司董事会提名委员会按照《独立董事工作制度》、《提名委员会实施细则》等相关制度的规定，完成</w:t>
      </w:r>
      <w:r>
        <w:rPr/>
        <w:t> </w:t>
      </w:r>
      <w:r>
        <w:rPr>
          <w:spacing w:val="-1"/>
        </w:rPr>
        <w:t>了对公司董事会秘书候选人进行了资格审查及提名。报告期内，共召开提名委员会</w:t>
      </w:r>
      <w:r>
        <w:rPr>
          <w:rFonts w:ascii="华文细黑" w:hAnsi="华文细黑" w:cs="华文细黑" w:eastAsia="华文细黑" w:hint="default"/>
          <w:spacing w:val="-1"/>
        </w:rPr>
        <w:t>1</w:t>
      </w:r>
      <w:r>
        <w:rPr>
          <w:spacing w:val="-1"/>
        </w:rPr>
        <w:t>次，审议议案</w:t>
      </w:r>
      <w:r>
        <w:rPr>
          <w:rFonts w:ascii="华文细黑" w:hAnsi="华文细黑" w:cs="华文细黑" w:eastAsia="华文细黑" w:hint="default"/>
          <w:spacing w:val="-1"/>
        </w:rPr>
        <w:t>1</w:t>
      </w:r>
      <w:r>
        <w:rPr>
          <w:spacing w:val="-1"/>
        </w:rPr>
        <w:t>项，不</w:t>
      </w:r>
      <w:r>
        <w:rPr>
          <w:spacing w:val="-50"/>
        </w:rPr>
        <w:t> </w:t>
      </w:r>
      <w:r>
        <w:rPr>
          <w:spacing w:val="-50"/>
        </w:rPr>
      </w:r>
      <w:r>
        <w:rPr/>
        <w:t>存在异议事项。</w:t>
      </w:r>
    </w:p>
    <w:p>
      <w:pPr>
        <w:spacing w:line="240" w:lineRule="auto" w:before="1"/>
        <w:rPr>
          <w:rFonts w:ascii="华文细黑" w:hAnsi="华文细黑" w:cs="华文细黑" w:eastAsia="华文细黑" w:hint="default"/>
          <w:sz w:val="24"/>
          <w:szCs w:val="24"/>
        </w:rPr>
      </w:pPr>
    </w:p>
    <w:p>
      <w:pPr>
        <w:pStyle w:val="Heading2"/>
        <w:spacing w:line="240" w:lineRule="auto"/>
        <w:ind w:left="154" w:right="1217"/>
        <w:jc w:val="left"/>
        <w:rPr>
          <w:b w:val="0"/>
          <w:bCs w:val="0"/>
        </w:rPr>
      </w:pPr>
      <w:bookmarkStart w:name="七、监事会工作情况" w:id="172"/>
      <w:bookmarkEnd w:id="172"/>
      <w:r>
        <w:rPr>
          <w:b w:val="0"/>
          <w:bCs w:val="0"/>
        </w:rPr>
      </w:r>
      <w:r>
        <w:rPr/>
        <w:t>七、监事会工作情况</w:t>
      </w:r>
      <w:r>
        <w:rPr>
          <w:b w:val="0"/>
          <w:bCs w:val="0"/>
        </w:rPr>
      </w:r>
    </w:p>
    <w:p>
      <w:pPr>
        <w:spacing w:line="240" w:lineRule="auto" w:before="0"/>
        <w:rPr>
          <w:rFonts w:ascii="华文细黑" w:hAnsi="华文细黑" w:cs="华文细黑" w:eastAsia="华文细黑" w:hint="default"/>
          <w:b/>
          <w:bCs/>
          <w:sz w:val="30"/>
          <w:szCs w:val="30"/>
        </w:rPr>
      </w:pPr>
    </w:p>
    <w:p>
      <w:pPr>
        <w:pStyle w:val="BodyText"/>
        <w:spacing w:line="240" w:lineRule="auto"/>
        <w:ind w:left="154" w:right="1217"/>
        <w:jc w:val="left"/>
      </w:pPr>
      <w:r>
        <w:rPr/>
        <w:t>监事会在报告期内的监督活动中发现公司是否存在风险</w:t>
      </w:r>
    </w:p>
    <w:p>
      <w:pPr>
        <w:pStyle w:val="BodyText"/>
        <w:spacing w:line="285" w:lineRule="auto" w:before="55"/>
        <w:ind w:left="154" w:right="7182"/>
        <w:jc w:val="left"/>
      </w:pPr>
      <w:r>
        <w:rPr/>
        <w:t>□ 是 √ 否 监事会对报告期内的监督事项无异议。</w:t>
      </w:r>
    </w:p>
    <w:p>
      <w:pPr>
        <w:spacing w:line="240" w:lineRule="auto" w:before="10"/>
        <w:rPr>
          <w:rFonts w:ascii="华文细黑" w:hAnsi="华文细黑" w:cs="华文细黑" w:eastAsia="华文细黑" w:hint="default"/>
          <w:sz w:val="24"/>
          <w:szCs w:val="24"/>
        </w:rPr>
      </w:pPr>
    </w:p>
    <w:p>
      <w:pPr>
        <w:pStyle w:val="Heading2"/>
        <w:spacing w:line="240" w:lineRule="auto"/>
        <w:ind w:left="154" w:right="1217"/>
        <w:jc w:val="left"/>
        <w:rPr>
          <w:b w:val="0"/>
          <w:bCs w:val="0"/>
        </w:rPr>
      </w:pPr>
      <w:bookmarkStart w:name="八、高级管理人员的考评及激励情况" w:id="173"/>
      <w:bookmarkEnd w:id="173"/>
      <w:r>
        <w:rPr>
          <w:b w:val="0"/>
          <w:bCs w:val="0"/>
        </w:rPr>
      </w:r>
      <w:r>
        <w:rPr/>
        <w:t>八、高级管理人员的考评及激励情况</w:t>
      </w:r>
      <w:r>
        <w:rPr>
          <w:b w:val="0"/>
          <w:bCs w:val="0"/>
        </w:rPr>
      </w:r>
    </w:p>
    <w:p>
      <w:pPr>
        <w:spacing w:line="240" w:lineRule="auto" w:before="7"/>
        <w:rPr>
          <w:rFonts w:ascii="华文细黑" w:hAnsi="华文细黑" w:cs="华文细黑" w:eastAsia="华文细黑" w:hint="default"/>
          <w:b/>
          <w:bCs/>
          <w:sz w:val="35"/>
          <w:szCs w:val="35"/>
        </w:rPr>
      </w:pPr>
    </w:p>
    <w:p>
      <w:pPr>
        <w:pStyle w:val="BodyText"/>
        <w:spacing w:line="240" w:lineRule="auto"/>
        <w:ind w:left="574" w:right="0"/>
        <w:jc w:val="left"/>
      </w:pPr>
      <w:r>
        <w:rPr/>
        <w:t>公司建立了较为健全的考评和激励机制，形成了比较科学的奖罚制度。公司在每年年初和高级管理人</w:t>
      </w:r>
    </w:p>
    <w:p>
      <w:pPr>
        <w:spacing w:after="0" w:line="240" w:lineRule="auto"/>
        <w:jc w:val="left"/>
        <w:sectPr>
          <w:pgSz w:w="11910" w:h="16840"/>
          <w:pgMar w:header="917" w:footer="1019" w:top="1100" w:bottom="1200" w:left="980" w:right="0"/>
        </w:sectPr>
      </w:pPr>
    </w:p>
    <w:p>
      <w:pPr>
        <w:spacing w:line="240" w:lineRule="auto" w:before="7"/>
        <w:rPr>
          <w:rFonts w:ascii="华文细黑" w:hAnsi="华文细黑" w:cs="华文细黑" w:eastAsia="华文细黑" w:hint="default"/>
          <w:sz w:val="26"/>
          <w:szCs w:val="26"/>
        </w:rPr>
      </w:pPr>
    </w:p>
    <w:p>
      <w:pPr>
        <w:pStyle w:val="BodyText"/>
        <w:spacing w:line="379" w:lineRule="auto" w:before="10"/>
        <w:ind w:left="234" w:right="1130"/>
        <w:jc w:val="both"/>
      </w:pPr>
      <w:r>
        <w:rPr>
          <w:spacing w:val="-1"/>
        </w:rPr>
        <w:t>员都签订年度绩效责任书，以此明确综合绩效指标（包括量化的财务指标和定性的管理指标）和考核结果</w:t>
      </w:r>
      <w:r>
        <w:rPr>
          <w:spacing w:val="-30"/>
        </w:rPr>
        <w:t> </w:t>
      </w:r>
      <w:r>
        <w:rPr>
          <w:spacing w:val="-30"/>
        </w:rPr>
      </w:r>
      <w:r>
        <w:rPr>
          <w:spacing w:val="-1"/>
        </w:rPr>
        <w:t>应用（即明确考核结果如何与职位、工资、奖金挂钩）。公司对高级管理人员实行“半年度回顾、年度考</w:t>
      </w:r>
      <w:r>
        <w:rPr>
          <w:spacing w:val="-41"/>
        </w:rPr>
        <w:t> </w:t>
      </w:r>
      <w:r>
        <w:rPr>
          <w:spacing w:val="-41"/>
        </w:rPr>
      </w:r>
      <w:r>
        <w:rPr>
          <w:spacing w:val="-3"/>
        </w:rPr>
        <w:t>核”，并严格按照有关制度兑现考核结果的应用，包括对报酬的应用和对职位的应用。</w:t>
      </w:r>
    </w:p>
    <w:p>
      <w:pPr>
        <w:spacing w:line="240" w:lineRule="auto" w:before="1"/>
        <w:rPr>
          <w:rFonts w:ascii="华文细黑" w:hAnsi="华文细黑" w:cs="华文细黑" w:eastAsia="华文细黑" w:hint="default"/>
          <w:sz w:val="24"/>
          <w:szCs w:val="24"/>
        </w:rPr>
      </w:pPr>
    </w:p>
    <w:p>
      <w:pPr>
        <w:pStyle w:val="Heading2"/>
        <w:spacing w:line="240" w:lineRule="auto"/>
        <w:ind w:right="0"/>
        <w:jc w:val="both"/>
        <w:rPr>
          <w:b w:val="0"/>
          <w:bCs w:val="0"/>
        </w:rPr>
      </w:pPr>
      <w:bookmarkStart w:name="九、内部控制评价报告" w:id="174"/>
      <w:bookmarkEnd w:id="174"/>
      <w:r>
        <w:rPr>
          <w:b w:val="0"/>
          <w:bCs w:val="0"/>
        </w:rPr>
      </w:r>
      <w:r>
        <w:rPr/>
        <w:t>九、内部控制评价报告</w:t>
      </w:r>
      <w:r>
        <w:rPr>
          <w:b w:val="0"/>
          <w:bCs w:val="0"/>
        </w:rPr>
      </w:r>
    </w:p>
    <w:p>
      <w:pPr>
        <w:spacing w:line="240" w:lineRule="auto" w:before="0"/>
        <w:rPr>
          <w:rFonts w:ascii="华文细黑" w:hAnsi="华文细黑" w:cs="华文细黑" w:eastAsia="华文细黑" w:hint="default"/>
          <w:b/>
          <w:bCs/>
          <w:sz w:val="30"/>
          <w:szCs w:val="30"/>
        </w:rPr>
      </w:pPr>
    </w:p>
    <w:p>
      <w:pPr>
        <w:pStyle w:val="Heading5"/>
        <w:spacing w:line="240" w:lineRule="auto" w:before="0"/>
        <w:ind w:right="0"/>
        <w:jc w:val="both"/>
        <w:rPr>
          <w:b w:val="0"/>
          <w:bCs w:val="0"/>
        </w:rPr>
      </w:pPr>
      <w:bookmarkStart w:name="1、报告期内发现的内部控制重大缺陷的具体情况" w:id="175"/>
      <w:bookmarkEnd w:id="175"/>
      <w:r>
        <w:rPr>
          <w:b w:val="0"/>
          <w:bCs w:val="0"/>
        </w:rPr>
      </w:r>
      <w:r>
        <w:rPr>
          <w:rFonts w:ascii="华文细黑" w:hAnsi="华文细黑" w:cs="华文细黑" w:eastAsia="华文细黑" w:hint="default"/>
        </w:rPr>
        <w:t>1</w:t>
      </w:r>
      <w:r>
        <w:rPr/>
        <w:t>、报告期内发现的内部控制重大缺陷的具体情况</w:t>
      </w:r>
      <w:r>
        <w:rPr>
          <w:b w:val="0"/>
          <w:bCs w:val="0"/>
        </w:rPr>
      </w:r>
    </w:p>
    <w:p>
      <w:pPr>
        <w:spacing w:line="240" w:lineRule="auto" w:before="6"/>
        <w:rPr>
          <w:rFonts w:ascii="华文细黑" w:hAnsi="华文细黑" w:cs="华文细黑" w:eastAsia="华文细黑" w:hint="default"/>
          <w:b/>
          <w:bCs/>
          <w:sz w:val="22"/>
          <w:szCs w:val="22"/>
        </w:rPr>
      </w:pPr>
    </w:p>
    <w:p>
      <w:pPr>
        <w:spacing w:line="494" w:lineRule="auto" w:before="0"/>
        <w:ind w:left="234" w:right="8743" w:firstLine="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 是 √ 否 </w:t>
      </w:r>
      <w:bookmarkStart w:name="2、内控自我评价报告" w:id="176"/>
      <w:bookmarkEnd w:id="176"/>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、内控自我评价报告</w:t>
      </w:r>
      <w:r>
        <w:rPr>
          <w:rFonts w:ascii="华文细黑" w:hAnsi="华文细黑" w:cs="华文细黑" w:eastAsia="华文细黑" w:hint="default"/>
          <w:sz w:val="21"/>
          <w:szCs w:val="21"/>
        </w:rPr>
      </w:r>
    </w:p>
    <w:p>
      <w:pPr>
        <w:spacing w:line="240" w:lineRule="auto" w:before="5"/>
        <w:rPr>
          <w:rFonts w:ascii="华文细黑" w:hAnsi="华文细黑" w:cs="华文细黑" w:eastAsia="华文细黑" w:hint="default"/>
          <w:b/>
          <w:bCs/>
          <w:sz w:val="7"/>
          <w:szCs w:val="7"/>
        </w:rPr>
      </w:pPr>
    </w:p>
    <w:tbl>
      <w:tblPr>
        <w:tblW w:w="0" w:type="auto"/>
        <w:jc w:val="left"/>
        <w:tblInd w:w="117" w:type="dxa"/>
        <w:tblLayout w:type="fixed"/>
        <w:tblCellMar>
          <w:top w:w="0" w:type="dxa"/>
          <w:left w:w="0" w:type="dxa"/>
          <w:bottom w:w="0" w:type="dxa"/>
          <w:right w:w="0" w:type="dxa"/>
        </w:tblCellMar>
        <w:tblLook w:val="01E0"/>
      </w:tblPr>
      <w:tblGrid>
        <w:gridCol w:w="2848"/>
        <w:gridCol w:w="4096"/>
        <w:gridCol w:w="2625"/>
      </w:tblGrid>
      <w:tr>
        <w:trPr>
          <w:trHeight w:val="402" w:hRule="exact"/>
        </w:trPr>
        <w:tc>
          <w:tcPr>
            <w:tcW w:w="28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内部控制评价报告全文披露日期</w:t>
            </w:r>
          </w:p>
        </w:tc>
        <w:tc>
          <w:tcPr>
            <w:tcW w:w="6721" w:type="dxa"/>
            <w:gridSpan w:val="2"/>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2019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04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16</w:t>
            </w:r>
            <w:r>
              <w:rPr>
                <w:rFonts w:ascii="华文细黑" w:hAnsi="华文细黑" w:cs="华文细黑" w:eastAsia="华文细黑" w:hint="default"/>
                <w:spacing w:val="-6"/>
                <w:sz w:val="18"/>
                <w:szCs w:val="18"/>
              </w:rPr>
              <w:t> </w:t>
            </w:r>
            <w:r>
              <w:rPr>
                <w:rFonts w:ascii="华文细黑" w:hAnsi="华文细黑" w:cs="华文细黑" w:eastAsia="华文细黑" w:hint="default"/>
                <w:sz w:val="18"/>
                <w:szCs w:val="18"/>
              </w:rPr>
              <w:t>日</w:t>
            </w:r>
          </w:p>
        </w:tc>
      </w:tr>
      <w:tr>
        <w:trPr>
          <w:trHeight w:val="714" w:hRule="exact"/>
        </w:trPr>
        <w:tc>
          <w:tcPr>
            <w:tcW w:w="28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内部控制评价报告全文披露索引</w:t>
            </w:r>
          </w:p>
        </w:tc>
        <w:tc>
          <w:tcPr>
            <w:tcW w:w="6721" w:type="dxa"/>
            <w:gridSpan w:val="2"/>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详见刊登于巨潮资讯网（</w:t>
            </w:r>
            <w:hyperlink r:id="rId21">
              <w:r>
                <w:rPr>
                  <w:rFonts w:ascii="华文细黑" w:hAnsi="华文细黑" w:cs="华文细黑" w:eastAsia="华文细黑" w:hint="default"/>
                  <w:sz w:val="18"/>
                  <w:szCs w:val="18"/>
                </w:rPr>
                <w:t>www.cninfo.com.cn</w:t>
              </w:r>
            </w:hyperlink>
            <w:r>
              <w:rPr>
                <w:rFonts w:ascii="华文细黑" w:hAnsi="华文细黑" w:cs="华文细黑" w:eastAsia="华文细黑" w:hint="default"/>
                <w:sz w:val="18"/>
                <w:szCs w:val="18"/>
              </w:rPr>
              <w:t>）的《</w:t>
            </w:r>
            <w:r>
              <w:rPr>
                <w:rFonts w:ascii="华文细黑" w:hAnsi="华文细黑" w:cs="华文细黑" w:eastAsia="华文细黑" w:hint="default"/>
                <w:sz w:val="18"/>
                <w:szCs w:val="18"/>
              </w:rPr>
              <w:t>2018</w:t>
            </w:r>
            <w:r>
              <w:rPr>
                <w:rFonts w:ascii="华文细黑" w:hAnsi="华文细黑" w:cs="华文细黑" w:eastAsia="华文细黑" w:hint="default"/>
                <w:spacing w:val="-28"/>
                <w:sz w:val="18"/>
                <w:szCs w:val="18"/>
              </w:rPr>
              <w:t> </w:t>
            </w:r>
            <w:r>
              <w:rPr>
                <w:rFonts w:ascii="华文细黑" w:hAnsi="华文细黑" w:cs="华文细黑" w:eastAsia="华文细黑" w:hint="default"/>
                <w:sz w:val="18"/>
                <w:szCs w:val="18"/>
              </w:rPr>
              <w:t>年度内部控制自我评价 报告》</w:t>
            </w:r>
          </w:p>
        </w:tc>
      </w:tr>
      <w:tr>
        <w:trPr>
          <w:trHeight w:val="714" w:hRule="exact"/>
        </w:trPr>
        <w:tc>
          <w:tcPr>
            <w:tcW w:w="28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21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纳入评价范围单位资产总额占公 司合并财务报表资产总额的比例</w:t>
            </w:r>
          </w:p>
        </w:tc>
        <w:tc>
          <w:tcPr>
            <w:tcW w:w="6721" w:type="dxa"/>
            <w:gridSpan w:val="2"/>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right="100"/>
              <w:jc w:val="right"/>
              <w:rPr>
                <w:rFonts w:ascii="华文细黑" w:hAnsi="华文细黑" w:cs="华文细黑" w:eastAsia="华文细黑" w:hint="default"/>
                <w:sz w:val="18"/>
                <w:szCs w:val="18"/>
              </w:rPr>
            </w:pPr>
            <w:r>
              <w:rPr>
                <w:rFonts w:ascii="华文细黑"/>
                <w:w w:val="95"/>
                <w:sz w:val="18"/>
              </w:rPr>
              <w:t>100.00%</w:t>
            </w:r>
          </w:p>
        </w:tc>
      </w:tr>
      <w:tr>
        <w:trPr>
          <w:trHeight w:val="714" w:hRule="exact"/>
        </w:trPr>
        <w:tc>
          <w:tcPr>
            <w:tcW w:w="28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21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纳入评价范围单位营业收入占公 司合并财务报表营业收入的比例</w:t>
            </w:r>
          </w:p>
        </w:tc>
        <w:tc>
          <w:tcPr>
            <w:tcW w:w="6721" w:type="dxa"/>
            <w:gridSpan w:val="2"/>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right="100"/>
              <w:jc w:val="right"/>
              <w:rPr>
                <w:rFonts w:ascii="华文细黑" w:hAnsi="华文细黑" w:cs="华文细黑" w:eastAsia="华文细黑" w:hint="default"/>
                <w:sz w:val="18"/>
                <w:szCs w:val="18"/>
              </w:rPr>
            </w:pPr>
            <w:r>
              <w:rPr>
                <w:rFonts w:ascii="华文细黑"/>
                <w:w w:val="95"/>
                <w:sz w:val="18"/>
              </w:rPr>
              <w:t>100.00%</w:t>
            </w:r>
          </w:p>
        </w:tc>
      </w:tr>
      <w:tr>
        <w:trPr>
          <w:trHeight w:val="402" w:hRule="exact"/>
        </w:trPr>
        <w:tc>
          <w:tcPr>
            <w:tcW w:w="9569"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b/>
                <w:bCs/>
                <w:sz w:val="18"/>
                <w:szCs w:val="18"/>
              </w:rPr>
              <w:t>缺陷认定标准</w:t>
            </w:r>
            <w:r>
              <w:rPr>
                <w:rFonts w:ascii="华文细黑" w:hAnsi="华文细黑" w:cs="华文细黑" w:eastAsia="华文细黑" w:hint="default"/>
                <w:sz w:val="18"/>
                <w:szCs w:val="18"/>
              </w:rPr>
            </w:r>
          </w:p>
        </w:tc>
      </w:tr>
      <w:tr>
        <w:trPr>
          <w:trHeight w:val="402" w:hRule="exact"/>
        </w:trPr>
        <w:tc>
          <w:tcPr>
            <w:tcW w:w="28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类别</w:t>
            </w:r>
          </w:p>
        </w:tc>
        <w:tc>
          <w:tcPr>
            <w:tcW w:w="40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财务报告</w:t>
            </w:r>
          </w:p>
        </w:tc>
        <w:tc>
          <w:tcPr>
            <w:tcW w:w="262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85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非财务报告</w:t>
            </w:r>
          </w:p>
        </w:tc>
      </w:tr>
      <w:tr>
        <w:trPr>
          <w:trHeight w:val="4458" w:hRule="exact"/>
        </w:trPr>
        <w:tc>
          <w:tcPr>
            <w:tcW w:w="28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7"/>
              <w:ind w:right="0"/>
              <w:jc w:val="left"/>
              <w:rPr>
                <w:rFonts w:ascii="华文细黑" w:hAnsi="华文细黑" w:cs="华文细黑" w:eastAsia="华文细黑" w:hint="default"/>
                <w:b/>
                <w:bCs/>
                <w:sz w:val="20"/>
                <w:szCs w:val="20"/>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定性标准</w:t>
            </w:r>
          </w:p>
        </w:tc>
        <w:tc>
          <w:tcPr>
            <w:tcW w:w="4096"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2"/>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1</w:t>
            </w:r>
            <w:r>
              <w:rPr>
                <w:rFonts w:ascii="华文细黑" w:hAnsi="华文细黑" w:cs="华文细黑" w:eastAsia="华文细黑" w:hint="default"/>
                <w:spacing w:val="-9"/>
                <w:sz w:val="18"/>
                <w:szCs w:val="18"/>
              </w:rPr>
              <w:t>、财务报告重大缺陷的迹象包括：（</w:t>
            </w:r>
            <w:r>
              <w:rPr>
                <w:rFonts w:ascii="华文细黑" w:hAnsi="华文细黑" w:cs="华文细黑" w:eastAsia="华文细黑" w:hint="default"/>
                <w:spacing w:val="-9"/>
                <w:sz w:val="18"/>
                <w:szCs w:val="18"/>
              </w:rPr>
              <w:t>1</w:t>
            </w:r>
            <w:r>
              <w:rPr>
                <w:rFonts w:ascii="华文细黑" w:hAnsi="华文细黑" w:cs="华文细黑" w:eastAsia="华文细黑" w:hint="default"/>
                <w:spacing w:val="-9"/>
                <w:sz w:val="18"/>
                <w:szCs w:val="18"/>
              </w:rPr>
              <w:t>）公司董事、</w:t>
            </w:r>
            <w:r>
              <w:rPr>
                <w:rFonts w:ascii="华文细黑" w:hAnsi="华文细黑" w:cs="华文细黑" w:eastAsia="华文细黑" w:hint="default"/>
                <w:spacing w:val="-23"/>
                <w:sz w:val="18"/>
                <w:szCs w:val="18"/>
              </w:rPr>
              <w:t> </w:t>
            </w:r>
            <w:r>
              <w:rPr>
                <w:rFonts w:ascii="华文细黑" w:hAnsi="华文细黑" w:cs="华文细黑" w:eastAsia="华文细黑" w:hint="default"/>
                <w:spacing w:val="-23"/>
                <w:sz w:val="18"/>
                <w:szCs w:val="18"/>
              </w:rPr>
            </w:r>
            <w:r>
              <w:rPr>
                <w:rFonts w:ascii="华文细黑" w:hAnsi="华文细黑" w:cs="华文细黑" w:eastAsia="华文细黑" w:hint="default"/>
                <w:spacing w:val="-5"/>
                <w:sz w:val="18"/>
                <w:szCs w:val="18"/>
              </w:rPr>
              <w:t>监事或高管人员的舞弊行为；（</w:t>
            </w:r>
            <w:r>
              <w:rPr>
                <w:rFonts w:ascii="华文细黑" w:hAnsi="华文细黑" w:cs="华文细黑" w:eastAsia="华文细黑" w:hint="default"/>
                <w:spacing w:val="-5"/>
                <w:sz w:val="18"/>
                <w:szCs w:val="18"/>
              </w:rPr>
              <w:t>2</w:t>
            </w:r>
            <w:r>
              <w:rPr>
                <w:rFonts w:ascii="华文细黑" w:hAnsi="华文细黑" w:cs="华文细黑" w:eastAsia="华文细黑" w:hint="default"/>
                <w:spacing w:val="-5"/>
                <w:sz w:val="18"/>
                <w:szCs w:val="18"/>
              </w:rPr>
              <w:t>）发现当期财务</w:t>
            </w:r>
            <w:r>
              <w:rPr>
                <w:rFonts w:ascii="华文细黑" w:hAnsi="华文细黑" w:cs="华文细黑" w:eastAsia="华文细黑" w:hint="default"/>
                <w:spacing w:val="-26"/>
                <w:sz w:val="18"/>
                <w:szCs w:val="18"/>
              </w:rPr>
              <w:t> </w:t>
            </w:r>
            <w:r>
              <w:rPr>
                <w:rFonts w:ascii="华文细黑" w:hAnsi="华文细黑" w:cs="华文细黑" w:eastAsia="华文细黑" w:hint="default"/>
                <w:spacing w:val="-4"/>
                <w:sz w:val="18"/>
                <w:szCs w:val="18"/>
              </w:rPr>
              <w:t>报表的重大错报，而管理层未能在内控运行过程中</w:t>
            </w:r>
            <w:r>
              <w:rPr>
                <w:rFonts w:ascii="华文细黑" w:hAnsi="华文细黑" w:cs="华文细黑" w:eastAsia="华文细黑" w:hint="default"/>
                <w:spacing w:val="-40"/>
                <w:sz w:val="18"/>
                <w:szCs w:val="18"/>
              </w:rPr>
              <w:t> </w:t>
            </w:r>
            <w:r>
              <w:rPr>
                <w:rFonts w:ascii="华文细黑" w:hAnsi="华文细黑" w:cs="华文细黑" w:eastAsia="华文细黑" w:hint="default"/>
                <w:spacing w:val="-40"/>
                <w:sz w:val="18"/>
                <w:szCs w:val="18"/>
              </w:rPr>
            </w:r>
            <w:r>
              <w:rPr>
                <w:rFonts w:ascii="华文细黑" w:hAnsi="华文细黑" w:cs="华文细黑" w:eastAsia="华文细黑" w:hint="default"/>
                <w:spacing w:val="-4"/>
                <w:sz w:val="18"/>
                <w:szCs w:val="18"/>
              </w:rPr>
              <w:t>发现；（</w:t>
            </w:r>
            <w:r>
              <w:rPr>
                <w:rFonts w:ascii="华文细黑" w:hAnsi="华文细黑" w:cs="华文细黑" w:eastAsia="华文细黑" w:hint="default"/>
                <w:spacing w:val="-4"/>
                <w:sz w:val="18"/>
                <w:szCs w:val="18"/>
              </w:rPr>
              <w:t>3</w:t>
            </w:r>
            <w:r>
              <w:rPr>
                <w:rFonts w:ascii="华文细黑" w:hAnsi="华文细黑" w:cs="华文细黑" w:eastAsia="华文细黑" w:hint="default"/>
                <w:spacing w:val="-4"/>
                <w:sz w:val="18"/>
                <w:szCs w:val="18"/>
              </w:rPr>
              <w:t>）内部控制评价的结果</w:t>
            </w:r>
            <w:r>
              <w:rPr>
                <w:rFonts w:ascii="华文细黑" w:hAnsi="华文细黑" w:cs="华文细黑" w:eastAsia="华文细黑" w:hint="default"/>
                <w:spacing w:val="-4"/>
                <w:sz w:val="18"/>
                <w:szCs w:val="18"/>
              </w:rPr>
              <w:t>,</w:t>
            </w:r>
            <w:r>
              <w:rPr>
                <w:rFonts w:ascii="华文细黑" w:hAnsi="华文细黑" w:cs="华文细黑" w:eastAsia="华文细黑" w:hint="default"/>
                <w:spacing w:val="-4"/>
                <w:sz w:val="18"/>
                <w:szCs w:val="18"/>
              </w:rPr>
              <w:t>重大缺陷未得到</w:t>
            </w:r>
            <w:r>
              <w:rPr>
                <w:rFonts w:ascii="华文细黑" w:hAnsi="华文细黑" w:cs="华文细黑" w:eastAsia="华文细黑" w:hint="default"/>
                <w:sz w:val="18"/>
                <w:szCs w:val="18"/>
              </w:rPr>
              <w:t> </w:t>
            </w:r>
            <w:r>
              <w:rPr>
                <w:rFonts w:ascii="华文细黑" w:hAnsi="华文细黑" w:cs="华文细黑" w:eastAsia="华文细黑" w:hint="default"/>
                <w:spacing w:val="-5"/>
                <w:sz w:val="18"/>
                <w:szCs w:val="18"/>
              </w:rPr>
              <w:t>整改；（</w:t>
            </w:r>
            <w:r>
              <w:rPr>
                <w:rFonts w:ascii="华文细黑" w:hAnsi="华文细黑" w:cs="华文细黑" w:eastAsia="华文细黑" w:hint="default"/>
                <w:spacing w:val="-5"/>
                <w:sz w:val="18"/>
                <w:szCs w:val="18"/>
              </w:rPr>
              <w:t>4</w:t>
            </w:r>
            <w:r>
              <w:rPr>
                <w:rFonts w:ascii="华文细黑" w:hAnsi="华文细黑" w:cs="华文细黑" w:eastAsia="华文细黑" w:hint="default"/>
                <w:spacing w:val="-5"/>
                <w:sz w:val="18"/>
                <w:szCs w:val="18"/>
              </w:rPr>
              <w:t>）审计委员会和内部审计机构对内部控</w:t>
            </w:r>
            <w:r>
              <w:rPr>
                <w:rFonts w:ascii="华文细黑" w:hAnsi="华文细黑" w:cs="华文细黑" w:eastAsia="华文细黑" w:hint="default"/>
                <w:spacing w:val="-26"/>
                <w:sz w:val="18"/>
                <w:szCs w:val="18"/>
              </w:rPr>
              <w:t> </w:t>
            </w:r>
            <w:r>
              <w:rPr>
                <w:rFonts w:ascii="华文细黑" w:hAnsi="华文细黑" w:cs="华文细黑" w:eastAsia="华文细黑" w:hint="default"/>
                <w:spacing w:val="-5"/>
                <w:sz w:val="18"/>
                <w:szCs w:val="18"/>
              </w:rPr>
              <w:t>制的监督无效。</w:t>
            </w:r>
            <w:r>
              <w:rPr>
                <w:rFonts w:ascii="华文细黑" w:hAnsi="华文细黑" w:cs="华文细黑" w:eastAsia="华文细黑" w:hint="default"/>
                <w:spacing w:val="-5"/>
                <w:sz w:val="18"/>
                <w:szCs w:val="18"/>
              </w:rPr>
              <w:t>2</w:t>
            </w:r>
            <w:r>
              <w:rPr>
                <w:rFonts w:ascii="华文细黑" w:hAnsi="华文细黑" w:cs="华文细黑" w:eastAsia="华文细黑" w:hint="default"/>
                <w:spacing w:val="-5"/>
                <w:sz w:val="18"/>
                <w:szCs w:val="18"/>
              </w:rPr>
              <w:t>、财务报告重要缺陷的迹象包括：</w:t>
            </w:r>
          </w:p>
          <w:p>
            <w:pPr>
              <w:pStyle w:val="TableParagraph"/>
              <w:spacing w:line="240" w:lineRule="auto" w:before="13"/>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）未依照公认会计准则选择和应用会计政策；</w:t>
            </w:r>
          </w:p>
          <w:p>
            <w:pPr>
              <w:pStyle w:val="TableParagraph"/>
              <w:spacing w:line="295" w:lineRule="auto" w:before="58"/>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5"/>
                <w:sz w:val="18"/>
                <w:szCs w:val="18"/>
              </w:rPr>
              <w:t>（</w:t>
            </w:r>
            <w:r>
              <w:rPr>
                <w:rFonts w:ascii="华文细黑" w:hAnsi="华文细黑" w:cs="华文细黑" w:eastAsia="华文细黑" w:hint="default"/>
                <w:spacing w:val="-5"/>
                <w:sz w:val="18"/>
                <w:szCs w:val="18"/>
              </w:rPr>
              <w:t>2</w:t>
            </w:r>
            <w:r>
              <w:rPr>
                <w:rFonts w:ascii="华文细黑" w:hAnsi="华文细黑" w:cs="华文细黑" w:eastAsia="华文细黑" w:hint="default"/>
                <w:spacing w:val="-5"/>
                <w:sz w:val="18"/>
                <w:szCs w:val="18"/>
              </w:rPr>
              <w:t>）未建立反舞弊程序和控制措施；（</w:t>
            </w:r>
            <w:r>
              <w:rPr>
                <w:rFonts w:ascii="华文细黑" w:hAnsi="华文细黑" w:cs="华文细黑" w:eastAsia="华文细黑" w:hint="default"/>
                <w:spacing w:val="-5"/>
                <w:sz w:val="18"/>
                <w:szCs w:val="18"/>
              </w:rPr>
              <w:t>3</w:t>
            </w:r>
            <w:r>
              <w:rPr>
                <w:rFonts w:ascii="华文细黑" w:hAnsi="华文细黑" w:cs="华文细黑" w:eastAsia="华文细黑" w:hint="default"/>
                <w:spacing w:val="-5"/>
                <w:sz w:val="18"/>
                <w:szCs w:val="18"/>
              </w:rPr>
              <w:t>）对于非</w:t>
            </w:r>
            <w:r>
              <w:rPr>
                <w:rFonts w:ascii="华文细黑" w:hAnsi="华文细黑" w:cs="华文细黑" w:eastAsia="华文细黑" w:hint="default"/>
                <w:spacing w:val="-34"/>
                <w:sz w:val="18"/>
                <w:szCs w:val="18"/>
              </w:rPr>
              <w:t> </w:t>
            </w:r>
            <w:r>
              <w:rPr>
                <w:rFonts w:ascii="华文细黑" w:hAnsi="华文细黑" w:cs="华文细黑" w:eastAsia="华文细黑" w:hint="default"/>
                <w:spacing w:val="-34"/>
                <w:sz w:val="18"/>
                <w:szCs w:val="18"/>
              </w:rPr>
            </w:r>
            <w:r>
              <w:rPr>
                <w:rFonts w:ascii="华文细黑" w:hAnsi="华文细黑" w:cs="华文细黑" w:eastAsia="华文细黑" w:hint="default"/>
                <w:sz w:val="18"/>
                <w:szCs w:val="18"/>
              </w:rPr>
              <w:t>常规或特殊交易的账务处理没有建立相应的控制 </w:t>
            </w:r>
            <w:r>
              <w:rPr>
                <w:rFonts w:ascii="华文细黑" w:hAnsi="华文细黑" w:cs="华文细黑" w:eastAsia="华文细黑" w:hint="default"/>
                <w:spacing w:val="-5"/>
                <w:sz w:val="18"/>
                <w:szCs w:val="18"/>
              </w:rPr>
              <w:t>机制或没有实施且没有相应的补偿性控制；（</w:t>
            </w:r>
            <w:r>
              <w:rPr>
                <w:rFonts w:ascii="华文细黑" w:hAnsi="华文细黑" w:cs="华文细黑" w:eastAsia="华文细黑" w:hint="default"/>
                <w:spacing w:val="-5"/>
                <w:sz w:val="18"/>
                <w:szCs w:val="18"/>
              </w:rPr>
              <w:t>4</w:t>
            </w:r>
            <w:r>
              <w:rPr>
                <w:rFonts w:ascii="华文细黑" w:hAnsi="华文细黑" w:cs="华文细黑" w:eastAsia="华文细黑" w:hint="default"/>
                <w:spacing w:val="-5"/>
                <w:sz w:val="18"/>
                <w:szCs w:val="18"/>
              </w:rPr>
              <w:t>）</w:t>
            </w:r>
            <w:r>
              <w:rPr>
                <w:rFonts w:ascii="华文细黑" w:hAnsi="华文细黑" w:cs="华文细黑" w:eastAsia="华文细黑" w:hint="default"/>
                <w:spacing w:val="-26"/>
                <w:sz w:val="18"/>
                <w:szCs w:val="18"/>
              </w:rPr>
              <w:t> </w:t>
            </w:r>
            <w:r>
              <w:rPr>
                <w:rFonts w:ascii="华文细黑" w:hAnsi="华文细黑" w:cs="华文细黑" w:eastAsia="华文细黑" w:hint="default"/>
                <w:sz w:val="18"/>
                <w:szCs w:val="18"/>
              </w:rPr>
              <w:t>对于期末财务报告过程的控制存在一项或多项缺 </w:t>
            </w:r>
            <w:r>
              <w:rPr>
                <w:rFonts w:ascii="华文细黑" w:hAnsi="华文细黑" w:cs="华文细黑" w:eastAsia="华文细黑" w:hint="default"/>
                <w:spacing w:val="-4"/>
                <w:sz w:val="18"/>
                <w:szCs w:val="18"/>
              </w:rPr>
              <w:t>陷且不能合理保证编制的财务报表达到真实、准确</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的目标。</w:t>
            </w:r>
            <w:r>
              <w:rPr>
                <w:rFonts w:ascii="华文细黑" w:hAnsi="华文细黑" w:cs="华文细黑" w:eastAsia="华文细黑" w:hint="default"/>
                <w:sz w:val="18"/>
                <w:szCs w:val="18"/>
              </w:rPr>
              <w:t>3</w:t>
            </w:r>
            <w:r>
              <w:rPr>
                <w:rFonts w:ascii="华文细黑" w:hAnsi="华文细黑" w:cs="华文细黑" w:eastAsia="华文细黑" w:hint="default"/>
                <w:sz w:val="18"/>
                <w:szCs w:val="18"/>
              </w:rPr>
              <w:t>、一般缺陷是指除上述重大缺陷、重要 缺陷之外的其他控制缺陷。</w:t>
            </w:r>
          </w:p>
        </w:tc>
        <w:tc>
          <w:tcPr>
            <w:tcW w:w="262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24"/>
                <w:szCs w:val="24"/>
              </w:rPr>
            </w:pPr>
          </w:p>
          <w:p>
            <w:pPr>
              <w:pStyle w:val="TableParagraph"/>
              <w:spacing w:line="295" w:lineRule="auto"/>
              <w:ind w:left="101" w:right="10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出现以下情形的</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可认定为重大 缺陷</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其他情形按影响程度分别 确定为重要缺陷或一般缺陷： </w:t>
            </w:r>
            <w:r>
              <w:rPr>
                <w:rFonts w:ascii="华文细黑" w:hAnsi="华文细黑" w:cs="华文细黑" w:eastAsia="华文细黑" w:hint="default"/>
                <w:spacing w:val="-3"/>
                <w:sz w:val="18"/>
                <w:szCs w:val="18"/>
              </w:rPr>
              <w:t>1</w:t>
            </w:r>
            <w:r>
              <w:rPr>
                <w:rFonts w:ascii="华文细黑" w:hAnsi="华文细黑" w:cs="华文细黑" w:eastAsia="华文细黑" w:hint="default"/>
                <w:spacing w:val="-3"/>
                <w:sz w:val="18"/>
                <w:szCs w:val="18"/>
              </w:rPr>
              <w:t>、缺乏民主决策程序、决策程</w:t>
            </w:r>
            <w:r>
              <w:rPr>
                <w:rFonts w:ascii="华文细黑" w:hAnsi="华文细黑" w:cs="华文细黑" w:eastAsia="华文细黑" w:hint="default"/>
                <w:spacing w:val="-35"/>
                <w:sz w:val="18"/>
                <w:szCs w:val="18"/>
              </w:rPr>
              <w:t> </w:t>
            </w:r>
            <w:r>
              <w:rPr>
                <w:rFonts w:ascii="华文细黑" w:hAnsi="华文细黑" w:cs="华文细黑" w:eastAsia="华文细黑" w:hint="default"/>
                <w:spacing w:val="-35"/>
                <w:sz w:val="18"/>
                <w:szCs w:val="18"/>
              </w:rPr>
            </w:r>
            <w:r>
              <w:rPr>
                <w:rFonts w:ascii="华文细黑" w:hAnsi="华文细黑" w:cs="华文细黑" w:eastAsia="华文细黑" w:hint="default"/>
                <w:sz w:val="18"/>
                <w:szCs w:val="18"/>
              </w:rPr>
              <w:t>序不科学，出现重大失误，给 </w:t>
            </w:r>
            <w:r>
              <w:rPr>
                <w:rFonts w:ascii="华文细黑" w:hAnsi="华文细黑" w:cs="华文细黑" w:eastAsia="华文细黑" w:hint="default"/>
                <w:spacing w:val="-4"/>
                <w:sz w:val="18"/>
                <w:szCs w:val="18"/>
              </w:rPr>
              <w:t>公司造成重大财产损失；</w:t>
            </w:r>
            <w:r>
              <w:rPr>
                <w:rFonts w:ascii="华文细黑" w:hAnsi="华文细黑" w:cs="华文细黑" w:eastAsia="华文细黑" w:hint="default"/>
                <w:spacing w:val="-4"/>
                <w:sz w:val="18"/>
                <w:szCs w:val="18"/>
              </w:rPr>
              <w:t>2</w:t>
            </w:r>
            <w:r>
              <w:rPr>
                <w:rFonts w:ascii="华文细黑" w:hAnsi="华文细黑" w:cs="华文细黑" w:eastAsia="华文细黑" w:hint="default"/>
                <w:spacing w:val="-4"/>
                <w:sz w:val="18"/>
                <w:szCs w:val="18"/>
              </w:rPr>
              <w:t>、严</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
                <w:sz w:val="18"/>
                <w:szCs w:val="18"/>
              </w:rPr>
              <w:t>重违反国家法律法规；</w:t>
            </w:r>
            <w:r>
              <w:rPr>
                <w:rFonts w:ascii="华文细黑" w:hAnsi="华文细黑" w:cs="华文细黑" w:eastAsia="华文细黑" w:hint="default"/>
                <w:spacing w:val="-3"/>
                <w:sz w:val="18"/>
                <w:szCs w:val="18"/>
              </w:rPr>
              <w:t>3</w:t>
            </w:r>
            <w:r>
              <w:rPr>
                <w:rFonts w:ascii="华文细黑" w:hAnsi="华文细黑" w:cs="华文细黑" w:eastAsia="华文细黑" w:hint="default"/>
                <w:spacing w:val="-3"/>
                <w:sz w:val="18"/>
                <w:szCs w:val="18"/>
              </w:rPr>
              <w:t>、缺乏</w:t>
            </w:r>
            <w:r>
              <w:rPr>
                <w:rFonts w:ascii="华文细黑" w:hAnsi="华文细黑" w:cs="华文细黑" w:eastAsia="华文细黑" w:hint="default"/>
                <w:spacing w:val="-36"/>
                <w:sz w:val="18"/>
                <w:szCs w:val="18"/>
              </w:rPr>
              <w:t> </w:t>
            </w:r>
            <w:r>
              <w:rPr>
                <w:rFonts w:ascii="华文细黑" w:hAnsi="华文细黑" w:cs="华文细黑" w:eastAsia="华文细黑" w:hint="default"/>
                <w:spacing w:val="-36"/>
                <w:sz w:val="18"/>
                <w:szCs w:val="18"/>
              </w:rPr>
            </w:r>
            <w:r>
              <w:rPr>
                <w:rFonts w:ascii="华文细黑" w:hAnsi="华文细黑" w:cs="华文细黑" w:eastAsia="华文细黑" w:hint="default"/>
                <w:sz w:val="18"/>
                <w:szCs w:val="18"/>
              </w:rPr>
              <w:t>重要的业务管理制度或制度运 </w:t>
            </w:r>
            <w:r>
              <w:rPr>
                <w:rFonts w:ascii="华文细黑" w:hAnsi="华文细黑" w:cs="华文细黑" w:eastAsia="华文细黑" w:hint="default"/>
                <w:spacing w:val="-3"/>
                <w:sz w:val="18"/>
                <w:szCs w:val="18"/>
              </w:rPr>
              <w:t>行系统性失效；</w:t>
            </w:r>
            <w:r>
              <w:rPr>
                <w:rFonts w:ascii="华文细黑" w:hAnsi="华文细黑" w:cs="华文细黑" w:eastAsia="华文细黑" w:hint="default"/>
                <w:spacing w:val="-3"/>
                <w:sz w:val="18"/>
                <w:szCs w:val="18"/>
              </w:rPr>
              <w:t>4</w:t>
            </w:r>
            <w:r>
              <w:rPr>
                <w:rFonts w:ascii="华文细黑" w:hAnsi="华文细黑" w:cs="华文细黑" w:eastAsia="华文细黑" w:hint="default"/>
                <w:spacing w:val="-3"/>
                <w:sz w:val="18"/>
                <w:szCs w:val="18"/>
              </w:rPr>
              <w:t>、公司的重大</w:t>
            </w:r>
            <w:r>
              <w:rPr>
                <w:rFonts w:ascii="华文细黑" w:hAnsi="华文细黑" w:cs="华文细黑" w:eastAsia="华文细黑" w:hint="default"/>
                <w:spacing w:val="-36"/>
                <w:sz w:val="18"/>
                <w:szCs w:val="18"/>
              </w:rPr>
              <w:t> </w:t>
            </w:r>
            <w:r>
              <w:rPr>
                <w:rFonts w:ascii="华文细黑" w:hAnsi="华文细黑" w:cs="华文细黑" w:eastAsia="华文细黑" w:hint="default"/>
                <w:spacing w:val="-36"/>
                <w:sz w:val="18"/>
                <w:szCs w:val="18"/>
              </w:rPr>
            </w:r>
            <w:r>
              <w:rPr>
                <w:rFonts w:ascii="华文细黑" w:hAnsi="华文细黑" w:cs="华文细黑" w:eastAsia="华文细黑" w:hint="default"/>
                <w:sz w:val="18"/>
                <w:szCs w:val="18"/>
              </w:rPr>
              <w:t>或重要内控缺陷不能得到及时 </w:t>
            </w:r>
            <w:r>
              <w:rPr>
                <w:rFonts w:ascii="华文细黑" w:hAnsi="华文细黑" w:cs="华文细黑" w:eastAsia="华文细黑" w:hint="default"/>
                <w:spacing w:val="-3"/>
                <w:sz w:val="18"/>
                <w:szCs w:val="18"/>
              </w:rPr>
              <w:t>整改；</w:t>
            </w:r>
            <w:r>
              <w:rPr>
                <w:rFonts w:ascii="华文细黑" w:hAnsi="华文细黑" w:cs="华文细黑" w:eastAsia="华文细黑" w:hint="default"/>
                <w:spacing w:val="-3"/>
                <w:sz w:val="18"/>
                <w:szCs w:val="18"/>
              </w:rPr>
              <w:t>5</w:t>
            </w:r>
            <w:r>
              <w:rPr>
                <w:rFonts w:ascii="华文细黑" w:hAnsi="华文细黑" w:cs="华文细黑" w:eastAsia="华文细黑" w:hint="default"/>
                <w:spacing w:val="-3"/>
                <w:sz w:val="18"/>
                <w:szCs w:val="18"/>
              </w:rPr>
              <w:t>、公司持续或大量出现</w:t>
            </w:r>
            <w:r>
              <w:rPr>
                <w:rFonts w:ascii="华文细黑" w:hAnsi="华文细黑" w:cs="华文细黑" w:eastAsia="华文细黑" w:hint="default"/>
                <w:spacing w:val="-36"/>
                <w:sz w:val="18"/>
                <w:szCs w:val="18"/>
              </w:rPr>
              <w:t> </w:t>
            </w:r>
            <w:r>
              <w:rPr>
                <w:rFonts w:ascii="华文细黑" w:hAnsi="华文细黑" w:cs="华文细黑" w:eastAsia="华文细黑" w:hint="default"/>
                <w:spacing w:val="-36"/>
                <w:sz w:val="18"/>
                <w:szCs w:val="18"/>
              </w:rPr>
            </w:r>
            <w:r>
              <w:rPr>
                <w:rFonts w:ascii="华文细黑" w:hAnsi="华文细黑" w:cs="华文细黑" w:eastAsia="华文细黑" w:hint="default"/>
                <w:sz w:val="18"/>
                <w:szCs w:val="18"/>
              </w:rPr>
              <w:t>重要内控缺陷。</w:t>
            </w:r>
          </w:p>
        </w:tc>
      </w:tr>
      <w:tr>
        <w:trPr>
          <w:trHeight w:val="1650" w:hRule="exact"/>
        </w:trPr>
        <w:tc>
          <w:tcPr>
            <w:tcW w:w="28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5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定量标准</w:t>
            </w:r>
          </w:p>
        </w:tc>
        <w:tc>
          <w:tcPr>
            <w:tcW w:w="40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b/>
                <w:bCs/>
                <w:sz w:val="24"/>
                <w:szCs w:val="24"/>
              </w:rPr>
            </w:pPr>
          </w:p>
          <w:p>
            <w:pPr>
              <w:pStyle w:val="TableParagraph"/>
              <w:spacing w:line="295" w:lineRule="auto"/>
              <w:ind w:left="103" w:right="12"/>
              <w:jc w:val="both"/>
              <w:rPr>
                <w:rFonts w:ascii="华文细黑" w:hAnsi="华文细黑" w:cs="华文细黑" w:eastAsia="华文细黑" w:hint="default"/>
                <w:sz w:val="18"/>
                <w:szCs w:val="18"/>
              </w:rPr>
            </w:pPr>
            <w:r>
              <w:rPr>
                <w:rFonts w:ascii="华文细黑" w:hAnsi="华文细黑" w:cs="华文细黑" w:eastAsia="华文细黑" w:hint="default"/>
                <w:spacing w:val="-5"/>
                <w:sz w:val="18"/>
                <w:szCs w:val="18"/>
              </w:rPr>
              <w:t>重大缺陷：财务报表的错报金额≥利润总额的</w:t>
            </w:r>
            <w:r>
              <w:rPr>
                <w:rFonts w:ascii="华文细黑" w:hAnsi="华文细黑" w:cs="华文细黑" w:eastAsia="华文细黑" w:hint="default"/>
                <w:sz w:val="18"/>
                <w:szCs w:val="18"/>
              </w:rPr>
              <w:t> </w:t>
            </w:r>
            <w:r>
              <w:rPr>
                <w:rFonts w:ascii="华文细黑" w:hAnsi="华文细黑" w:cs="华文细黑" w:eastAsia="华文细黑" w:hint="default"/>
                <w:spacing w:val="-1"/>
                <w:sz w:val="18"/>
                <w:szCs w:val="18"/>
              </w:rPr>
              <w:t>3%</w:t>
            </w:r>
            <w:r>
              <w:rPr>
                <w:rFonts w:ascii="华文细黑" w:hAnsi="华文细黑" w:cs="华文细黑" w:eastAsia="华文细黑" w:hint="default"/>
                <w:spacing w:val="-1"/>
                <w:sz w:val="18"/>
                <w:szCs w:val="18"/>
              </w:rPr>
              <w:t>；</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9"/>
                <w:sz w:val="18"/>
                <w:szCs w:val="18"/>
              </w:rPr>
              <w:t>重要缺陷：利润总额的</w:t>
            </w:r>
            <w:r>
              <w:rPr>
                <w:rFonts w:ascii="华文细黑" w:hAnsi="华文细黑" w:cs="华文细黑" w:eastAsia="华文细黑" w:hint="default"/>
                <w:spacing w:val="-16"/>
                <w:sz w:val="18"/>
                <w:szCs w:val="18"/>
              </w:rPr>
              <w:t> </w:t>
            </w:r>
            <w:r>
              <w:rPr>
                <w:rFonts w:ascii="华文细黑" w:hAnsi="华文细黑" w:cs="华文细黑" w:eastAsia="华文细黑" w:hint="default"/>
                <w:spacing w:val="-1"/>
                <w:sz w:val="18"/>
                <w:szCs w:val="18"/>
              </w:rPr>
              <w:t>1%</w:t>
            </w:r>
            <w:r>
              <w:rPr>
                <w:rFonts w:ascii="华文细黑" w:hAnsi="华文细黑" w:cs="华文细黑" w:eastAsia="华文细黑" w:hint="default"/>
                <w:spacing w:val="-1"/>
                <w:sz w:val="18"/>
                <w:szCs w:val="18"/>
              </w:rPr>
              <w:t>≤错报</w:t>
            </w:r>
            <w:r>
              <w:rPr>
                <w:rFonts w:ascii="华文细黑" w:hAnsi="华文细黑" w:cs="华文细黑" w:eastAsia="华文细黑" w:hint="default"/>
                <w:spacing w:val="-1"/>
                <w:sz w:val="18"/>
                <w:szCs w:val="18"/>
              </w:rPr>
              <w:t>&lt;</w:t>
            </w:r>
            <w:r>
              <w:rPr>
                <w:rFonts w:ascii="华文细黑" w:hAnsi="华文细黑" w:cs="华文细黑" w:eastAsia="华文细黑" w:hint="default"/>
                <w:spacing w:val="-1"/>
                <w:sz w:val="18"/>
                <w:szCs w:val="18"/>
              </w:rPr>
              <w:t>利润总额的</w:t>
            </w:r>
            <w:r>
              <w:rPr>
                <w:rFonts w:ascii="华文细黑" w:hAnsi="华文细黑" w:cs="华文细黑" w:eastAsia="华文细黑" w:hint="default"/>
                <w:spacing w:val="-16"/>
                <w:sz w:val="18"/>
                <w:szCs w:val="18"/>
              </w:rPr>
              <w:t> </w:t>
            </w:r>
            <w:r>
              <w:rPr>
                <w:rFonts w:ascii="华文细黑" w:hAnsi="华文细黑" w:cs="华文细黑" w:eastAsia="华文细黑" w:hint="default"/>
                <w:spacing w:val="-1"/>
                <w:sz w:val="18"/>
                <w:szCs w:val="18"/>
              </w:rPr>
              <w:t>3%</w:t>
            </w:r>
            <w:r>
              <w:rPr>
                <w:rFonts w:ascii="华文细黑" w:hAnsi="华文细黑" w:cs="华文细黑" w:eastAsia="华文细黑" w:hint="default"/>
                <w:spacing w:val="-1"/>
                <w:sz w:val="18"/>
                <w:szCs w:val="18"/>
              </w:rPr>
              <w:t>；</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一般缺陷：错报</w:t>
            </w:r>
            <w:r>
              <w:rPr>
                <w:rFonts w:ascii="华文细黑" w:hAnsi="华文细黑" w:cs="华文细黑" w:eastAsia="华文细黑" w:hint="default"/>
                <w:sz w:val="18"/>
                <w:szCs w:val="18"/>
              </w:rPr>
              <w:t>&lt;</w:t>
            </w:r>
            <w:r>
              <w:rPr>
                <w:rFonts w:ascii="华文细黑" w:hAnsi="华文细黑" w:cs="华文细黑" w:eastAsia="华文细黑" w:hint="default"/>
                <w:sz w:val="18"/>
                <w:szCs w:val="18"/>
              </w:rPr>
              <w:t>利润总额的</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w:t>
            </w:r>
          </w:p>
        </w:tc>
        <w:tc>
          <w:tcPr>
            <w:tcW w:w="2625"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1"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重大缺陷：财务报表的错报金 额≥利润总额的</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3%</w:t>
            </w:r>
            <w:r>
              <w:rPr>
                <w:rFonts w:ascii="华文细黑" w:hAnsi="华文细黑" w:cs="华文细黑" w:eastAsia="华文细黑" w:hint="default"/>
                <w:sz w:val="18"/>
                <w:szCs w:val="18"/>
              </w:rPr>
              <w:t>；重要缺 陷：利润总额的</w:t>
            </w:r>
            <w:r>
              <w:rPr>
                <w:rFonts w:ascii="华文细黑" w:hAnsi="华文细黑" w:cs="华文细黑" w:eastAsia="华文细黑" w:hint="default"/>
                <w:spacing w:val="34"/>
                <w:sz w:val="18"/>
                <w:szCs w:val="18"/>
              </w:rPr>
              <w:t> </w:t>
            </w: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≤错报</w:t>
            </w:r>
            <w:r>
              <w:rPr>
                <w:rFonts w:ascii="华文细黑" w:hAnsi="华文细黑" w:cs="华文细黑" w:eastAsia="华文细黑" w:hint="default"/>
                <w:sz w:val="18"/>
                <w:szCs w:val="18"/>
              </w:rPr>
              <w:t>&lt;</w:t>
            </w:r>
            <w:r>
              <w:rPr>
                <w:rFonts w:ascii="华文细黑" w:hAnsi="华文细黑" w:cs="华文细黑" w:eastAsia="华文细黑" w:hint="default"/>
                <w:sz w:val="18"/>
                <w:szCs w:val="18"/>
              </w:rPr>
              <w:t>利 润总额的 </w:t>
            </w:r>
            <w:r>
              <w:rPr>
                <w:rFonts w:ascii="华文细黑" w:hAnsi="华文细黑" w:cs="华文细黑" w:eastAsia="华文细黑" w:hint="default"/>
                <w:spacing w:val="8"/>
                <w:sz w:val="18"/>
                <w:szCs w:val="18"/>
              </w:rPr>
              <w:t> </w:t>
            </w:r>
            <w:r>
              <w:rPr>
                <w:rFonts w:ascii="华文细黑" w:hAnsi="华文细黑" w:cs="华文细黑" w:eastAsia="华文细黑" w:hint="default"/>
                <w:spacing w:val="-9"/>
                <w:sz w:val="18"/>
                <w:szCs w:val="18"/>
              </w:rPr>
              <w:t>3%</w:t>
            </w:r>
            <w:r>
              <w:rPr>
                <w:rFonts w:ascii="华文细黑" w:hAnsi="华文细黑" w:cs="华文细黑" w:eastAsia="华文细黑" w:hint="default"/>
                <w:spacing w:val="-9"/>
                <w:sz w:val="18"/>
                <w:szCs w:val="18"/>
              </w:rPr>
              <w:t>；一般缺陷：错报</w:t>
            </w:r>
          </w:p>
          <w:p>
            <w:pPr>
              <w:pStyle w:val="TableParagraph"/>
              <w:spacing w:line="240" w:lineRule="auto" w:before="14"/>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&lt;</w:t>
            </w:r>
            <w:r>
              <w:rPr>
                <w:rFonts w:ascii="华文细黑" w:hAnsi="华文细黑" w:cs="华文细黑" w:eastAsia="华文细黑" w:hint="default"/>
                <w:sz w:val="18"/>
                <w:szCs w:val="18"/>
              </w:rPr>
              <w:t>利润总额的</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w:t>
            </w:r>
          </w:p>
        </w:tc>
      </w:tr>
    </w:tbl>
    <w:p>
      <w:pPr>
        <w:spacing w:after="0" w:line="240" w:lineRule="auto"/>
        <w:jc w:val="left"/>
        <w:rPr>
          <w:rFonts w:ascii="华文细黑" w:hAnsi="华文细黑" w:cs="华文细黑" w:eastAsia="华文细黑" w:hint="default"/>
          <w:sz w:val="18"/>
          <w:szCs w:val="18"/>
        </w:rPr>
        <w:sectPr>
          <w:pgSz w:w="11910" w:h="16840"/>
          <w:pgMar w:header="917" w:footer="1019" w:top="1100" w:bottom="1200" w:left="900" w:right="0"/>
        </w:sectPr>
      </w:pPr>
    </w:p>
    <w:p>
      <w:pPr>
        <w:spacing w:line="240" w:lineRule="auto" w:before="8"/>
        <w:rPr>
          <w:rFonts w:ascii="华文细黑" w:hAnsi="华文细黑" w:cs="华文细黑" w:eastAsia="华文细黑" w:hint="default"/>
          <w:b/>
          <w:bCs/>
          <w:sz w:val="23"/>
          <w:szCs w:val="23"/>
        </w:rPr>
      </w:pPr>
    </w:p>
    <w:tbl>
      <w:tblPr>
        <w:tblW w:w="0" w:type="auto"/>
        <w:jc w:val="left"/>
        <w:tblInd w:w="117" w:type="dxa"/>
        <w:tblLayout w:type="fixed"/>
        <w:tblCellMar>
          <w:top w:w="0" w:type="dxa"/>
          <w:left w:w="0" w:type="dxa"/>
          <w:bottom w:w="0" w:type="dxa"/>
          <w:right w:w="0" w:type="dxa"/>
        </w:tblCellMar>
        <w:tblLook w:val="01E0"/>
      </w:tblPr>
      <w:tblGrid>
        <w:gridCol w:w="2848"/>
        <w:gridCol w:w="6721"/>
      </w:tblGrid>
      <w:tr>
        <w:trPr>
          <w:trHeight w:val="402" w:hRule="exact"/>
        </w:trPr>
        <w:tc>
          <w:tcPr>
            <w:tcW w:w="28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财务报告重大缺陷数量（个）</w:t>
            </w:r>
          </w:p>
        </w:tc>
        <w:tc>
          <w:tcPr>
            <w:tcW w:w="672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r>
      <w:tr>
        <w:trPr>
          <w:trHeight w:val="402" w:hRule="exact"/>
        </w:trPr>
        <w:tc>
          <w:tcPr>
            <w:tcW w:w="28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非财务报告重大缺陷数量（个）</w:t>
            </w:r>
          </w:p>
        </w:tc>
        <w:tc>
          <w:tcPr>
            <w:tcW w:w="672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r>
      <w:tr>
        <w:trPr>
          <w:trHeight w:val="402" w:hRule="exact"/>
        </w:trPr>
        <w:tc>
          <w:tcPr>
            <w:tcW w:w="28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财务报告重要缺陷数量（个）</w:t>
            </w:r>
          </w:p>
        </w:tc>
        <w:tc>
          <w:tcPr>
            <w:tcW w:w="672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r>
      <w:tr>
        <w:trPr>
          <w:trHeight w:val="402" w:hRule="exact"/>
        </w:trPr>
        <w:tc>
          <w:tcPr>
            <w:tcW w:w="28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非财务报告重要缺陷数量（个）</w:t>
            </w:r>
          </w:p>
        </w:tc>
        <w:tc>
          <w:tcPr>
            <w:tcW w:w="672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right="101"/>
              <w:jc w:val="right"/>
              <w:rPr>
                <w:rFonts w:ascii="华文细黑" w:hAnsi="华文细黑" w:cs="华文细黑" w:eastAsia="华文细黑" w:hint="default"/>
                <w:sz w:val="18"/>
                <w:szCs w:val="18"/>
              </w:rPr>
            </w:pPr>
            <w:r>
              <w:rPr>
                <w:rFonts w:ascii="华文细黑"/>
                <w:sz w:val="18"/>
              </w:rPr>
              <w:t>0</w:t>
            </w:r>
          </w:p>
        </w:tc>
      </w:tr>
    </w:tbl>
    <w:p>
      <w:pPr>
        <w:spacing w:line="240" w:lineRule="auto" w:before="11"/>
        <w:rPr>
          <w:rFonts w:ascii="华文细黑" w:hAnsi="华文细黑" w:cs="华文细黑" w:eastAsia="华文细黑" w:hint="default"/>
          <w:b/>
          <w:bCs/>
          <w:sz w:val="26"/>
          <w:szCs w:val="26"/>
        </w:rPr>
      </w:pPr>
    </w:p>
    <w:p>
      <w:pPr>
        <w:pStyle w:val="Heading2"/>
        <w:spacing w:line="396" w:lineRule="exact"/>
        <w:ind w:right="1023"/>
        <w:jc w:val="left"/>
        <w:rPr>
          <w:b w:val="0"/>
          <w:bCs w:val="0"/>
        </w:rPr>
      </w:pPr>
      <w:bookmarkStart w:name="十、内部控制审计报告或鉴证报告" w:id="177"/>
      <w:bookmarkEnd w:id="177"/>
      <w:r>
        <w:rPr>
          <w:b w:val="0"/>
          <w:bCs w:val="0"/>
        </w:rPr>
      </w:r>
      <w:r>
        <w:rPr/>
        <w:t>十、内部控制审计报告或鉴证报告</w:t>
      </w:r>
      <w:r>
        <w:rPr>
          <w:b w:val="0"/>
          <w:bCs w:val="0"/>
        </w:rPr>
      </w:r>
    </w:p>
    <w:p>
      <w:pPr>
        <w:spacing w:line="240" w:lineRule="auto" w:before="0"/>
        <w:rPr>
          <w:rFonts w:ascii="华文细黑" w:hAnsi="华文细黑" w:cs="华文细黑" w:eastAsia="华文细黑" w:hint="default"/>
          <w:b/>
          <w:bCs/>
          <w:sz w:val="30"/>
          <w:szCs w:val="30"/>
        </w:rPr>
      </w:pPr>
    </w:p>
    <w:p>
      <w:pPr>
        <w:pStyle w:val="BodyText"/>
        <w:spacing w:line="240" w:lineRule="auto"/>
        <w:ind w:left="234" w:right="1023"/>
        <w:jc w:val="left"/>
      </w:pPr>
      <w:r>
        <w:rPr/>
        <w:t>内部控制鉴证报告</w:t>
      </w:r>
    </w:p>
    <w:p>
      <w:pPr>
        <w:spacing w:line="240" w:lineRule="auto" w:before="12"/>
        <w:rPr>
          <w:rFonts w:ascii="华文细黑" w:hAnsi="华文细黑" w:cs="华文细黑" w:eastAsia="华文细黑" w:hint="default"/>
          <w:sz w:val="5"/>
          <w:szCs w:val="5"/>
        </w:rPr>
      </w:pPr>
    </w:p>
    <w:tbl>
      <w:tblPr>
        <w:tblW w:w="0" w:type="auto"/>
        <w:jc w:val="left"/>
        <w:tblInd w:w="117" w:type="dxa"/>
        <w:tblLayout w:type="fixed"/>
        <w:tblCellMar>
          <w:top w:w="0" w:type="dxa"/>
          <w:left w:w="0" w:type="dxa"/>
          <w:bottom w:w="0" w:type="dxa"/>
          <w:right w:w="0" w:type="dxa"/>
        </w:tblCellMar>
        <w:tblLook w:val="01E0"/>
      </w:tblPr>
      <w:tblGrid>
        <w:gridCol w:w="2662"/>
        <w:gridCol w:w="6907"/>
      </w:tblGrid>
      <w:tr>
        <w:trPr>
          <w:trHeight w:val="402" w:hRule="exact"/>
        </w:trPr>
        <w:tc>
          <w:tcPr>
            <w:tcW w:w="9569"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内部控制鉴证报告中的审议意见段</w:t>
            </w:r>
          </w:p>
        </w:tc>
      </w:tr>
      <w:tr>
        <w:trPr>
          <w:trHeight w:val="1338" w:hRule="exact"/>
        </w:trPr>
        <w:tc>
          <w:tcPr>
            <w:tcW w:w="9569" w:type="dxa"/>
            <w:gridSpan w:val="2"/>
            <w:tcBorders>
              <w:top w:val="single" w:sz="4" w:space="0" w:color="FFC000"/>
              <w:left w:val="single" w:sz="4" w:space="0" w:color="FFC000"/>
              <w:bottom w:val="single" w:sz="4" w:space="0" w:color="FFC000"/>
              <w:right w:val="single" w:sz="4" w:space="0" w:color="FFC000"/>
            </w:tcBorders>
          </w:tcPr>
          <w:p>
            <w:pPr>
              <w:pStyle w:val="TableParagraph"/>
              <w:spacing w:line="295" w:lineRule="auto" w:before="40"/>
              <w:ind w:left="103" w:right="11"/>
              <w:jc w:val="left"/>
              <w:rPr>
                <w:rFonts w:ascii="华文细黑" w:hAnsi="华文细黑" w:cs="华文细黑" w:eastAsia="华文细黑" w:hint="default"/>
                <w:sz w:val="18"/>
                <w:szCs w:val="18"/>
              </w:rPr>
            </w:pPr>
            <w:r>
              <w:rPr>
                <w:rFonts w:ascii="华文细黑" w:hAnsi="华文细黑" w:cs="华文细黑" w:eastAsia="华文细黑" w:hint="default"/>
                <w:spacing w:val="-2"/>
                <w:sz w:val="18"/>
                <w:szCs w:val="18"/>
              </w:rPr>
              <w:t>瑞华会计师事务所（特殊普通合伙）阅读了由本公司编写并后附的《关于内部控制有关事项的说明》，并出具了《内部</w:t>
            </w:r>
            <w:r>
              <w:rPr>
                <w:rFonts w:ascii="华文细黑" w:hAnsi="华文细黑" w:cs="华文细黑" w:eastAsia="华文细黑" w:hint="default"/>
                <w:spacing w:val="-31"/>
                <w:sz w:val="18"/>
                <w:szCs w:val="18"/>
              </w:rPr>
              <w:t> </w:t>
            </w:r>
            <w:r>
              <w:rPr>
                <w:rFonts w:ascii="华文细黑" w:hAnsi="华文细黑" w:cs="华文细黑" w:eastAsia="华文细黑" w:hint="default"/>
                <w:spacing w:val="-31"/>
                <w:sz w:val="18"/>
                <w:szCs w:val="18"/>
              </w:rPr>
            </w:r>
            <w:r>
              <w:rPr>
                <w:rFonts w:ascii="华文细黑" w:hAnsi="华文细黑" w:cs="华文细黑" w:eastAsia="华文细黑" w:hint="default"/>
                <w:spacing w:val="-6"/>
                <w:sz w:val="18"/>
                <w:szCs w:val="18"/>
              </w:rPr>
              <w:t>控制专项报告》（瑞华核字【</w:t>
            </w:r>
            <w:r>
              <w:rPr>
                <w:rFonts w:ascii="华文细黑" w:hAnsi="华文细黑" w:cs="华文细黑" w:eastAsia="华文细黑" w:hint="default"/>
                <w:spacing w:val="-6"/>
                <w:sz w:val="18"/>
                <w:szCs w:val="18"/>
              </w:rPr>
              <w:t>2019</w:t>
            </w:r>
            <w:r>
              <w:rPr>
                <w:rFonts w:ascii="华文细黑" w:hAnsi="华文细黑" w:cs="华文细黑" w:eastAsia="华文细黑" w:hint="default"/>
                <w:spacing w:val="-6"/>
                <w:sz w:val="18"/>
                <w:szCs w:val="18"/>
              </w:rPr>
              <w:t>】</w:t>
            </w:r>
            <w:r>
              <w:rPr>
                <w:rFonts w:ascii="华文细黑" w:hAnsi="华文细黑" w:cs="华文细黑" w:eastAsia="华文细黑" w:hint="default"/>
                <w:spacing w:val="-6"/>
                <w:sz w:val="18"/>
                <w:szCs w:val="18"/>
              </w:rPr>
              <w:t>44060013</w:t>
            </w:r>
            <w:r>
              <w:rPr>
                <w:rFonts w:ascii="华文细黑" w:hAnsi="华文细黑" w:cs="华文细黑" w:eastAsia="华文细黑" w:hint="default"/>
                <w:sz w:val="18"/>
                <w:szCs w:val="18"/>
              </w:rPr>
              <w:t> </w:t>
            </w:r>
            <w:r>
              <w:rPr>
                <w:rFonts w:ascii="华文细黑" w:hAnsi="华文细黑" w:cs="华文细黑" w:eastAsia="华文细黑" w:hint="default"/>
                <w:spacing w:val="-4"/>
                <w:sz w:val="18"/>
                <w:szCs w:val="18"/>
              </w:rPr>
              <w:t>号），称：我们未发现爱施德公司编写的《关于内部控制有关事项的说明》</w:t>
            </w:r>
            <w:r>
              <w:rPr>
                <w:rFonts w:ascii="华文细黑" w:hAnsi="华文细黑" w:cs="华文细黑" w:eastAsia="华文细黑" w:hint="default"/>
                <w:spacing w:val="-28"/>
                <w:sz w:val="18"/>
                <w:szCs w:val="18"/>
              </w:rPr>
              <w:t> </w:t>
            </w:r>
            <w:r>
              <w:rPr>
                <w:rFonts w:ascii="华文细黑" w:hAnsi="华文细黑" w:cs="华文细黑" w:eastAsia="华文细黑" w:hint="default"/>
                <w:spacing w:val="-28"/>
                <w:sz w:val="18"/>
                <w:szCs w:val="18"/>
              </w:rPr>
            </w:r>
            <w:r>
              <w:rPr>
                <w:rFonts w:ascii="华文细黑" w:hAnsi="华文细黑" w:cs="华文细黑" w:eastAsia="华文细黑" w:hint="default"/>
                <w:sz w:val="18"/>
                <w:szCs w:val="18"/>
              </w:rPr>
              <w:t>中所述的与财务报表编制相关的内部控制的相关情况与我们对爱施德公司就上述财务报表的审计发现存在重大的不一 致。</w:t>
            </w:r>
          </w:p>
        </w:tc>
      </w:tr>
      <w:tr>
        <w:trPr>
          <w:trHeight w:val="402" w:hRule="exact"/>
        </w:trPr>
        <w:tc>
          <w:tcPr>
            <w:tcW w:w="26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内控鉴证报告披露情况</w:t>
            </w:r>
          </w:p>
        </w:tc>
        <w:tc>
          <w:tcPr>
            <w:tcW w:w="690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披露</w:t>
            </w:r>
          </w:p>
        </w:tc>
      </w:tr>
      <w:tr>
        <w:trPr>
          <w:trHeight w:val="714" w:hRule="exact"/>
        </w:trPr>
        <w:tc>
          <w:tcPr>
            <w:tcW w:w="26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20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内部控制鉴证报告全文披露日 期</w:t>
            </w:r>
          </w:p>
        </w:tc>
        <w:tc>
          <w:tcPr>
            <w:tcW w:w="690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2019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04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16</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日</w:t>
            </w:r>
          </w:p>
        </w:tc>
      </w:tr>
      <w:tr>
        <w:trPr>
          <w:trHeight w:val="714" w:hRule="exact"/>
        </w:trPr>
        <w:tc>
          <w:tcPr>
            <w:tcW w:w="26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20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内部控制鉴证报告全文披露索 引</w:t>
            </w:r>
          </w:p>
        </w:tc>
        <w:tc>
          <w:tcPr>
            <w:tcW w:w="690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详见刊登于巨潮资讯网（</w:t>
            </w:r>
            <w:hyperlink r:id="rId21">
              <w:r>
                <w:rPr>
                  <w:rFonts w:ascii="华文细黑" w:hAnsi="华文细黑" w:cs="华文细黑" w:eastAsia="华文细黑" w:hint="default"/>
                  <w:sz w:val="18"/>
                  <w:szCs w:val="18"/>
                </w:rPr>
                <w:t>http://www.cninfo.com.cn</w:t>
              </w:r>
            </w:hyperlink>
            <w:r>
              <w:rPr>
                <w:rFonts w:ascii="华文细黑" w:hAnsi="华文细黑" w:cs="华文细黑" w:eastAsia="华文细黑" w:hint="default"/>
                <w:sz w:val="18"/>
                <w:szCs w:val="18"/>
              </w:rPr>
              <w:t>）的《内部控制专项报告》</w:t>
            </w:r>
          </w:p>
        </w:tc>
      </w:tr>
      <w:tr>
        <w:trPr>
          <w:trHeight w:val="402" w:hRule="exact"/>
        </w:trPr>
        <w:tc>
          <w:tcPr>
            <w:tcW w:w="26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内控鉴证报告意见类型</w:t>
            </w:r>
          </w:p>
        </w:tc>
        <w:tc>
          <w:tcPr>
            <w:tcW w:w="690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标准的无保留意见</w:t>
            </w:r>
          </w:p>
        </w:tc>
      </w:tr>
      <w:tr>
        <w:trPr>
          <w:trHeight w:val="402" w:hRule="exact"/>
        </w:trPr>
        <w:tc>
          <w:tcPr>
            <w:tcW w:w="26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非财务报告是否存在重大缺陷</w:t>
            </w:r>
          </w:p>
        </w:tc>
        <w:tc>
          <w:tcPr>
            <w:tcW w:w="690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bl>
    <w:p>
      <w:pPr>
        <w:spacing w:line="240" w:lineRule="auto" w:before="11"/>
        <w:rPr>
          <w:rFonts w:ascii="华文细黑" w:hAnsi="华文细黑" w:cs="华文细黑" w:eastAsia="华文细黑" w:hint="default"/>
          <w:sz w:val="5"/>
          <w:szCs w:val="5"/>
        </w:rPr>
      </w:pPr>
    </w:p>
    <w:p>
      <w:pPr>
        <w:pStyle w:val="BodyText"/>
        <w:spacing w:line="240" w:lineRule="auto" w:before="10"/>
        <w:ind w:left="234" w:right="1023"/>
        <w:jc w:val="left"/>
      </w:pPr>
      <w:r>
        <w:rPr/>
        <w:t>会计师事务所是否出具非标准意见的内部控制鉴证报告</w:t>
      </w:r>
    </w:p>
    <w:p>
      <w:pPr>
        <w:spacing w:line="240" w:lineRule="auto" w:before="0"/>
        <w:rPr>
          <w:rFonts w:ascii="华文细黑" w:hAnsi="华文细黑" w:cs="华文细黑" w:eastAsia="华文细黑" w:hint="default"/>
          <w:sz w:val="15"/>
          <w:szCs w:val="15"/>
        </w:rPr>
      </w:pPr>
    </w:p>
    <w:p>
      <w:pPr>
        <w:pStyle w:val="BodyText"/>
        <w:spacing w:line="410" w:lineRule="auto"/>
        <w:ind w:left="234" w:right="3612"/>
        <w:jc w:val="left"/>
      </w:pPr>
      <w:r>
        <w:rPr/>
        <w:t>□ 是 √ 否 会计师事务所出具的内部控制鉴证报告与董事会的自我评价报告意见是否一致</w:t>
      </w:r>
    </w:p>
    <w:p>
      <w:pPr>
        <w:pStyle w:val="BodyText"/>
        <w:spacing w:line="240" w:lineRule="auto" w:before="50"/>
        <w:ind w:left="234" w:right="1023"/>
        <w:jc w:val="left"/>
      </w:pPr>
      <w:r>
        <w:rPr/>
        <w:t>√  是  □  否</w:t>
      </w:r>
    </w:p>
    <w:p>
      <w:pPr>
        <w:spacing w:after="0" w:line="240" w:lineRule="auto"/>
        <w:jc w:val="left"/>
        <w:sectPr>
          <w:pgSz w:w="11910" w:h="16840"/>
          <w:pgMar w:header="917" w:footer="1019" w:top="1100" w:bottom="1200" w:left="900" w:right="0"/>
        </w:sect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4"/>
        <w:rPr>
          <w:rFonts w:ascii="华文细黑" w:hAnsi="华文细黑" w:cs="华文细黑" w:eastAsia="华文细黑" w:hint="default"/>
          <w:sz w:val="14"/>
          <w:szCs w:val="14"/>
        </w:rPr>
      </w:pPr>
    </w:p>
    <w:p>
      <w:pPr>
        <w:pStyle w:val="Heading1"/>
        <w:spacing w:line="416" w:lineRule="exact"/>
        <w:ind w:left="3211" w:right="1023"/>
        <w:jc w:val="left"/>
        <w:rPr>
          <w:b w:val="0"/>
          <w:bCs w:val="0"/>
        </w:rPr>
      </w:pPr>
      <w:bookmarkStart w:name="第十节 公司债券相关情况" w:id="178"/>
      <w:bookmarkEnd w:id="178"/>
      <w:r>
        <w:rPr>
          <w:b w:val="0"/>
          <w:bCs w:val="0"/>
        </w:rPr>
      </w:r>
      <w:bookmarkStart w:name="_bookmark8" w:id="179"/>
      <w:bookmarkEnd w:id="179"/>
      <w:r>
        <w:rPr>
          <w:b w:val="0"/>
          <w:bCs w:val="0"/>
        </w:rPr>
      </w:r>
      <w:r>
        <w:rPr/>
        <w:t>第十节</w:t>
      </w:r>
      <w:r>
        <w:rPr>
          <w:spacing w:val="80"/>
        </w:rPr>
        <w:t> </w:t>
      </w:r>
      <w:r>
        <w:rPr/>
        <w:t>公司债券相关情况</w:t>
      </w:r>
      <w:r>
        <w:rPr>
          <w:b w:val="0"/>
          <w:bCs w:val="0"/>
        </w:rPr>
      </w:r>
    </w:p>
    <w:p>
      <w:pPr>
        <w:spacing w:line="240" w:lineRule="auto" w:before="4"/>
        <w:rPr>
          <w:rFonts w:ascii="华文细黑" w:hAnsi="华文细黑" w:cs="华文细黑" w:eastAsia="华文细黑" w:hint="default"/>
          <w:b/>
          <w:bCs/>
          <w:sz w:val="41"/>
          <w:szCs w:val="41"/>
        </w:rPr>
      </w:pPr>
    </w:p>
    <w:p>
      <w:pPr>
        <w:pStyle w:val="BodyText"/>
        <w:spacing w:line="379" w:lineRule="auto"/>
        <w:ind w:left="234" w:right="1023"/>
        <w:jc w:val="left"/>
      </w:pPr>
      <w:r>
        <w:rPr>
          <w:spacing w:val="-1"/>
        </w:rPr>
        <w:t>公司是否存在公开发行并在证券交易所上市，且在年度报告批准报出日未到期或到期未能全额兑付的公司</w:t>
      </w:r>
      <w:r>
        <w:rPr>
          <w:spacing w:val="-29"/>
        </w:rPr>
        <w:t> </w:t>
      </w:r>
      <w:r>
        <w:rPr>
          <w:spacing w:val="-29"/>
        </w:rPr>
      </w:r>
      <w:r>
        <w:rPr/>
        <w:t>债券</w:t>
      </w:r>
    </w:p>
    <w:p>
      <w:pPr>
        <w:pStyle w:val="BodyText"/>
        <w:spacing w:line="240" w:lineRule="auto" w:before="79"/>
        <w:ind w:left="234" w:right="1023"/>
        <w:jc w:val="left"/>
      </w:pPr>
      <w:r>
        <w:rPr/>
        <w:t>√  是  □  否</w:t>
      </w:r>
    </w:p>
    <w:p>
      <w:pPr>
        <w:spacing w:line="240" w:lineRule="auto" w:before="0"/>
        <w:rPr>
          <w:rFonts w:ascii="华文细黑" w:hAnsi="华文细黑" w:cs="华文细黑" w:eastAsia="华文细黑" w:hint="default"/>
          <w:sz w:val="20"/>
          <w:szCs w:val="20"/>
        </w:rPr>
      </w:pPr>
    </w:p>
    <w:p>
      <w:pPr>
        <w:spacing w:line="240" w:lineRule="auto" w:before="5"/>
        <w:rPr>
          <w:rFonts w:ascii="华文细黑" w:hAnsi="华文细黑" w:cs="华文细黑" w:eastAsia="华文细黑" w:hint="default"/>
          <w:sz w:val="13"/>
          <w:szCs w:val="13"/>
        </w:rPr>
      </w:pPr>
    </w:p>
    <w:p>
      <w:pPr>
        <w:pStyle w:val="Heading2"/>
        <w:spacing w:line="240" w:lineRule="auto"/>
        <w:ind w:right="1023"/>
        <w:jc w:val="left"/>
        <w:rPr>
          <w:b w:val="0"/>
          <w:bCs w:val="0"/>
        </w:rPr>
      </w:pPr>
      <w:bookmarkStart w:name="一、公司债券基本信息" w:id="180"/>
      <w:bookmarkEnd w:id="180"/>
      <w:r>
        <w:rPr>
          <w:b w:val="0"/>
          <w:bCs w:val="0"/>
        </w:rPr>
      </w:r>
      <w:r>
        <w:rPr/>
        <w:t>一、公司债券基本信息</w:t>
      </w:r>
      <w:r>
        <w:rPr>
          <w:b w:val="0"/>
          <w:bCs w:val="0"/>
        </w:rPr>
      </w:r>
    </w:p>
    <w:p>
      <w:pPr>
        <w:spacing w:line="240" w:lineRule="auto" w:before="0"/>
        <w:rPr>
          <w:rFonts w:ascii="华文细黑" w:hAnsi="华文细黑" w:cs="华文细黑" w:eastAsia="华文细黑" w:hint="default"/>
          <w:b/>
          <w:bCs/>
          <w:sz w:val="20"/>
          <w:szCs w:val="20"/>
        </w:rPr>
      </w:pPr>
    </w:p>
    <w:p>
      <w:pPr>
        <w:spacing w:line="240" w:lineRule="auto" w:before="12"/>
        <w:rPr>
          <w:rFonts w:ascii="华文细黑" w:hAnsi="华文细黑" w:cs="华文细黑" w:eastAsia="华文细黑" w:hint="default"/>
          <w:b/>
          <w:bCs/>
          <w:sz w:val="11"/>
          <w:szCs w:val="11"/>
        </w:rPr>
      </w:pPr>
    </w:p>
    <w:tbl>
      <w:tblPr>
        <w:tblW w:w="0" w:type="auto"/>
        <w:jc w:val="left"/>
        <w:tblInd w:w="117" w:type="dxa"/>
        <w:tblLayout w:type="fixed"/>
        <w:tblCellMar>
          <w:top w:w="0" w:type="dxa"/>
          <w:left w:w="0" w:type="dxa"/>
          <w:bottom w:w="0" w:type="dxa"/>
          <w:right w:w="0" w:type="dxa"/>
        </w:tblCellMar>
        <w:tblLook w:val="01E0"/>
      </w:tblPr>
      <w:tblGrid>
        <w:gridCol w:w="1197"/>
        <w:gridCol w:w="1195"/>
        <w:gridCol w:w="1196"/>
        <w:gridCol w:w="1196"/>
        <w:gridCol w:w="1196"/>
        <w:gridCol w:w="1197"/>
        <w:gridCol w:w="1195"/>
        <w:gridCol w:w="1196"/>
      </w:tblGrid>
      <w:tr>
        <w:trPr>
          <w:trHeight w:val="713" w:hRule="exact"/>
        </w:trPr>
        <w:tc>
          <w:tcPr>
            <w:tcW w:w="119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left="23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债券名称</w:t>
            </w:r>
          </w:p>
        </w:tc>
        <w:tc>
          <w:tcPr>
            <w:tcW w:w="1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left="23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债券简称</w:t>
            </w:r>
          </w:p>
        </w:tc>
        <w:tc>
          <w:tcPr>
            <w:tcW w:w="11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right="233"/>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债券代码</w:t>
            </w:r>
          </w:p>
        </w:tc>
        <w:tc>
          <w:tcPr>
            <w:tcW w:w="11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left="3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发行日</w:t>
            </w:r>
          </w:p>
        </w:tc>
        <w:tc>
          <w:tcPr>
            <w:tcW w:w="11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left="3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到期日</w:t>
            </w:r>
          </w:p>
        </w:tc>
        <w:tc>
          <w:tcPr>
            <w:tcW w:w="119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23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债券余额</w:t>
            </w:r>
          </w:p>
          <w:p>
            <w:pPr>
              <w:pStyle w:val="TableParagraph"/>
              <w:spacing w:line="240" w:lineRule="auto" w:before="58"/>
              <w:ind w:left="23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（万元）</w:t>
            </w:r>
          </w:p>
        </w:tc>
        <w:tc>
          <w:tcPr>
            <w:tcW w:w="1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利率</w:t>
            </w:r>
          </w:p>
        </w:tc>
        <w:tc>
          <w:tcPr>
            <w:tcW w:w="11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502" w:right="143" w:hanging="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还本付息方 式</w:t>
            </w:r>
          </w:p>
        </w:tc>
      </w:tr>
      <w:tr>
        <w:trPr>
          <w:trHeight w:val="2898" w:hRule="exact"/>
        </w:trPr>
        <w:tc>
          <w:tcPr>
            <w:tcW w:w="11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95" w:lineRule="auto" w:before="157"/>
              <w:ind w:left="103" w:right="18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深圳市爱施 德股份有限 公司</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2015</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年公司债券</w:t>
            </w:r>
          </w:p>
          <w:p>
            <w:pPr>
              <w:pStyle w:val="TableParagraph"/>
              <w:spacing w:line="240" w:lineRule="auto" w:before="1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（第一期）</w:t>
            </w:r>
          </w:p>
        </w:tc>
        <w:tc>
          <w:tcPr>
            <w:tcW w:w="119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4"/>
              <w:ind w:right="0"/>
              <w:jc w:val="left"/>
              <w:rPr>
                <w:rFonts w:ascii="华文细黑" w:hAnsi="华文细黑" w:cs="华文细黑" w:eastAsia="华文细黑" w:hint="default"/>
                <w:b/>
                <w:bCs/>
                <w:sz w:val="19"/>
                <w:szCs w:val="19"/>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15 </w:t>
            </w:r>
            <w:r>
              <w:rPr>
                <w:rFonts w:ascii="华文细黑" w:hAnsi="华文细黑" w:cs="华文细黑" w:eastAsia="华文细黑" w:hint="default"/>
                <w:sz w:val="18"/>
                <w:szCs w:val="18"/>
              </w:rPr>
              <w:t>深爱</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01</w:t>
            </w:r>
          </w:p>
        </w:tc>
        <w:tc>
          <w:tcPr>
            <w:tcW w:w="11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4"/>
              <w:ind w:right="0"/>
              <w:jc w:val="left"/>
              <w:rPr>
                <w:rFonts w:ascii="华文细黑" w:hAnsi="华文细黑" w:cs="华文细黑" w:eastAsia="华文细黑" w:hint="default"/>
                <w:b/>
                <w:bCs/>
                <w:sz w:val="19"/>
                <w:szCs w:val="19"/>
              </w:rPr>
            </w:pPr>
          </w:p>
          <w:p>
            <w:pPr>
              <w:pStyle w:val="TableParagraph"/>
              <w:spacing w:line="240" w:lineRule="auto"/>
              <w:ind w:right="257"/>
              <w:jc w:val="right"/>
              <w:rPr>
                <w:rFonts w:ascii="华文细黑" w:hAnsi="华文细黑" w:cs="华文细黑" w:eastAsia="华文细黑" w:hint="default"/>
                <w:sz w:val="18"/>
                <w:szCs w:val="18"/>
              </w:rPr>
            </w:pPr>
            <w:r>
              <w:rPr>
                <w:rFonts w:ascii="华文细黑"/>
                <w:spacing w:val="-1"/>
                <w:sz w:val="18"/>
              </w:rPr>
              <w:t>112293.SZ</w:t>
            </w:r>
          </w:p>
        </w:tc>
        <w:tc>
          <w:tcPr>
            <w:tcW w:w="11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4"/>
              <w:ind w:right="0"/>
              <w:jc w:val="left"/>
              <w:rPr>
                <w:rFonts w:ascii="华文细黑" w:hAnsi="华文细黑" w:cs="华文细黑" w:eastAsia="华文细黑" w:hint="default"/>
                <w:b/>
                <w:bCs/>
                <w:sz w:val="26"/>
                <w:szCs w:val="26"/>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2015 </w:t>
            </w: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11</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13</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日</w:t>
            </w:r>
          </w:p>
        </w:tc>
        <w:tc>
          <w:tcPr>
            <w:tcW w:w="11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4"/>
              <w:ind w:right="0"/>
              <w:jc w:val="left"/>
              <w:rPr>
                <w:rFonts w:ascii="华文细黑" w:hAnsi="华文细黑" w:cs="华文细黑" w:eastAsia="华文细黑" w:hint="default"/>
                <w:b/>
                <w:bCs/>
                <w:sz w:val="26"/>
                <w:szCs w:val="26"/>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11</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13</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日</w:t>
            </w:r>
          </w:p>
        </w:tc>
        <w:tc>
          <w:tcPr>
            <w:tcW w:w="11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4"/>
              <w:ind w:right="0"/>
              <w:jc w:val="left"/>
              <w:rPr>
                <w:rFonts w:ascii="华文细黑" w:hAnsi="华文细黑" w:cs="华文细黑" w:eastAsia="华文细黑" w:hint="default"/>
                <w:b/>
                <w:bCs/>
                <w:sz w:val="19"/>
                <w:szCs w:val="19"/>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0</w:t>
            </w:r>
          </w:p>
        </w:tc>
        <w:tc>
          <w:tcPr>
            <w:tcW w:w="119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4"/>
              <w:ind w:right="0"/>
              <w:jc w:val="left"/>
              <w:rPr>
                <w:rFonts w:ascii="华文细黑" w:hAnsi="华文细黑" w:cs="华文细黑" w:eastAsia="华文细黑" w:hint="default"/>
                <w:b/>
                <w:bCs/>
                <w:sz w:val="19"/>
                <w:szCs w:val="19"/>
              </w:rPr>
            </w:pPr>
          </w:p>
          <w:p>
            <w:pPr>
              <w:pStyle w:val="TableParagraph"/>
              <w:spacing w:line="240" w:lineRule="auto"/>
              <w:ind w:right="99"/>
              <w:jc w:val="right"/>
              <w:rPr>
                <w:rFonts w:ascii="华文细黑" w:hAnsi="华文细黑" w:cs="华文细黑" w:eastAsia="华文细黑" w:hint="default"/>
                <w:sz w:val="18"/>
                <w:szCs w:val="18"/>
              </w:rPr>
            </w:pPr>
            <w:r>
              <w:rPr>
                <w:rFonts w:ascii="华文细黑"/>
                <w:sz w:val="18"/>
              </w:rPr>
              <w:t>5.95%</w:t>
            </w:r>
          </w:p>
        </w:tc>
        <w:tc>
          <w:tcPr>
            <w:tcW w:w="1196"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18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本期债券按 年计息，不 计复利。每 年付息一 次、到期一 次还本，最 后一期利息 随本金一同 支付。</w:t>
            </w:r>
          </w:p>
        </w:tc>
      </w:tr>
      <w:tr>
        <w:trPr>
          <w:trHeight w:val="2898" w:hRule="exact"/>
        </w:trPr>
        <w:tc>
          <w:tcPr>
            <w:tcW w:w="11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b/>
                <w:bCs/>
                <w:sz w:val="25"/>
                <w:szCs w:val="25"/>
              </w:rPr>
            </w:pPr>
          </w:p>
          <w:p>
            <w:pPr>
              <w:pStyle w:val="TableParagraph"/>
              <w:spacing w:line="295" w:lineRule="auto"/>
              <w:ind w:left="103" w:right="18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深圳市爱施 德股份有限 公司</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2017</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年面向合格 投资者公开 发行公司债 券）</w:t>
            </w:r>
          </w:p>
        </w:tc>
        <w:tc>
          <w:tcPr>
            <w:tcW w:w="119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4"/>
              <w:ind w:right="0"/>
              <w:jc w:val="left"/>
              <w:rPr>
                <w:rFonts w:ascii="华文细黑" w:hAnsi="华文细黑" w:cs="华文细黑" w:eastAsia="华文细黑" w:hint="default"/>
                <w:b/>
                <w:bCs/>
                <w:sz w:val="19"/>
                <w:szCs w:val="19"/>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17</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深爱债</w:t>
            </w:r>
          </w:p>
        </w:tc>
        <w:tc>
          <w:tcPr>
            <w:tcW w:w="11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4"/>
              <w:ind w:right="0"/>
              <w:jc w:val="left"/>
              <w:rPr>
                <w:rFonts w:ascii="华文细黑" w:hAnsi="华文细黑" w:cs="华文细黑" w:eastAsia="华文细黑" w:hint="default"/>
                <w:b/>
                <w:bCs/>
                <w:sz w:val="19"/>
                <w:szCs w:val="19"/>
              </w:rPr>
            </w:pPr>
          </w:p>
          <w:p>
            <w:pPr>
              <w:pStyle w:val="TableParagraph"/>
              <w:spacing w:line="240" w:lineRule="auto"/>
              <w:ind w:right="257"/>
              <w:jc w:val="right"/>
              <w:rPr>
                <w:rFonts w:ascii="华文细黑" w:hAnsi="华文细黑" w:cs="华文细黑" w:eastAsia="华文细黑" w:hint="default"/>
                <w:sz w:val="18"/>
                <w:szCs w:val="18"/>
              </w:rPr>
            </w:pPr>
            <w:r>
              <w:rPr>
                <w:rFonts w:ascii="华文细黑"/>
                <w:spacing w:val="-1"/>
                <w:sz w:val="18"/>
              </w:rPr>
              <w:t>112582.SZ</w:t>
            </w:r>
          </w:p>
        </w:tc>
        <w:tc>
          <w:tcPr>
            <w:tcW w:w="11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4"/>
              <w:ind w:right="0"/>
              <w:jc w:val="left"/>
              <w:rPr>
                <w:rFonts w:ascii="华文细黑" w:hAnsi="华文细黑" w:cs="华文细黑" w:eastAsia="华文细黑" w:hint="default"/>
                <w:b/>
                <w:bCs/>
                <w:sz w:val="26"/>
                <w:szCs w:val="26"/>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2017 </w:t>
            </w: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09</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04</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日</w:t>
            </w:r>
          </w:p>
        </w:tc>
        <w:tc>
          <w:tcPr>
            <w:tcW w:w="11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4"/>
              <w:ind w:right="0"/>
              <w:jc w:val="left"/>
              <w:rPr>
                <w:rFonts w:ascii="华文细黑" w:hAnsi="华文细黑" w:cs="华文细黑" w:eastAsia="华文细黑" w:hint="default"/>
                <w:b/>
                <w:bCs/>
                <w:sz w:val="26"/>
                <w:szCs w:val="26"/>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2020 </w:t>
            </w:r>
            <w:r>
              <w:rPr>
                <w:rFonts w:ascii="华文细黑" w:hAnsi="华文细黑" w:cs="华文细黑" w:eastAsia="华文细黑" w:hint="default"/>
                <w:sz w:val="18"/>
                <w:szCs w:val="18"/>
              </w:rPr>
              <w:t>年</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09</w:t>
            </w:r>
          </w:p>
          <w:p>
            <w:pPr>
              <w:pStyle w:val="TableParagraph"/>
              <w:spacing w:line="240" w:lineRule="auto" w:before="5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04</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日</w:t>
            </w:r>
          </w:p>
        </w:tc>
        <w:tc>
          <w:tcPr>
            <w:tcW w:w="11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4"/>
              <w:ind w:right="0"/>
              <w:jc w:val="left"/>
              <w:rPr>
                <w:rFonts w:ascii="华文细黑" w:hAnsi="华文细黑" w:cs="华文细黑" w:eastAsia="华文细黑" w:hint="default"/>
                <w:b/>
                <w:bCs/>
                <w:sz w:val="19"/>
                <w:szCs w:val="19"/>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59,924.82</w:t>
            </w:r>
          </w:p>
        </w:tc>
        <w:tc>
          <w:tcPr>
            <w:tcW w:w="119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4"/>
              <w:ind w:right="0"/>
              <w:jc w:val="left"/>
              <w:rPr>
                <w:rFonts w:ascii="华文细黑" w:hAnsi="华文细黑" w:cs="华文细黑" w:eastAsia="华文细黑" w:hint="default"/>
                <w:b/>
                <w:bCs/>
                <w:sz w:val="19"/>
                <w:szCs w:val="19"/>
              </w:rPr>
            </w:pPr>
          </w:p>
          <w:p>
            <w:pPr>
              <w:pStyle w:val="TableParagraph"/>
              <w:spacing w:line="240" w:lineRule="auto"/>
              <w:ind w:right="99"/>
              <w:jc w:val="right"/>
              <w:rPr>
                <w:rFonts w:ascii="华文细黑" w:hAnsi="华文细黑" w:cs="华文细黑" w:eastAsia="华文细黑" w:hint="default"/>
                <w:sz w:val="18"/>
                <w:szCs w:val="18"/>
              </w:rPr>
            </w:pPr>
            <w:r>
              <w:rPr>
                <w:rFonts w:ascii="华文细黑"/>
                <w:sz w:val="18"/>
              </w:rPr>
              <w:t>5.98%</w:t>
            </w:r>
          </w:p>
        </w:tc>
        <w:tc>
          <w:tcPr>
            <w:tcW w:w="1196"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18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本期债券按 年计息，不 计复利。每 年付息一 次、到期一 次还本，最 后一期利息 随本金一同 支付。</w:t>
            </w:r>
          </w:p>
        </w:tc>
      </w:tr>
      <w:tr>
        <w:trPr>
          <w:trHeight w:val="714" w:hRule="exact"/>
        </w:trPr>
        <w:tc>
          <w:tcPr>
            <w:tcW w:w="2392"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1"/>
              <w:ind w:left="103" w:right="11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公司债券上市或转让的交易 场所</w:t>
            </w:r>
          </w:p>
        </w:tc>
        <w:tc>
          <w:tcPr>
            <w:tcW w:w="7177" w:type="dxa"/>
            <w:gridSpan w:val="6"/>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b/>
                <w:bCs/>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深圳证券交易所</w:t>
            </w:r>
          </w:p>
        </w:tc>
      </w:tr>
      <w:tr>
        <w:trPr>
          <w:trHeight w:val="402" w:hRule="exact"/>
        </w:trPr>
        <w:tc>
          <w:tcPr>
            <w:tcW w:w="2392"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投资者适当性安排</w:t>
            </w:r>
          </w:p>
        </w:tc>
        <w:tc>
          <w:tcPr>
            <w:tcW w:w="7177" w:type="dxa"/>
            <w:gridSpan w:val="6"/>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不适用</w:t>
            </w:r>
          </w:p>
        </w:tc>
      </w:tr>
      <w:tr>
        <w:trPr>
          <w:trHeight w:val="1964" w:hRule="exact"/>
        </w:trPr>
        <w:tc>
          <w:tcPr>
            <w:tcW w:w="2392"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95" w:lineRule="auto" w:before="157"/>
              <w:ind w:left="103" w:right="11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报告期内公司债券的付息兑 付情况</w:t>
            </w:r>
          </w:p>
        </w:tc>
        <w:tc>
          <w:tcPr>
            <w:tcW w:w="7177" w:type="dxa"/>
            <w:gridSpan w:val="6"/>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15 </w:t>
            </w:r>
            <w:r>
              <w:rPr>
                <w:rFonts w:ascii="华文细黑" w:hAnsi="华文细黑" w:cs="华文细黑" w:eastAsia="华文细黑" w:hint="default"/>
                <w:sz w:val="18"/>
                <w:szCs w:val="18"/>
              </w:rPr>
              <w:t>深爱 </w:t>
            </w:r>
            <w:r>
              <w:rPr>
                <w:rFonts w:ascii="华文细黑" w:hAnsi="华文细黑" w:cs="华文细黑" w:eastAsia="华文细黑" w:hint="default"/>
                <w:sz w:val="18"/>
                <w:szCs w:val="18"/>
              </w:rPr>
              <w:t>01</w:t>
            </w:r>
            <w:r>
              <w:rPr>
                <w:rFonts w:ascii="华文细黑" w:hAnsi="华文细黑" w:cs="华文细黑" w:eastAsia="华文细黑" w:hint="default"/>
                <w:sz w:val="18"/>
                <w:szCs w:val="18"/>
              </w:rPr>
              <w:t>”发行日期为 </w:t>
            </w:r>
            <w:r>
              <w:rPr>
                <w:rFonts w:ascii="华文细黑" w:hAnsi="华文细黑" w:cs="华文细黑" w:eastAsia="华文细黑" w:hint="default"/>
                <w:sz w:val="18"/>
                <w:szCs w:val="18"/>
              </w:rPr>
              <w:t>2015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13 </w:t>
            </w:r>
            <w:r>
              <w:rPr>
                <w:rFonts w:ascii="华文细黑" w:hAnsi="华文细黑" w:cs="华文细黑" w:eastAsia="华文细黑" w:hint="default"/>
                <w:sz w:val="18"/>
                <w:szCs w:val="18"/>
              </w:rPr>
              <w:t>日，本期债券的期限为 </w:t>
            </w:r>
            <w:r>
              <w:rPr>
                <w:rFonts w:ascii="华文细黑" w:hAnsi="华文细黑" w:cs="华文细黑" w:eastAsia="华文细黑" w:hint="default"/>
                <w:sz w:val="18"/>
                <w:szCs w:val="18"/>
              </w:rPr>
              <w:t>3 </w:t>
            </w:r>
            <w:r>
              <w:rPr>
                <w:rFonts w:ascii="华文细黑" w:hAnsi="华文细黑" w:cs="华文细黑" w:eastAsia="华文细黑" w:hint="default"/>
                <w:sz w:val="18"/>
                <w:szCs w:val="18"/>
              </w:rPr>
              <w:t>年，已于  </w:t>
            </w:r>
            <w:r>
              <w:rPr>
                <w:rFonts w:ascii="华文细黑" w:hAnsi="华文细黑" w:cs="华文细黑" w:eastAsia="华文细黑" w:hint="default"/>
                <w:sz w:val="18"/>
                <w:szCs w:val="18"/>
              </w:rPr>
              <w:t>2018</w:t>
            </w:r>
            <w:r>
              <w:rPr>
                <w:rFonts w:ascii="华文细黑" w:hAnsi="华文细黑" w:cs="华文细黑" w:eastAsia="华文细黑" w:hint="default"/>
                <w:spacing w:val="-10"/>
                <w:sz w:val="18"/>
                <w:szCs w:val="18"/>
              </w:rPr>
              <w:t> </w:t>
            </w:r>
            <w:r>
              <w:rPr>
                <w:rFonts w:ascii="华文细黑" w:hAnsi="华文细黑" w:cs="华文细黑" w:eastAsia="华文细黑" w:hint="default"/>
                <w:sz w:val="18"/>
                <w:szCs w:val="18"/>
              </w:rPr>
              <w:t>年</w:t>
            </w:r>
          </w:p>
          <w:p>
            <w:pPr>
              <w:pStyle w:val="TableParagraph"/>
              <w:spacing w:line="240" w:lineRule="auto" w:before="56"/>
              <w:ind w:left="103" w:right="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9 </w:t>
            </w:r>
            <w:r>
              <w:rPr>
                <w:rFonts w:ascii="华文细黑" w:hAnsi="华文细黑" w:cs="华文细黑" w:eastAsia="华文细黑" w:hint="default"/>
                <w:sz w:val="18"/>
                <w:szCs w:val="18"/>
              </w:rPr>
              <w:t>日摘牌。本期债券按年计息，不计复利，每年付息一次。</w:t>
            </w: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13</w:t>
            </w:r>
            <w:r>
              <w:rPr>
                <w:rFonts w:ascii="华文细黑" w:hAnsi="华文细黑" w:cs="华文细黑" w:eastAsia="华文细黑" w:hint="default"/>
                <w:spacing w:val="-8"/>
                <w:sz w:val="18"/>
                <w:szCs w:val="18"/>
              </w:rPr>
              <w:t> </w:t>
            </w:r>
            <w:r>
              <w:rPr>
                <w:rFonts w:ascii="华文细黑" w:hAnsi="华文细黑" w:cs="华文细黑" w:eastAsia="华文细黑" w:hint="default"/>
                <w:sz w:val="18"/>
                <w:szCs w:val="18"/>
              </w:rPr>
              <w:t>日，</w:t>
            </w:r>
          </w:p>
          <w:p>
            <w:pPr>
              <w:pStyle w:val="TableParagraph"/>
              <w:spacing w:line="295" w:lineRule="auto" w:before="58"/>
              <w:ind w:left="103" w:right="12"/>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公司支付了自 </w:t>
            </w:r>
            <w:r>
              <w:rPr>
                <w:rFonts w:ascii="华文细黑" w:hAnsi="华文细黑" w:cs="华文细黑" w:eastAsia="华文细黑" w:hint="default"/>
                <w:sz w:val="18"/>
                <w:szCs w:val="18"/>
              </w:rPr>
              <w:t>2017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13 </w:t>
            </w:r>
            <w:r>
              <w:rPr>
                <w:rFonts w:ascii="华文细黑" w:hAnsi="华文细黑" w:cs="华文细黑" w:eastAsia="华文细黑" w:hint="default"/>
                <w:sz w:val="18"/>
                <w:szCs w:val="18"/>
              </w:rPr>
              <w:t>日至 </w:t>
            </w: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11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12</w:t>
            </w:r>
            <w:r>
              <w:rPr>
                <w:rFonts w:ascii="华文细黑" w:hAnsi="华文细黑" w:cs="华文细黑" w:eastAsia="华文细黑" w:hint="default"/>
                <w:spacing w:val="-9"/>
                <w:sz w:val="18"/>
                <w:szCs w:val="18"/>
              </w:rPr>
              <w:t> </w:t>
            </w:r>
            <w:r>
              <w:rPr>
                <w:rFonts w:ascii="华文细黑" w:hAnsi="华文细黑" w:cs="华文细黑" w:eastAsia="华文细黑" w:hint="default"/>
                <w:sz w:val="18"/>
                <w:szCs w:val="18"/>
              </w:rPr>
              <w:t>日期间的利息及本期债券的本金， </w:t>
            </w:r>
            <w:r>
              <w:rPr>
                <w:rFonts w:ascii="华文细黑" w:hAnsi="华文细黑" w:cs="华文细黑" w:eastAsia="华文细黑" w:hint="default"/>
                <w:spacing w:val="-7"/>
                <w:sz w:val="18"/>
                <w:szCs w:val="18"/>
              </w:rPr>
              <w:t>内容详见公司刊登在《中国证券报》、《证券时报》和巨潮资讯网（</w:t>
            </w:r>
            <w:hyperlink r:id="rId21">
              <w:r>
                <w:rPr>
                  <w:rFonts w:ascii="华文细黑" w:hAnsi="华文细黑" w:cs="华文细黑" w:eastAsia="华文细黑" w:hint="default"/>
                  <w:spacing w:val="-7"/>
                  <w:sz w:val="18"/>
                  <w:szCs w:val="18"/>
                </w:rPr>
                <w:t>www.cninfo.com.cn</w:t>
              </w:r>
            </w:hyperlink>
            <w:r>
              <w:rPr>
                <w:rFonts w:ascii="华文细黑" w:hAnsi="华文细黑" w:cs="华文细黑" w:eastAsia="华文细黑" w:hint="default"/>
                <w:spacing w:val="-7"/>
                <w:sz w:val="18"/>
                <w:szCs w:val="18"/>
              </w:rPr>
              <w:t>）</w:t>
            </w:r>
            <w:r>
              <w:rPr>
                <w:rFonts w:ascii="华文细黑" w:hAnsi="华文细黑" w:cs="华文细黑" w:eastAsia="华文细黑" w:hint="default"/>
                <w:spacing w:val="-21"/>
                <w:sz w:val="18"/>
                <w:szCs w:val="18"/>
              </w:rPr>
              <w:t> </w:t>
            </w:r>
            <w:r>
              <w:rPr>
                <w:rFonts w:ascii="华文细黑" w:hAnsi="华文细黑" w:cs="华文细黑" w:eastAsia="华文细黑" w:hint="default"/>
                <w:spacing w:val="-16"/>
                <w:sz w:val="18"/>
                <w:szCs w:val="18"/>
              </w:rPr>
              <w:t>上的《“</w:t>
            </w:r>
            <w:r>
              <w:rPr>
                <w:rFonts w:ascii="华文细黑" w:hAnsi="华文细黑" w:cs="华文细黑" w:eastAsia="华文细黑" w:hint="default"/>
                <w:spacing w:val="-16"/>
                <w:sz w:val="18"/>
                <w:szCs w:val="18"/>
              </w:rPr>
              <w:t>15</w:t>
            </w:r>
            <w:r>
              <w:rPr>
                <w:rFonts w:ascii="华文细黑" w:hAnsi="华文细黑" w:cs="华文细黑" w:eastAsia="华文细黑" w:hint="default"/>
                <w:sz w:val="18"/>
                <w:szCs w:val="18"/>
              </w:rPr>
              <w:t> </w:t>
            </w:r>
            <w:r>
              <w:rPr>
                <w:rFonts w:ascii="华文细黑" w:hAnsi="华文细黑" w:cs="华文细黑" w:eastAsia="华文细黑" w:hint="default"/>
                <w:sz w:val="18"/>
                <w:szCs w:val="18"/>
              </w:rPr>
              <w:t>深爱 </w:t>
            </w:r>
            <w:r>
              <w:rPr>
                <w:rFonts w:ascii="华文细黑" w:hAnsi="华文细黑" w:cs="华文细黑" w:eastAsia="华文细黑" w:hint="default"/>
                <w:spacing w:val="-1"/>
                <w:sz w:val="18"/>
                <w:szCs w:val="18"/>
              </w:rPr>
              <w:t>01</w:t>
            </w:r>
            <w:r>
              <w:rPr>
                <w:rFonts w:ascii="华文细黑" w:hAnsi="华文细黑" w:cs="华文细黑" w:eastAsia="华文细黑" w:hint="default"/>
                <w:spacing w:val="-1"/>
                <w:sz w:val="18"/>
                <w:szCs w:val="18"/>
              </w:rPr>
              <w:t>”</w:t>
            </w:r>
            <w:r>
              <w:rPr>
                <w:rFonts w:ascii="华文细黑" w:hAnsi="华文细黑" w:cs="华文细黑" w:eastAsia="华文细黑" w:hint="default"/>
                <w:spacing w:val="-1"/>
                <w:sz w:val="18"/>
                <w:szCs w:val="18"/>
              </w:rPr>
              <w:t>2018</w:t>
            </w:r>
            <w:r>
              <w:rPr>
                <w:rFonts w:ascii="华文细黑" w:hAnsi="华文细黑" w:cs="华文细黑" w:eastAsia="华文细黑" w:hint="default"/>
                <w:spacing w:val="15"/>
                <w:sz w:val="18"/>
                <w:szCs w:val="18"/>
              </w:rPr>
              <w:t> </w:t>
            </w:r>
            <w:r>
              <w:rPr>
                <w:rFonts w:ascii="华文细黑" w:hAnsi="华文细黑" w:cs="华文细黑" w:eastAsia="华文细黑" w:hint="default"/>
                <w:spacing w:val="-8"/>
                <w:sz w:val="18"/>
                <w:szCs w:val="18"/>
              </w:rPr>
              <w:t>年兑付兑息暨摘牌公告》。</w:t>
            </w:r>
          </w:p>
          <w:p>
            <w:pPr>
              <w:pStyle w:val="TableParagraph"/>
              <w:spacing w:line="240" w:lineRule="auto" w:before="51"/>
              <w:ind w:left="103" w:right="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17 </w:t>
            </w:r>
            <w:r>
              <w:rPr>
                <w:rFonts w:ascii="华文细黑" w:hAnsi="华文细黑" w:cs="华文细黑" w:eastAsia="华文细黑" w:hint="default"/>
                <w:sz w:val="18"/>
                <w:szCs w:val="18"/>
              </w:rPr>
              <w:t>深爱债”发行日期为 </w:t>
            </w:r>
            <w:r>
              <w:rPr>
                <w:rFonts w:ascii="华文细黑" w:hAnsi="华文细黑" w:cs="华文细黑" w:eastAsia="华文细黑" w:hint="default"/>
                <w:sz w:val="18"/>
                <w:szCs w:val="18"/>
              </w:rPr>
              <w:t>2017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9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4</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日，本期债券按年计息，不计复利，每年付息</w:t>
            </w:r>
          </w:p>
        </w:tc>
      </w:tr>
    </w:tbl>
    <w:p>
      <w:pPr>
        <w:spacing w:after="0" w:line="240" w:lineRule="auto"/>
        <w:jc w:val="both"/>
        <w:rPr>
          <w:rFonts w:ascii="华文细黑" w:hAnsi="华文细黑" w:cs="华文细黑" w:eastAsia="华文细黑" w:hint="default"/>
          <w:sz w:val="18"/>
          <w:szCs w:val="18"/>
        </w:rPr>
        <w:sectPr>
          <w:pgSz w:w="11910" w:h="16840"/>
          <w:pgMar w:header="917" w:footer="1019" w:top="1100" w:bottom="1200" w:left="900" w:right="0"/>
        </w:sectPr>
      </w:pPr>
    </w:p>
    <w:p>
      <w:pPr>
        <w:spacing w:line="240" w:lineRule="auto" w:before="8"/>
        <w:rPr>
          <w:rFonts w:ascii="华文细黑" w:hAnsi="华文细黑" w:cs="华文细黑" w:eastAsia="华文细黑" w:hint="default"/>
          <w:b/>
          <w:bCs/>
          <w:sz w:val="23"/>
          <w:szCs w:val="23"/>
        </w:rPr>
      </w:pPr>
    </w:p>
    <w:tbl>
      <w:tblPr>
        <w:tblW w:w="0" w:type="auto"/>
        <w:jc w:val="left"/>
        <w:tblInd w:w="117" w:type="dxa"/>
        <w:tblLayout w:type="fixed"/>
        <w:tblCellMar>
          <w:top w:w="0" w:type="dxa"/>
          <w:left w:w="0" w:type="dxa"/>
          <w:bottom w:w="0" w:type="dxa"/>
          <w:right w:w="0" w:type="dxa"/>
        </w:tblCellMar>
        <w:tblLook w:val="01E0"/>
      </w:tblPr>
      <w:tblGrid>
        <w:gridCol w:w="2392"/>
        <w:gridCol w:w="7177"/>
      </w:tblGrid>
      <w:tr>
        <w:trPr>
          <w:trHeight w:val="986" w:hRule="exact"/>
        </w:trPr>
        <w:tc>
          <w:tcPr>
            <w:tcW w:w="2392"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7177"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ind w:left="103" w:right="18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一次。</w:t>
            </w: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9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4 </w:t>
            </w:r>
            <w:r>
              <w:rPr>
                <w:rFonts w:ascii="华文细黑" w:hAnsi="华文细黑" w:cs="华文细黑" w:eastAsia="华文细黑" w:hint="default"/>
                <w:sz w:val="18"/>
                <w:szCs w:val="18"/>
              </w:rPr>
              <w:t>日，公司支付了自 </w:t>
            </w:r>
            <w:r>
              <w:rPr>
                <w:rFonts w:ascii="华文细黑" w:hAnsi="华文细黑" w:cs="华文细黑" w:eastAsia="华文细黑" w:hint="default"/>
                <w:sz w:val="18"/>
                <w:szCs w:val="18"/>
              </w:rPr>
              <w:t>2017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9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4 </w:t>
            </w:r>
            <w:r>
              <w:rPr>
                <w:rFonts w:ascii="华文细黑" w:hAnsi="华文细黑" w:cs="华文细黑" w:eastAsia="华文细黑" w:hint="default"/>
                <w:sz w:val="18"/>
                <w:szCs w:val="18"/>
              </w:rPr>
              <w:t>日至 </w:t>
            </w:r>
            <w:r>
              <w:rPr>
                <w:rFonts w:ascii="华文细黑" w:hAnsi="华文细黑" w:cs="华文细黑" w:eastAsia="华文细黑" w:hint="default"/>
                <w:sz w:val="18"/>
                <w:szCs w:val="18"/>
              </w:rPr>
              <w:t>2018 </w:t>
            </w:r>
            <w:r>
              <w:rPr>
                <w:rFonts w:ascii="华文细黑" w:hAnsi="华文细黑" w:cs="华文细黑" w:eastAsia="华文细黑" w:hint="default"/>
                <w:sz w:val="18"/>
                <w:szCs w:val="18"/>
              </w:rPr>
              <w:t>年 </w:t>
            </w:r>
            <w:r>
              <w:rPr>
                <w:rFonts w:ascii="华文细黑" w:hAnsi="华文细黑" w:cs="华文细黑" w:eastAsia="华文细黑" w:hint="default"/>
                <w:sz w:val="18"/>
                <w:szCs w:val="18"/>
              </w:rPr>
              <w:t>9 </w:t>
            </w:r>
            <w:r>
              <w:rPr>
                <w:rFonts w:ascii="华文细黑" w:hAnsi="华文细黑" w:cs="华文细黑" w:eastAsia="华文细黑" w:hint="default"/>
                <w:sz w:val="18"/>
                <w:szCs w:val="18"/>
              </w:rPr>
              <w:t>月 </w:t>
            </w:r>
            <w:r>
              <w:rPr>
                <w:rFonts w:ascii="华文细黑" w:hAnsi="华文细黑" w:cs="华文细黑" w:eastAsia="华文细黑" w:hint="default"/>
                <w:sz w:val="18"/>
                <w:szCs w:val="18"/>
              </w:rPr>
              <w:t>3</w:t>
            </w:r>
            <w:r>
              <w:rPr>
                <w:rFonts w:ascii="华文细黑" w:hAnsi="华文细黑" w:cs="华文细黑" w:eastAsia="华文细黑" w:hint="default"/>
                <w:spacing w:val="-15"/>
                <w:sz w:val="18"/>
                <w:szCs w:val="18"/>
              </w:rPr>
              <w:t> </w:t>
            </w:r>
            <w:r>
              <w:rPr>
                <w:rFonts w:ascii="华文细黑" w:hAnsi="华文细黑" w:cs="华文细黑" w:eastAsia="华文细黑" w:hint="default"/>
                <w:sz w:val="18"/>
                <w:szCs w:val="18"/>
              </w:rPr>
              <w:t>日期间的利 </w:t>
            </w:r>
            <w:r>
              <w:rPr>
                <w:rFonts w:ascii="华文细黑" w:hAnsi="华文细黑" w:cs="华文细黑" w:eastAsia="华文细黑" w:hint="default"/>
                <w:spacing w:val="-6"/>
                <w:sz w:val="18"/>
                <w:szCs w:val="18"/>
              </w:rPr>
              <w:t>息，内容详见公司刊登在《中国证券报》、《证券时报》和巨潮资讯网</w:t>
            </w:r>
          </w:p>
          <w:p>
            <w:pPr>
              <w:pStyle w:val="TableParagraph"/>
              <w:spacing w:line="240" w:lineRule="auto" w:before="1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hyperlink r:id="rId21">
              <w:r>
                <w:rPr>
                  <w:rFonts w:ascii="华文细黑" w:hAnsi="华文细黑" w:cs="华文细黑" w:eastAsia="华文细黑" w:hint="default"/>
                  <w:sz w:val="18"/>
                  <w:szCs w:val="18"/>
                </w:rPr>
                <w:t>ww</w:t>
              </w:r>
              <w:r>
                <w:rPr>
                  <w:rFonts w:ascii="华文细黑" w:hAnsi="华文细黑" w:cs="华文细黑" w:eastAsia="华文细黑" w:hint="default"/>
                  <w:spacing w:val="-1"/>
                  <w:sz w:val="18"/>
                  <w:szCs w:val="18"/>
                </w:rPr>
                <w:t>w</w:t>
              </w:r>
              <w:r>
                <w:rPr>
                  <w:rFonts w:ascii="华文细黑" w:hAnsi="华文细黑" w:cs="华文细黑" w:eastAsia="华文细黑" w:hint="default"/>
                  <w:sz w:val="18"/>
                  <w:szCs w:val="18"/>
                </w:rPr>
                <w:t>.cni</w:t>
              </w:r>
              <w:r>
                <w:rPr>
                  <w:rFonts w:ascii="华文细黑" w:hAnsi="华文细黑" w:cs="华文细黑" w:eastAsia="华文细黑" w:hint="default"/>
                  <w:spacing w:val="-1"/>
                  <w:sz w:val="18"/>
                  <w:szCs w:val="18"/>
                </w:rPr>
                <w:t>n</w:t>
              </w:r>
              <w:r>
                <w:rPr>
                  <w:rFonts w:ascii="华文细黑" w:hAnsi="华文细黑" w:cs="华文细黑" w:eastAsia="华文细黑" w:hint="default"/>
                  <w:sz w:val="18"/>
                  <w:szCs w:val="18"/>
                </w:rPr>
                <w:t>fo.com.cn</w:t>
              </w:r>
            </w:hyperlink>
            <w:r>
              <w:rPr>
                <w:rFonts w:ascii="华文细黑" w:hAnsi="华文细黑" w:cs="华文细黑" w:eastAsia="华文细黑" w:hint="default"/>
                <w:sz w:val="18"/>
                <w:szCs w:val="18"/>
              </w:rPr>
              <w:t>）上的</w:t>
            </w:r>
            <w:r>
              <w:rPr>
                <w:rFonts w:ascii="华文细黑" w:hAnsi="华文细黑" w:cs="华文细黑" w:eastAsia="华文细黑" w:hint="default"/>
                <w:spacing w:val="-90"/>
                <w:sz w:val="18"/>
                <w:szCs w:val="18"/>
              </w:rPr>
              <w:t>《</w:t>
            </w:r>
            <w:r>
              <w:rPr>
                <w:rFonts w:ascii="华文细黑" w:hAnsi="华文细黑" w:cs="华文细黑" w:eastAsia="华文细黑" w:hint="default"/>
                <w:sz w:val="18"/>
                <w:szCs w:val="18"/>
              </w:rPr>
              <w:t>“</w:t>
            </w:r>
            <w:r>
              <w:rPr>
                <w:rFonts w:ascii="华文细黑" w:hAnsi="华文细黑" w:cs="华文细黑" w:eastAsia="华文细黑" w:hint="default"/>
                <w:spacing w:val="-1"/>
                <w:sz w:val="18"/>
                <w:szCs w:val="18"/>
              </w:rPr>
              <w:t>1</w:t>
            </w:r>
            <w:r>
              <w:rPr>
                <w:rFonts w:ascii="华文细黑" w:hAnsi="华文细黑" w:cs="华文细黑" w:eastAsia="华文细黑" w:hint="default"/>
                <w:sz w:val="18"/>
                <w:szCs w:val="18"/>
              </w:rPr>
              <w:t>7</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深</w:t>
            </w:r>
            <w:r>
              <w:rPr>
                <w:rFonts w:ascii="华文细黑" w:hAnsi="华文细黑" w:cs="华文细黑" w:eastAsia="华文细黑" w:hint="default"/>
                <w:spacing w:val="1"/>
                <w:sz w:val="18"/>
                <w:szCs w:val="18"/>
              </w:rPr>
              <w:t>爱</w:t>
            </w:r>
            <w:r>
              <w:rPr>
                <w:rFonts w:ascii="华文细黑" w:hAnsi="华文细黑" w:cs="华文细黑" w:eastAsia="华文细黑" w:hint="default"/>
                <w:sz w:val="18"/>
                <w:szCs w:val="18"/>
              </w:rPr>
              <w:t>债”</w:t>
            </w:r>
            <w:r>
              <w:rPr>
                <w:rFonts w:ascii="华文细黑" w:hAnsi="华文细黑" w:cs="华文细黑" w:eastAsia="华文细黑" w:hint="default"/>
                <w:spacing w:val="-1"/>
                <w:sz w:val="18"/>
                <w:szCs w:val="18"/>
              </w:rPr>
              <w:t>201</w:t>
            </w:r>
            <w:r>
              <w:rPr>
                <w:rFonts w:ascii="华文细黑" w:hAnsi="华文细黑" w:cs="华文细黑" w:eastAsia="华文细黑" w:hint="default"/>
                <w:sz w:val="18"/>
                <w:szCs w:val="18"/>
              </w:rPr>
              <w:t>8</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w:t>
            </w:r>
            <w:r>
              <w:rPr>
                <w:rFonts w:ascii="华文细黑" w:hAnsi="华文细黑" w:cs="华文细黑" w:eastAsia="华文细黑" w:hint="default"/>
                <w:spacing w:val="1"/>
                <w:sz w:val="18"/>
                <w:szCs w:val="18"/>
              </w:rPr>
              <w:t>付</w:t>
            </w:r>
            <w:r>
              <w:rPr>
                <w:rFonts w:ascii="华文细黑" w:hAnsi="华文细黑" w:cs="华文细黑" w:eastAsia="华文细黑" w:hint="default"/>
                <w:sz w:val="18"/>
                <w:szCs w:val="18"/>
              </w:rPr>
              <w:t>息公告</w:t>
            </w:r>
            <w:r>
              <w:rPr>
                <w:rFonts w:ascii="华文细黑" w:hAnsi="华文细黑" w:cs="华文细黑" w:eastAsia="华文细黑" w:hint="default"/>
                <w:spacing w:val="-90"/>
                <w:sz w:val="18"/>
                <w:szCs w:val="18"/>
              </w:rPr>
              <w:t>》</w:t>
            </w:r>
            <w:r>
              <w:rPr>
                <w:rFonts w:ascii="华文细黑" w:hAnsi="华文细黑" w:cs="华文细黑" w:eastAsia="华文细黑" w:hint="default"/>
                <w:sz w:val="18"/>
                <w:szCs w:val="18"/>
              </w:rPr>
              <w:t>。</w:t>
            </w:r>
          </w:p>
        </w:tc>
      </w:tr>
      <w:tr>
        <w:trPr>
          <w:trHeight w:val="1338" w:hRule="exact"/>
        </w:trPr>
        <w:tc>
          <w:tcPr>
            <w:tcW w:w="23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27"/>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公司债券附发行人或投资者 选择权条款、可交换条款等 特殊条款的，报告期内相关 </w:t>
            </w:r>
            <w:r>
              <w:rPr>
                <w:rFonts w:ascii="华文细黑" w:hAnsi="华文细黑" w:cs="华文细黑" w:eastAsia="华文细黑" w:hint="default"/>
                <w:spacing w:val="-7"/>
                <w:sz w:val="18"/>
                <w:szCs w:val="18"/>
              </w:rPr>
              <w:t>条款的执行情况（如适用）。</w:t>
            </w:r>
          </w:p>
        </w:tc>
        <w:tc>
          <w:tcPr>
            <w:tcW w:w="71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不适用</w:t>
            </w:r>
          </w:p>
        </w:tc>
      </w:tr>
    </w:tbl>
    <w:p>
      <w:pPr>
        <w:spacing w:line="240" w:lineRule="auto" w:before="11"/>
        <w:rPr>
          <w:rFonts w:ascii="华文细黑" w:hAnsi="华文细黑" w:cs="华文细黑" w:eastAsia="华文细黑" w:hint="default"/>
          <w:b/>
          <w:bCs/>
          <w:sz w:val="26"/>
          <w:szCs w:val="26"/>
        </w:rPr>
      </w:pPr>
    </w:p>
    <w:p>
      <w:pPr>
        <w:spacing w:line="396" w:lineRule="exact" w:before="0"/>
        <w:ind w:left="234" w:right="1023" w:firstLine="0"/>
        <w:jc w:val="left"/>
        <w:rPr>
          <w:rFonts w:ascii="华文细黑" w:hAnsi="华文细黑" w:cs="华文细黑" w:eastAsia="华文细黑" w:hint="default"/>
          <w:sz w:val="30"/>
          <w:szCs w:val="30"/>
        </w:rPr>
      </w:pPr>
      <w:bookmarkStart w:name="二、债券受托管理人和资信评级机构信息" w:id="181"/>
      <w:bookmarkEnd w:id="181"/>
      <w:r>
        <w:rPr/>
      </w:r>
      <w:r>
        <w:rPr>
          <w:rFonts w:ascii="华文细黑" w:hAnsi="华文细黑" w:cs="华文细黑" w:eastAsia="华文细黑" w:hint="default"/>
          <w:b/>
          <w:bCs/>
          <w:sz w:val="30"/>
          <w:szCs w:val="30"/>
        </w:rPr>
        <w:t>二、债券受托管理人和资信评级机构信息</w:t>
      </w:r>
      <w:r>
        <w:rPr>
          <w:rFonts w:ascii="华文细黑" w:hAnsi="华文细黑" w:cs="华文细黑" w:eastAsia="华文细黑" w:hint="default"/>
          <w:sz w:val="30"/>
          <w:szCs w:val="30"/>
        </w:rPr>
      </w:r>
    </w:p>
    <w:p>
      <w:pPr>
        <w:spacing w:line="240" w:lineRule="auto" w:before="0"/>
        <w:rPr>
          <w:rFonts w:ascii="华文细黑" w:hAnsi="华文细黑" w:cs="华文细黑" w:eastAsia="华文细黑" w:hint="default"/>
          <w:b/>
          <w:bCs/>
          <w:sz w:val="20"/>
          <w:szCs w:val="20"/>
        </w:rPr>
      </w:pPr>
    </w:p>
    <w:p>
      <w:pPr>
        <w:spacing w:line="240" w:lineRule="auto" w:before="12"/>
        <w:rPr>
          <w:rFonts w:ascii="华文细黑" w:hAnsi="华文细黑" w:cs="华文细黑" w:eastAsia="华文细黑" w:hint="default"/>
          <w:b/>
          <w:bCs/>
          <w:sz w:val="11"/>
          <w:szCs w:val="11"/>
        </w:rPr>
      </w:pPr>
    </w:p>
    <w:tbl>
      <w:tblPr>
        <w:tblW w:w="0" w:type="auto"/>
        <w:jc w:val="left"/>
        <w:tblInd w:w="117" w:type="dxa"/>
        <w:tblLayout w:type="fixed"/>
        <w:tblCellMar>
          <w:top w:w="0" w:type="dxa"/>
          <w:left w:w="0" w:type="dxa"/>
          <w:bottom w:w="0" w:type="dxa"/>
          <w:right w:w="0" w:type="dxa"/>
        </w:tblCellMar>
        <w:tblLook w:val="01E0"/>
      </w:tblPr>
      <w:tblGrid>
        <w:gridCol w:w="1202"/>
        <w:gridCol w:w="1196"/>
        <w:gridCol w:w="796"/>
        <w:gridCol w:w="401"/>
        <w:gridCol w:w="1196"/>
        <w:gridCol w:w="992"/>
        <w:gridCol w:w="203"/>
        <w:gridCol w:w="648"/>
        <w:gridCol w:w="1418"/>
        <w:gridCol w:w="1523"/>
      </w:tblGrid>
      <w:tr>
        <w:trPr>
          <w:trHeight w:val="397" w:hRule="exact"/>
        </w:trPr>
        <w:tc>
          <w:tcPr>
            <w:tcW w:w="9574" w:type="dxa"/>
            <w:gridSpan w:val="10"/>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债券受托管理人：</w:t>
            </w:r>
          </w:p>
        </w:tc>
      </w:tr>
      <w:tr>
        <w:trPr>
          <w:trHeight w:val="1967" w:hRule="exact"/>
        </w:trPr>
        <w:tc>
          <w:tcPr>
            <w:tcW w:w="12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6"/>
              <w:ind w:right="0"/>
              <w:jc w:val="left"/>
              <w:rPr>
                <w:rFonts w:ascii="华文细黑" w:hAnsi="华文细黑" w:cs="华文细黑" w:eastAsia="华文细黑" w:hint="default"/>
                <w:b/>
                <w:bCs/>
                <w:sz w:val="22"/>
                <w:szCs w:val="22"/>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名称</w:t>
            </w:r>
          </w:p>
        </w:tc>
        <w:tc>
          <w:tcPr>
            <w:tcW w:w="11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95" w:lineRule="auto" w:before="160"/>
              <w:ind w:left="103" w:right="18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华融证券股 份有限公司</w:t>
            </w:r>
          </w:p>
        </w:tc>
        <w:tc>
          <w:tcPr>
            <w:tcW w:w="1196"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6"/>
              <w:ind w:right="0"/>
              <w:jc w:val="left"/>
              <w:rPr>
                <w:rFonts w:ascii="华文细黑" w:hAnsi="华文细黑" w:cs="华文细黑" w:eastAsia="华文细黑" w:hint="default"/>
                <w:b/>
                <w:bCs/>
                <w:sz w:val="22"/>
                <w:szCs w:val="22"/>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办公地址</w:t>
            </w:r>
          </w:p>
        </w:tc>
        <w:tc>
          <w:tcPr>
            <w:tcW w:w="1196"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5"/>
              <w:ind w:left="103" w:right="152"/>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上海市浦东 新区杨高南 路 </w:t>
            </w:r>
            <w:r>
              <w:rPr>
                <w:rFonts w:ascii="华文细黑" w:hAnsi="华文细黑" w:cs="华文细黑" w:eastAsia="华文细黑" w:hint="default"/>
                <w:sz w:val="18"/>
                <w:szCs w:val="18"/>
              </w:rPr>
              <w:t>799</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号陆 家嘴世纪金 融广场 </w:t>
            </w:r>
            <w:r>
              <w:rPr>
                <w:rFonts w:ascii="华文细黑" w:hAnsi="华文细黑" w:cs="华文细黑" w:eastAsia="华文细黑" w:hint="default"/>
                <w:sz w:val="18"/>
                <w:szCs w:val="18"/>
              </w:rPr>
              <w:t>3</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号</w:t>
            </w:r>
          </w:p>
          <w:p>
            <w:pPr>
              <w:pStyle w:val="TableParagraph"/>
              <w:spacing w:line="240" w:lineRule="auto" w:before="14"/>
              <w:ind w:left="103" w:right="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楼 </w:t>
            </w:r>
            <w:r>
              <w:rPr>
                <w:rFonts w:ascii="华文细黑" w:hAnsi="华文细黑" w:cs="华文细黑" w:eastAsia="华文细黑" w:hint="default"/>
                <w:sz w:val="18"/>
                <w:szCs w:val="18"/>
              </w:rPr>
              <w:t>20</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层</w:t>
            </w:r>
          </w:p>
        </w:tc>
        <w:tc>
          <w:tcPr>
            <w:tcW w:w="9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6"/>
              <w:ind w:right="0"/>
              <w:jc w:val="left"/>
              <w:rPr>
                <w:rFonts w:ascii="华文细黑" w:hAnsi="华文细黑" w:cs="华文细黑" w:eastAsia="华文细黑" w:hint="default"/>
                <w:b/>
                <w:bCs/>
                <w:sz w:val="22"/>
                <w:szCs w:val="22"/>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联系人</w:t>
            </w:r>
          </w:p>
        </w:tc>
        <w:tc>
          <w:tcPr>
            <w:tcW w:w="851" w:type="dxa"/>
            <w:gridSpan w:val="2"/>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6"/>
              <w:ind w:right="0"/>
              <w:jc w:val="left"/>
              <w:rPr>
                <w:rFonts w:ascii="华文细黑" w:hAnsi="华文细黑" w:cs="华文细黑" w:eastAsia="华文细黑" w:hint="default"/>
                <w:b/>
                <w:bCs/>
                <w:sz w:val="22"/>
                <w:szCs w:val="22"/>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陈歆予</w:t>
            </w:r>
          </w:p>
        </w:tc>
        <w:tc>
          <w:tcPr>
            <w:tcW w:w="141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6"/>
              <w:ind w:right="0"/>
              <w:jc w:val="left"/>
              <w:rPr>
                <w:rFonts w:ascii="华文细黑" w:hAnsi="华文细黑" w:cs="华文细黑" w:eastAsia="华文细黑" w:hint="default"/>
                <w:b/>
                <w:bCs/>
                <w:sz w:val="22"/>
                <w:szCs w:val="22"/>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联系人电话</w:t>
            </w:r>
          </w:p>
        </w:tc>
        <w:tc>
          <w:tcPr>
            <w:tcW w:w="152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6"/>
              <w:ind w:right="0"/>
              <w:jc w:val="left"/>
              <w:rPr>
                <w:rFonts w:ascii="华文细黑" w:hAnsi="华文细黑" w:cs="华文细黑" w:eastAsia="华文细黑" w:hint="default"/>
                <w:b/>
                <w:bCs/>
                <w:sz w:val="22"/>
                <w:szCs w:val="22"/>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sz w:val="18"/>
              </w:rPr>
              <w:t>021-60963203</w:t>
            </w:r>
          </w:p>
        </w:tc>
      </w:tr>
      <w:tr>
        <w:trPr>
          <w:trHeight w:val="402" w:hRule="exact"/>
        </w:trPr>
        <w:tc>
          <w:tcPr>
            <w:tcW w:w="9574" w:type="dxa"/>
            <w:gridSpan w:val="10"/>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报告期内对公司债券进行跟踪评级的资信评级机构：</w:t>
            </w:r>
          </w:p>
        </w:tc>
      </w:tr>
      <w:tr>
        <w:trPr>
          <w:trHeight w:val="714" w:hRule="exact"/>
        </w:trPr>
        <w:tc>
          <w:tcPr>
            <w:tcW w:w="12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名称</w:t>
            </w:r>
          </w:p>
        </w:tc>
        <w:tc>
          <w:tcPr>
            <w:tcW w:w="3588" w:type="dxa"/>
            <w:gridSpan w:val="4"/>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东方金诚国际信用评估有限公司</w:t>
            </w:r>
          </w:p>
        </w:tc>
        <w:tc>
          <w:tcPr>
            <w:tcW w:w="1195"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b/>
                <w:bCs/>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办公地址</w:t>
            </w:r>
          </w:p>
        </w:tc>
        <w:tc>
          <w:tcPr>
            <w:tcW w:w="3588"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4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北京市海淀区西直门北大街 </w:t>
            </w:r>
            <w:r>
              <w:rPr>
                <w:rFonts w:ascii="华文细黑" w:hAnsi="华文细黑" w:cs="华文细黑" w:eastAsia="华文细黑" w:hint="default"/>
                <w:sz w:val="18"/>
                <w:szCs w:val="18"/>
              </w:rPr>
              <w:t>54</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号伊泰大厦</w:t>
            </w:r>
          </w:p>
          <w:p>
            <w:pPr>
              <w:pStyle w:val="TableParagraph"/>
              <w:spacing w:line="240" w:lineRule="auto" w:before="5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5 </w:t>
            </w:r>
            <w:r>
              <w:rPr>
                <w:rFonts w:ascii="华文细黑" w:hAnsi="华文细黑" w:cs="华文细黑" w:eastAsia="华文细黑" w:hint="default"/>
                <w:sz w:val="18"/>
                <w:szCs w:val="18"/>
              </w:rPr>
              <w:t>层 </w:t>
            </w:r>
            <w:r>
              <w:rPr>
                <w:rFonts w:ascii="华文细黑" w:hAnsi="华文细黑" w:cs="华文细黑" w:eastAsia="华文细黑" w:hint="default"/>
                <w:sz w:val="18"/>
                <w:szCs w:val="18"/>
              </w:rPr>
              <w:t>501</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室</w:t>
            </w:r>
          </w:p>
        </w:tc>
      </w:tr>
      <w:tr>
        <w:trPr>
          <w:trHeight w:val="1338" w:hRule="exact"/>
        </w:trPr>
        <w:tc>
          <w:tcPr>
            <w:tcW w:w="3194" w:type="dxa"/>
            <w:gridSpan w:val="3"/>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0"/>
              <w:ind w:left="103" w:right="18"/>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报告期内公司聘请的债券受托管理人、 资信评级机构发生变更的，变更的原 </w:t>
            </w:r>
            <w:r>
              <w:rPr>
                <w:rFonts w:ascii="华文细黑" w:hAnsi="华文细黑" w:cs="华文细黑" w:eastAsia="华文细黑" w:hint="default"/>
                <w:spacing w:val="-5"/>
                <w:sz w:val="18"/>
                <w:szCs w:val="18"/>
              </w:rPr>
              <w:t>因、履行的程序、对投资者利益的影响</w:t>
            </w:r>
            <w:r>
              <w:rPr>
                <w:rFonts w:ascii="华文细黑" w:hAnsi="华文细黑" w:cs="华文细黑" w:eastAsia="华文细黑" w:hint="default"/>
                <w:spacing w:val="-42"/>
                <w:sz w:val="18"/>
                <w:szCs w:val="18"/>
              </w:rPr>
              <w:t> </w:t>
            </w:r>
            <w:r>
              <w:rPr>
                <w:rFonts w:ascii="华文细黑" w:hAnsi="华文细黑" w:cs="华文细黑" w:eastAsia="华文细黑" w:hint="default"/>
                <w:spacing w:val="-42"/>
                <w:sz w:val="18"/>
                <w:szCs w:val="18"/>
              </w:rPr>
            </w:r>
            <w:r>
              <w:rPr>
                <w:rFonts w:ascii="华文细黑" w:hAnsi="华文细黑" w:cs="华文细黑" w:eastAsia="华文细黑" w:hint="default"/>
                <w:sz w:val="18"/>
                <w:szCs w:val="18"/>
              </w:rPr>
              <w:t>等（如适用）</w:t>
            </w:r>
          </w:p>
        </w:tc>
        <w:tc>
          <w:tcPr>
            <w:tcW w:w="6380" w:type="dxa"/>
            <w:gridSpan w:val="7"/>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4"/>
              <w:ind w:right="0"/>
              <w:jc w:val="left"/>
              <w:rPr>
                <w:rFonts w:ascii="华文细黑" w:hAnsi="华文细黑" w:cs="华文细黑" w:eastAsia="华文细黑" w:hint="default"/>
                <w:b/>
                <w:bCs/>
                <w:sz w:val="17"/>
                <w:szCs w:val="17"/>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不适用</w:t>
            </w:r>
          </w:p>
        </w:tc>
      </w:tr>
    </w:tbl>
    <w:p>
      <w:pPr>
        <w:spacing w:line="240" w:lineRule="auto" w:before="11"/>
        <w:rPr>
          <w:rFonts w:ascii="华文细黑" w:hAnsi="华文细黑" w:cs="华文细黑" w:eastAsia="华文细黑" w:hint="default"/>
          <w:b/>
          <w:bCs/>
          <w:sz w:val="26"/>
          <w:szCs w:val="26"/>
        </w:rPr>
      </w:pPr>
    </w:p>
    <w:p>
      <w:pPr>
        <w:spacing w:line="396" w:lineRule="exact" w:before="0"/>
        <w:ind w:left="234" w:right="1023" w:firstLine="0"/>
        <w:jc w:val="left"/>
        <w:rPr>
          <w:rFonts w:ascii="华文细黑" w:hAnsi="华文细黑" w:cs="华文细黑" w:eastAsia="华文细黑" w:hint="default"/>
          <w:sz w:val="30"/>
          <w:szCs w:val="30"/>
        </w:rPr>
      </w:pPr>
      <w:bookmarkStart w:name="三、公司债券募集资金使用情况" w:id="182"/>
      <w:bookmarkEnd w:id="182"/>
      <w:r>
        <w:rPr/>
      </w:r>
      <w:r>
        <w:rPr>
          <w:rFonts w:ascii="华文细黑" w:hAnsi="华文细黑" w:cs="华文细黑" w:eastAsia="华文细黑" w:hint="default"/>
          <w:b/>
          <w:bCs/>
          <w:sz w:val="30"/>
          <w:szCs w:val="30"/>
        </w:rPr>
        <w:t>三、公司债券募集资金使用情况</w:t>
      </w:r>
      <w:r>
        <w:rPr>
          <w:rFonts w:ascii="华文细黑" w:hAnsi="华文细黑" w:cs="华文细黑" w:eastAsia="华文细黑" w:hint="default"/>
          <w:sz w:val="30"/>
          <w:szCs w:val="30"/>
        </w:rPr>
      </w:r>
    </w:p>
    <w:p>
      <w:pPr>
        <w:spacing w:line="240" w:lineRule="auto" w:before="0"/>
        <w:rPr>
          <w:rFonts w:ascii="华文细黑" w:hAnsi="华文细黑" w:cs="华文细黑" w:eastAsia="华文细黑" w:hint="default"/>
          <w:b/>
          <w:bCs/>
          <w:sz w:val="20"/>
          <w:szCs w:val="20"/>
        </w:rPr>
      </w:pPr>
    </w:p>
    <w:p>
      <w:pPr>
        <w:spacing w:line="240" w:lineRule="auto" w:before="12"/>
        <w:rPr>
          <w:rFonts w:ascii="华文细黑" w:hAnsi="华文细黑" w:cs="华文细黑" w:eastAsia="华文细黑" w:hint="default"/>
          <w:b/>
          <w:bCs/>
          <w:sz w:val="11"/>
          <w:szCs w:val="11"/>
        </w:rPr>
      </w:pPr>
    </w:p>
    <w:tbl>
      <w:tblPr>
        <w:tblW w:w="0" w:type="auto"/>
        <w:jc w:val="left"/>
        <w:tblInd w:w="117" w:type="dxa"/>
        <w:tblLayout w:type="fixed"/>
        <w:tblCellMar>
          <w:top w:w="0" w:type="dxa"/>
          <w:left w:w="0" w:type="dxa"/>
          <w:bottom w:w="0" w:type="dxa"/>
          <w:right w:w="0" w:type="dxa"/>
        </w:tblCellMar>
        <w:tblLook w:val="01E0"/>
      </w:tblPr>
      <w:tblGrid>
        <w:gridCol w:w="3190"/>
        <w:gridCol w:w="6379"/>
      </w:tblGrid>
      <w:tr>
        <w:trPr>
          <w:trHeight w:val="714" w:hRule="exact"/>
        </w:trPr>
        <w:tc>
          <w:tcPr>
            <w:tcW w:w="31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1"/>
              <w:ind w:left="103" w:right="194"/>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公司债券募集资金使用情况及履行的 程序</w:t>
            </w:r>
          </w:p>
        </w:tc>
        <w:tc>
          <w:tcPr>
            <w:tcW w:w="6379" w:type="dxa"/>
            <w:tcBorders>
              <w:top w:val="single" w:sz="4" w:space="0" w:color="FFC000"/>
              <w:left w:val="single" w:sz="4" w:space="0" w:color="FFC000"/>
              <w:bottom w:val="single" w:sz="4" w:space="0" w:color="FFC000"/>
              <w:right w:val="single" w:sz="4" w:space="0" w:color="FFC000"/>
            </w:tcBorders>
          </w:tcPr>
          <w:p>
            <w:pPr>
              <w:pStyle w:val="TableParagraph"/>
              <w:spacing w:line="295" w:lineRule="auto" w:before="41"/>
              <w:ind w:left="103" w:right="11"/>
              <w:jc w:val="left"/>
              <w:rPr>
                <w:rFonts w:ascii="华文细黑" w:hAnsi="华文细黑" w:cs="华文细黑" w:eastAsia="华文细黑" w:hint="default"/>
                <w:sz w:val="18"/>
                <w:szCs w:val="18"/>
              </w:rPr>
            </w:pPr>
            <w:r>
              <w:rPr>
                <w:rFonts w:ascii="华文细黑" w:hAnsi="华文细黑" w:cs="华文细黑" w:eastAsia="华文细黑" w:hint="default"/>
                <w:spacing w:val="-1"/>
                <w:sz w:val="18"/>
                <w:szCs w:val="18"/>
              </w:rPr>
              <w:t>“</w:t>
            </w:r>
            <w:r>
              <w:rPr>
                <w:rFonts w:ascii="华文细黑" w:hAnsi="华文细黑" w:cs="华文细黑" w:eastAsia="华文细黑" w:hint="default"/>
                <w:spacing w:val="-1"/>
                <w:sz w:val="18"/>
                <w:szCs w:val="18"/>
              </w:rPr>
              <w:t>15</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深爱</w:t>
            </w:r>
            <w:r>
              <w:rPr>
                <w:rFonts w:ascii="华文细黑" w:hAnsi="华文细黑" w:cs="华文细黑" w:eastAsia="华文细黑" w:hint="default"/>
                <w:spacing w:val="4"/>
                <w:sz w:val="18"/>
                <w:szCs w:val="18"/>
              </w:rPr>
              <w:t> </w:t>
            </w:r>
            <w:r>
              <w:rPr>
                <w:rFonts w:ascii="华文细黑" w:hAnsi="华文细黑" w:cs="华文细黑" w:eastAsia="华文细黑" w:hint="default"/>
                <w:spacing w:val="-9"/>
                <w:sz w:val="18"/>
                <w:szCs w:val="18"/>
              </w:rPr>
              <w:t>01</w:t>
            </w:r>
            <w:r>
              <w:rPr>
                <w:rFonts w:ascii="华文细黑" w:hAnsi="华文细黑" w:cs="华文细黑" w:eastAsia="华文细黑" w:hint="default"/>
                <w:spacing w:val="-9"/>
                <w:sz w:val="18"/>
                <w:szCs w:val="18"/>
              </w:rPr>
              <w:t>”的募集资金主要用于偿还到期债务和补充流动资金；“</w:t>
            </w:r>
            <w:r>
              <w:rPr>
                <w:rFonts w:ascii="华文细黑" w:hAnsi="华文细黑" w:cs="华文细黑" w:eastAsia="华文细黑" w:hint="default"/>
                <w:spacing w:val="-9"/>
                <w:sz w:val="18"/>
                <w:szCs w:val="18"/>
              </w:rPr>
              <w:t>17</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深爱债”</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的募集资金主要用于补充流动资金。</w:t>
            </w:r>
          </w:p>
        </w:tc>
      </w:tr>
      <w:tr>
        <w:trPr>
          <w:trHeight w:val="402" w:hRule="exact"/>
        </w:trPr>
        <w:tc>
          <w:tcPr>
            <w:tcW w:w="31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年末余额（万元）</w:t>
            </w:r>
          </w:p>
        </w:tc>
        <w:tc>
          <w:tcPr>
            <w:tcW w:w="63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w w:val="95"/>
                <w:sz w:val="18"/>
              </w:rPr>
              <w:t>0.04</w:t>
            </w:r>
          </w:p>
        </w:tc>
      </w:tr>
      <w:tr>
        <w:trPr>
          <w:trHeight w:val="402" w:hRule="exact"/>
        </w:trPr>
        <w:tc>
          <w:tcPr>
            <w:tcW w:w="31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募集资金专项账户运作情况</w:t>
            </w:r>
          </w:p>
        </w:tc>
        <w:tc>
          <w:tcPr>
            <w:tcW w:w="63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募集资金专项账户严格按照募集说明书相关约定运作</w:t>
            </w:r>
          </w:p>
        </w:tc>
      </w:tr>
      <w:tr>
        <w:trPr>
          <w:trHeight w:val="715" w:hRule="exact"/>
        </w:trPr>
        <w:tc>
          <w:tcPr>
            <w:tcW w:w="31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95" w:lineRule="auto" w:before="41"/>
              <w:ind w:left="103" w:right="195"/>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募集资金使用是否与募集说明书承诺 的用途、使用计划及其他约定一致</w:t>
            </w:r>
          </w:p>
        </w:tc>
        <w:tc>
          <w:tcPr>
            <w:tcW w:w="63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
              <w:ind w:right="0"/>
              <w:jc w:val="left"/>
              <w:rPr>
                <w:rFonts w:ascii="华文细黑" w:hAnsi="华文细黑" w:cs="华文细黑" w:eastAsia="华文细黑" w:hint="default"/>
                <w:b/>
                <w:bCs/>
                <w:sz w:val="13"/>
                <w:szCs w:val="13"/>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w:t>
            </w:r>
          </w:p>
        </w:tc>
      </w:tr>
    </w:tbl>
    <w:p>
      <w:pPr>
        <w:spacing w:line="240" w:lineRule="auto" w:before="11"/>
        <w:rPr>
          <w:rFonts w:ascii="华文细黑" w:hAnsi="华文细黑" w:cs="华文细黑" w:eastAsia="华文细黑" w:hint="default"/>
          <w:b/>
          <w:bCs/>
          <w:sz w:val="26"/>
          <w:szCs w:val="26"/>
        </w:rPr>
      </w:pPr>
    </w:p>
    <w:p>
      <w:pPr>
        <w:spacing w:line="396" w:lineRule="exact" w:before="0"/>
        <w:ind w:left="234" w:right="1023" w:firstLine="0"/>
        <w:jc w:val="left"/>
        <w:rPr>
          <w:rFonts w:ascii="华文细黑" w:hAnsi="华文细黑" w:cs="华文细黑" w:eastAsia="华文细黑" w:hint="default"/>
          <w:sz w:val="30"/>
          <w:szCs w:val="30"/>
        </w:rPr>
      </w:pPr>
      <w:bookmarkStart w:name="四、公司债券信息评级情况" w:id="183"/>
      <w:bookmarkEnd w:id="183"/>
      <w:r>
        <w:rPr/>
      </w:r>
      <w:r>
        <w:rPr>
          <w:rFonts w:ascii="华文细黑" w:hAnsi="华文细黑" w:cs="华文细黑" w:eastAsia="华文细黑" w:hint="default"/>
          <w:b/>
          <w:bCs/>
          <w:sz w:val="30"/>
          <w:szCs w:val="30"/>
        </w:rPr>
        <w:t>四、公司债券信息评级情况</w:t>
      </w:r>
      <w:r>
        <w:rPr>
          <w:rFonts w:ascii="华文细黑" w:hAnsi="华文细黑" w:cs="华文细黑" w:eastAsia="华文细黑" w:hint="default"/>
          <w:sz w:val="30"/>
          <w:szCs w:val="30"/>
        </w:rPr>
      </w:r>
    </w:p>
    <w:p>
      <w:pPr>
        <w:spacing w:line="240" w:lineRule="auto" w:before="7"/>
        <w:rPr>
          <w:rFonts w:ascii="华文细黑" w:hAnsi="华文细黑" w:cs="华文细黑" w:eastAsia="华文细黑" w:hint="default"/>
          <w:b/>
          <w:bCs/>
          <w:sz w:val="35"/>
          <w:szCs w:val="35"/>
        </w:rPr>
      </w:pPr>
    </w:p>
    <w:p>
      <w:pPr>
        <w:pStyle w:val="BodyText"/>
        <w:spacing w:line="379" w:lineRule="auto"/>
        <w:ind w:left="234" w:right="1328" w:firstLine="420"/>
        <w:jc w:val="left"/>
        <w:rPr>
          <w:rFonts w:ascii="华文细黑" w:hAnsi="华文细黑" w:cs="华文细黑" w:eastAsia="华文细黑" w:hint="default"/>
        </w:rPr>
      </w:pPr>
      <w:r>
        <w:rPr/>
        <w:t>公司债券信用评级机构东方金诚国际信用评估有限公司于</w:t>
      </w:r>
      <w:r>
        <w:rPr>
          <w:rFonts w:ascii="华文细黑" w:hAnsi="华文细黑" w:cs="华文细黑" w:eastAsia="华文细黑" w:hint="default"/>
        </w:rPr>
        <w:t>2018</w:t>
      </w:r>
      <w:r>
        <w:rPr/>
        <w:t>年</w:t>
      </w:r>
      <w:r>
        <w:rPr>
          <w:rFonts w:ascii="华文细黑" w:hAnsi="华文细黑" w:cs="华文细黑" w:eastAsia="华文细黑" w:hint="default"/>
        </w:rPr>
        <w:t>6</w:t>
      </w:r>
      <w:r>
        <w:rPr/>
        <w:t>月</w:t>
      </w:r>
      <w:r>
        <w:rPr>
          <w:rFonts w:ascii="华文细黑" w:hAnsi="华文细黑" w:cs="华文细黑" w:eastAsia="华文细黑" w:hint="default"/>
        </w:rPr>
        <w:t>15</w:t>
      </w:r>
      <w:r>
        <w:rPr/>
        <w:t>日出具了《主体及相关债项 </w:t>
      </w:r>
      <w:r>
        <w:rPr>
          <w:rFonts w:ascii="华文细黑" w:hAnsi="华文细黑" w:cs="华文细黑" w:eastAsia="华文细黑" w:hint="default"/>
          <w:spacing w:val="-6"/>
        </w:rPr>
        <w:t>2018</w:t>
      </w:r>
      <w:r>
        <w:rPr>
          <w:spacing w:val="-6"/>
        </w:rPr>
        <w:t>年度跟踪评级报告》，评级结论如下</w:t>
      </w:r>
      <w:r>
        <w:rPr>
          <w:rFonts w:ascii="华文细黑" w:hAnsi="华文细黑" w:cs="华文细黑" w:eastAsia="华文细黑" w:hint="default"/>
          <w:spacing w:val="-6"/>
        </w:rPr>
        <w:t>:</w:t>
      </w:r>
    </w:p>
    <w:p>
      <w:pPr>
        <w:spacing w:after="0" w:line="379" w:lineRule="auto"/>
        <w:jc w:val="left"/>
        <w:rPr>
          <w:rFonts w:ascii="华文细黑" w:hAnsi="华文细黑" w:cs="华文细黑" w:eastAsia="华文细黑" w:hint="default"/>
        </w:rPr>
        <w:sectPr>
          <w:pgSz w:w="11910" w:h="16840"/>
          <w:pgMar w:header="917" w:footer="1019" w:top="1100" w:bottom="1200" w:left="900" w:right="0"/>
        </w:sectPr>
      </w:pPr>
    </w:p>
    <w:p>
      <w:pPr>
        <w:spacing w:line="240" w:lineRule="auto" w:before="7"/>
        <w:rPr>
          <w:rFonts w:ascii="华文细黑" w:hAnsi="华文细黑" w:cs="华文细黑" w:eastAsia="华文细黑" w:hint="default"/>
          <w:sz w:val="26"/>
          <w:szCs w:val="26"/>
        </w:rPr>
      </w:pPr>
    </w:p>
    <w:p>
      <w:pPr>
        <w:pStyle w:val="BodyText"/>
        <w:spacing w:line="379" w:lineRule="auto" w:before="10"/>
        <w:ind w:left="154" w:right="1176" w:firstLine="420"/>
        <w:jc w:val="both"/>
      </w:pPr>
      <w:r>
        <w:rPr/>
        <w:t>经东方金诚国际信用评估有限公司信用评级委员会审定，维持公司主体信用等级为</w:t>
      </w:r>
      <w:r>
        <w:rPr>
          <w:rFonts w:ascii="华文细黑" w:hAnsi="华文细黑" w:cs="华文细黑" w:eastAsia="华文细黑" w:hint="default"/>
        </w:rPr>
        <w:t>AA</w:t>
      </w:r>
      <w:r>
        <w:rPr/>
        <w:t>，评级展望为 稳定，同时维持“</w:t>
      </w:r>
      <w:r>
        <w:rPr>
          <w:rFonts w:ascii="华文细黑" w:hAnsi="华文细黑" w:cs="华文细黑" w:eastAsia="华文细黑" w:hint="default"/>
        </w:rPr>
        <w:t>15</w:t>
      </w:r>
      <w:r>
        <w:rPr/>
        <w:t>深爱</w:t>
      </w:r>
      <w:r>
        <w:rPr>
          <w:rFonts w:ascii="华文细黑" w:hAnsi="华文细黑" w:cs="华文细黑" w:eastAsia="华文细黑" w:hint="default"/>
        </w:rPr>
        <w:t>01</w:t>
      </w:r>
      <w:r>
        <w:rPr/>
        <w:t>”和“</w:t>
      </w:r>
      <w:r>
        <w:rPr>
          <w:rFonts w:ascii="华文细黑" w:hAnsi="华文细黑" w:cs="华文细黑" w:eastAsia="华文细黑" w:hint="default"/>
        </w:rPr>
        <w:t>17</w:t>
      </w:r>
      <w:r>
        <w:rPr/>
        <w:t>深爱债”的信用等级为</w:t>
      </w:r>
      <w:r>
        <w:rPr>
          <w:rFonts w:ascii="华文细黑" w:hAnsi="华文细黑" w:cs="华文细黑" w:eastAsia="华文细黑" w:hint="default"/>
        </w:rPr>
        <w:t>AA</w:t>
      </w:r>
      <w:r>
        <w:rPr/>
        <w:t>。具体内容见公司</w:t>
      </w:r>
      <w:r>
        <w:rPr>
          <w:rFonts w:ascii="华文细黑" w:hAnsi="华文细黑" w:cs="华文细黑" w:eastAsia="华文细黑" w:hint="default"/>
        </w:rPr>
        <w:t>2018</w:t>
      </w:r>
      <w:r>
        <w:rPr/>
        <w:t>年</w:t>
      </w:r>
      <w:r>
        <w:rPr>
          <w:rFonts w:ascii="华文细黑" w:hAnsi="华文细黑" w:cs="华文细黑" w:eastAsia="华文细黑" w:hint="default"/>
        </w:rPr>
        <w:t>6</w:t>
      </w:r>
      <w:r>
        <w:rPr/>
        <w:t>月</w:t>
      </w:r>
      <w:r>
        <w:rPr>
          <w:rFonts w:ascii="华文细黑" w:hAnsi="华文细黑" w:cs="华文细黑" w:eastAsia="华文细黑" w:hint="default"/>
        </w:rPr>
        <w:t>15</w:t>
      </w:r>
      <w:r>
        <w:rPr/>
        <w:t>日刊登在 </w:t>
      </w:r>
      <w:r>
        <w:rPr>
          <w:spacing w:val="-3"/>
        </w:rPr>
        <w:t>巨潮资讯网（</w:t>
      </w:r>
      <w:hyperlink r:id="rId21">
        <w:r>
          <w:rPr>
            <w:rFonts w:ascii="华文细黑" w:hAnsi="华文细黑" w:cs="华文细黑" w:eastAsia="华文细黑" w:hint="default"/>
            <w:spacing w:val="-3"/>
          </w:rPr>
          <w:t>www.cninfo.com.cn</w:t>
        </w:r>
      </w:hyperlink>
      <w:r>
        <w:rPr>
          <w:spacing w:val="-3"/>
        </w:rPr>
        <w:t>）的《主体及相关债项</w:t>
      </w:r>
      <w:r>
        <w:rPr>
          <w:rFonts w:ascii="华文细黑" w:hAnsi="华文细黑" w:cs="华文细黑" w:eastAsia="华文细黑" w:hint="default"/>
          <w:spacing w:val="-3"/>
        </w:rPr>
        <w:t>2018</w:t>
      </w:r>
      <w:r>
        <w:rPr>
          <w:spacing w:val="-3"/>
        </w:rPr>
        <w:t>年度跟踪评级报告》。</w:t>
      </w:r>
    </w:p>
    <w:p>
      <w:pPr>
        <w:spacing w:line="240" w:lineRule="auto" w:before="1"/>
        <w:rPr>
          <w:rFonts w:ascii="华文细黑" w:hAnsi="华文细黑" w:cs="华文细黑" w:eastAsia="华文细黑" w:hint="default"/>
          <w:sz w:val="24"/>
          <w:szCs w:val="24"/>
        </w:rPr>
      </w:pPr>
    </w:p>
    <w:p>
      <w:pPr>
        <w:pStyle w:val="Heading2"/>
        <w:spacing w:line="240" w:lineRule="auto"/>
        <w:ind w:left="154" w:right="1217"/>
        <w:jc w:val="left"/>
        <w:rPr>
          <w:b w:val="0"/>
          <w:bCs w:val="0"/>
        </w:rPr>
      </w:pPr>
      <w:bookmarkStart w:name="五、 公司债券增信机制、偿债计划及其他偿债保障措施" w:id="184"/>
      <w:bookmarkEnd w:id="184"/>
      <w:r>
        <w:rPr>
          <w:b w:val="0"/>
          <w:bCs w:val="0"/>
        </w:rPr>
      </w:r>
      <w:r>
        <w:rPr/>
        <w:t>五、</w:t>
      </w:r>
      <w:r>
        <w:rPr>
          <w:spacing w:val="69"/>
        </w:rPr>
        <w:t> </w:t>
      </w:r>
      <w:r>
        <w:rPr/>
        <w:t>公司债券增信机制、偿债计划及其他偿债保障措施</w:t>
      </w:r>
      <w:r>
        <w:rPr>
          <w:b w:val="0"/>
          <w:bCs w:val="0"/>
        </w:rPr>
      </w:r>
    </w:p>
    <w:p>
      <w:pPr>
        <w:spacing w:line="240" w:lineRule="auto" w:before="7"/>
        <w:rPr>
          <w:rFonts w:ascii="华文细黑" w:hAnsi="华文细黑" w:cs="华文细黑" w:eastAsia="华文细黑" w:hint="default"/>
          <w:b/>
          <w:bCs/>
          <w:sz w:val="35"/>
          <w:szCs w:val="35"/>
        </w:rPr>
      </w:pPr>
    </w:p>
    <w:p>
      <w:pPr>
        <w:pStyle w:val="BodyText"/>
        <w:spacing w:line="379" w:lineRule="auto"/>
        <w:ind w:left="154" w:right="1116"/>
        <w:jc w:val="left"/>
      </w:pPr>
      <w:r>
        <w:rPr>
          <w:spacing w:val="-1"/>
        </w:rPr>
        <w:t>报告期内，公司债券增信机制、偿债计划及其他偿债保障措施未发生变更，严格履行募集说明书中相关承</w:t>
      </w:r>
      <w:r>
        <w:rPr>
          <w:spacing w:val="-31"/>
        </w:rPr>
        <w:t> </w:t>
      </w:r>
      <w:r>
        <w:rPr>
          <w:spacing w:val="-31"/>
        </w:rPr>
      </w:r>
      <w:r>
        <w:rPr/>
        <w:t>诺。</w:t>
      </w:r>
    </w:p>
    <w:p>
      <w:pPr>
        <w:spacing w:line="240" w:lineRule="auto" w:before="1"/>
        <w:rPr>
          <w:rFonts w:ascii="华文细黑" w:hAnsi="华文细黑" w:cs="华文细黑" w:eastAsia="华文细黑" w:hint="default"/>
          <w:sz w:val="24"/>
          <w:szCs w:val="24"/>
        </w:rPr>
      </w:pPr>
    </w:p>
    <w:p>
      <w:pPr>
        <w:pStyle w:val="Heading2"/>
        <w:spacing w:line="240" w:lineRule="auto"/>
        <w:ind w:left="154" w:right="1217"/>
        <w:jc w:val="left"/>
        <w:rPr>
          <w:b w:val="0"/>
          <w:bCs w:val="0"/>
        </w:rPr>
      </w:pPr>
      <w:bookmarkStart w:name="六、报告期内债券持有人会议的召开情况" w:id="185"/>
      <w:bookmarkEnd w:id="185"/>
      <w:r>
        <w:rPr>
          <w:b w:val="0"/>
          <w:bCs w:val="0"/>
        </w:rPr>
      </w:r>
      <w:r>
        <w:rPr/>
        <w:t>六、报告期内债券持有人会议的召开情况</w:t>
      </w:r>
      <w:r>
        <w:rPr>
          <w:b w:val="0"/>
          <w:bCs w:val="0"/>
        </w:rPr>
      </w:r>
    </w:p>
    <w:p>
      <w:pPr>
        <w:spacing w:line="240" w:lineRule="auto" w:before="13"/>
        <w:rPr>
          <w:rFonts w:ascii="华文细黑" w:hAnsi="华文细黑" w:cs="华文细黑" w:eastAsia="华文细黑" w:hint="default"/>
          <w:b/>
          <w:bCs/>
          <w:sz w:val="29"/>
          <w:szCs w:val="29"/>
        </w:rPr>
      </w:pPr>
    </w:p>
    <w:p>
      <w:pPr>
        <w:pStyle w:val="BodyText"/>
        <w:spacing w:line="240" w:lineRule="auto"/>
        <w:ind w:left="154" w:right="1217"/>
        <w:jc w:val="left"/>
      </w:pPr>
      <w:r>
        <w:rPr/>
        <w:t>报告期内未召开债券持有人会议。</w:t>
      </w:r>
    </w:p>
    <w:p>
      <w:pPr>
        <w:spacing w:line="240" w:lineRule="auto" w:before="12"/>
        <w:rPr>
          <w:rFonts w:ascii="华文细黑" w:hAnsi="华文细黑" w:cs="华文细黑" w:eastAsia="华文细黑" w:hint="default"/>
          <w:sz w:val="27"/>
          <w:szCs w:val="27"/>
        </w:rPr>
      </w:pPr>
    </w:p>
    <w:p>
      <w:pPr>
        <w:pStyle w:val="Heading2"/>
        <w:spacing w:line="240" w:lineRule="auto"/>
        <w:ind w:left="154" w:right="1217"/>
        <w:jc w:val="left"/>
        <w:rPr>
          <w:b w:val="0"/>
          <w:bCs w:val="0"/>
        </w:rPr>
      </w:pPr>
      <w:bookmarkStart w:name="七、报告期内债券受托管理人履行职责的情况" w:id="186"/>
      <w:bookmarkEnd w:id="186"/>
      <w:r>
        <w:rPr>
          <w:b w:val="0"/>
          <w:bCs w:val="0"/>
        </w:rPr>
      </w:r>
      <w:r>
        <w:rPr/>
        <w:t>七、报告期内债券受托管理人履行职责的情况</w:t>
      </w:r>
      <w:r>
        <w:rPr>
          <w:b w:val="0"/>
          <w:bCs w:val="0"/>
        </w:rPr>
      </w:r>
    </w:p>
    <w:p>
      <w:pPr>
        <w:spacing w:line="240" w:lineRule="auto" w:before="7"/>
        <w:rPr>
          <w:rFonts w:ascii="华文细黑" w:hAnsi="华文细黑" w:cs="华文细黑" w:eastAsia="华文细黑" w:hint="default"/>
          <w:b/>
          <w:bCs/>
          <w:sz w:val="35"/>
          <w:szCs w:val="35"/>
        </w:rPr>
      </w:pPr>
    </w:p>
    <w:p>
      <w:pPr>
        <w:pStyle w:val="BodyText"/>
        <w:spacing w:line="379" w:lineRule="auto"/>
        <w:ind w:left="154" w:right="1133" w:firstLine="420"/>
        <w:jc w:val="both"/>
      </w:pPr>
      <w:r>
        <w:rPr>
          <w:spacing w:val="-10"/>
        </w:rPr>
        <w:t>报告期内，公司债券受托管理人华融证券严格按照《债券募集说明书》、《债券受托管理协议》以及《公</w:t>
      </w:r>
      <w:r>
        <w:rPr/>
        <w:t> </w:t>
      </w:r>
      <w:r>
        <w:rPr>
          <w:spacing w:val="-1"/>
        </w:rPr>
        <w:t>司债券发行与交易管理办法》等相关法律、法规的规定，积极履行受托管理职责，持续关注公司日常生产</w:t>
      </w:r>
      <w:r>
        <w:rPr>
          <w:spacing w:val="-34"/>
        </w:rPr>
        <w:t> </w:t>
      </w:r>
      <w:r>
        <w:rPr>
          <w:spacing w:val="-34"/>
        </w:rPr>
      </w:r>
      <w:r>
        <w:rPr/>
        <w:t>经营及财务状况。督促公司履行债券方面的信息披露义务，全力维护债券持有人的合法权益。</w:t>
      </w:r>
    </w:p>
    <w:p>
      <w:pPr>
        <w:pStyle w:val="BodyText"/>
        <w:spacing w:line="379" w:lineRule="auto" w:before="40"/>
        <w:ind w:left="154" w:right="1132" w:firstLine="420"/>
        <w:jc w:val="both"/>
      </w:pPr>
      <w:r>
        <w:rPr>
          <w:rFonts w:ascii="华文细黑" w:hAnsi="华文细黑" w:cs="华文细黑" w:eastAsia="华文细黑" w:hint="default"/>
          <w:spacing w:val="-2"/>
        </w:rPr>
        <w:t>2018</w:t>
      </w:r>
      <w:r>
        <w:rPr>
          <w:spacing w:val="-2"/>
        </w:rPr>
        <w:t>年</w:t>
      </w:r>
      <w:r>
        <w:rPr>
          <w:rFonts w:ascii="华文细黑" w:hAnsi="华文细黑" w:cs="华文细黑" w:eastAsia="华文细黑" w:hint="default"/>
          <w:spacing w:val="-2"/>
        </w:rPr>
        <w:t>3</w:t>
      </w:r>
      <w:r>
        <w:rPr>
          <w:spacing w:val="-2"/>
        </w:rPr>
        <w:t>月</w:t>
      </w:r>
      <w:r>
        <w:rPr>
          <w:rFonts w:ascii="华文细黑" w:hAnsi="华文细黑" w:cs="华文细黑" w:eastAsia="华文细黑" w:hint="default"/>
          <w:spacing w:val="-2"/>
        </w:rPr>
        <w:t>9</w:t>
      </w:r>
      <w:r>
        <w:rPr>
          <w:spacing w:val="-2"/>
        </w:rPr>
        <w:t>日，华融证券出具了《华融证券股份有限公司关于深圳市爱施德股份有限公司公司债券重</w:t>
      </w:r>
      <w:r>
        <w:rPr/>
        <w:t> </w:t>
      </w:r>
      <w:r>
        <w:rPr>
          <w:spacing w:val="-3"/>
        </w:rPr>
        <w:t>大事项受托管理事务临时报告》。具体内容见公司</w:t>
      </w:r>
      <w:r>
        <w:rPr>
          <w:rFonts w:ascii="华文细黑" w:hAnsi="华文细黑" w:cs="华文细黑" w:eastAsia="华文细黑" w:hint="default"/>
          <w:spacing w:val="-3"/>
        </w:rPr>
        <w:t>2018</w:t>
      </w:r>
      <w:r>
        <w:rPr>
          <w:spacing w:val="-3"/>
        </w:rPr>
        <w:t>年</w:t>
      </w:r>
      <w:r>
        <w:rPr>
          <w:rFonts w:ascii="华文细黑" w:hAnsi="华文细黑" w:cs="华文细黑" w:eastAsia="华文细黑" w:hint="default"/>
          <w:spacing w:val="-3"/>
        </w:rPr>
        <w:t>3</w:t>
      </w:r>
      <w:r>
        <w:rPr>
          <w:spacing w:val="-3"/>
        </w:rPr>
        <w:t>月</w:t>
      </w:r>
      <w:r>
        <w:rPr>
          <w:rFonts w:ascii="华文细黑" w:hAnsi="华文细黑" w:cs="华文细黑" w:eastAsia="华文细黑" w:hint="default"/>
          <w:spacing w:val="-3"/>
        </w:rPr>
        <w:t>9</w:t>
      </w:r>
      <w:r>
        <w:rPr>
          <w:spacing w:val="-3"/>
        </w:rPr>
        <w:t>日刊登在巨潮资讯网</w:t>
      </w:r>
    </w:p>
    <w:p>
      <w:pPr>
        <w:pStyle w:val="BodyText"/>
        <w:spacing w:line="379" w:lineRule="auto" w:before="40"/>
        <w:ind w:left="154" w:right="1122"/>
        <w:jc w:val="left"/>
      </w:pPr>
      <w:r>
        <w:rPr/>
        <w:t>（</w:t>
      </w:r>
      <w:hyperlink r:id="rId21">
        <w:r>
          <w:rPr>
            <w:rFonts w:ascii="华文细黑" w:hAnsi="华文细黑" w:cs="华文细黑" w:eastAsia="华文细黑" w:hint="default"/>
          </w:rPr>
          <w:t>www.cninfo.com.cn</w:t>
        </w:r>
      </w:hyperlink>
      <w:r>
        <w:rPr/>
        <w:t>）的《华融证券股份有限公司关于深圳市爱施德股份有限公司公司债券重大事项 </w:t>
      </w:r>
      <w:r>
        <w:rPr>
          <w:spacing w:val="-9"/>
        </w:rPr>
        <w:t>受托管理事务临时报告》。</w:t>
      </w:r>
    </w:p>
    <w:p>
      <w:pPr>
        <w:pStyle w:val="BodyText"/>
        <w:spacing w:line="379" w:lineRule="auto" w:before="40"/>
        <w:ind w:left="154" w:right="1135" w:firstLine="420"/>
        <w:jc w:val="both"/>
      </w:pPr>
      <w:r>
        <w:rPr>
          <w:rFonts w:ascii="华文细黑" w:hAnsi="华文细黑" w:cs="华文细黑" w:eastAsia="华文细黑" w:hint="default"/>
        </w:rPr>
        <w:t>2018</w:t>
      </w:r>
      <w:r>
        <w:rPr/>
        <w:t>年</w:t>
      </w:r>
      <w:r>
        <w:rPr>
          <w:rFonts w:ascii="华文细黑" w:hAnsi="华文细黑" w:cs="华文细黑" w:eastAsia="华文细黑" w:hint="default"/>
        </w:rPr>
        <w:t>5</w:t>
      </w:r>
      <w:r>
        <w:rPr/>
        <w:t>月</w:t>
      </w:r>
      <w:r>
        <w:rPr>
          <w:rFonts w:ascii="华文细黑" w:hAnsi="华文细黑" w:cs="华文细黑" w:eastAsia="华文细黑" w:hint="default"/>
        </w:rPr>
        <w:t>28</w:t>
      </w:r>
      <w:r>
        <w:rPr/>
        <w:t>日，华融证券出具了《华融证券股份有限公司关于深圳市爱施德股份有限公司公司债券 </w:t>
      </w:r>
      <w:r>
        <w:rPr>
          <w:spacing w:val="-3"/>
        </w:rPr>
        <w:t>重大事项受托管理事务临时报告》。具体内容见公司</w:t>
      </w:r>
      <w:r>
        <w:rPr>
          <w:rFonts w:ascii="华文细黑" w:hAnsi="华文细黑" w:cs="华文细黑" w:eastAsia="华文细黑" w:hint="default"/>
          <w:spacing w:val="-3"/>
        </w:rPr>
        <w:t>2018</w:t>
      </w:r>
      <w:r>
        <w:rPr>
          <w:spacing w:val="-3"/>
        </w:rPr>
        <w:t>年</w:t>
      </w:r>
      <w:r>
        <w:rPr>
          <w:rFonts w:ascii="华文细黑" w:hAnsi="华文细黑" w:cs="华文细黑" w:eastAsia="华文细黑" w:hint="default"/>
          <w:spacing w:val="-3"/>
        </w:rPr>
        <w:t>5</w:t>
      </w:r>
      <w:r>
        <w:rPr>
          <w:spacing w:val="-3"/>
        </w:rPr>
        <w:t>月</w:t>
      </w:r>
      <w:r>
        <w:rPr>
          <w:rFonts w:ascii="华文细黑" w:hAnsi="华文细黑" w:cs="华文细黑" w:eastAsia="华文细黑" w:hint="default"/>
          <w:spacing w:val="-3"/>
        </w:rPr>
        <w:t>28</w:t>
      </w:r>
      <w:r>
        <w:rPr>
          <w:spacing w:val="-3"/>
        </w:rPr>
        <w:t>日刊登在巨潮资讯网</w:t>
      </w:r>
    </w:p>
    <w:p>
      <w:pPr>
        <w:pStyle w:val="BodyText"/>
        <w:spacing w:line="379" w:lineRule="auto" w:before="40"/>
        <w:ind w:left="154" w:right="1122"/>
        <w:jc w:val="left"/>
      </w:pPr>
      <w:r>
        <w:rPr/>
        <w:t>（</w:t>
      </w:r>
      <w:hyperlink r:id="rId21">
        <w:r>
          <w:rPr>
            <w:rFonts w:ascii="华文细黑" w:hAnsi="华文细黑" w:cs="华文细黑" w:eastAsia="华文细黑" w:hint="default"/>
          </w:rPr>
          <w:t>www.cninfo.com.cn</w:t>
        </w:r>
      </w:hyperlink>
      <w:r>
        <w:rPr/>
        <w:t>）的《华融证券股份有限公司关于深圳市爱施德股份有限公司公司债券重大事项 </w:t>
      </w:r>
      <w:r>
        <w:rPr>
          <w:spacing w:val="-9"/>
        </w:rPr>
        <w:t>受托管理事务临时报告》。</w:t>
      </w:r>
    </w:p>
    <w:p>
      <w:pPr>
        <w:pStyle w:val="BodyText"/>
        <w:spacing w:line="379" w:lineRule="auto" w:before="40"/>
        <w:ind w:left="154" w:right="1088" w:firstLine="420"/>
        <w:jc w:val="both"/>
      </w:pPr>
      <w:r>
        <w:rPr>
          <w:rFonts w:ascii="华文细黑" w:hAnsi="华文细黑" w:cs="华文细黑" w:eastAsia="华文细黑" w:hint="default"/>
        </w:rPr>
        <w:t>2018</w:t>
      </w:r>
      <w:r>
        <w:rPr/>
        <w:t>年</w:t>
      </w:r>
      <w:r>
        <w:rPr>
          <w:rFonts w:ascii="华文细黑" w:hAnsi="华文细黑" w:cs="华文细黑" w:eastAsia="华文细黑" w:hint="default"/>
        </w:rPr>
        <w:t>6</w:t>
      </w:r>
      <w:r>
        <w:rPr/>
        <w:t>月</w:t>
      </w:r>
      <w:r>
        <w:rPr>
          <w:rFonts w:ascii="华文细黑" w:hAnsi="华文细黑" w:cs="华文细黑" w:eastAsia="华文细黑" w:hint="default"/>
        </w:rPr>
        <w:t>15</w:t>
      </w:r>
      <w:r>
        <w:rPr/>
        <w:t>日，华融证券出具了《深圳市爱施德股份有限公司公开发行</w:t>
      </w:r>
      <w:r>
        <w:rPr>
          <w:rFonts w:ascii="华文细黑" w:hAnsi="华文细黑" w:cs="华文细黑" w:eastAsia="华文细黑" w:hint="default"/>
        </w:rPr>
        <w:t>2015</w:t>
      </w:r>
      <w:r>
        <w:rPr/>
        <w:t>年公司债券（第一期） </w:t>
      </w:r>
      <w:r>
        <w:rPr>
          <w:spacing w:val="-3"/>
        </w:rPr>
        <w:t>受托管理事务年度报告（</w:t>
      </w:r>
      <w:r>
        <w:rPr>
          <w:rFonts w:ascii="华文细黑" w:hAnsi="华文细黑" w:cs="华文细黑" w:eastAsia="华文细黑" w:hint="default"/>
          <w:spacing w:val="-3"/>
        </w:rPr>
        <w:t>2017</w:t>
      </w:r>
      <w:r>
        <w:rPr>
          <w:spacing w:val="-3"/>
        </w:rPr>
        <w:t>年度）》和《深圳市爱施德股份有限公司</w:t>
      </w:r>
      <w:r>
        <w:rPr>
          <w:rFonts w:ascii="华文细黑" w:hAnsi="华文细黑" w:cs="华文细黑" w:eastAsia="华文细黑" w:hint="default"/>
          <w:spacing w:val="-3"/>
        </w:rPr>
        <w:t>2017</w:t>
      </w:r>
      <w:r>
        <w:rPr>
          <w:spacing w:val="-3"/>
        </w:rPr>
        <w:t>年面向合格投资者公开发行公</w:t>
      </w:r>
      <w:r>
        <w:rPr>
          <w:spacing w:val="-18"/>
        </w:rPr>
        <w:t> </w:t>
      </w:r>
      <w:r>
        <w:rPr>
          <w:spacing w:val="-5"/>
        </w:rPr>
        <w:t>司债券受托管理事务年度报告（</w:t>
      </w:r>
      <w:r>
        <w:rPr>
          <w:rFonts w:ascii="华文细黑" w:hAnsi="华文细黑" w:cs="华文细黑" w:eastAsia="华文细黑" w:hint="default"/>
          <w:spacing w:val="-5"/>
        </w:rPr>
        <w:t>2017</w:t>
      </w:r>
      <w:r>
        <w:rPr>
          <w:spacing w:val="-5"/>
        </w:rPr>
        <w:t>年度）》。具体内容见公司</w:t>
      </w:r>
      <w:r>
        <w:rPr>
          <w:rFonts w:ascii="华文细黑" w:hAnsi="华文细黑" w:cs="华文细黑" w:eastAsia="华文细黑" w:hint="default"/>
          <w:spacing w:val="-5"/>
        </w:rPr>
        <w:t>2018</w:t>
      </w:r>
      <w:r>
        <w:rPr>
          <w:spacing w:val="-5"/>
        </w:rPr>
        <w:t>年</w:t>
      </w:r>
      <w:r>
        <w:rPr>
          <w:rFonts w:ascii="华文细黑" w:hAnsi="华文细黑" w:cs="华文细黑" w:eastAsia="华文细黑" w:hint="default"/>
          <w:spacing w:val="-5"/>
        </w:rPr>
        <w:t>6</w:t>
      </w:r>
      <w:r>
        <w:rPr>
          <w:spacing w:val="-5"/>
        </w:rPr>
        <w:t>月</w:t>
      </w:r>
      <w:r>
        <w:rPr>
          <w:rFonts w:ascii="华文细黑" w:hAnsi="华文细黑" w:cs="华文细黑" w:eastAsia="华文细黑" w:hint="default"/>
          <w:spacing w:val="-5"/>
        </w:rPr>
        <w:t>15</w:t>
      </w:r>
      <w:r>
        <w:rPr>
          <w:spacing w:val="-5"/>
        </w:rPr>
        <w:t>日刊登在巨潮资讯网</w:t>
      </w:r>
    </w:p>
    <w:p>
      <w:pPr>
        <w:pStyle w:val="BodyText"/>
        <w:spacing w:line="379" w:lineRule="auto" w:before="40"/>
        <w:ind w:left="154" w:right="0"/>
        <w:jc w:val="left"/>
        <w:rPr>
          <w:rFonts w:ascii="华文细黑" w:hAnsi="华文细黑" w:cs="华文细黑" w:eastAsia="华文细黑" w:hint="default"/>
        </w:rPr>
      </w:pPr>
      <w:r>
        <w:rPr>
          <w:spacing w:val="-4"/>
        </w:rPr>
        <w:t>（</w:t>
      </w:r>
      <w:hyperlink r:id="rId21">
        <w:r>
          <w:rPr>
            <w:rFonts w:ascii="华文细黑" w:hAnsi="华文细黑" w:cs="华文细黑" w:eastAsia="华文细黑" w:hint="default"/>
            <w:spacing w:val="-4"/>
          </w:rPr>
          <w:t>www.cninfo.com.cn</w:t>
        </w:r>
      </w:hyperlink>
      <w:r>
        <w:rPr>
          <w:spacing w:val="-4"/>
        </w:rPr>
        <w:t>）的《公开发行</w:t>
      </w:r>
      <w:r>
        <w:rPr>
          <w:rFonts w:ascii="华文细黑" w:hAnsi="华文细黑" w:cs="华文细黑" w:eastAsia="华文细黑" w:hint="default"/>
          <w:spacing w:val="-4"/>
        </w:rPr>
        <w:t>2015</w:t>
      </w:r>
      <w:r>
        <w:rPr>
          <w:spacing w:val="-4"/>
        </w:rPr>
        <w:t>年公司债券（第一期）受托管理实务年度报告（</w:t>
      </w:r>
      <w:r>
        <w:rPr>
          <w:rFonts w:ascii="华文细黑" w:hAnsi="华文细黑" w:cs="华文细黑" w:eastAsia="华文细黑" w:hint="default"/>
          <w:spacing w:val="-4"/>
        </w:rPr>
        <w:t>2017</w:t>
      </w:r>
      <w:r>
        <w:rPr>
          <w:spacing w:val="-4"/>
        </w:rPr>
        <w:t>年度）》</w:t>
      </w:r>
      <w:r>
        <w:rPr>
          <w:spacing w:val="-14"/>
        </w:rPr>
        <w:t> </w:t>
      </w:r>
      <w:r>
        <w:rPr>
          <w:spacing w:val="-14"/>
        </w:rPr>
      </w:r>
      <w:r>
        <w:rPr/>
        <w:t>和《深圳市爱施德股份有限公司</w:t>
      </w:r>
      <w:r>
        <w:rPr>
          <w:rFonts w:ascii="华文细黑" w:hAnsi="华文细黑" w:cs="华文细黑" w:eastAsia="华文细黑" w:hint="default"/>
        </w:rPr>
        <w:t>2017</w:t>
      </w:r>
      <w:r>
        <w:rPr/>
        <w:t>年面向合格投资者公开发行公司债券受托管理事务年度报告（</w:t>
      </w:r>
      <w:r>
        <w:rPr>
          <w:rFonts w:ascii="华文细黑" w:hAnsi="华文细黑" w:cs="华文细黑" w:eastAsia="华文细黑" w:hint="default"/>
        </w:rPr>
        <w:t>2017</w:t>
      </w:r>
    </w:p>
    <w:p>
      <w:pPr>
        <w:spacing w:after="0" w:line="379" w:lineRule="auto"/>
        <w:jc w:val="left"/>
        <w:rPr>
          <w:rFonts w:ascii="华文细黑" w:hAnsi="华文细黑" w:cs="华文细黑" w:eastAsia="华文细黑" w:hint="default"/>
        </w:rPr>
        <w:sectPr>
          <w:pgSz w:w="11910" w:h="16840"/>
          <w:pgMar w:header="917" w:footer="1019" w:top="1100" w:bottom="1200" w:left="980" w:right="0"/>
        </w:sectPr>
      </w:pPr>
    </w:p>
    <w:p>
      <w:pPr>
        <w:spacing w:line="240" w:lineRule="auto" w:before="7"/>
        <w:rPr>
          <w:rFonts w:ascii="华文细黑" w:hAnsi="华文细黑" w:cs="华文细黑" w:eastAsia="华文细黑" w:hint="default"/>
          <w:sz w:val="26"/>
          <w:szCs w:val="26"/>
        </w:rPr>
      </w:pPr>
    </w:p>
    <w:p>
      <w:pPr>
        <w:pStyle w:val="BodyText"/>
        <w:spacing w:line="240" w:lineRule="auto" w:before="10"/>
        <w:ind w:left="234" w:right="1023"/>
        <w:jc w:val="left"/>
      </w:pPr>
      <w:r>
        <w:rPr/>
        <w:t>年度</w:t>
      </w:r>
      <w:r>
        <w:rPr>
          <w:spacing w:val="-105"/>
        </w:rPr>
        <w:t>）》</w:t>
      </w:r>
      <w:r>
        <w:rPr/>
        <w:t>。</w:t>
      </w:r>
    </w:p>
    <w:p>
      <w:pPr>
        <w:spacing w:line="240" w:lineRule="auto" w:before="0"/>
        <w:rPr>
          <w:rFonts w:ascii="华文细黑" w:hAnsi="华文细黑" w:cs="华文细黑" w:eastAsia="华文细黑" w:hint="default"/>
          <w:sz w:val="20"/>
          <w:szCs w:val="20"/>
        </w:rPr>
      </w:pPr>
    </w:p>
    <w:p>
      <w:pPr>
        <w:spacing w:line="240" w:lineRule="auto" w:before="5"/>
        <w:rPr>
          <w:rFonts w:ascii="华文细黑" w:hAnsi="华文细黑" w:cs="华文细黑" w:eastAsia="华文细黑" w:hint="default"/>
          <w:sz w:val="13"/>
          <w:szCs w:val="13"/>
        </w:rPr>
      </w:pPr>
    </w:p>
    <w:p>
      <w:pPr>
        <w:pStyle w:val="Heading2"/>
        <w:spacing w:line="240" w:lineRule="auto"/>
        <w:ind w:right="1023"/>
        <w:jc w:val="left"/>
        <w:rPr>
          <w:b w:val="0"/>
          <w:bCs w:val="0"/>
        </w:rPr>
      </w:pPr>
      <w:bookmarkStart w:name="八、截至报告期末公司近2年的主要会计数据和财务指标" w:id="187"/>
      <w:bookmarkEnd w:id="187"/>
      <w:r>
        <w:rPr>
          <w:b w:val="0"/>
          <w:bCs w:val="0"/>
        </w:rPr>
      </w:r>
      <w:r>
        <w:rPr/>
        <w:t>八、截至报告期末公司近 </w:t>
      </w:r>
      <w:r>
        <w:rPr>
          <w:rFonts w:ascii="华文细黑" w:hAnsi="华文细黑" w:cs="华文细黑" w:eastAsia="华文细黑" w:hint="default"/>
        </w:rPr>
        <w:t>2</w:t>
      </w:r>
      <w:r>
        <w:rPr>
          <w:rFonts w:ascii="华文细黑" w:hAnsi="华文细黑" w:cs="华文细黑" w:eastAsia="华文细黑" w:hint="default"/>
          <w:spacing w:val="-7"/>
        </w:rPr>
        <w:t> </w:t>
      </w:r>
      <w:r>
        <w:rPr/>
        <w:t>年的主要会计数据和财务指标</w:t>
      </w:r>
      <w:r>
        <w:rPr>
          <w:b w:val="0"/>
          <w:bCs w:val="0"/>
        </w:rPr>
      </w:r>
    </w:p>
    <w:p>
      <w:pPr>
        <w:spacing w:line="240" w:lineRule="auto" w:before="0"/>
        <w:rPr>
          <w:rFonts w:ascii="华文细黑" w:hAnsi="华文细黑" w:cs="华文细黑" w:eastAsia="华文细黑" w:hint="default"/>
          <w:b/>
          <w:bCs/>
          <w:sz w:val="20"/>
          <w:szCs w:val="20"/>
        </w:rPr>
      </w:pPr>
    </w:p>
    <w:p>
      <w:pPr>
        <w:spacing w:line="240" w:lineRule="auto" w:before="13"/>
        <w:rPr>
          <w:rFonts w:ascii="华文细黑" w:hAnsi="华文细黑" w:cs="华文细黑" w:eastAsia="华文细黑" w:hint="default"/>
          <w:b/>
          <w:bCs/>
          <w:sz w:val="11"/>
          <w:szCs w:val="11"/>
        </w:rPr>
      </w:pPr>
    </w:p>
    <w:p>
      <w:pPr>
        <w:spacing w:before="0"/>
        <w:ind w:left="0" w:right="1130" w:firstLine="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单位：万元</w:t>
      </w:r>
    </w:p>
    <w:p>
      <w:pPr>
        <w:spacing w:line="240" w:lineRule="auto" w:before="13"/>
        <w:rPr>
          <w:rFonts w:ascii="华文细黑" w:hAnsi="华文细黑" w:cs="华文细黑" w:eastAsia="华文细黑" w:hint="default"/>
          <w:sz w:val="6"/>
          <w:szCs w:val="6"/>
        </w:rPr>
      </w:pPr>
    </w:p>
    <w:tbl>
      <w:tblPr>
        <w:tblW w:w="0" w:type="auto"/>
        <w:jc w:val="left"/>
        <w:tblInd w:w="117" w:type="dxa"/>
        <w:tblLayout w:type="fixed"/>
        <w:tblCellMar>
          <w:top w:w="0" w:type="dxa"/>
          <w:left w:w="0" w:type="dxa"/>
          <w:bottom w:w="0" w:type="dxa"/>
          <w:right w:w="0" w:type="dxa"/>
        </w:tblCellMar>
        <w:tblLook w:val="01E0"/>
      </w:tblPr>
      <w:tblGrid>
        <w:gridCol w:w="2392"/>
        <w:gridCol w:w="2392"/>
        <w:gridCol w:w="2393"/>
        <w:gridCol w:w="2392"/>
      </w:tblGrid>
      <w:tr>
        <w:trPr>
          <w:trHeight w:val="401" w:hRule="exact"/>
        </w:trPr>
        <w:tc>
          <w:tcPr>
            <w:tcW w:w="23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项目</w:t>
            </w:r>
          </w:p>
        </w:tc>
        <w:tc>
          <w:tcPr>
            <w:tcW w:w="23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23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right="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2017</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23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0"/>
              <w:ind w:left="74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同期变动率</w:t>
            </w:r>
          </w:p>
        </w:tc>
      </w:tr>
      <w:tr>
        <w:trPr>
          <w:trHeight w:val="402" w:hRule="exact"/>
        </w:trPr>
        <w:tc>
          <w:tcPr>
            <w:tcW w:w="23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息税折旧摊销前利润</w:t>
            </w:r>
          </w:p>
        </w:tc>
        <w:tc>
          <w:tcPr>
            <w:tcW w:w="23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pacing w:val="-1"/>
                <w:sz w:val="18"/>
              </w:rPr>
              <w:t>25,358.63</w:t>
            </w:r>
            <w:r>
              <w:rPr>
                <w:rFonts w:ascii="华文细黑"/>
                <w:sz w:val="18"/>
              </w:rPr>
            </w:r>
          </w:p>
        </w:tc>
        <w:tc>
          <w:tcPr>
            <w:tcW w:w="23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3"/>
              <w:jc w:val="right"/>
              <w:rPr>
                <w:rFonts w:ascii="华文细黑" w:hAnsi="华文细黑" w:cs="华文细黑" w:eastAsia="华文细黑" w:hint="default"/>
                <w:sz w:val="18"/>
                <w:szCs w:val="18"/>
              </w:rPr>
            </w:pPr>
            <w:r>
              <w:rPr>
                <w:rFonts w:ascii="华文细黑"/>
                <w:sz w:val="18"/>
              </w:rPr>
              <w:t>70,275.77</w:t>
            </w:r>
          </w:p>
        </w:tc>
        <w:tc>
          <w:tcPr>
            <w:tcW w:w="23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w w:val="95"/>
                <w:sz w:val="18"/>
              </w:rPr>
              <w:t>-63.92%</w:t>
            </w:r>
          </w:p>
        </w:tc>
      </w:tr>
      <w:tr>
        <w:trPr>
          <w:trHeight w:val="402" w:hRule="exact"/>
        </w:trPr>
        <w:tc>
          <w:tcPr>
            <w:tcW w:w="23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流动比率</w:t>
            </w:r>
          </w:p>
        </w:tc>
        <w:tc>
          <w:tcPr>
            <w:tcW w:w="23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sz w:val="18"/>
              </w:rPr>
              <w:t>195.88%</w:t>
            </w:r>
          </w:p>
        </w:tc>
        <w:tc>
          <w:tcPr>
            <w:tcW w:w="23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163.63%</w:t>
            </w:r>
          </w:p>
        </w:tc>
        <w:tc>
          <w:tcPr>
            <w:tcW w:w="23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w w:val="95"/>
                <w:sz w:val="18"/>
              </w:rPr>
              <w:t>32.25%</w:t>
            </w:r>
          </w:p>
        </w:tc>
      </w:tr>
      <w:tr>
        <w:trPr>
          <w:trHeight w:val="402" w:hRule="exact"/>
        </w:trPr>
        <w:tc>
          <w:tcPr>
            <w:tcW w:w="23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资产负债率</w:t>
            </w:r>
          </w:p>
        </w:tc>
        <w:tc>
          <w:tcPr>
            <w:tcW w:w="23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w w:val="95"/>
                <w:sz w:val="18"/>
              </w:rPr>
              <w:t>50.14%</w:t>
            </w:r>
          </w:p>
        </w:tc>
        <w:tc>
          <w:tcPr>
            <w:tcW w:w="23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w w:val="95"/>
                <w:sz w:val="18"/>
              </w:rPr>
              <w:t>55.55%</w:t>
            </w:r>
          </w:p>
        </w:tc>
        <w:tc>
          <w:tcPr>
            <w:tcW w:w="23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spacing w:val="-1"/>
                <w:sz w:val="18"/>
              </w:rPr>
              <w:t>-5.41%</w:t>
            </w:r>
          </w:p>
        </w:tc>
      </w:tr>
      <w:tr>
        <w:trPr>
          <w:trHeight w:val="402" w:hRule="exact"/>
        </w:trPr>
        <w:tc>
          <w:tcPr>
            <w:tcW w:w="23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速动比率</w:t>
            </w:r>
          </w:p>
        </w:tc>
        <w:tc>
          <w:tcPr>
            <w:tcW w:w="23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spacing w:val="-1"/>
                <w:sz w:val="18"/>
              </w:rPr>
              <w:t>143.95%</w:t>
            </w:r>
          </w:p>
        </w:tc>
        <w:tc>
          <w:tcPr>
            <w:tcW w:w="23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101.00%</w:t>
            </w:r>
          </w:p>
        </w:tc>
        <w:tc>
          <w:tcPr>
            <w:tcW w:w="23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spacing w:val="-1"/>
                <w:sz w:val="18"/>
              </w:rPr>
              <w:t>42.95%</w:t>
            </w:r>
          </w:p>
        </w:tc>
      </w:tr>
      <w:tr>
        <w:trPr>
          <w:trHeight w:val="402" w:hRule="exact"/>
        </w:trPr>
        <w:tc>
          <w:tcPr>
            <w:tcW w:w="23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EBITDA</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全部债务比</w:t>
            </w:r>
          </w:p>
        </w:tc>
        <w:tc>
          <w:tcPr>
            <w:tcW w:w="23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spacing w:val="-1"/>
                <w:sz w:val="18"/>
              </w:rPr>
              <w:t>4.94%</w:t>
            </w:r>
          </w:p>
        </w:tc>
        <w:tc>
          <w:tcPr>
            <w:tcW w:w="23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w w:val="95"/>
                <w:sz w:val="18"/>
              </w:rPr>
              <w:t>10.14%</w:t>
            </w:r>
          </w:p>
        </w:tc>
        <w:tc>
          <w:tcPr>
            <w:tcW w:w="23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spacing w:val="-1"/>
                <w:sz w:val="18"/>
              </w:rPr>
              <w:t>-5.20%</w:t>
            </w:r>
          </w:p>
        </w:tc>
      </w:tr>
      <w:tr>
        <w:trPr>
          <w:trHeight w:val="402" w:hRule="exact"/>
        </w:trPr>
        <w:tc>
          <w:tcPr>
            <w:tcW w:w="23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利息保障倍数</w:t>
            </w:r>
          </w:p>
        </w:tc>
        <w:tc>
          <w:tcPr>
            <w:tcW w:w="23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w w:val="95"/>
                <w:sz w:val="18"/>
              </w:rPr>
              <w:t>0.90</w:t>
            </w:r>
          </w:p>
        </w:tc>
        <w:tc>
          <w:tcPr>
            <w:tcW w:w="23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3.17</w:t>
            </w:r>
          </w:p>
        </w:tc>
        <w:tc>
          <w:tcPr>
            <w:tcW w:w="23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w w:val="95"/>
                <w:sz w:val="18"/>
              </w:rPr>
              <w:t>-71.61%</w:t>
            </w:r>
          </w:p>
        </w:tc>
      </w:tr>
      <w:tr>
        <w:trPr>
          <w:trHeight w:val="402" w:hRule="exact"/>
        </w:trPr>
        <w:tc>
          <w:tcPr>
            <w:tcW w:w="23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现金利息保障倍数</w:t>
            </w:r>
          </w:p>
        </w:tc>
        <w:tc>
          <w:tcPr>
            <w:tcW w:w="23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w w:val="95"/>
                <w:sz w:val="18"/>
              </w:rPr>
              <w:t>3.20</w:t>
            </w:r>
          </w:p>
        </w:tc>
        <w:tc>
          <w:tcPr>
            <w:tcW w:w="23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w w:val="95"/>
                <w:sz w:val="18"/>
              </w:rPr>
              <w:t>-6</w:t>
            </w:r>
          </w:p>
        </w:tc>
        <w:tc>
          <w:tcPr>
            <w:tcW w:w="23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sz w:val="18"/>
              </w:rPr>
              <w:t>154.50%</w:t>
            </w:r>
          </w:p>
        </w:tc>
      </w:tr>
      <w:tr>
        <w:trPr>
          <w:trHeight w:val="402" w:hRule="exact"/>
        </w:trPr>
        <w:tc>
          <w:tcPr>
            <w:tcW w:w="23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EBITDA</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利息保障倍数</w:t>
            </w:r>
          </w:p>
        </w:tc>
        <w:tc>
          <w:tcPr>
            <w:tcW w:w="23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w w:val="95"/>
                <w:sz w:val="18"/>
              </w:rPr>
              <w:t>0.98</w:t>
            </w:r>
          </w:p>
        </w:tc>
        <w:tc>
          <w:tcPr>
            <w:tcW w:w="23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3.25</w:t>
            </w:r>
          </w:p>
        </w:tc>
        <w:tc>
          <w:tcPr>
            <w:tcW w:w="23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w w:val="95"/>
                <w:sz w:val="18"/>
              </w:rPr>
              <w:t>-69.85%</w:t>
            </w:r>
          </w:p>
        </w:tc>
      </w:tr>
      <w:tr>
        <w:trPr>
          <w:trHeight w:val="402" w:hRule="exact"/>
        </w:trPr>
        <w:tc>
          <w:tcPr>
            <w:tcW w:w="23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贷款偿还率</w:t>
            </w:r>
          </w:p>
        </w:tc>
        <w:tc>
          <w:tcPr>
            <w:tcW w:w="23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sz w:val="18"/>
              </w:rPr>
              <w:t>100.00%</w:t>
            </w:r>
          </w:p>
        </w:tc>
        <w:tc>
          <w:tcPr>
            <w:tcW w:w="23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100.00%</w:t>
            </w:r>
          </w:p>
        </w:tc>
        <w:tc>
          <w:tcPr>
            <w:tcW w:w="23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0.00%</w:t>
            </w:r>
          </w:p>
        </w:tc>
      </w:tr>
      <w:tr>
        <w:trPr>
          <w:trHeight w:val="403" w:hRule="exact"/>
        </w:trPr>
        <w:tc>
          <w:tcPr>
            <w:tcW w:w="23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利息偿付率</w:t>
            </w:r>
          </w:p>
        </w:tc>
        <w:tc>
          <w:tcPr>
            <w:tcW w:w="23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0"/>
              <w:jc w:val="right"/>
              <w:rPr>
                <w:rFonts w:ascii="华文细黑" w:hAnsi="华文细黑" w:cs="华文细黑" w:eastAsia="华文细黑" w:hint="default"/>
                <w:sz w:val="18"/>
                <w:szCs w:val="18"/>
              </w:rPr>
            </w:pPr>
            <w:r>
              <w:rPr>
                <w:rFonts w:ascii="华文细黑"/>
                <w:w w:val="95"/>
                <w:sz w:val="18"/>
              </w:rPr>
              <w:t>99.04%</w:t>
            </w:r>
          </w:p>
        </w:tc>
        <w:tc>
          <w:tcPr>
            <w:tcW w:w="23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2"/>
              <w:jc w:val="right"/>
              <w:rPr>
                <w:rFonts w:ascii="华文细黑" w:hAnsi="华文细黑" w:cs="华文细黑" w:eastAsia="华文细黑" w:hint="default"/>
                <w:sz w:val="18"/>
                <w:szCs w:val="18"/>
              </w:rPr>
            </w:pPr>
            <w:r>
              <w:rPr>
                <w:rFonts w:ascii="华文细黑"/>
                <w:sz w:val="18"/>
              </w:rPr>
              <w:t>105.62%</w:t>
            </w:r>
          </w:p>
        </w:tc>
        <w:tc>
          <w:tcPr>
            <w:tcW w:w="23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1"/>
              <w:ind w:right="101"/>
              <w:jc w:val="right"/>
              <w:rPr>
                <w:rFonts w:ascii="华文细黑" w:hAnsi="华文细黑" w:cs="华文细黑" w:eastAsia="华文细黑" w:hint="default"/>
                <w:sz w:val="18"/>
                <w:szCs w:val="18"/>
              </w:rPr>
            </w:pPr>
            <w:r>
              <w:rPr>
                <w:rFonts w:ascii="华文细黑"/>
                <w:sz w:val="18"/>
              </w:rPr>
              <w:t>-6.58%</w:t>
            </w:r>
          </w:p>
        </w:tc>
      </w:tr>
    </w:tbl>
    <w:p>
      <w:pPr>
        <w:spacing w:line="240" w:lineRule="auto" w:before="11"/>
        <w:rPr>
          <w:rFonts w:ascii="华文细黑" w:hAnsi="华文细黑" w:cs="华文细黑" w:eastAsia="华文细黑" w:hint="default"/>
          <w:sz w:val="5"/>
          <w:szCs w:val="5"/>
        </w:rPr>
      </w:pPr>
    </w:p>
    <w:p>
      <w:pPr>
        <w:pStyle w:val="BodyText"/>
        <w:spacing w:line="240" w:lineRule="auto" w:before="10"/>
        <w:ind w:left="234" w:right="0"/>
        <w:jc w:val="both"/>
      </w:pPr>
      <w:r>
        <w:rPr/>
        <w:t>上述会计数据和财务指标同比变动超过</w:t>
      </w:r>
      <w:r>
        <w:rPr>
          <w:spacing w:val="-2"/>
        </w:rPr>
        <w:t> </w:t>
      </w:r>
      <w:r>
        <w:rPr>
          <w:rFonts w:ascii="华文细黑" w:hAnsi="华文细黑" w:cs="华文细黑" w:eastAsia="华文细黑" w:hint="default"/>
        </w:rPr>
        <w:t>30%</w:t>
      </w:r>
      <w:r>
        <w:rPr/>
        <w:t>的主要原因</w:t>
      </w:r>
    </w:p>
    <w:p>
      <w:pPr>
        <w:spacing w:line="240" w:lineRule="auto" w:before="14"/>
        <w:rPr>
          <w:rFonts w:ascii="华文细黑" w:hAnsi="华文细黑" w:cs="华文细黑" w:eastAsia="华文细黑" w:hint="default"/>
          <w:sz w:val="14"/>
          <w:szCs w:val="14"/>
        </w:rPr>
      </w:pPr>
    </w:p>
    <w:p>
      <w:pPr>
        <w:pStyle w:val="BodyText"/>
        <w:spacing w:line="410" w:lineRule="auto"/>
        <w:ind w:left="654" w:right="1186" w:hanging="420"/>
        <w:jc w:val="left"/>
      </w:pPr>
      <w:r>
        <w:rPr/>
        <w:t>√ 适用 □</w:t>
      </w:r>
      <w:r>
        <w:rPr>
          <w:spacing w:val="51"/>
        </w:rPr>
        <w:t> </w:t>
      </w:r>
      <w:r>
        <w:rPr/>
        <w:t>不适用</w:t>
      </w:r>
      <w:r>
        <w:rPr/>
        <w:t> </w:t>
      </w:r>
      <w:r>
        <w:rPr>
          <w:rFonts w:ascii="华文细黑" w:hAnsi="华文细黑" w:cs="华文细黑" w:eastAsia="华文细黑" w:hint="default"/>
        </w:rPr>
        <w:t>1</w:t>
      </w:r>
      <w:r>
        <w:rPr/>
        <w:t>、本期因可供出售金融资产的公允价值波动较大产生减值损失，其中对中新控股股票计提减值准备</w:t>
      </w:r>
    </w:p>
    <w:p>
      <w:pPr>
        <w:pStyle w:val="BodyText"/>
        <w:spacing w:line="379" w:lineRule="auto" w:before="10"/>
        <w:ind w:left="234" w:right="1131"/>
        <w:jc w:val="both"/>
      </w:pPr>
      <w:r>
        <w:rPr>
          <w:rFonts w:ascii="华文细黑" w:hAnsi="华文细黑" w:cs="华文细黑" w:eastAsia="华文细黑" w:hint="default"/>
        </w:rPr>
        <w:t>36,791.96</w:t>
      </w:r>
      <w:r>
        <w:rPr/>
        <w:t>万元，对其他可供出售金融资产计提减值准备</w:t>
      </w:r>
      <w:r>
        <w:rPr>
          <w:rFonts w:ascii="华文细黑" w:hAnsi="华文细黑" w:cs="华文细黑" w:eastAsia="华文细黑" w:hint="default"/>
        </w:rPr>
        <w:t>4,548.9</w:t>
      </w:r>
      <w:r>
        <w:rPr/>
        <w:t>万元，此部分减值损失减少公司息税折旧 </w:t>
      </w:r>
      <w:r>
        <w:rPr>
          <w:spacing w:val="-2"/>
        </w:rPr>
        <w:t>摊销前利润</w:t>
      </w:r>
      <w:r>
        <w:rPr>
          <w:rFonts w:ascii="华文细黑" w:hAnsi="华文细黑" w:cs="华文细黑" w:eastAsia="华文细黑" w:hint="default"/>
          <w:spacing w:val="-2"/>
        </w:rPr>
        <w:t>41,340.86</w:t>
      </w:r>
      <w:r>
        <w:rPr>
          <w:spacing w:val="-2"/>
        </w:rPr>
        <w:t>万元，对各相关指标均产生较大影响，其中增加了资产负债率</w:t>
      </w:r>
      <w:r>
        <w:rPr>
          <w:rFonts w:ascii="华文细黑" w:hAnsi="华文细黑" w:cs="华文细黑" w:eastAsia="华文细黑" w:hint="default"/>
          <w:spacing w:val="-2"/>
        </w:rPr>
        <w:t>1.67%</w:t>
      </w:r>
      <w:r>
        <w:rPr>
          <w:spacing w:val="-2"/>
        </w:rPr>
        <w:t>，减少了</w:t>
      </w:r>
      <w:r>
        <w:rPr>
          <w:rFonts w:ascii="华文细黑" w:hAnsi="华文细黑" w:cs="华文细黑" w:eastAsia="华文细黑" w:hint="default"/>
          <w:spacing w:val="-2"/>
        </w:rPr>
        <w:t>EBITDA</w:t>
      </w:r>
      <w:r>
        <w:rPr>
          <w:rFonts w:ascii="华文细黑" w:hAnsi="华文细黑" w:cs="华文细黑" w:eastAsia="华文细黑" w:hint="default"/>
          <w:spacing w:val="-47"/>
        </w:rPr>
        <w:t> </w:t>
      </w:r>
      <w:r>
        <w:rPr>
          <w:rFonts w:ascii="华文细黑" w:hAnsi="华文细黑" w:cs="华文细黑" w:eastAsia="华文细黑" w:hint="default"/>
          <w:spacing w:val="-47"/>
        </w:rPr>
      </w:r>
      <w:r>
        <w:rPr/>
        <w:t>全部债务比</w:t>
      </w:r>
      <w:r>
        <w:rPr>
          <w:rFonts w:ascii="华文细黑" w:hAnsi="华文细黑" w:cs="华文细黑" w:eastAsia="华文细黑" w:hint="default"/>
        </w:rPr>
        <w:t>8.04%</w:t>
      </w:r>
      <w:r>
        <w:rPr/>
        <w:t>，减少了利息保障倍数</w:t>
      </w:r>
      <w:r>
        <w:rPr>
          <w:rFonts w:ascii="华文细黑" w:hAnsi="华文细黑" w:cs="华文细黑" w:eastAsia="华文细黑" w:hint="default"/>
        </w:rPr>
        <w:t>1.59</w:t>
      </w:r>
      <w:r>
        <w:rPr/>
        <w:t>，减少了</w:t>
      </w:r>
      <w:r>
        <w:rPr>
          <w:rFonts w:ascii="华文细黑" w:hAnsi="华文细黑" w:cs="华文细黑" w:eastAsia="华文细黑" w:hint="default"/>
        </w:rPr>
        <w:t>EBITDA</w:t>
      </w:r>
      <w:r>
        <w:rPr/>
        <w:t>利息保障倍数</w:t>
      </w:r>
      <w:r>
        <w:rPr>
          <w:rFonts w:ascii="华文细黑" w:hAnsi="华文细黑" w:cs="华文细黑" w:eastAsia="华文细黑" w:hint="default"/>
        </w:rPr>
        <w:t>1.59</w:t>
      </w:r>
      <w:r>
        <w:rPr/>
        <w:t>。</w:t>
      </w:r>
    </w:p>
    <w:p>
      <w:pPr>
        <w:pStyle w:val="BodyText"/>
        <w:spacing w:line="379" w:lineRule="auto" w:before="40"/>
        <w:ind w:left="234" w:right="1013" w:firstLine="420"/>
        <w:jc w:val="left"/>
      </w:pPr>
      <w:r>
        <w:rPr>
          <w:rFonts w:ascii="华文细黑" w:hAnsi="华文细黑" w:cs="华文细黑" w:eastAsia="华文细黑" w:hint="default"/>
        </w:rPr>
        <w:t>2</w:t>
      </w:r>
      <w:r>
        <w:rPr>
          <w:spacing w:val="-8"/>
        </w:rPr>
        <w:t>、</w:t>
      </w:r>
      <w:r>
        <w:rPr/>
        <w:t>报告期末流动比率和速动比率变化超过</w:t>
      </w:r>
      <w:r>
        <w:rPr>
          <w:rFonts w:ascii="华文细黑" w:hAnsi="华文细黑" w:cs="华文细黑" w:eastAsia="华文细黑" w:hint="default"/>
        </w:rPr>
        <w:t>30</w:t>
      </w:r>
      <w:r>
        <w:rPr>
          <w:rFonts w:ascii="华文细黑" w:hAnsi="华文细黑" w:cs="华文细黑" w:eastAsia="华文细黑" w:hint="default"/>
          <w:spacing w:val="-1"/>
        </w:rPr>
        <w:t>%</w:t>
      </w:r>
      <w:r>
        <w:rPr/>
        <w:t>的主要原因系</w:t>
      </w:r>
      <w:r>
        <w:rPr>
          <w:spacing w:val="-112"/>
        </w:rPr>
        <w:t>：</w:t>
      </w:r>
      <w:r>
        <w:rPr>
          <w:spacing w:val="-1"/>
        </w:rPr>
        <w:t>（</w:t>
      </w:r>
      <w:r>
        <w:rPr>
          <w:rFonts w:ascii="华文细黑" w:hAnsi="华文细黑" w:cs="华文细黑" w:eastAsia="华文细黑" w:hint="default"/>
        </w:rPr>
        <w:t>1</w:t>
      </w:r>
      <w:r>
        <w:rPr>
          <w:spacing w:val="-8"/>
        </w:rPr>
        <w:t>）</w:t>
      </w:r>
      <w:r>
        <w:rPr/>
        <w:t>期末无新品上市未预付厂家货</w:t>
      </w:r>
      <w:r>
        <w:rPr>
          <w:spacing w:val="1"/>
        </w:rPr>
        <w:t>款</w:t>
      </w:r>
      <w:r>
        <w:rPr/>
        <w:t>，</w:t>
      </w:r>
      <w:r>
        <w:rPr/>
        <w:t> 同时加速产品销售</w:t>
      </w:r>
      <w:r>
        <w:rPr>
          <w:spacing w:val="-8"/>
        </w:rPr>
        <w:t>，</w:t>
      </w:r>
      <w:r>
        <w:rPr/>
        <w:t>降低库存商品</w:t>
      </w:r>
      <w:r>
        <w:rPr>
          <w:spacing w:val="-8"/>
        </w:rPr>
        <w:t>，</w:t>
      </w:r>
      <w:r>
        <w:rPr/>
        <w:t>使得存货和预付账款减少</w:t>
      </w:r>
      <w:r>
        <w:rPr>
          <w:spacing w:val="-8"/>
        </w:rPr>
        <w:t>，</w:t>
      </w:r>
      <w:r>
        <w:rPr/>
        <w:t>应付账款及应收票据减少</w:t>
      </w:r>
      <w:r>
        <w:rPr>
          <w:spacing w:val="-112"/>
        </w:rPr>
        <w:t>；</w:t>
      </w:r>
      <w:r>
        <w:rPr/>
        <w:t>（</w:t>
      </w:r>
      <w:r>
        <w:rPr>
          <w:rFonts w:ascii="华文细黑" w:hAnsi="华文细黑" w:cs="华文细黑" w:eastAsia="华文细黑" w:hint="default"/>
        </w:rPr>
        <w:t>2</w:t>
      </w:r>
      <w:r>
        <w:rPr>
          <w:spacing w:val="-8"/>
        </w:rPr>
        <w:t>）</w:t>
      </w:r>
      <w:r>
        <w:rPr/>
        <w:t>公司</w:t>
      </w:r>
      <w:r>
        <w:rPr>
          <w:spacing w:val="1"/>
        </w:rPr>
        <w:t>拓</w:t>
      </w:r>
      <w:r>
        <w:rPr/>
        <w:t>展</w:t>
      </w:r>
      <w:r>
        <w:rPr/>
        <w:t> 融资渠道及方式，短期借款增加，货币资金增加</w:t>
      </w:r>
      <w:r>
        <w:rPr>
          <w:spacing w:val="-105"/>
        </w:rPr>
        <w:t>；</w:t>
      </w:r>
      <w:r>
        <w:rPr/>
        <w:t>（</w:t>
      </w:r>
      <w:r>
        <w:rPr>
          <w:rFonts w:ascii="华文细黑" w:hAnsi="华文细黑" w:cs="华文细黑" w:eastAsia="华文细黑" w:hint="default"/>
        </w:rPr>
        <w:t>3</w:t>
      </w:r>
      <w:r>
        <w:rPr/>
        <w:t>）</w:t>
      </w:r>
      <w:r>
        <w:rPr>
          <w:spacing w:val="-2"/>
        </w:rPr>
        <w:t>客</w:t>
      </w:r>
      <w:r>
        <w:rPr/>
        <w:t>户额度增加，应收账款增加，预收账款减少。</w:t>
      </w:r>
    </w:p>
    <w:p>
      <w:pPr>
        <w:pStyle w:val="BodyText"/>
        <w:spacing w:line="379" w:lineRule="auto" w:before="40"/>
        <w:ind w:left="234" w:right="1131" w:firstLine="420"/>
        <w:jc w:val="both"/>
      </w:pPr>
      <w:r>
        <w:rPr>
          <w:rFonts w:ascii="华文细黑" w:hAnsi="华文细黑" w:cs="华文细黑" w:eastAsia="华文细黑" w:hint="default"/>
        </w:rPr>
        <w:t>3</w:t>
      </w:r>
      <w:r>
        <w:rPr/>
        <w:t>、现金利息保障倍数由负转正的主要原因系，上年度因新设爱施德小贷使得公司发放贷款及垫款支 </w:t>
      </w:r>
      <w:r>
        <w:rPr>
          <w:spacing w:val="-1"/>
        </w:rPr>
        <w:t>付增加，本报告期因智能终端业务应收账款、预付账款及库存商品较同上年度占用资金大幅减少，综合各</w:t>
      </w:r>
      <w:r>
        <w:rPr>
          <w:spacing w:val="-31"/>
        </w:rPr>
        <w:t> </w:t>
      </w:r>
      <w:r>
        <w:rPr>
          <w:spacing w:val="-31"/>
        </w:rPr>
      </w:r>
      <w:r>
        <w:rPr/>
        <w:t>科目变动因素使得公司本报告期经营活动现金净额为正且同比增幅较大。</w:t>
      </w:r>
    </w:p>
    <w:p>
      <w:pPr>
        <w:spacing w:line="240" w:lineRule="auto" w:before="1"/>
        <w:rPr>
          <w:rFonts w:ascii="华文细黑" w:hAnsi="华文细黑" w:cs="华文细黑" w:eastAsia="华文细黑" w:hint="default"/>
          <w:sz w:val="24"/>
          <w:szCs w:val="24"/>
        </w:rPr>
      </w:pPr>
    </w:p>
    <w:p>
      <w:pPr>
        <w:pStyle w:val="Heading2"/>
        <w:spacing w:line="240" w:lineRule="auto"/>
        <w:ind w:right="0"/>
        <w:jc w:val="both"/>
        <w:rPr>
          <w:b w:val="0"/>
          <w:bCs w:val="0"/>
        </w:rPr>
      </w:pPr>
      <w:bookmarkStart w:name="九、报告期内对其他债券和债务融资工具的付息兑付情况" w:id="188"/>
      <w:bookmarkEnd w:id="188"/>
      <w:r>
        <w:rPr>
          <w:b w:val="0"/>
          <w:bCs w:val="0"/>
        </w:rPr>
      </w:r>
      <w:r>
        <w:rPr/>
        <w:t>九、报告期内对其他债券和债务融资工具的付息兑付情况</w:t>
      </w:r>
      <w:r>
        <w:rPr>
          <w:b w:val="0"/>
          <w:bCs w:val="0"/>
        </w:rPr>
      </w:r>
    </w:p>
    <w:p>
      <w:pPr>
        <w:spacing w:line="240" w:lineRule="auto" w:before="13"/>
        <w:rPr>
          <w:rFonts w:ascii="华文细黑" w:hAnsi="华文细黑" w:cs="华文细黑" w:eastAsia="华文细黑" w:hint="default"/>
          <w:b/>
          <w:bCs/>
          <w:sz w:val="29"/>
          <w:szCs w:val="29"/>
        </w:rPr>
      </w:pPr>
    </w:p>
    <w:p>
      <w:pPr>
        <w:pStyle w:val="BodyText"/>
        <w:spacing w:line="240" w:lineRule="auto"/>
        <w:ind w:left="234" w:right="0"/>
        <w:jc w:val="both"/>
      </w:pPr>
      <w:r>
        <w:rPr/>
        <w:t>报告期内，公司不存在其他债券和债务融资工具的付息兑付情况。</w:t>
      </w:r>
    </w:p>
    <w:p>
      <w:pPr>
        <w:spacing w:after="0" w:line="240" w:lineRule="auto"/>
        <w:jc w:val="both"/>
        <w:sectPr>
          <w:pgSz w:w="11910" w:h="16840"/>
          <w:pgMar w:header="917" w:footer="1019" w:top="1100" w:bottom="1200" w:left="900" w:right="0"/>
        </w:sectPr>
      </w:pPr>
    </w:p>
    <w:p>
      <w:pPr>
        <w:spacing w:line="240" w:lineRule="auto" w:before="2"/>
        <w:rPr>
          <w:rFonts w:ascii="华文细黑" w:hAnsi="华文细黑" w:cs="华文细黑" w:eastAsia="华文细黑" w:hint="default"/>
          <w:sz w:val="29"/>
          <w:szCs w:val="29"/>
        </w:rPr>
      </w:pPr>
    </w:p>
    <w:p>
      <w:pPr>
        <w:pStyle w:val="Heading2"/>
        <w:spacing w:line="396" w:lineRule="exact"/>
        <w:ind w:left="154" w:right="1217"/>
        <w:jc w:val="left"/>
        <w:rPr>
          <w:b w:val="0"/>
          <w:bCs w:val="0"/>
        </w:rPr>
      </w:pPr>
      <w:bookmarkStart w:name="十、报告期内获得的银行授信情况、使用情况以及偿还银行贷款的情况" w:id="189"/>
      <w:bookmarkEnd w:id="189"/>
      <w:r>
        <w:rPr>
          <w:b w:val="0"/>
          <w:bCs w:val="0"/>
        </w:rPr>
      </w:r>
      <w:r>
        <w:rPr/>
        <w:t>十、报告期内获得的银行授信情况、使用情况以及偿还银行贷款的情况</w:t>
      </w:r>
      <w:r>
        <w:rPr>
          <w:b w:val="0"/>
          <w:bCs w:val="0"/>
        </w:rPr>
      </w:r>
    </w:p>
    <w:p>
      <w:pPr>
        <w:spacing w:line="240" w:lineRule="auto" w:before="7"/>
        <w:rPr>
          <w:rFonts w:ascii="华文细黑" w:hAnsi="华文细黑" w:cs="华文细黑" w:eastAsia="华文细黑" w:hint="default"/>
          <w:b/>
          <w:bCs/>
          <w:sz w:val="35"/>
          <w:szCs w:val="35"/>
        </w:rPr>
      </w:pPr>
    </w:p>
    <w:p>
      <w:pPr>
        <w:pStyle w:val="BodyText"/>
        <w:spacing w:line="379" w:lineRule="auto"/>
        <w:ind w:left="154" w:right="1117" w:firstLine="526"/>
        <w:jc w:val="left"/>
      </w:pPr>
      <w:r>
        <w:rPr/>
        <w:t>公司资信状况良好，与多家银行金融机构保持着长期合作关系，并持续获得其授信支持，间接融资 </w:t>
      </w:r>
      <w:r>
        <w:rPr>
          <w:spacing w:val="-1"/>
        </w:rPr>
        <w:t>能力较强，这也为偿还本期债券本息提供支持公司与中国工商银行股份有限公司、中国建设银行股份有限</w:t>
      </w:r>
      <w:r>
        <w:rPr>
          <w:spacing w:val="-29"/>
        </w:rPr>
        <w:t> </w:t>
      </w:r>
      <w:r>
        <w:rPr>
          <w:spacing w:val="-29"/>
        </w:rPr>
      </w:r>
      <w:r>
        <w:rPr>
          <w:spacing w:val="-1"/>
        </w:rPr>
        <w:t>公司、中国银行股份有限公司、中国农业银行股份有限公司、中国邮政储蓄银行股份有限公司、中国光大</w:t>
      </w:r>
      <w:r>
        <w:rPr>
          <w:spacing w:val="-34"/>
        </w:rPr>
        <w:t> </w:t>
      </w:r>
      <w:r>
        <w:rPr>
          <w:spacing w:val="-34"/>
        </w:rPr>
      </w:r>
      <w:r>
        <w:rPr>
          <w:spacing w:val="-1"/>
        </w:rPr>
        <w:t>银行股份有限公司、平安银行股份有限公司、广发银行股份有限公司、中信银行股份有限公司、交通银行</w:t>
      </w:r>
      <w:r>
        <w:rPr>
          <w:spacing w:val="-34"/>
        </w:rPr>
        <w:t> </w:t>
      </w:r>
      <w:r>
        <w:rPr>
          <w:spacing w:val="-34"/>
        </w:rPr>
      </w:r>
      <w:r>
        <w:rPr/>
        <w:t>股份有限公司等多家金融机构建立了良好的合作关系。截止</w:t>
      </w:r>
      <w:r>
        <w:rPr>
          <w:rFonts w:ascii="华文细黑" w:hAnsi="华文细黑" w:cs="华文细黑" w:eastAsia="华文细黑" w:hint="default"/>
        </w:rPr>
        <w:t>2018</w:t>
      </w:r>
      <w:r>
        <w:rPr/>
        <w:t>年</w:t>
      </w:r>
      <w:r>
        <w:rPr>
          <w:rFonts w:ascii="华文细黑" w:hAnsi="华文细黑" w:cs="华文细黑" w:eastAsia="华文细黑" w:hint="default"/>
        </w:rPr>
        <w:t>12</w:t>
      </w:r>
      <w:r>
        <w:rPr/>
        <w:t>月</w:t>
      </w:r>
      <w:r>
        <w:rPr>
          <w:rFonts w:ascii="华文细黑" w:hAnsi="华文细黑" w:cs="华文细黑" w:eastAsia="华文细黑" w:hint="default"/>
        </w:rPr>
        <w:t>31</w:t>
      </w:r>
      <w:r>
        <w:rPr/>
        <w:t>日，本公司获得银行授信总额 人民币</w:t>
      </w:r>
      <w:r>
        <w:rPr>
          <w:rFonts w:ascii="华文细黑" w:hAnsi="华文细黑" w:cs="华文细黑" w:eastAsia="华文细黑" w:hint="default"/>
        </w:rPr>
        <w:t>2,038,552.33</w:t>
      </w:r>
      <w:r>
        <w:rPr/>
        <w:t>万元，已使用授信额度人民币</w:t>
      </w:r>
      <w:r>
        <w:rPr>
          <w:rFonts w:ascii="华文细黑" w:hAnsi="华文细黑" w:cs="华文细黑" w:eastAsia="华文细黑" w:hint="default"/>
        </w:rPr>
        <w:t>514,444.47</w:t>
      </w:r>
      <w:r>
        <w:rPr/>
        <w:t>万元，西藏酷爱获得银行授信总额人民币 </w:t>
      </w:r>
      <w:r>
        <w:rPr>
          <w:rFonts w:ascii="华文细黑" w:hAnsi="华文细黑" w:cs="华文细黑" w:eastAsia="华文细黑" w:hint="default"/>
          <w:spacing w:val="-1"/>
        </w:rPr>
        <w:t>20,000</w:t>
      </w:r>
      <w:r>
        <w:rPr>
          <w:spacing w:val="-1"/>
        </w:rPr>
        <w:t>万元，已使用授信额度人民币</w:t>
      </w:r>
      <w:r>
        <w:rPr>
          <w:rFonts w:ascii="华文细黑" w:hAnsi="华文细黑" w:cs="华文细黑" w:eastAsia="华文细黑" w:hint="default"/>
          <w:spacing w:val="-1"/>
        </w:rPr>
        <w:t>20,000</w:t>
      </w:r>
      <w:r>
        <w:rPr>
          <w:spacing w:val="-1"/>
        </w:rPr>
        <w:t>万元，爱施德（香港）获得银行授信总额港币</w:t>
      </w:r>
      <w:r>
        <w:rPr>
          <w:rFonts w:ascii="华文细黑" w:hAnsi="华文细黑" w:cs="华文细黑" w:eastAsia="华文细黑" w:hint="default"/>
          <w:spacing w:val="-1"/>
        </w:rPr>
        <w:t>59,400</w:t>
      </w:r>
      <w:r>
        <w:rPr>
          <w:spacing w:val="-1"/>
        </w:rPr>
        <w:t>万元，已</w:t>
      </w:r>
      <w:r>
        <w:rPr/>
        <w:t> 使用授信额度港币</w:t>
      </w:r>
      <w:r>
        <w:rPr>
          <w:rFonts w:ascii="华文细黑" w:hAnsi="华文细黑" w:cs="华文细黑" w:eastAsia="华文细黑" w:hint="default"/>
        </w:rPr>
        <w:t>57,400</w:t>
      </w:r>
      <w:r>
        <w:rPr/>
        <w:t>万元，酷动数码获得银行授信总额人民币</w:t>
      </w:r>
      <w:r>
        <w:rPr>
          <w:rFonts w:ascii="华文细黑" w:hAnsi="华文细黑" w:cs="华文细黑" w:eastAsia="华文细黑" w:hint="default"/>
        </w:rPr>
        <w:t>45,000</w:t>
      </w:r>
      <w:r>
        <w:rPr/>
        <w:t>万元，已使用授信额度人民币 </w:t>
      </w:r>
      <w:r>
        <w:rPr>
          <w:rFonts w:ascii="华文细黑" w:hAnsi="华文细黑" w:cs="华文细黑" w:eastAsia="华文细黑" w:hint="default"/>
        </w:rPr>
        <w:t>6,000</w:t>
      </w:r>
      <w:r>
        <w:rPr/>
        <w:t>万元。公司信誉良好，</w:t>
      </w:r>
      <w:r>
        <w:rPr>
          <w:rFonts w:ascii="华文细黑" w:hAnsi="华文细黑" w:cs="华文细黑" w:eastAsia="华文细黑" w:hint="default"/>
        </w:rPr>
        <w:t>2018</w:t>
      </w:r>
      <w:r>
        <w:rPr/>
        <w:t>年度公司按时偿还银行贷款，未发生贷款逾期、展期、减免情形。</w:t>
      </w:r>
    </w:p>
    <w:p>
      <w:pPr>
        <w:spacing w:line="240" w:lineRule="auto" w:before="1"/>
        <w:rPr>
          <w:rFonts w:ascii="华文细黑" w:hAnsi="华文细黑" w:cs="华文细黑" w:eastAsia="华文细黑" w:hint="default"/>
          <w:sz w:val="24"/>
          <w:szCs w:val="24"/>
        </w:rPr>
      </w:pPr>
    </w:p>
    <w:p>
      <w:pPr>
        <w:pStyle w:val="Heading2"/>
        <w:spacing w:line="240" w:lineRule="auto"/>
        <w:ind w:left="154" w:right="1217"/>
        <w:jc w:val="left"/>
        <w:rPr>
          <w:b w:val="0"/>
          <w:bCs w:val="0"/>
        </w:rPr>
      </w:pPr>
      <w:bookmarkStart w:name="十一、报告期内执行公司债券募集说明书相关约定或承诺的情况" w:id="190"/>
      <w:bookmarkEnd w:id="190"/>
      <w:r>
        <w:rPr>
          <w:b w:val="0"/>
          <w:bCs w:val="0"/>
        </w:rPr>
      </w:r>
      <w:r>
        <w:rPr/>
        <w:t>十一、报告期内执行公司债券募集说明书相关约定或承诺的情况</w:t>
      </w:r>
      <w:r>
        <w:rPr>
          <w:b w:val="0"/>
          <w:bCs w:val="0"/>
        </w:rPr>
      </w:r>
    </w:p>
    <w:p>
      <w:pPr>
        <w:spacing w:line="240" w:lineRule="auto" w:before="13"/>
        <w:rPr>
          <w:rFonts w:ascii="华文细黑" w:hAnsi="华文细黑" w:cs="华文细黑" w:eastAsia="华文细黑" w:hint="default"/>
          <w:b/>
          <w:bCs/>
          <w:sz w:val="29"/>
          <w:szCs w:val="29"/>
        </w:rPr>
      </w:pPr>
    </w:p>
    <w:p>
      <w:pPr>
        <w:pStyle w:val="BodyText"/>
        <w:spacing w:line="240" w:lineRule="auto"/>
        <w:ind w:left="154" w:right="1217"/>
        <w:jc w:val="left"/>
      </w:pPr>
      <w:r>
        <w:rPr/>
        <w:t>报告期内，公司严格履行了公司债券募集说明书相关约定和承诺，不存在损害债券投资者利益的情形。</w:t>
      </w:r>
    </w:p>
    <w:p>
      <w:pPr>
        <w:spacing w:line="240" w:lineRule="auto" w:before="12"/>
        <w:rPr>
          <w:rFonts w:ascii="华文细黑" w:hAnsi="华文细黑" w:cs="华文细黑" w:eastAsia="华文细黑" w:hint="default"/>
          <w:sz w:val="27"/>
          <w:szCs w:val="27"/>
        </w:rPr>
      </w:pPr>
    </w:p>
    <w:p>
      <w:pPr>
        <w:pStyle w:val="Heading2"/>
        <w:spacing w:line="240" w:lineRule="auto"/>
        <w:ind w:left="154" w:right="1217"/>
        <w:jc w:val="left"/>
        <w:rPr>
          <w:b w:val="0"/>
          <w:bCs w:val="0"/>
        </w:rPr>
      </w:pPr>
      <w:bookmarkStart w:name="十二、报告期内发生的重大事项" w:id="191"/>
      <w:bookmarkEnd w:id="191"/>
      <w:r>
        <w:rPr>
          <w:b w:val="0"/>
          <w:bCs w:val="0"/>
        </w:rPr>
      </w:r>
      <w:r>
        <w:rPr/>
        <w:t>十二、报告期内发生的重大事项</w:t>
      </w:r>
      <w:r>
        <w:rPr>
          <w:b w:val="0"/>
          <w:bCs w:val="0"/>
        </w:rPr>
      </w:r>
    </w:p>
    <w:p>
      <w:pPr>
        <w:spacing w:line="240" w:lineRule="auto" w:before="13"/>
        <w:rPr>
          <w:rFonts w:ascii="华文细黑" w:hAnsi="华文细黑" w:cs="华文细黑" w:eastAsia="华文细黑" w:hint="default"/>
          <w:b/>
          <w:bCs/>
          <w:sz w:val="29"/>
          <w:szCs w:val="29"/>
        </w:rPr>
      </w:pPr>
    </w:p>
    <w:p>
      <w:pPr>
        <w:pStyle w:val="BodyText"/>
        <w:spacing w:line="240" w:lineRule="auto"/>
        <w:ind w:left="154" w:right="1217"/>
        <w:jc w:val="left"/>
      </w:pPr>
      <w:r>
        <w:rPr/>
        <w:t>报告期内发生的重大事项详见本报告  第五节  十九、其他重大事项的说明。</w:t>
      </w:r>
    </w:p>
    <w:p>
      <w:pPr>
        <w:spacing w:line="240" w:lineRule="auto" w:before="12"/>
        <w:rPr>
          <w:rFonts w:ascii="华文细黑" w:hAnsi="华文细黑" w:cs="华文细黑" w:eastAsia="华文细黑" w:hint="default"/>
          <w:sz w:val="27"/>
          <w:szCs w:val="27"/>
        </w:rPr>
      </w:pPr>
    </w:p>
    <w:p>
      <w:pPr>
        <w:pStyle w:val="Heading2"/>
        <w:spacing w:line="240" w:lineRule="auto"/>
        <w:ind w:left="154" w:right="1217"/>
        <w:jc w:val="left"/>
        <w:rPr>
          <w:b w:val="0"/>
          <w:bCs w:val="0"/>
        </w:rPr>
      </w:pPr>
      <w:bookmarkStart w:name="十三、公司债券是否存在保证人" w:id="192"/>
      <w:bookmarkEnd w:id="192"/>
      <w:r>
        <w:rPr>
          <w:b w:val="0"/>
          <w:bCs w:val="0"/>
        </w:rPr>
      </w:r>
      <w:r>
        <w:rPr/>
        <w:t>十三、公司债券是否存在保证人</w:t>
      </w:r>
      <w:r>
        <w:rPr>
          <w:b w:val="0"/>
          <w:bCs w:val="0"/>
        </w:rPr>
      </w:r>
    </w:p>
    <w:p>
      <w:pPr>
        <w:spacing w:line="240" w:lineRule="auto" w:before="0"/>
        <w:rPr>
          <w:rFonts w:ascii="华文细黑" w:hAnsi="华文细黑" w:cs="华文细黑" w:eastAsia="华文细黑" w:hint="default"/>
          <w:b/>
          <w:bCs/>
          <w:sz w:val="30"/>
          <w:szCs w:val="30"/>
        </w:rPr>
      </w:pPr>
    </w:p>
    <w:p>
      <w:pPr>
        <w:pStyle w:val="BodyText"/>
        <w:spacing w:line="240" w:lineRule="auto"/>
        <w:ind w:left="154" w:right="1217"/>
        <w:jc w:val="left"/>
      </w:pPr>
      <w:r>
        <w:rPr/>
        <w:t>□  是  √  否</w:t>
      </w:r>
    </w:p>
    <w:p>
      <w:pPr>
        <w:spacing w:after="0" w:line="240" w:lineRule="auto"/>
        <w:jc w:val="left"/>
        <w:sectPr>
          <w:pgSz w:w="11910" w:h="16840"/>
          <w:pgMar w:header="917" w:footer="1019" w:top="1100" w:bottom="1200" w:left="980" w:right="0"/>
        </w:sectPr>
      </w:pPr>
    </w:p>
    <w:p>
      <w:pPr>
        <w:spacing w:line="20" w:lineRule="exact"/>
        <w:ind w:left="385" w:right="0" w:firstLine="0"/>
        <w:rPr>
          <w:rFonts w:ascii="华文细黑" w:hAnsi="华文细黑" w:cs="华文细黑" w:eastAsia="华文细黑" w:hint="default"/>
          <w:sz w:val="2"/>
          <w:szCs w:val="2"/>
        </w:rPr>
      </w:pPr>
      <w:r>
        <w:rPr>
          <w:rFonts w:ascii="华文细黑" w:hAnsi="华文细黑" w:cs="华文细黑" w:eastAsia="华文细黑" w:hint="default"/>
          <w:sz w:val="2"/>
          <w:szCs w:val="2"/>
        </w:rPr>
        <w:pict>
          <v:group style="width:454.9pt;height:.5pt;mso-position-horizontal-relative:char;mso-position-vertical-relative:line" coordorigin="0,0" coordsize="9098,10">
            <v:group style="position:absolute;left:5;top:5;width:9088;height:2" coordorigin="5,5" coordsize="9088,2">
              <v:shape style="position:absolute;left:5;top:5;width:9088;height:2" coordorigin="5,5" coordsize="9088,0" path="m5,5l9092,5e" filled="false" stroked="true" strokeweight=".48pt" strokecolor="#000000">
                <v:path arrowok="t"/>
              </v:shape>
            </v:group>
          </v:group>
        </w:pict>
      </w:r>
      <w:r>
        <w:rPr>
          <w:rFonts w:ascii="华文细黑" w:hAnsi="华文细黑" w:cs="华文细黑" w:eastAsia="华文细黑" w:hint="default"/>
          <w:sz w:val="2"/>
          <w:szCs w:val="2"/>
        </w:rPr>
      </w: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pStyle w:val="Heading1"/>
        <w:spacing w:line="240" w:lineRule="auto" w:before="119"/>
        <w:ind w:left="3571" w:right="1320"/>
        <w:jc w:val="left"/>
        <w:rPr>
          <w:b w:val="0"/>
          <w:bCs w:val="0"/>
        </w:rPr>
      </w:pPr>
      <w:bookmarkStart w:name="第十一节 财务报告" w:id="193"/>
      <w:bookmarkEnd w:id="193"/>
      <w:r>
        <w:rPr>
          <w:b w:val="0"/>
          <w:bCs w:val="0"/>
        </w:rPr>
      </w:r>
      <w:bookmarkStart w:name="_bookmark9" w:id="194"/>
      <w:bookmarkEnd w:id="194"/>
      <w:r>
        <w:rPr>
          <w:b w:val="0"/>
          <w:bCs w:val="0"/>
        </w:rPr>
      </w:r>
      <w:r>
        <w:rPr/>
        <w:t>第十一节</w:t>
      </w:r>
      <w:r>
        <w:rPr>
          <w:spacing w:val="78"/>
        </w:rPr>
        <w:t> </w:t>
      </w:r>
      <w:r>
        <w:rPr/>
        <w:t>财务报告</w:t>
      </w:r>
      <w:r>
        <w:rPr>
          <w:b w:val="0"/>
          <w:bCs w:val="0"/>
        </w:rPr>
      </w:r>
    </w:p>
    <w:p>
      <w:pPr>
        <w:spacing w:line="240" w:lineRule="auto" w:before="0"/>
        <w:rPr>
          <w:rFonts w:ascii="华文细黑" w:hAnsi="华文细黑" w:cs="华文细黑" w:eastAsia="华文细黑" w:hint="default"/>
          <w:b/>
          <w:bCs/>
          <w:sz w:val="20"/>
          <w:szCs w:val="20"/>
        </w:rPr>
      </w:pPr>
    </w:p>
    <w:p>
      <w:pPr>
        <w:spacing w:line="240" w:lineRule="auto" w:before="12"/>
        <w:rPr>
          <w:rFonts w:ascii="华文细黑" w:hAnsi="华文细黑" w:cs="华文细黑" w:eastAsia="华文细黑" w:hint="default"/>
          <w:b/>
          <w:bCs/>
          <w:sz w:val="19"/>
          <w:szCs w:val="19"/>
        </w:rPr>
      </w:pPr>
    </w:p>
    <w:p>
      <w:pPr>
        <w:pStyle w:val="Heading2"/>
        <w:spacing w:line="396" w:lineRule="exact"/>
        <w:ind w:left="420" w:right="1320"/>
        <w:jc w:val="left"/>
        <w:rPr>
          <w:b w:val="0"/>
          <w:bCs w:val="0"/>
        </w:rPr>
      </w:pPr>
      <w:bookmarkStart w:name="一、审计报告" w:id="195"/>
      <w:bookmarkEnd w:id="195"/>
      <w:r>
        <w:rPr>
          <w:b w:val="0"/>
          <w:bCs w:val="0"/>
        </w:rPr>
      </w:r>
      <w:r>
        <w:rPr/>
        <w:t>一、审计报告</w:t>
      </w:r>
      <w:r>
        <w:rPr>
          <w:b w:val="0"/>
          <w:bCs w:val="0"/>
        </w:rPr>
      </w:r>
    </w:p>
    <w:p>
      <w:pPr>
        <w:spacing w:line="240" w:lineRule="auto" w:before="0"/>
        <w:rPr>
          <w:rFonts w:ascii="华文细黑" w:hAnsi="华文细黑" w:cs="华文细黑" w:eastAsia="华文细黑" w:hint="default"/>
          <w:b/>
          <w:bCs/>
          <w:sz w:val="20"/>
          <w:szCs w:val="20"/>
        </w:rPr>
      </w:pPr>
    </w:p>
    <w:p>
      <w:pPr>
        <w:spacing w:line="240" w:lineRule="auto" w:before="4"/>
        <w:rPr>
          <w:rFonts w:ascii="华文细黑" w:hAnsi="华文细黑" w:cs="华文细黑" w:eastAsia="华文细黑" w:hint="default"/>
          <w:b/>
          <w:bCs/>
          <w:sz w:val="10"/>
          <w:szCs w:val="10"/>
        </w:rPr>
      </w:pPr>
    </w:p>
    <w:tbl>
      <w:tblPr>
        <w:tblW w:w="0" w:type="auto"/>
        <w:jc w:val="left"/>
        <w:tblInd w:w="303" w:type="dxa"/>
        <w:tblLayout w:type="fixed"/>
        <w:tblCellMar>
          <w:top w:w="0" w:type="dxa"/>
          <w:left w:w="0" w:type="dxa"/>
          <w:bottom w:w="0" w:type="dxa"/>
          <w:right w:w="0" w:type="dxa"/>
        </w:tblCellMar>
        <w:tblLook w:val="01E0"/>
      </w:tblPr>
      <w:tblGrid>
        <w:gridCol w:w="4783"/>
        <w:gridCol w:w="4785"/>
      </w:tblGrid>
      <w:tr>
        <w:trPr>
          <w:trHeight w:val="671" w:hRule="exact"/>
        </w:trPr>
        <w:tc>
          <w:tcPr>
            <w:tcW w:w="478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9"/>
              <w:ind w:left="103"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审计意见类型</w:t>
            </w:r>
          </w:p>
        </w:tc>
        <w:tc>
          <w:tcPr>
            <w:tcW w:w="4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left="102"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标准的无保留意见</w:t>
            </w:r>
          </w:p>
        </w:tc>
      </w:tr>
      <w:tr>
        <w:trPr>
          <w:trHeight w:val="670" w:hRule="exact"/>
        </w:trPr>
        <w:tc>
          <w:tcPr>
            <w:tcW w:w="478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8"/>
              <w:ind w:left="103"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审计报告签署日期</w:t>
            </w:r>
          </w:p>
        </w:tc>
        <w:tc>
          <w:tcPr>
            <w:tcW w:w="4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8"/>
              <w:ind w:left="102"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2019 </w:t>
            </w:r>
            <w:r>
              <w:rPr>
                <w:rFonts w:ascii="华文细黑" w:hAnsi="华文细黑" w:cs="华文细黑" w:eastAsia="华文细黑" w:hint="default"/>
                <w:sz w:val="21"/>
                <w:szCs w:val="21"/>
              </w:rPr>
              <w:t>年 </w:t>
            </w:r>
            <w:r>
              <w:rPr>
                <w:rFonts w:ascii="华文细黑" w:hAnsi="华文细黑" w:cs="华文细黑" w:eastAsia="华文细黑" w:hint="default"/>
                <w:sz w:val="21"/>
                <w:szCs w:val="21"/>
              </w:rPr>
              <w:t>04 </w:t>
            </w:r>
            <w:r>
              <w:rPr>
                <w:rFonts w:ascii="华文细黑" w:hAnsi="华文细黑" w:cs="华文细黑" w:eastAsia="华文细黑" w:hint="default"/>
                <w:sz w:val="21"/>
                <w:szCs w:val="21"/>
              </w:rPr>
              <w:t>月 </w:t>
            </w:r>
            <w:r>
              <w:rPr>
                <w:rFonts w:ascii="华文细黑" w:hAnsi="华文细黑" w:cs="华文细黑" w:eastAsia="华文细黑" w:hint="default"/>
                <w:sz w:val="21"/>
                <w:szCs w:val="21"/>
              </w:rPr>
              <w:t>12</w:t>
            </w:r>
            <w:r>
              <w:rPr>
                <w:rFonts w:ascii="华文细黑" w:hAnsi="华文细黑" w:cs="华文细黑" w:eastAsia="华文细黑" w:hint="default"/>
                <w:spacing w:val="-1"/>
                <w:sz w:val="21"/>
                <w:szCs w:val="21"/>
              </w:rPr>
              <w:t> </w:t>
            </w:r>
            <w:r>
              <w:rPr>
                <w:rFonts w:ascii="华文细黑" w:hAnsi="华文细黑" w:cs="华文细黑" w:eastAsia="华文细黑" w:hint="default"/>
                <w:sz w:val="21"/>
                <w:szCs w:val="21"/>
              </w:rPr>
              <w:t>日</w:t>
            </w:r>
          </w:p>
        </w:tc>
      </w:tr>
      <w:tr>
        <w:trPr>
          <w:trHeight w:val="670" w:hRule="exact"/>
        </w:trPr>
        <w:tc>
          <w:tcPr>
            <w:tcW w:w="478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8"/>
              <w:ind w:left="103"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审计机构名称</w:t>
            </w:r>
          </w:p>
        </w:tc>
        <w:tc>
          <w:tcPr>
            <w:tcW w:w="4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8"/>
              <w:ind w:left="102"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瑞华会计师事务所（特殊普通合伙）</w:t>
            </w:r>
          </w:p>
        </w:tc>
      </w:tr>
      <w:tr>
        <w:trPr>
          <w:trHeight w:val="670" w:hRule="exact"/>
        </w:trPr>
        <w:tc>
          <w:tcPr>
            <w:tcW w:w="478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8"/>
              <w:ind w:left="103"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注册会计师姓名</w:t>
            </w:r>
          </w:p>
        </w:tc>
        <w:tc>
          <w:tcPr>
            <w:tcW w:w="4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8"/>
              <w:ind w:left="102"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邓登峰、廖晓鸿</w:t>
            </w:r>
          </w:p>
        </w:tc>
      </w:tr>
    </w:tbl>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pStyle w:val="Heading3"/>
        <w:spacing w:line="240" w:lineRule="auto" w:before="141"/>
        <w:ind w:left="4073" w:right="5091"/>
        <w:jc w:val="center"/>
        <w:rPr>
          <w:b w:val="0"/>
          <w:bCs w:val="0"/>
        </w:rPr>
      </w:pPr>
      <w:r>
        <w:rPr/>
        <w:t>审计报告正文</w:t>
      </w:r>
      <w:r>
        <w:rPr>
          <w:b w:val="0"/>
          <w:bCs w:val="0"/>
        </w:rPr>
      </w:r>
    </w:p>
    <w:p>
      <w:pPr>
        <w:spacing w:line="240" w:lineRule="auto" w:before="7"/>
        <w:rPr>
          <w:rFonts w:ascii="华文细黑" w:hAnsi="华文细黑" w:cs="华文细黑" w:eastAsia="华文细黑" w:hint="default"/>
          <w:b/>
          <w:bCs/>
          <w:sz w:val="14"/>
          <w:szCs w:val="14"/>
        </w:rPr>
      </w:pPr>
    </w:p>
    <w:p>
      <w:pPr>
        <w:pStyle w:val="BodyText"/>
        <w:spacing w:line="240" w:lineRule="auto" w:before="10"/>
        <w:ind w:left="6504" w:right="1320"/>
        <w:jc w:val="left"/>
      </w:pPr>
      <w:r>
        <w:rPr/>
        <w:t>瑞华审字【</w:t>
      </w:r>
      <w:r>
        <w:rPr>
          <w:rFonts w:ascii="华文细黑" w:hAnsi="华文细黑" w:cs="华文细黑" w:eastAsia="华文细黑" w:hint="default"/>
        </w:rPr>
        <w:t>2019</w:t>
      </w:r>
      <w:r>
        <w:rPr/>
        <w:t>】</w:t>
      </w:r>
      <w:r>
        <w:rPr>
          <w:rFonts w:ascii="华文细黑" w:hAnsi="华文细黑" w:cs="华文细黑" w:eastAsia="华文细黑" w:hint="default"/>
        </w:rPr>
        <w:t>44060006 </w:t>
      </w:r>
      <w:r>
        <w:rPr/>
        <w:t>号</w:t>
      </w: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9"/>
        <w:rPr>
          <w:rFonts w:ascii="华文细黑" w:hAnsi="华文细黑" w:cs="华文细黑" w:eastAsia="华文细黑" w:hint="default"/>
          <w:sz w:val="15"/>
          <w:szCs w:val="15"/>
        </w:rPr>
      </w:pPr>
    </w:p>
    <w:p>
      <w:pPr>
        <w:pStyle w:val="Heading5"/>
        <w:spacing w:line="501" w:lineRule="auto"/>
        <w:ind w:left="840" w:right="6873" w:hanging="421"/>
        <w:jc w:val="left"/>
        <w:rPr>
          <w:b w:val="0"/>
          <w:bCs w:val="0"/>
        </w:rPr>
      </w:pPr>
      <w:r>
        <w:rPr/>
        <w:t>深圳市爱施德股份有限公司全体股东：</w:t>
      </w:r>
      <w:r>
        <w:rPr>
          <w:w w:val="99"/>
        </w:rPr>
        <w:t> </w:t>
      </w:r>
      <w:bookmarkStart w:name="一、审计意见" w:id="196"/>
      <w:bookmarkEnd w:id="196"/>
      <w:r>
        <w:rPr/>
        <w:t>一</w:t>
      </w:r>
      <w:r>
        <w:rPr/>
        <w:t>、审计意见</w:t>
      </w:r>
      <w:r>
        <w:rPr>
          <w:b w:val="0"/>
          <w:bCs w:val="0"/>
        </w:rPr>
      </w:r>
    </w:p>
    <w:p>
      <w:pPr>
        <w:pStyle w:val="BodyText"/>
        <w:spacing w:line="240" w:lineRule="auto" w:before="75"/>
        <w:ind w:left="840" w:right="1320"/>
        <w:jc w:val="left"/>
      </w:pPr>
      <w:r>
        <w:rPr>
          <w:spacing w:val="1"/>
        </w:rPr>
        <w:t>我们审计</w:t>
      </w:r>
      <w:r>
        <w:rPr>
          <w:spacing w:val="2"/>
        </w:rPr>
        <w:t>了</w:t>
      </w:r>
      <w:r>
        <w:rPr>
          <w:spacing w:val="1"/>
        </w:rPr>
        <w:t>深圳市爱</w:t>
      </w:r>
      <w:r>
        <w:rPr>
          <w:spacing w:val="2"/>
        </w:rPr>
        <w:t>施</w:t>
      </w:r>
      <w:r>
        <w:rPr>
          <w:spacing w:val="1"/>
        </w:rPr>
        <w:t>德股份有</w:t>
      </w:r>
      <w:r>
        <w:rPr>
          <w:spacing w:val="2"/>
        </w:rPr>
        <w:t>限</w:t>
      </w:r>
      <w:r>
        <w:rPr>
          <w:spacing w:val="1"/>
        </w:rPr>
        <w:t>公司（以</w:t>
      </w:r>
      <w:r>
        <w:rPr>
          <w:spacing w:val="2"/>
        </w:rPr>
        <w:t>下</w:t>
      </w:r>
      <w:r>
        <w:rPr>
          <w:spacing w:val="1"/>
        </w:rPr>
        <w:t>简称“爱</w:t>
      </w:r>
      <w:r>
        <w:rPr>
          <w:spacing w:val="2"/>
        </w:rPr>
        <w:t>施</w:t>
      </w:r>
      <w:r>
        <w:rPr>
          <w:spacing w:val="1"/>
        </w:rPr>
        <w:t>德公司</w:t>
      </w:r>
      <w:r>
        <w:rPr>
          <w:spacing w:val="-104"/>
        </w:rPr>
        <w:t>”</w:t>
      </w:r>
      <w:r>
        <w:rPr>
          <w:spacing w:val="1"/>
        </w:rPr>
        <w:t>）</w:t>
      </w:r>
      <w:r>
        <w:rPr>
          <w:spacing w:val="2"/>
        </w:rPr>
        <w:t>财</w:t>
      </w:r>
      <w:r>
        <w:rPr>
          <w:spacing w:val="1"/>
        </w:rPr>
        <w:t>务报表，</w:t>
      </w:r>
      <w:r>
        <w:rPr>
          <w:spacing w:val="2"/>
        </w:rPr>
        <w:t>包</w:t>
      </w:r>
      <w:r>
        <w:rPr/>
        <w:t>括 </w:t>
      </w:r>
      <w:r>
        <w:rPr>
          <w:spacing w:val="8"/>
        </w:rPr>
        <w:t> </w:t>
      </w:r>
      <w:r>
        <w:rPr>
          <w:rFonts w:ascii="华文细黑" w:hAnsi="华文细黑" w:cs="华文细黑" w:eastAsia="华文细黑" w:hint="default"/>
        </w:rPr>
        <w:t>2018 </w:t>
      </w:r>
      <w:r>
        <w:rPr>
          <w:rFonts w:ascii="华文细黑" w:hAnsi="华文细黑" w:cs="华文细黑" w:eastAsia="华文细黑" w:hint="default"/>
          <w:spacing w:val="1"/>
        </w:rPr>
        <w:t> </w:t>
      </w:r>
      <w:r>
        <w:rPr/>
        <w:t>年</w:t>
      </w:r>
    </w:p>
    <w:p>
      <w:pPr>
        <w:spacing w:line="240" w:lineRule="auto" w:before="1"/>
        <w:rPr>
          <w:rFonts w:ascii="华文细黑" w:hAnsi="华文细黑" w:cs="华文细黑" w:eastAsia="华文细黑" w:hint="default"/>
          <w:sz w:val="20"/>
          <w:szCs w:val="20"/>
        </w:rPr>
      </w:pPr>
    </w:p>
    <w:p>
      <w:pPr>
        <w:pStyle w:val="BodyText"/>
        <w:spacing w:line="470" w:lineRule="auto"/>
        <w:ind w:left="420" w:right="1423"/>
        <w:jc w:val="left"/>
      </w:pPr>
      <w:r>
        <w:rPr>
          <w:rFonts w:ascii="华文细黑" w:hAnsi="华文细黑" w:cs="华文细黑" w:eastAsia="华文细黑" w:hint="default"/>
        </w:rPr>
        <w:t>12 </w:t>
      </w:r>
      <w:r>
        <w:rPr/>
        <w:t>月 </w:t>
      </w:r>
      <w:r>
        <w:rPr>
          <w:rFonts w:ascii="华文细黑" w:hAnsi="华文细黑" w:cs="华文细黑" w:eastAsia="华文细黑" w:hint="default"/>
        </w:rPr>
        <w:t>31 </w:t>
      </w:r>
      <w:r>
        <w:rPr/>
        <w:t>日的合并及公司资产负债表，</w:t>
      </w:r>
      <w:r>
        <w:rPr>
          <w:rFonts w:ascii="华文细黑" w:hAnsi="华文细黑" w:cs="华文细黑" w:eastAsia="华文细黑" w:hint="default"/>
        </w:rPr>
        <w:t>2018</w:t>
      </w:r>
      <w:r>
        <w:rPr>
          <w:rFonts w:ascii="华文细黑" w:hAnsi="华文细黑" w:cs="华文细黑" w:eastAsia="华文细黑" w:hint="default"/>
          <w:spacing w:val="-26"/>
        </w:rPr>
        <w:t> </w:t>
      </w:r>
      <w:r>
        <w:rPr>
          <w:spacing w:val="-3"/>
        </w:rPr>
        <w:t>年度的合并及公司利润表、合并及公司现金流量表、合</w:t>
      </w:r>
      <w:r>
        <w:rPr/>
        <w:t> 并及公司股东权益变动表以及相关财务报表附注。</w:t>
      </w:r>
    </w:p>
    <w:p>
      <w:pPr>
        <w:pStyle w:val="BodyText"/>
        <w:spacing w:line="470" w:lineRule="auto" w:before="105"/>
        <w:ind w:left="420" w:right="1320" w:firstLine="420"/>
        <w:jc w:val="left"/>
      </w:pPr>
      <w:r>
        <w:rPr/>
        <w:t>我们认为，后附的财务报表在所有重大方面按照企业会计准则的规定编制，公允反映了爱施德 公司</w:t>
      </w:r>
      <w:r>
        <w:rPr>
          <w:spacing w:val="-5"/>
        </w:rPr>
        <w:t> </w:t>
      </w:r>
      <w:r>
        <w:rPr>
          <w:rFonts w:ascii="华文细黑" w:hAnsi="华文细黑" w:cs="华文细黑" w:eastAsia="华文细黑" w:hint="default"/>
        </w:rPr>
        <w:t>2018</w:t>
      </w:r>
      <w:r>
        <w:rPr>
          <w:rFonts w:ascii="华文细黑" w:hAnsi="华文细黑" w:cs="华文细黑" w:eastAsia="华文细黑" w:hint="default"/>
          <w:spacing w:val="-5"/>
        </w:rPr>
        <w:t> </w:t>
      </w:r>
      <w:r>
        <w:rPr/>
        <w:t>年</w:t>
      </w:r>
      <w:r>
        <w:rPr>
          <w:spacing w:val="-5"/>
        </w:rPr>
        <w:t> </w:t>
      </w:r>
      <w:r>
        <w:rPr>
          <w:rFonts w:ascii="华文细黑" w:hAnsi="华文细黑" w:cs="华文细黑" w:eastAsia="华文细黑" w:hint="default"/>
        </w:rPr>
        <w:t>12</w:t>
      </w:r>
      <w:r>
        <w:rPr>
          <w:rFonts w:ascii="华文细黑" w:hAnsi="华文细黑" w:cs="华文细黑" w:eastAsia="华文细黑" w:hint="default"/>
          <w:spacing w:val="-5"/>
        </w:rPr>
        <w:t> </w:t>
      </w:r>
      <w:r>
        <w:rPr/>
        <w:t>月</w:t>
      </w:r>
      <w:r>
        <w:rPr>
          <w:spacing w:val="-5"/>
        </w:rPr>
        <w:t> </w:t>
      </w:r>
      <w:r>
        <w:rPr>
          <w:rFonts w:ascii="华文细黑" w:hAnsi="华文细黑" w:cs="华文细黑" w:eastAsia="华文细黑" w:hint="default"/>
        </w:rPr>
        <w:t>31</w:t>
      </w:r>
      <w:r>
        <w:rPr>
          <w:rFonts w:ascii="华文细黑" w:hAnsi="华文细黑" w:cs="华文细黑" w:eastAsia="华文细黑" w:hint="default"/>
          <w:spacing w:val="-5"/>
        </w:rPr>
        <w:t> </w:t>
      </w:r>
      <w:r>
        <w:rPr/>
        <w:t>日合并及公司的财务状况以及</w:t>
      </w:r>
      <w:r>
        <w:rPr>
          <w:spacing w:val="-5"/>
        </w:rPr>
        <w:t> </w:t>
      </w:r>
      <w:r>
        <w:rPr>
          <w:rFonts w:ascii="华文细黑" w:hAnsi="华文细黑" w:cs="华文细黑" w:eastAsia="华文细黑" w:hint="default"/>
        </w:rPr>
        <w:t>2018</w:t>
      </w:r>
      <w:r>
        <w:rPr>
          <w:rFonts w:ascii="华文细黑" w:hAnsi="华文细黑" w:cs="华文细黑" w:eastAsia="华文细黑" w:hint="default"/>
          <w:spacing w:val="-5"/>
        </w:rPr>
        <w:t> </w:t>
      </w:r>
      <w:r>
        <w:rPr/>
        <w:t>年度合并及公司的经营成果和现金流量。</w:t>
      </w: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501" w:lineRule="auto" w:before="160"/>
        <w:ind w:left="840" w:right="1320" w:firstLine="0"/>
        <w:jc w:val="left"/>
        <w:rPr>
          <w:rFonts w:ascii="华文细黑" w:hAnsi="华文细黑" w:cs="华文细黑" w:eastAsia="华文细黑" w:hint="default"/>
          <w:sz w:val="21"/>
          <w:szCs w:val="21"/>
        </w:rPr>
      </w:pPr>
      <w:bookmarkStart w:name="二、形成审计意见的基础" w:id="197"/>
      <w:bookmarkEnd w:id="197"/>
      <w:r>
        <w:rPr/>
      </w:r>
      <w:r>
        <w:rPr>
          <w:rFonts w:ascii="华文细黑" w:hAnsi="华文细黑" w:cs="华文细黑" w:eastAsia="华文细黑" w:hint="default"/>
          <w:b/>
          <w:bCs/>
          <w:sz w:val="21"/>
          <w:szCs w:val="21"/>
        </w:rPr>
        <w:t>二、形成审计意见的基础</w:t>
      </w:r>
      <w:r>
        <w:rPr>
          <w:rFonts w:ascii="华文细黑" w:hAnsi="华文细黑" w:cs="华文细黑" w:eastAsia="华文细黑" w:hint="default"/>
          <w:b/>
          <w:bCs/>
          <w:w w:val="99"/>
          <w:sz w:val="21"/>
          <w:szCs w:val="21"/>
        </w:rPr>
        <w:t> </w:t>
      </w:r>
      <w:r>
        <w:rPr>
          <w:rFonts w:ascii="华文细黑" w:hAnsi="华文细黑" w:cs="华文细黑" w:eastAsia="华文细黑" w:hint="default"/>
          <w:spacing w:val="-1"/>
          <w:sz w:val="21"/>
          <w:szCs w:val="21"/>
        </w:rPr>
        <w:t>我们按照中国注册会计师审计准则的规定执行了审计工作。审计报告的“注册会计师对财务报</w:t>
      </w:r>
    </w:p>
    <w:p>
      <w:pPr>
        <w:pStyle w:val="BodyText"/>
        <w:spacing w:line="240" w:lineRule="auto" w:before="36"/>
        <w:ind w:left="420" w:right="1320"/>
        <w:jc w:val="left"/>
      </w:pPr>
      <w:r>
        <w:rPr/>
        <w:t>表审计的责任”部分进一步阐述了我们在这些准则下的责任。按照中国注册会计师职业道德守则，</w:t>
      </w:r>
    </w:p>
    <w:p>
      <w:pPr>
        <w:spacing w:after="0" w:line="240" w:lineRule="auto"/>
        <w:jc w:val="left"/>
        <w:sectPr>
          <w:pgSz w:w="11910" w:h="16840"/>
          <w:pgMar w:header="917" w:footer="1019" w:top="1100" w:bottom="1200" w:left="1020" w:right="0"/>
        </w:sectPr>
      </w:pPr>
    </w:p>
    <w:p>
      <w:pPr>
        <w:spacing w:line="240" w:lineRule="auto" w:before="0"/>
        <w:rPr>
          <w:rFonts w:ascii="华文细黑" w:hAnsi="华文细黑" w:cs="华文细黑" w:eastAsia="华文细黑" w:hint="default"/>
          <w:sz w:val="20"/>
          <w:szCs w:val="20"/>
        </w:rPr>
      </w:pPr>
    </w:p>
    <w:p>
      <w:pPr>
        <w:pStyle w:val="BodyText"/>
        <w:spacing w:line="468" w:lineRule="auto" w:before="158"/>
        <w:ind w:right="1246"/>
        <w:jc w:val="left"/>
      </w:pPr>
      <w:r>
        <w:rPr>
          <w:spacing w:val="-1"/>
        </w:rPr>
        <w:t>我们独立于爱施德公司，并履行了职业道德方面的其他责任。我们相信，我们获取的审计证据是充</w:t>
      </w:r>
      <w:r>
        <w:rPr>
          <w:spacing w:val="-16"/>
        </w:rPr>
        <w:t> </w:t>
      </w:r>
      <w:r>
        <w:rPr>
          <w:spacing w:val="-16"/>
        </w:rPr>
      </w:r>
      <w:r>
        <w:rPr/>
        <w:t>分、适当的，为发表审计意见提供了基础。</w:t>
      </w: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pStyle w:val="BodyText"/>
        <w:spacing w:line="501" w:lineRule="auto" w:before="164"/>
        <w:ind w:left="560" w:right="1246"/>
        <w:jc w:val="left"/>
      </w:pPr>
      <w:bookmarkStart w:name="三、关键审计事项" w:id="198"/>
      <w:bookmarkEnd w:id="198"/>
      <w:r>
        <w:rPr/>
      </w:r>
      <w:r>
        <w:rPr>
          <w:rFonts w:ascii="华文细黑" w:hAnsi="华文细黑" w:cs="华文细黑" w:eastAsia="华文细黑" w:hint="default"/>
          <w:b/>
          <w:bCs/>
        </w:rPr>
        <w:t>三、关键审计事项</w:t>
      </w:r>
      <w:r>
        <w:rPr>
          <w:rFonts w:ascii="华文细黑" w:hAnsi="华文细黑" w:cs="华文细黑" w:eastAsia="华文细黑" w:hint="default"/>
          <w:b/>
          <w:bCs/>
          <w:w w:val="99"/>
        </w:rPr>
        <w:t> </w:t>
      </w:r>
      <w:r>
        <w:rPr>
          <w:spacing w:val="-1"/>
        </w:rPr>
        <w:t>关键审计事项是我们根据职业判断，认为对本期财务报表审计最为重要的事项。这些事项的应</w:t>
      </w:r>
    </w:p>
    <w:p>
      <w:pPr>
        <w:pStyle w:val="BodyText"/>
        <w:spacing w:line="468" w:lineRule="auto" w:before="37"/>
        <w:ind w:right="1246"/>
        <w:jc w:val="left"/>
      </w:pPr>
      <w:r>
        <w:rPr>
          <w:spacing w:val="-1"/>
        </w:rPr>
        <w:t>对以对财务报表整体进行审计并形成审计意见为背景，我们不对这些事项单独发表意见。我们确定</w:t>
      </w:r>
      <w:r>
        <w:rPr>
          <w:spacing w:val="-16"/>
        </w:rPr>
        <w:t> </w:t>
      </w:r>
      <w:r>
        <w:rPr>
          <w:spacing w:val="-16"/>
        </w:rPr>
      </w:r>
      <w:r>
        <w:rPr/>
        <w:t>下列事项是需要在审计报告中沟通的关键审计事项。</w:t>
      </w:r>
    </w:p>
    <w:p>
      <w:pPr>
        <w:pStyle w:val="Heading5"/>
        <w:spacing w:line="501" w:lineRule="auto" w:before="108"/>
        <w:ind w:left="560" w:right="7714"/>
        <w:jc w:val="left"/>
        <w:rPr>
          <w:b w:val="0"/>
          <w:bCs w:val="0"/>
        </w:rPr>
      </w:pPr>
      <w:bookmarkStart w:name="（一）分销业务收入确认" w:id="199"/>
      <w:bookmarkEnd w:id="199"/>
      <w:r>
        <w:rPr>
          <w:b w:val="0"/>
          <w:bCs w:val="0"/>
        </w:rPr>
      </w:r>
      <w:r>
        <w:rPr/>
        <w:t>（一）分销业务收入确认</w:t>
      </w:r>
      <w:r>
        <w:rPr>
          <w:w w:val="99"/>
        </w:rPr>
        <w:t> </w:t>
      </w:r>
      <w:bookmarkStart w:name="1、事项描述" w:id="200"/>
      <w:bookmarkEnd w:id="200"/>
      <w:r>
        <w:rPr>
          <w:w w:val="99"/>
        </w:rPr>
      </w:r>
      <w:r>
        <w:rPr>
          <w:rFonts w:ascii="华文细黑" w:hAnsi="华文细黑" w:cs="华文细黑" w:eastAsia="华文细黑" w:hint="default"/>
        </w:rPr>
        <w:t>1</w:t>
      </w:r>
      <w:r>
        <w:rPr/>
        <w:t>、事项描述</w:t>
      </w:r>
      <w:r>
        <w:rPr>
          <w:b w:val="0"/>
          <w:bCs w:val="0"/>
        </w:rPr>
      </w:r>
    </w:p>
    <w:p>
      <w:pPr>
        <w:pStyle w:val="BodyText"/>
        <w:spacing w:line="470" w:lineRule="auto" w:before="77"/>
        <w:ind w:right="1436" w:firstLine="420"/>
        <w:jc w:val="both"/>
      </w:pPr>
      <w:r>
        <w:rPr>
          <w:spacing w:val="-2"/>
        </w:rPr>
        <w:t>相关信息披露详见财务报表附注“四、重要会计政策和会计估计”</w:t>
      </w:r>
      <w:r>
        <w:rPr>
          <w:rFonts w:ascii="华文细黑" w:hAnsi="华文细黑" w:cs="华文细黑" w:eastAsia="华文细黑" w:hint="default"/>
          <w:spacing w:val="-2"/>
        </w:rPr>
        <w:t>24</w:t>
      </w:r>
      <w:r>
        <w:rPr>
          <w:rFonts w:ascii="华文细黑" w:hAnsi="华文细黑" w:cs="华文细黑" w:eastAsia="华文细黑" w:hint="default"/>
          <w:spacing w:val="11"/>
        </w:rPr>
        <w:t> </w:t>
      </w:r>
      <w:r>
        <w:rPr>
          <w:spacing w:val="-3"/>
        </w:rPr>
        <w:t>及“六、合并财务报表项</w:t>
      </w:r>
      <w:r>
        <w:rPr/>
        <w:t> 目注释”</w:t>
      </w:r>
      <w:r>
        <w:rPr>
          <w:rFonts w:ascii="华文细黑" w:hAnsi="华文细黑" w:cs="华文细黑" w:eastAsia="华文细黑" w:hint="default"/>
        </w:rPr>
        <w:t>34</w:t>
      </w:r>
      <w:r>
        <w:rPr/>
        <w:t>。爱施德公司 </w:t>
      </w:r>
      <w:r>
        <w:rPr>
          <w:rFonts w:ascii="华文细黑" w:hAnsi="华文细黑" w:cs="华文细黑" w:eastAsia="华文细黑" w:hint="default"/>
        </w:rPr>
        <w:t>2018 </w:t>
      </w:r>
      <w:r>
        <w:rPr/>
        <w:t>年度营业总收入为 </w:t>
      </w:r>
      <w:r>
        <w:rPr>
          <w:rFonts w:ascii="华文细黑" w:hAnsi="华文细黑" w:cs="华文细黑" w:eastAsia="华文细黑" w:hint="default"/>
        </w:rPr>
        <w:t>5,698,379.20</w:t>
      </w:r>
      <w:r>
        <w:rPr>
          <w:rFonts w:ascii="华文细黑" w:hAnsi="华文细黑" w:cs="华文细黑" w:eastAsia="华文细黑" w:hint="default"/>
          <w:spacing w:val="-36"/>
        </w:rPr>
        <w:t> </w:t>
      </w:r>
      <w:r>
        <w:rPr/>
        <w:t>万元，其中智能终端产品分销业务 收入为 </w:t>
      </w:r>
      <w:r>
        <w:rPr>
          <w:rFonts w:ascii="华文细黑" w:hAnsi="华文细黑" w:cs="华文细黑" w:eastAsia="华文细黑" w:hint="default"/>
        </w:rPr>
        <w:t>4,760,788.66 </w:t>
      </w:r>
      <w:r>
        <w:rPr/>
        <w:t>万元，占营业总收入的比例为</w:t>
      </w:r>
      <w:r>
        <w:rPr>
          <w:spacing w:val="-2"/>
        </w:rPr>
        <w:t> </w:t>
      </w:r>
      <w:r>
        <w:rPr>
          <w:rFonts w:ascii="华文细黑" w:hAnsi="华文细黑" w:cs="华文细黑" w:eastAsia="华文细黑" w:hint="default"/>
        </w:rPr>
        <w:t>83.55%</w:t>
      </w:r>
      <w:r>
        <w:rPr/>
        <w:t>。</w:t>
      </w:r>
    </w:p>
    <w:p>
      <w:pPr>
        <w:pStyle w:val="BodyText"/>
        <w:spacing w:line="470" w:lineRule="auto" w:before="105"/>
        <w:ind w:right="1437" w:firstLine="420"/>
        <w:jc w:val="both"/>
      </w:pPr>
      <w:r>
        <w:rPr/>
        <w:t>由于分销业务销售量大，交易频繁，较高依赖信息系统，但不排除其数据的收集和处理过程存 在人工干预，其收入对财务报表影响重大，存在舞弊风险，故我们将分销业务收入的真实性确定为 关键审计事项。</w:t>
      </w:r>
    </w:p>
    <w:p>
      <w:pPr>
        <w:spacing w:line="501" w:lineRule="auto" w:before="106"/>
        <w:ind w:left="560" w:right="4776" w:firstLine="0"/>
        <w:jc w:val="left"/>
        <w:rPr>
          <w:rFonts w:ascii="华文细黑" w:hAnsi="华文细黑" w:cs="华文细黑" w:eastAsia="华文细黑" w:hint="default"/>
          <w:sz w:val="21"/>
          <w:szCs w:val="21"/>
        </w:rPr>
      </w:pPr>
      <w:bookmarkStart w:name="2、审计应对" w:id="201"/>
      <w:bookmarkEnd w:id="201"/>
      <w:r>
        <w:rPr/>
      </w: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、审计应对</w:t>
      </w:r>
      <w:r>
        <w:rPr>
          <w:rFonts w:ascii="华文细黑" w:hAnsi="华文细黑" w:cs="华文细黑" w:eastAsia="华文细黑" w:hint="default"/>
          <w:b/>
          <w:bCs/>
          <w:w w:val="99"/>
          <w:sz w:val="21"/>
          <w:szCs w:val="21"/>
        </w:rPr>
        <w:t> </w:t>
      </w:r>
      <w:r>
        <w:rPr>
          <w:rFonts w:ascii="华文细黑" w:hAnsi="华文细黑" w:cs="华文细黑" w:eastAsia="华文细黑" w:hint="default"/>
          <w:sz w:val="21"/>
          <w:szCs w:val="21"/>
        </w:rPr>
        <w:t>针对分销业务收入确认，我们执行的审计程序主要包括：</w:t>
      </w:r>
    </w:p>
    <w:p>
      <w:pPr>
        <w:pStyle w:val="BodyText"/>
        <w:spacing w:line="240" w:lineRule="auto" w:before="77"/>
        <w:ind w:left="560" w:right="1246"/>
        <w:jc w:val="left"/>
      </w:pPr>
      <w:r>
        <w:rPr/>
        <w:t>（</w:t>
      </w:r>
      <w:r>
        <w:rPr>
          <w:rFonts w:ascii="华文细黑" w:hAnsi="华文细黑" w:cs="华文细黑" w:eastAsia="华文细黑" w:hint="default"/>
        </w:rPr>
        <w:t>1</w:t>
      </w:r>
      <w:r>
        <w:rPr/>
        <w:t>）了解、评估并测试有关收入循环的关键内部控制的设计和执行的有效性；</w:t>
      </w:r>
    </w:p>
    <w:p>
      <w:pPr>
        <w:spacing w:line="240" w:lineRule="auto" w:before="13"/>
        <w:rPr>
          <w:rFonts w:ascii="华文细黑" w:hAnsi="华文细黑" w:cs="华文细黑" w:eastAsia="华文细黑" w:hint="default"/>
          <w:sz w:val="22"/>
          <w:szCs w:val="22"/>
        </w:rPr>
      </w:pPr>
    </w:p>
    <w:p>
      <w:pPr>
        <w:pStyle w:val="BodyText"/>
        <w:spacing w:line="468" w:lineRule="auto"/>
        <w:ind w:right="1447" w:firstLine="420"/>
        <w:jc w:val="both"/>
      </w:pPr>
      <w:r>
        <w:rPr/>
        <w:t>（</w:t>
      </w:r>
      <w:r>
        <w:rPr>
          <w:rFonts w:ascii="华文细黑" w:hAnsi="华文细黑" w:cs="华文细黑" w:eastAsia="华文细黑" w:hint="default"/>
        </w:rPr>
        <w:t>2</w:t>
      </w:r>
      <w:r>
        <w:rPr/>
        <w:t>）通过审阅销售合同、销售支持性文件及对管理层进行访谈，评价公司的收入确认政策是 否符合企业会计准则的相关规定；</w:t>
      </w:r>
    </w:p>
    <w:p>
      <w:pPr>
        <w:pStyle w:val="BodyText"/>
        <w:spacing w:line="240" w:lineRule="auto" w:before="108"/>
        <w:ind w:left="560" w:right="1246"/>
        <w:jc w:val="left"/>
      </w:pPr>
      <w:r>
        <w:rPr/>
        <w:t>（</w:t>
      </w:r>
      <w:r>
        <w:rPr>
          <w:rFonts w:ascii="华文细黑" w:hAnsi="华文细黑" w:cs="华文细黑" w:eastAsia="华文细黑" w:hint="default"/>
        </w:rPr>
        <w:t>3</w:t>
      </w:r>
      <w:r>
        <w:rPr/>
        <w:t>）对销售收入按客户、产品、月份等进行分析性复核，检查是否存在明显异常的情况；</w:t>
      </w:r>
    </w:p>
    <w:p>
      <w:pPr>
        <w:spacing w:line="240" w:lineRule="auto" w:before="12"/>
        <w:rPr>
          <w:rFonts w:ascii="华文细黑" w:hAnsi="华文细黑" w:cs="华文细黑" w:eastAsia="华文细黑" w:hint="default"/>
          <w:sz w:val="22"/>
          <w:szCs w:val="22"/>
        </w:rPr>
      </w:pPr>
    </w:p>
    <w:p>
      <w:pPr>
        <w:pStyle w:val="BodyText"/>
        <w:spacing w:line="240" w:lineRule="auto"/>
        <w:ind w:left="560" w:right="1246"/>
        <w:jc w:val="left"/>
      </w:pPr>
      <w:r>
        <w:rPr/>
        <w:t>（</w:t>
      </w:r>
      <w:r>
        <w:rPr>
          <w:rFonts w:ascii="华文细黑" w:hAnsi="华文细黑" w:cs="华文细黑" w:eastAsia="华文细黑" w:hint="default"/>
        </w:rPr>
        <w:t>4</w:t>
      </w:r>
      <w:r>
        <w:rPr/>
        <w:t>）对销售收入进行抽样测试，检查销售合同、销售订单、物流签收单等支持性证据；</w:t>
      </w:r>
    </w:p>
    <w:p>
      <w:pPr>
        <w:spacing w:line="240" w:lineRule="auto" w:before="13"/>
        <w:rPr>
          <w:rFonts w:ascii="华文细黑" w:hAnsi="华文细黑" w:cs="华文细黑" w:eastAsia="华文细黑" w:hint="default"/>
          <w:sz w:val="22"/>
          <w:szCs w:val="22"/>
        </w:rPr>
      </w:pPr>
    </w:p>
    <w:p>
      <w:pPr>
        <w:pStyle w:val="BodyText"/>
        <w:spacing w:line="240" w:lineRule="auto"/>
        <w:ind w:left="560" w:right="1246"/>
        <w:jc w:val="left"/>
      </w:pPr>
      <w:r>
        <w:rPr/>
        <w:t>（</w:t>
      </w:r>
      <w:r>
        <w:rPr>
          <w:rFonts w:ascii="华文细黑" w:hAnsi="华文细黑" w:cs="华文细黑" w:eastAsia="华文细黑" w:hint="default"/>
        </w:rPr>
        <w:t>5</w:t>
      </w:r>
      <w:r>
        <w:rPr/>
        <w:t>）根据交易记录和款项余额选取样本，对应收账款余额执行函证程序；</w:t>
      </w:r>
    </w:p>
    <w:p>
      <w:pPr>
        <w:spacing w:after="0" w:line="240" w:lineRule="auto"/>
        <w:jc w:val="left"/>
        <w:sectPr>
          <w:pgSz w:w="11910" w:h="16840"/>
          <w:pgMar w:header="917" w:footer="1019" w:top="1100" w:bottom="1200" w:left="1300" w:right="0"/>
        </w:sectPr>
      </w:pPr>
    </w:p>
    <w:p>
      <w:pPr>
        <w:spacing w:line="240" w:lineRule="auto" w:before="0"/>
        <w:rPr>
          <w:rFonts w:ascii="华文细黑" w:hAnsi="华文细黑" w:cs="华文细黑" w:eastAsia="华文细黑" w:hint="default"/>
          <w:sz w:val="20"/>
          <w:szCs w:val="20"/>
        </w:rPr>
      </w:pPr>
    </w:p>
    <w:p>
      <w:pPr>
        <w:pStyle w:val="BodyText"/>
        <w:spacing w:line="240" w:lineRule="auto" w:before="158"/>
        <w:ind w:left="560" w:right="1246"/>
        <w:jc w:val="left"/>
      </w:pPr>
      <w:r>
        <w:rPr/>
        <w:t>（</w:t>
      </w:r>
      <w:r>
        <w:rPr>
          <w:rFonts w:ascii="华文细黑" w:hAnsi="华文细黑" w:cs="华文细黑" w:eastAsia="华文细黑" w:hint="default"/>
        </w:rPr>
        <w:t>6</w:t>
      </w:r>
      <w:r>
        <w:rPr/>
        <w:t>）结合年末存货盘点情况，检查是否存在已经开具发货单确认收入但存货尚未发出的情况；</w:t>
      </w:r>
    </w:p>
    <w:p>
      <w:pPr>
        <w:spacing w:line="240" w:lineRule="auto" w:before="13"/>
        <w:rPr>
          <w:rFonts w:ascii="华文细黑" w:hAnsi="华文细黑" w:cs="华文细黑" w:eastAsia="华文细黑" w:hint="default"/>
          <w:sz w:val="22"/>
          <w:szCs w:val="22"/>
        </w:rPr>
      </w:pPr>
    </w:p>
    <w:p>
      <w:pPr>
        <w:pStyle w:val="BodyText"/>
        <w:spacing w:line="240" w:lineRule="auto"/>
        <w:ind w:left="560" w:right="1246"/>
        <w:jc w:val="left"/>
      </w:pPr>
      <w:r>
        <w:rPr/>
        <w:t>（</w:t>
      </w:r>
      <w:r>
        <w:rPr>
          <w:rFonts w:ascii="华文细黑" w:hAnsi="华文细黑" w:cs="华文细黑" w:eastAsia="华文细黑" w:hint="default"/>
        </w:rPr>
        <w:t>7</w:t>
      </w:r>
      <w:r>
        <w:rPr/>
        <w:t>）获取期后退货记录进行检查，确认是否存在影响收入确认的重大异常退货情况；</w:t>
      </w:r>
    </w:p>
    <w:p>
      <w:pPr>
        <w:spacing w:line="240" w:lineRule="auto" w:before="12"/>
        <w:rPr>
          <w:rFonts w:ascii="华文细黑" w:hAnsi="华文细黑" w:cs="华文细黑" w:eastAsia="华文细黑" w:hint="default"/>
          <w:sz w:val="22"/>
          <w:szCs w:val="22"/>
        </w:rPr>
      </w:pPr>
    </w:p>
    <w:p>
      <w:pPr>
        <w:pStyle w:val="BodyText"/>
        <w:spacing w:line="470" w:lineRule="auto"/>
        <w:ind w:right="1246" w:firstLine="420"/>
        <w:jc w:val="left"/>
      </w:pPr>
      <w:r>
        <w:rPr/>
        <w:t>（</w:t>
      </w:r>
      <w:r>
        <w:rPr>
          <w:rFonts w:ascii="华文细黑" w:hAnsi="华文细黑" w:cs="华文细黑" w:eastAsia="华文细黑" w:hint="default"/>
        </w:rPr>
        <w:t>8</w:t>
      </w:r>
      <w:r>
        <w:rPr/>
        <w:t>）抽样检查销售合同中关于销售折扣折让的约定，复核销售折扣折让的计算并检查销售折 扣折让是否计入了正确的会计期间；</w:t>
      </w:r>
    </w:p>
    <w:p>
      <w:pPr>
        <w:pStyle w:val="BodyText"/>
        <w:spacing w:line="470" w:lineRule="auto" w:before="105"/>
        <w:ind w:right="1246" w:firstLine="420"/>
        <w:jc w:val="left"/>
      </w:pPr>
      <w:r>
        <w:rPr/>
        <w:t>（</w:t>
      </w:r>
      <w:r>
        <w:rPr>
          <w:rFonts w:ascii="华文细黑" w:hAnsi="华文细黑" w:cs="华文细黑" w:eastAsia="华文细黑" w:hint="default"/>
        </w:rPr>
        <w:t>9</w:t>
      </w:r>
      <w:r>
        <w:rPr/>
        <w:t>）针对资产负债表日前后确认的销售收入执行截止性测试，核对各项支持性文件，检查销 售收入是否记录于恰当的会计期间。</w:t>
      </w: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pStyle w:val="Heading5"/>
        <w:spacing w:line="501" w:lineRule="auto" w:before="160"/>
        <w:ind w:left="560" w:right="7503"/>
        <w:jc w:val="left"/>
        <w:rPr>
          <w:b w:val="0"/>
          <w:bCs w:val="0"/>
        </w:rPr>
      </w:pPr>
      <w:bookmarkStart w:name="（二）存货跌价准备的计提" w:id="202"/>
      <w:bookmarkEnd w:id="202"/>
      <w:r>
        <w:rPr>
          <w:b w:val="0"/>
          <w:bCs w:val="0"/>
        </w:rPr>
      </w:r>
      <w:r>
        <w:rPr/>
        <w:t>（二）存货跌价准备的计提</w:t>
      </w:r>
      <w:r>
        <w:rPr>
          <w:w w:val="99"/>
        </w:rPr>
        <w:t> </w:t>
      </w:r>
      <w:bookmarkStart w:name="1、事项描述" w:id="203"/>
      <w:bookmarkEnd w:id="203"/>
      <w:r>
        <w:rPr>
          <w:w w:val="99"/>
        </w:rPr>
      </w:r>
      <w:r>
        <w:rPr>
          <w:rFonts w:ascii="华文细黑" w:hAnsi="华文细黑" w:cs="华文细黑" w:eastAsia="华文细黑" w:hint="default"/>
        </w:rPr>
        <w:t>1</w:t>
      </w:r>
      <w:r>
        <w:rPr/>
        <w:t>、事项描述</w:t>
      </w:r>
      <w:r>
        <w:rPr>
          <w:b w:val="0"/>
          <w:bCs w:val="0"/>
        </w:rPr>
      </w:r>
    </w:p>
    <w:p>
      <w:pPr>
        <w:pStyle w:val="BodyText"/>
        <w:spacing w:line="240" w:lineRule="auto" w:before="75"/>
        <w:ind w:left="560" w:right="1246"/>
        <w:jc w:val="left"/>
      </w:pPr>
      <w:r>
        <w:rPr/>
        <w:t>相关信息披露参见财务报表附注“四、重要会计政策和会计估计”  </w:t>
      </w:r>
      <w:r>
        <w:rPr>
          <w:rFonts w:ascii="华文细黑" w:hAnsi="华文细黑" w:cs="华文细黑" w:eastAsia="华文细黑" w:hint="default"/>
        </w:rPr>
        <w:t>11</w:t>
      </w:r>
      <w:r>
        <w:rPr>
          <w:rFonts w:ascii="华文细黑" w:hAnsi="华文细黑" w:cs="华文细黑" w:eastAsia="华文细黑" w:hint="default"/>
          <w:spacing w:val="23"/>
        </w:rPr>
        <w:t> </w:t>
      </w:r>
      <w:r>
        <w:rPr/>
        <w:t>及“六、合并财务报表</w:t>
      </w:r>
    </w:p>
    <w:p>
      <w:pPr>
        <w:spacing w:line="240" w:lineRule="auto" w:before="2"/>
        <w:rPr>
          <w:rFonts w:ascii="华文细黑" w:hAnsi="华文细黑" w:cs="华文细黑" w:eastAsia="华文细黑" w:hint="default"/>
          <w:sz w:val="20"/>
          <w:szCs w:val="20"/>
        </w:rPr>
      </w:pPr>
    </w:p>
    <w:p>
      <w:pPr>
        <w:pStyle w:val="BodyText"/>
        <w:spacing w:line="240" w:lineRule="auto"/>
        <w:ind w:right="1246"/>
        <w:jc w:val="left"/>
      </w:pPr>
      <w:r>
        <w:rPr/>
        <w:t>项目注释”</w:t>
      </w:r>
      <w:r>
        <w:rPr>
          <w:rFonts w:ascii="华文细黑" w:hAnsi="华文细黑" w:cs="华文细黑" w:eastAsia="华文细黑" w:hint="default"/>
        </w:rPr>
        <w:t>6</w:t>
      </w:r>
      <w:r>
        <w:rPr/>
        <w:t>。爱施德公司 </w:t>
      </w:r>
      <w:r>
        <w:rPr>
          <w:rFonts w:ascii="华文细黑" w:hAnsi="华文细黑" w:cs="华文细黑" w:eastAsia="华文细黑" w:hint="default"/>
        </w:rPr>
        <w:t>2018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31 </w:t>
      </w:r>
      <w:r>
        <w:rPr/>
        <w:t>日存货账面余额为 </w:t>
      </w:r>
      <w:r>
        <w:rPr>
          <w:rFonts w:ascii="华文细黑" w:hAnsi="华文细黑" w:cs="华文细黑" w:eastAsia="华文细黑" w:hint="default"/>
        </w:rPr>
        <w:t>245,447.77</w:t>
      </w:r>
      <w:r>
        <w:rPr>
          <w:rFonts w:ascii="华文细黑" w:hAnsi="华文细黑" w:cs="华文细黑" w:eastAsia="华文细黑" w:hint="default"/>
          <w:spacing w:val="-1"/>
        </w:rPr>
        <w:t> </w:t>
      </w:r>
      <w:r>
        <w:rPr/>
        <w:t>万元，跌价准备余额为</w:t>
      </w:r>
    </w:p>
    <w:p>
      <w:pPr>
        <w:spacing w:line="240" w:lineRule="auto" w:before="1"/>
        <w:rPr>
          <w:rFonts w:ascii="华文细黑" w:hAnsi="华文细黑" w:cs="华文细黑" w:eastAsia="华文细黑" w:hint="default"/>
          <w:sz w:val="20"/>
          <w:szCs w:val="20"/>
        </w:rPr>
      </w:pPr>
    </w:p>
    <w:p>
      <w:pPr>
        <w:pStyle w:val="BodyText"/>
        <w:spacing w:line="501" w:lineRule="auto"/>
        <w:ind w:left="560" w:right="1246" w:hanging="421"/>
        <w:jc w:val="left"/>
      </w:pPr>
      <w:r>
        <w:rPr>
          <w:rFonts w:ascii="华文细黑" w:hAnsi="华文细黑" w:cs="华文细黑" w:eastAsia="华文细黑" w:hint="default"/>
        </w:rPr>
        <w:t>9,928.41 </w:t>
      </w:r>
      <w:r>
        <w:rPr/>
        <w:t>万元，账面价值为 </w:t>
      </w:r>
      <w:r>
        <w:rPr>
          <w:rFonts w:ascii="华文细黑" w:hAnsi="华文细黑" w:cs="华文细黑" w:eastAsia="华文细黑" w:hint="default"/>
        </w:rPr>
        <w:t>235,519.36 </w:t>
      </w:r>
      <w:r>
        <w:rPr/>
        <w:t>万元，占财务报表合并资产总额的</w:t>
      </w:r>
      <w:r>
        <w:rPr>
          <w:spacing w:val="-1"/>
        </w:rPr>
        <w:t> </w:t>
      </w:r>
      <w:r>
        <w:rPr>
          <w:rFonts w:ascii="华文细黑" w:hAnsi="华文细黑" w:cs="华文细黑" w:eastAsia="华文细黑" w:hint="default"/>
        </w:rPr>
        <w:t>22.98%</w:t>
      </w:r>
      <w:r>
        <w:rPr/>
        <w:t>。 </w:t>
      </w:r>
      <w:r>
        <w:rPr>
          <w:spacing w:val="-1"/>
        </w:rPr>
        <w:t>由于存货金额重大，且存货跌价准备的计提涉及重大会计估计和判断，故我们将存货跌价准备</w:t>
      </w:r>
    </w:p>
    <w:p>
      <w:pPr>
        <w:spacing w:line="501" w:lineRule="auto" w:before="36"/>
        <w:ind w:left="560" w:right="7717" w:hanging="421"/>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的计提确定为关键审计事项。 </w:t>
      </w:r>
      <w:bookmarkStart w:name="2、审计应对" w:id="204"/>
      <w:bookmarkEnd w:id="204"/>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、审计应对</w:t>
      </w:r>
      <w:r>
        <w:rPr>
          <w:rFonts w:ascii="华文细黑" w:hAnsi="华文细黑" w:cs="华文细黑" w:eastAsia="华文细黑" w:hint="default"/>
          <w:sz w:val="21"/>
          <w:szCs w:val="21"/>
        </w:rPr>
      </w:r>
    </w:p>
    <w:p>
      <w:pPr>
        <w:pStyle w:val="BodyText"/>
        <w:spacing w:line="240" w:lineRule="auto" w:before="75"/>
        <w:ind w:left="560" w:right="1246"/>
        <w:jc w:val="left"/>
      </w:pPr>
      <w:r>
        <w:rPr/>
        <w:t>针对存货跌价准备的计提，我们执行的审计程序主要包括：</w:t>
      </w:r>
    </w:p>
    <w:p>
      <w:pPr>
        <w:spacing w:line="240" w:lineRule="auto" w:before="13"/>
        <w:rPr>
          <w:rFonts w:ascii="华文细黑" w:hAnsi="华文细黑" w:cs="华文细黑" w:eastAsia="华文细黑" w:hint="default"/>
          <w:sz w:val="22"/>
          <w:szCs w:val="22"/>
        </w:rPr>
      </w:pPr>
    </w:p>
    <w:p>
      <w:pPr>
        <w:pStyle w:val="BodyText"/>
        <w:spacing w:line="240" w:lineRule="auto"/>
        <w:ind w:left="560" w:right="1246"/>
        <w:jc w:val="left"/>
      </w:pPr>
      <w:r>
        <w:rPr/>
        <w:t>（</w:t>
      </w:r>
      <w:r>
        <w:rPr>
          <w:rFonts w:ascii="华文细黑" w:hAnsi="华文细黑" w:cs="华文细黑" w:eastAsia="华文细黑" w:hint="default"/>
        </w:rPr>
        <w:t>1</w:t>
      </w:r>
      <w:r>
        <w:rPr/>
        <w:t>）评价、测试与存货跌价准备计提相关的关键内部控制的设计和执行的有效性；</w:t>
      </w:r>
    </w:p>
    <w:p>
      <w:pPr>
        <w:spacing w:line="240" w:lineRule="auto" w:before="13"/>
        <w:rPr>
          <w:rFonts w:ascii="华文细黑" w:hAnsi="华文细黑" w:cs="华文细黑" w:eastAsia="华文细黑" w:hint="default"/>
          <w:sz w:val="22"/>
          <w:szCs w:val="22"/>
        </w:rPr>
      </w:pPr>
    </w:p>
    <w:p>
      <w:pPr>
        <w:pStyle w:val="BodyText"/>
        <w:spacing w:line="468" w:lineRule="auto"/>
        <w:ind w:right="1246" w:firstLine="420"/>
        <w:jc w:val="left"/>
      </w:pPr>
      <w:r>
        <w:rPr/>
        <w:t>（</w:t>
      </w:r>
      <w:r>
        <w:rPr>
          <w:rFonts w:ascii="华文细黑" w:hAnsi="华文细黑" w:cs="华文细黑" w:eastAsia="华文细黑" w:hint="default"/>
        </w:rPr>
        <w:t>2</w:t>
      </w:r>
      <w:r>
        <w:rPr/>
        <w:t>）结合存货监盘程序，检查存货的数量及状况，关注存在减值迹象的存货（如库龄较长和 存在质量问题的存货）是否均被识别；</w:t>
      </w:r>
    </w:p>
    <w:p>
      <w:pPr>
        <w:pStyle w:val="BodyText"/>
        <w:spacing w:line="240" w:lineRule="auto" w:before="108"/>
        <w:ind w:left="560" w:right="1246"/>
        <w:jc w:val="left"/>
      </w:pPr>
      <w:r>
        <w:rPr/>
        <w:t>（</w:t>
      </w:r>
      <w:r>
        <w:rPr>
          <w:rFonts w:ascii="华文细黑" w:hAnsi="华文细黑" w:cs="华文细黑" w:eastAsia="华文细黑" w:hint="default"/>
        </w:rPr>
        <w:t>3</w:t>
      </w:r>
      <w:r>
        <w:rPr/>
        <w:t>）通过检查原始凭证，对存货货龄的划分进行测试；</w:t>
      </w:r>
    </w:p>
    <w:p>
      <w:pPr>
        <w:spacing w:line="240" w:lineRule="auto" w:before="12"/>
        <w:rPr>
          <w:rFonts w:ascii="华文细黑" w:hAnsi="华文细黑" w:cs="华文细黑" w:eastAsia="华文细黑" w:hint="default"/>
          <w:sz w:val="22"/>
          <w:szCs w:val="22"/>
        </w:rPr>
      </w:pPr>
    </w:p>
    <w:p>
      <w:pPr>
        <w:pStyle w:val="BodyText"/>
        <w:spacing w:line="470" w:lineRule="auto"/>
        <w:ind w:right="1246" w:firstLine="420"/>
        <w:jc w:val="left"/>
      </w:pPr>
      <w:r>
        <w:rPr/>
        <w:t>（</w:t>
      </w:r>
      <w:r>
        <w:rPr>
          <w:rFonts w:ascii="华文细黑" w:hAnsi="华文细黑" w:cs="华文细黑" w:eastAsia="华文细黑" w:hint="default"/>
        </w:rPr>
        <w:t>4</w:t>
      </w:r>
      <w:r>
        <w:rPr/>
        <w:t>）获取并检查存货跌价准备计提明细表，评估管理层在存货跌价准备测试中使用的相关假 设及参数设置，包括预计售价、销售费用和相关税费等，并执行重新计算程序；</w:t>
      </w:r>
    </w:p>
    <w:p>
      <w:pPr>
        <w:pStyle w:val="BodyText"/>
        <w:spacing w:line="240" w:lineRule="auto" w:before="105"/>
        <w:ind w:left="560" w:right="1246"/>
        <w:jc w:val="left"/>
      </w:pPr>
      <w:r>
        <w:rPr/>
        <w:t>（</w:t>
      </w:r>
      <w:r>
        <w:rPr>
          <w:rFonts w:ascii="华文细黑" w:hAnsi="华文细黑" w:cs="华文细黑" w:eastAsia="华文细黑" w:hint="default"/>
        </w:rPr>
        <w:t>5</w:t>
      </w:r>
      <w:r>
        <w:rPr/>
        <w:t>）检查资产负债表日后存货的销售情况，评估存货跌价准备计提的合理性。</w:t>
      </w:r>
    </w:p>
    <w:p>
      <w:pPr>
        <w:spacing w:after="0" w:line="240" w:lineRule="auto"/>
        <w:jc w:val="left"/>
        <w:sectPr>
          <w:pgSz w:w="11910" w:h="16840"/>
          <w:pgMar w:header="917" w:footer="1019" w:top="1100" w:bottom="1200" w:left="1300" w:right="0"/>
        </w:sectPr>
      </w:pPr>
    </w:p>
    <w:p>
      <w:pPr>
        <w:spacing w:line="240" w:lineRule="auto" w:before="0"/>
        <w:rPr>
          <w:rFonts w:ascii="华文细黑" w:hAnsi="华文细黑" w:cs="华文细黑" w:eastAsia="华文细黑" w:hint="default"/>
          <w:sz w:val="20"/>
          <w:szCs w:val="20"/>
        </w:rPr>
      </w:pPr>
    </w:p>
    <w:p>
      <w:pPr>
        <w:pStyle w:val="Heading5"/>
        <w:spacing w:line="501" w:lineRule="auto" w:before="158"/>
        <w:ind w:left="560" w:right="7714"/>
        <w:jc w:val="left"/>
        <w:rPr>
          <w:b w:val="0"/>
          <w:bCs w:val="0"/>
        </w:rPr>
      </w:pPr>
      <w:bookmarkStart w:name="（三）应收账款坏账准备" w:id="205"/>
      <w:bookmarkEnd w:id="205"/>
      <w:r>
        <w:rPr>
          <w:b w:val="0"/>
          <w:bCs w:val="0"/>
        </w:rPr>
      </w:r>
      <w:r>
        <w:rPr/>
        <w:t>（三）应收账款坏账准备</w:t>
      </w:r>
      <w:r>
        <w:rPr>
          <w:w w:val="99"/>
        </w:rPr>
        <w:t> </w:t>
      </w:r>
      <w:bookmarkStart w:name="1、事项描述" w:id="206"/>
      <w:bookmarkEnd w:id="206"/>
      <w:r>
        <w:rPr>
          <w:w w:val="99"/>
        </w:rPr>
      </w:r>
      <w:r>
        <w:rPr>
          <w:rFonts w:ascii="华文细黑" w:hAnsi="华文细黑" w:cs="华文细黑" w:eastAsia="华文细黑" w:hint="default"/>
        </w:rPr>
        <w:t>1</w:t>
      </w:r>
      <w:r>
        <w:rPr/>
        <w:t>、事项描述</w:t>
      </w:r>
      <w:r>
        <w:rPr>
          <w:b w:val="0"/>
          <w:bCs w:val="0"/>
        </w:rPr>
      </w:r>
    </w:p>
    <w:p>
      <w:pPr>
        <w:pStyle w:val="BodyText"/>
        <w:spacing w:line="240" w:lineRule="auto" w:before="76"/>
        <w:ind w:left="560" w:right="1246"/>
        <w:jc w:val="left"/>
      </w:pPr>
      <w:r>
        <w:rPr/>
        <w:t>相关信息披露参见财务报表附注“四、重要会计政策和会计估计”  </w:t>
      </w:r>
      <w:r>
        <w:rPr>
          <w:rFonts w:ascii="华文细黑" w:hAnsi="华文细黑" w:cs="华文细黑" w:eastAsia="华文细黑" w:hint="default"/>
        </w:rPr>
        <w:t>10</w:t>
      </w:r>
      <w:r>
        <w:rPr>
          <w:rFonts w:ascii="华文细黑" w:hAnsi="华文细黑" w:cs="华文细黑" w:eastAsia="华文细黑" w:hint="default"/>
          <w:spacing w:val="24"/>
        </w:rPr>
        <w:t> </w:t>
      </w:r>
      <w:r>
        <w:rPr/>
        <w:t>及“六、合并财务报表</w:t>
      </w:r>
    </w:p>
    <w:p>
      <w:pPr>
        <w:spacing w:line="240" w:lineRule="auto" w:before="2"/>
        <w:rPr>
          <w:rFonts w:ascii="华文细黑" w:hAnsi="华文细黑" w:cs="华文细黑" w:eastAsia="华文细黑" w:hint="default"/>
          <w:sz w:val="20"/>
          <w:szCs w:val="20"/>
        </w:rPr>
      </w:pPr>
    </w:p>
    <w:p>
      <w:pPr>
        <w:pStyle w:val="BodyText"/>
        <w:spacing w:line="240" w:lineRule="auto"/>
        <w:ind w:right="1246"/>
        <w:jc w:val="left"/>
      </w:pPr>
      <w:r>
        <w:rPr/>
        <w:t>项目注释”</w:t>
      </w:r>
      <w:r>
        <w:rPr>
          <w:rFonts w:ascii="华文细黑" w:hAnsi="华文细黑" w:cs="华文细黑" w:eastAsia="华文细黑" w:hint="default"/>
        </w:rPr>
        <w:t>3</w:t>
      </w:r>
      <w:r>
        <w:rPr/>
        <w:t>。截至 </w:t>
      </w:r>
      <w:r>
        <w:rPr>
          <w:rFonts w:ascii="华文细黑" w:hAnsi="华文细黑" w:cs="华文细黑" w:eastAsia="华文细黑" w:hint="default"/>
        </w:rPr>
        <w:t>2018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31 </w:t>
      </w:r>
      <w:r>
        <w:rPr/>
        <w:t>日止，爱施德公司的应收账款账面余额为 </w:t>
      </w:r>
      <w:r>
        <w:rPr>
          <w:rFonts w:ascii="华文细黑" w:hAnsi="华文细黑" w:cs="华文细黑" w:eastAsia="华文细黑" w:hint="default"/>
        </w:rPr>
        <w:t>160,940.51</w:t>
      </w:r>
      <w:r>
        <w:rPr>
          <w:rFonts w:ascii="华文细黑" w:hAnsi="华文细黑" w:cs="华文细黑" w:eastAsia="华文细黑" w:hint="default"/>
          <w:spacing w:val="-1"/>
        </w:rPr>
        <w:t> </w:t>
      </w:r>
      <w:r>
        <w:rPr/>
        <w:t>万元，</w:t>
      </w:r>
    </w:p>
    <w:p>
      <w:pPr>
        <w:spacing w:line="240" w:lineRule="auto" w:before="1"/>
        <w:rPr>
          <w:rFonts w:ascii="华文细黑" w:hAnsi="华文细黑" w:cs="华文细黑" w:eastAsia="华文细黑" w:hint="default"/>
          <w:sz w:val="20"/>
          <w:szCs w:val="20"/>
        </w:rPr>
      </w:pPr>
    </w:p>
    <w:p>
      <w:pPr>
        <w:pStyle w:val="BodyText"/>
        <w:spacing w:line="501" w:lineRule="auto"/>
        <w:ind w:left="560" w:right="1416" w:hanging="421"/>
        <w:jc w:val="left"/>
      </w:pPr>
      <w:r>
        <w:rPr/>
        <w:t>坏账准备 </w:t>
      </w:r>
      <w:r>
        <w:rPr>
          <w:rFonts w:ascii="华文细黑" w:hAnsi="华文细黑" w:cs="华文细黑" w:eastAsia="华文细黑" w:hint="default"/>
        </w:rPr>
        <w:t>2,504.14 </w:t>
      </w:r>
      <w:r>
        <w:rPr/>
        <w:t>万元，账面价值为 </w:t>
      </w:r>
      <w:r>
        <w:rPr>
          <w:rFonts w:ascii="华文细黑" w:hAnsi="华文细黑" w:cs="华文细黑" w:eastAsia="华文细黑" w:hint="default"/>
        </w:rPr>
        <w:t>158,436.37 </w:t>
      </w:r>
      <w:r>
        <w:rPr/>
        <w:t>万元，占财务报表合并资产总额的</w:t>
      </w:r>
      <w:r>
        <w:rPr>
          <w:spacing w:val="-1"/>
        </w:rPr>
        <w:t> </w:t>
      </w:r>
      <w:r>
        <w:rPr>
          <w:rFonts w:ascii="华文细黑" w:hAnsi="华文细黑" w:cs="华文细黑" w:eastAsia="华文细黑" w:hint="default"/>
        </w:rPr>
        <w:t>15.46%</w:t>
      </w:r>
      <w:r>
        <w:rPr/>
        <w:t>。 由于上述应收账款金额对爱施德公司合并财务报表而言是重大的，而且对上述应收账款余额可</w:t>
      </w:r>
    </w:p>
    <w:p>
      <w:pPr>
        <w:pStyle w:val="BodyText"/>
        <w:spacing w:line="501" w:lineRule="auto" w:before="36"/>
        <w:ind w:left="560" w:right="2887" w:hanging="421"/>
        <w:jc w:val="left"/>
        <w:rPr>
          <w:rFonts w:ascii="华文细黑" w:hAnsi="华文细黑" w:cs="华文细黑" w:eastAsia="华文细黑" w:hint="default"/>
        </w:rPr>
      </w:pPr>
      <w:r>
        <w:rPr/>
        <w:t>收回性的评估涉及重大判断。因此，我们将应收账款坏账准备作为关键审计事项。 </w:t>
      </w:r>
      <w:bookmarkStart w:name="2、审计应对" w:id="207"/>
      <w:bookmarkEnd w:id="207"/>
      <w:r>
        <w:rPr/>
      </w:r>
      <w:r>
        <w:rPr>
          <w:rFonts w:ascii="华文细黑" w:hAnsi="华文细黑" w:cs="华文细黑" w:eastAsia="华文细黑" w:hint="default"/>
          <w:b/>
          <w:bCs/>
        </w:rPr>
        <w:t>2</w:t>
      </w:r>
      <w:r>
        <w:rPr>
          <w:rFonts w:ascii="华文细黑" w:hAnsi="华文细黑" w:cs="华文细黑" w:eastAsia="华文细黑" w:hint="default"/>
          <w:b/>
          <w:bCs/>
        </w:rPr>
        <w:t>、审计应对</w:t>
      </w:r>
      <w:r>
        <w:rPr>
          <w:rFonts w:ascii="华文细黑" w:hAnsi="华文细黑" w:cs="华文细黑" w:eastAsia="华文细黑" w:hint="default"/>
        </w:rPr>
      </w:r>
    </w:p>
    <w:p>
      <w:pPr>
        <w:pStyle w:val="BodyText"/>
        <w:spacing w:line="240" w:lineRule="auto" w:before="75"/>
        <w:ind w:left="560" w:right="1246"/>
        <w:jc w:val="left"/>
      </w:pPr>
      <w:r>
        <w:rPr/>
        <w:t>针对应收账款坏账准备，我们执行的审计程序主要包括：</w:t>
      </w:r>
    </w:p>
    <w:p>
      <w:pPr>
        <w:spacing w:line="240" w:lineRule="auto" w:before="13"/>
        <w:rPr>
          <w:rFonts w:ascii="华文细黑" w:hAnsi="华文细黑" w:cs="华文细黑" w:eastAsia="华文细黑" w:hint="default"/>
          <w:sz w:val="22"/>
          <w:szCs w:val="22"/>
        </w:rPr>
      </w:pPr>
    </w:p>
    <w:p>
      <w:pPr>
        <w:pStyle w:val="BodyText"/>
        <w:spacing w:line="468" w:lineRule="auto"/>
        <w:ind w:right="1246" w:firstLine="420"/>
        <w:jc w:val="left"/>
      </w:pPr>
      <w:r>
        <w:rPr/>
        <w:t>（</w:t>
      </w:r>
      <w:r>
        <w:rPr>
          <w:rFonts w:ascii="华文细黑" w:hAnsi="华文细黑" w:cs="华文细黑" w:eastAsia="华文细黑" w:hint="default"/>
        </w:rPr>
        <w:t>1</w:t>
      </w:r>
      <w:r>
        <w:rPr/>
        <w:t>）评价、测试管理层评估和确定应收账款减值的内部控制，包括有关识别减值客观证据、 确定坏账准备计提方法和计算坏账准备金额的控制；</w:t>
      </w:r>
    </w:p>
    <w:p>
      <w:pPr>
        <w:pStyle w:val="BodyText"/>
        <w:spacing w:line="240" w:lineRule="auto" w:before="109"/>
        <w:ind w:left="560" w:right="1246"/>
        <w:jc w:val="left"/>
      </w:pPr>
      <w:r>
        <w:rPr/>
        <w:t>（</w:t>
      </w:r>
      <w:r>
        <w:rPr>
          <w:rFonts w:ascii="华文细黑" w:hAnsi="华文细黑" w:cs="华文细黑" w:eastAsia="华文细黑" w:hint="default"/>
        </w:rPr>
        <w:t>2</w:t>
      </w:r>
      <w:r>
        <w:rPr/>
        <w:t>）选取样本对管理层所编制的应收账款的账龄准确性进行测试；</w:t>
      </w:r>
    </w:p>
    <w:p>
      <w:pPr>
        <w:spacing w:line="240" w:lineRule="auto" w:before="13"/>
        <w:rPr>
          <w:rFonts w:ascii="华文细黑" w:hAnsi="华文细黑" w:cs="华文细黑" w:eastAsia="华文细黑" w:hint="default"/>
          <w:sz w:val="22"/>
          <w:szCs w:val="22"/>
        </w:rPr>
      </w:pPr>
    </w:p>
    <w:p>
      <w:pPr>
        <w:pStyle w:val="BodyText"/>
        <w:spacing w:line="240" w:lineRule="auto"/>
        <w:ind w:left="560" w:right="1246"/>
        <w:jc w:val="left"/>
      </w:pPr>
      <w:r>
        <w:rPr/>
        <w:t>（</w:t>
      </w:r>
      <w:r>
        <w:rPr>
          <w:rFonts w:ascii="华文细黑" w:hAnsi="华文细黑" w:cs="华文细黑" w:eastAsia="华文细黑" w:hint="default"/>
        </w:rPr>
        <w:t>3</w:t>
      </w:r>
      <w:r>
        <w:rPr/>
        <w:t>）复核管理层有关应收账款坏账准备计提会计政策的合理性及一致性；</w:t>
      </w:r>
    </w:p>
    <w:p>
      <w:pPr>
        <w:spacing w:line="240" w:lineRule="auto" w:before="12"/>
        <w:rPr>
          <w:rFonts w:ascii="华文细黑" w:hAnsi="华文细黑" w:cs="华文细黑" w:eastAsia="华文细黑" w:hint="default"/>
          <w:sz w:val="22"/>
          <w:szCs w:val="22"/>
        </w:rPr>
      </w:pPr>
    </w:p>
    <w:p>
      <w:pPr>
        <w:pStyle w:val="BodyText"/>
        <w:spacing w:line="470" w:lineRule="auto"/>
        <w:ind w:right="1439" w:firstLine="420"/>
        <w:jc w:val="both"/>
      </w:pPr>
      <w:r>
        <w:rPr/>
        <w:t>（</w:t>
      </w:r>
      <w:r>
        <w:rPr>
          <w:rFonts w:ascii="华文细黑" w:hAnsi="华文细黑" w:cs="华文细黑" w:eastAsia="华文细黑" w:hint="default"/>
        </w:rPr>
        <w:t>4</w:t>
      </w:r>
      <w:r>
        <w:rPr/>
        <w:t>）获取管理层对大额应收账款可回收性评估的资料，选取金额重大或高风险的应收账款， </w:t>
      </w:r>
      <w:r>
        <w:rPr>
          <w:spacing w:val="-1"/>
        </w:rPr>
        <w:t>通过对客户背景的调查、了解客户的经营现状，查阅历史交易和还款情况等程序中获得的证据来评</w:t>
      </w:r>
      <w:r>
        <w:rPr>
          <w:spacing w:val="-16"/>
        </w:rPr>
        <w:t> </w:t>
      </w:r>
      <w:r>
        <w:rPr>
          <w:spacing w:val="-16"/>
        </w:rPr>
      </w:r>
      <w:r>
        <w:rPr/>
        <w:t>估管理层判断的合理性。</w:t>
      </w:r>
    </w:p>
    <w:p>
      <w:pPr>
        <w:pStyle w:val="BodyText"/>
        <w:spacing w:line="468" w:lineRule="auto" w:before="106"/>
        <w:ind w:right="1246" w:firstLine="420"/>
        <w:jc w:val="left"/>
      </w:pPr>
      <w:r>
        <w:rPr/>
        <w:t>（</w:t>
      </w:r>
      <w:r>
        <w:rPr>
          <w:rFonts w:ascii="华文细黑" w:hAnsi="华文细黑" w:cs="华文细黑" w:eastAsia="华文细黑" w:hint="default"/>
        </w:rPr>
        <w:t>5</w:t>
      </w:r>
      <w:r>
        <w:rPr/>
        <w:t>）结合信用风险特征、账龄分析以及应收账款期后回款情况测试，评价、测试管理层对应 收账款坏账准备计提的准确性。</w:t>
      </w: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pStyle w:val="Heading5"/>
        <w:spacing w:line="240" w:lineRule="auto" w:before="163"/>
        <w:ind w:left="560" w:right="1246"/>
        <w:jc w:val="left"/>
        <w:rPr>
          <w:b w:val="0"/>
          <w:bCs w:val="0"/>
        </w:rPr>
      </w:pPr>
      <w:bookmarkStart w:name="四、其他信息" w:id="208"/>
      <w:bookmarkEnd w:id="208"/>
      <w:r>
        <w:rPr>
          <w:b w:val="0"/>
          <w:bCs w:val="0"/>
        </w:rPr>
      </w:r>
      <w:r>
        <w:rPr/>
        <w:t>四、其他信息</w:t>
      </w:r>
      <w:r>
        <w:rPr>
          <w:b w:val="0"/>
          <w:bCs w:val="0"/>
        </w:rPr>
      </w:r>
    </w:p>
    <w:p>
      <w:pPr>
        <w:spacing w:line="240" w:lineRule="auto" w:before="13"/>
        <w:rPr>
          <w:rFonts w:ascii="华文细黑" w:hAnsi="华文细黑" w:cs="华文细黑" w:eastAsia="华文细黑" w:hint="default"/>
          <w:b/>
          <w:bCs/>
          <w:sz w:val="22"/>
          <w:szCs w:val="22"/>
        </w:rPr>
      </w:pPr>
    </w:p>
    <w:p>
      <w:pPr>
        <w:pStyle w:val="BodyText"/>
        <w:spacing w:line="470" w:lineRule="auto"/>
        <w:ind w:right="1246" w:firstLine="420"/>
        <w:jc w:val="left"/>
      </w:pPr>
      <w:r>
        <w:rPr/>
        <w:t>爱施德公司管理层对其他信息负责。其他信息包括 </w:t>
      </w:r>
      <w:r>
        <w:rPr>
          <w:rFonts w:ascii="华文细黑" w:hAnsi="华文细黑" w:cs="华文细黑" w:eastAsia="华文细黑" w:hint="default"/>
        </w:rPr>
        <w:t>2018</w:t>
      </w:r>
      <w:r>
        <w:rPr>
          <w:rFonts w:ascii="华文细黑" w:hAnsi="华文细黑" w:cs="华文细黑" w:eastAsia="华文细黑" w:hint="default"/>
          <w:spacing w:val="2"/>
        </w:rPr>
        <w:t> </w:t>
      </w:r>
      <w:r>
        <w:rPr/>
        <w:t>年年度报告中涵盖的信息，但不包括 财务报表和我们的审计报告。</w:t>
      </w:r>
    </w:p>
    <w:p>
      <w:pPr>
        <w:pStyle w:val="BodyText"/>
        <w:spacing w:line="240" w:lineRule="auto" w:before="106"/>
        <w:ind w:left="560" w:right="1246"/>
        <w:jc w:val="left"/>
      </w:pPr>
      <w:r>
        <w:rPr/>
        <w:t>我们对财务报表发表的审计意见不涵盖其他信息，我们也不对其他信息发表任何形式的鉴证结</w:t>
      </w:r>
    </w:p>
    <w:p>
      <w:pPr>
        <w:spacing w:after="0" w:line="240" w:lineRule="auto"/>
        <w:jc w:val="left"/>
        <w:sectPr>
          <w:pgSz w:w="11910" w:h="16840"/>
          <w:pgMar w:header="917" w:footer="1019" w:top="1100" w:bottom="1200" w:left="1300" w:right="0"/>
        </w:sectPr>
      </w:pPr>
    </w:p>
    <w:p>
      <w:pPr>
        <w:spacing w:line="240" w:lineRule="auto" w:before="0"/>
        <w:rPr>
          <w:rFonts w:ascii="华文细黑" w:hAnsi="华文细黑" w:cs="华文细黑" w:eastAsia="华文细黑" w:hint="default"/>
          <w:sz w:val="20"/>
          <w:szCs w:val="20"/>
        </w:rPr>
      </w:pPr>
    </w:p>
    <w:p>
      <w:pPr>
        <w:pStyle w:val="BodyText"/>
        <w:spacing w:line="240" w:lineRule="auto" w:before="158"/>
        <w:ind w:right="1246"/>
        <w:jc w:val="left"/>
      </w:pPr>
      <w:r>
        <w:rPr/>
        <w:t>论。</w:t>
      </w:r>
    </w:p>
    <w:p>
      <w:pPr>
        <w:spacing w:line="240" w:lineRule="auto" w:before="3"/>
        <w:rPr>
          <w:rFonts w:ascii="华文细黑" w:hAnsi="华文细黑" w:cs="华文细黑" w:eastAsia="华文细黑" w:hint="default"/>
          <w:sz w:val="22"/>
          <w:szCs w:val="22"/>
        </w:rPr>
      </w:pPr>
    </w:p>
    <w:p>
      <w:pPr>
        <w:pStyle w:val="BodyText"/>
        <w:spacing w:line="470" w:lineRule="auto" w:before="10"/>
        <w:ind w:right="1246" w:firstLine="420"/>
        <w:jc w:val="left"/>
      </w:pPr>
      <w:r>
        <w:rPr/>
        <w:t>结合我们对财务报表的审计，我们的责任是阅读其他信息，在此过程中，考虑其他信息是否与 财务报表或我们在审计过程中了解到的情况存在重大不一致或者似乎存在重大错报。</w:t>
      </w:r>
    </w:p>
    <w:p>
      <w:pPr>
        <w:pStyle w:val="BodyText"/>
        <w:spacing w:line="468" w:lineRule="auto" w:before="106"/>
        <w:ind w:right="1246" w:firstLine="420"/>
        <w:jc w:val="left"/>
      </w:pPr>
      <w:r>
        <w:rPr/>
        <w:t>基于我们已执行的工作，如果我们确定其他信息存在重大错报，我们应当报告该事实。在这方 面，我们无任何事项需要报告。</w:t>
      </w: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501" w:lineRule="auto" w:before="163"/>
        <w:ind w:left="560" w:right="1246" w:firstLine="0"/>
        <w:jc w:val="left"/>
        <w:rPr>
          <w:rFonts w:ascii="华文细黑" w:hAnsi="华文细黑" w:cs="华文细黑" w:eastAsia="华文细黑" w:hint="default"/>
          <w:sz w:val="21"/>
          <w:szCs w:val="21"/>
        </w:rPr>
      </w:pPr>
      <w:bookmarkStart w:name="五、管理层和治理层对财务报表的责任" w:id="209"/>
      <w:bookmarkEnd w:id="209"/>
      <w:r>
        <w:rPr/>
      </w:r>
      <w:r>
        <w:rPr>
          <w:rFonts w:ascii="华文细黑" w:hAnsi="华文细黑" w:cs="华文细黑" w:eastAsia="华文细黑" w:hint="default"/>
          <w:b/>
          <w:bCs/>
          <w:sz w:val="21"/>
          <w:szCs w:val="21"/>
        </w:rPr>
        <w:t>五、管理层和治理层对财务报表的责任</w:t>
      </w:r>
      <w:r>
        <w:rPr>
          <w:rFonts w:ascii="华文细黑" w:hAnsi="华文细黑" w:cs="华文细黑" w:eastAsia="华文细黑" w:hint="default"/>
          <w:b/>
          <w:bCs/>
          <w:w w:val="99"/>
          <w:sz w:val="21"/>
          <w:szCs w:val="21"/>
        </w:rPr>
        <w:t> </w:t>
      </w:r>
      <w:r>
        <w:rPr>
          <w:rFonts w:ascii="华文细黑" w:hAnsi="华文细黑" w:cs="华文细黑" w:eastAsia="华文细黑" w:hint="default"/>
          <w:spacing w:val="-1"/>
          <w:sz w:val="21"/>
          <w:szCs w:val="21"/>
        </w:rPr>
        <w:t>爱施德公司管理层（以下简称管理层）负责按照企业会计准则的规定编制财务报表，使其实现</w:t>
      </w:r>
    </w:p>
    <w:p>
      <w:pPr>
        <w:pStyle w:val="BodyText"/>
        <w:spacing w:line="470" w:lineRule="auto" w:before="36"/>
        <w:ind w:right="1438"/>
        <w:jc w:val="both"/>
      </w:pPr>
      <w:r>
        <w:rPr>
          <w:spacing w:val="-1"/>
        </w:rPr>
        <w:t>公允反映，并设计、执行和维护必要的内部控制，以使财务报表不存在由于舞弊或错误导致的重大</w:t>
      </w:r>
      <w:r>
        <w:rPr>
          <w:spacing w:val="-16"/>
        </w:rPr>
        <w:t> </w:t>
      </w:r>
      <w:r>
        <w:rPr>
          <w:spacing w:val="-16"/>
        </w:rPr>
      </w:r>
      <w:r>
        <w:rPr/>
        <w:t>错报。</w:t>
      </w:r>
    </w:p>
    <w:p>
      <w:pPr>
        <w:pStyle w:val="BodyText"/>
        <w:spacing w:line="240" w:lineRule="auto" w:before="105"/>
        <w:ind w:left="560" w:right="1246"/>
        <w:jc w:val="left"/>
      </w:pPr>
      <w:r>
        <w:rPr/>
        <w:t>在编制财务报表时，管理层负责评估爱施德公司的持续经营能力，披露与持续经营相关的事项</w:t>
      </w:r>
    </w:p>
    <w:p>
      <w:pPr>
        <w:spacing w:line="240" w:lineRule="auto" w:before="2"/>
        <w:rPr>
          <w:rFonts w:ascii="华文细黑" w:hAnsi="华文细黑" w:cs="华文细黑" w:eastAsia="华文细黑" w:hint="default"/>
          <w:sz w:val="20"/>
          <w:szCs w:val="20"/>
        </w:rPr>
      </w:pPr>
    </w:p>
    <w:p>
      <w:pPr>
        <w:pStyle w:val="BodyText"/>
        <w:spacing w:line="468" w:lineRule="auto"/>
        <w:ind w:right="1451"/>
        <w:jc w:val="both"/>
      </w:pPr>
      <w:r>
        <w:rPr>
          <w:spacing w:val="-1"/>
        </w:rPr>
        <w:t>（如适用），并运用持续经营假设，除非管理层计划清算爱施德公司、终止运营或别无其他现实的</w:t>
      </w:r>
      <w:r>
        <w:rPr>
          <w:spacing w:val="-32"/>
        </w:rPr>
        <w:t> </w:t>
      </w:r>
      <w:r>
        <w:rPr>
          <w:spacing w:val="-32"/>
        </w:rPr>
      </w:r>
      <w:r>
        <w:rPr/>
        <w:t>选择。</w:t>
      </w:r>
    </w:p>
    <w:p>
      <w:pPr>
        <w:pStyle w:val="BodyText"/>
        <w:spacing w:line="240" w:lineRule="auto" w:before="108"/>
        <w:ind w:left="560" w:right="1246"/>
        <w:jc w:val="left"/>
      </w:pPr>
      <w:r>
        <w:rPr/>
        <w:t>治理层负责监督爱施德公司的财务报告过程。</w:t>
      </w: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11"/>
        <w:rPr>
          <w:rFonts w:ascii="华文细黑" w:hAnsi="华文细黑" w:cs="华文细黑" w:eastAsia="华文细黑" w:hint="default"/>
          <w:sz w:val="26"/>
          <w:szCs w:val="26"/>
        </w:rPr>
      </w:pPr>
    </w:p>
    <w:p>
      <w:pPr>
        <w:spacing w:line="501" w:lineRule="auto" w:before="0"/>
        <w:ind w:left="551" w:right="1425" w:firstLine="8"/>
        <w:jc w:val="left"/>
        <w:rPr>
          <w:rFonts w:ascii="华文细黑" w:hAnsi="华文细黑" w:cs="华文细黑" w:eastAsia="华文细黑" w:hint="default"/>
          <w:sz w:val="21"/>
          <w:szCs w:val="21"/>
        </w:rPr>
      </w:pPr>
      <w:bookmarkStart w:name="六、注册会计师对财务报表审计的责任" w:id="210"/>
      <w:bookmarkEnd w:id="210"/>
      <w:r>
        <w:rPr/>
      </w:r>
      <w:r>
        <w:rPr>
          <w:rFonts w:ascii="华文细黑" w:hAnsi="华文细黑" w:cs="华文细黑" w:eastAsia="华文细黑" w:hint="default"/>
          <w:b/>
          <w:bCs/>
          <w:sz w:val="21"/>
          <w:szCs w:val="21"/>
        </w:rPr>
        <w:t>六、注册会计师对财务报表审计的责任</w:t>
      </w:r>
      <w:r>
        <w:rPr>
          <w:rFonts w:ascii="华文细黑" w:hAnsi="华文细黑" w:cs="华文细黑" w:eastAsia="华文细黑" w:hint="default"/>
          <w:b/>
          <w:bCs/>
          <w:w w:val="99"/>
          <w:sz w:val="21"/>
          <w:szCs w:val="21"/>
        </w:rPr>
        <w:t> </w:t>
      </w:r>
      <w:r>
        <w:rPr>
          <w:rFonts w:ascii="华文细黑" w:hAnsi="华文细黑" w:cs="华文细黑" w:eastAsia="华文细黑" w:hint="default"/>
          <w:sz w:val="21"/>
          <w:szCs w:val="21"/>
        </w:rPr>
        <w:t>我们的目标是对财务报表整体是否不存在由于舞弊或错误导致的重大错报获取合理保证，并出</w:t>
      </w:r>
    </w:p>
    <w:p>
      <w:pPr>
        <w:pStyle w:val="BodyText"/>
        <w:spacing w:line="470" w:lineRule="auto" w:before="36"/>
        <w:ind w:right="1438"/>
        <w:jc w:val="both"/>
      </w:pPr>
      <w:r>
        <w:rPr>
          <w:spacing w:val="-1"/>
        </w:rPr>
        <w:t>具包含审计意见的审计报告。合理保证是高水平的保证，但并不能保证按照审计准则执行的审计在</w:t>
      </w:r>
      <w:r>
        <w:rPr>
          <w:spacing w:val="-16"/>
        </w:rPr>
        <w:t> </w:t>
      </w:r>
      <w:r>
        <w:rPr>
          <w:spacing w:val="-16"/>
        </w:rPr>
      </w:r>
      <w:r>
        <w:rPr>
          <w:spacing w:val="-1"/>
        </w:rPr>
        <w:t>某一重大错报存在时总能发现。错报可能由于舞弊或错误导致，如果合理预期错报单独或汇总起来</w:t>
      </w:r>
      <w:r>
        <w:rPr>
          <w:spacing w:val="-16"/>
        </w:rPr>
        <w:t> </w:t>
      </w:r>
      <w:r>
        <w:rPr>
          <w:spacing w:val="-16"/>
        </w:rPr>
      </w:r>
      <w:r>
        <w:rPr/>
        <w:t>可能影响财务报表使用者依据财务报表作出的经济决策，则通常认为错报是重大的。</w:t>
      </w:r>
    </w:p>
    <w:p>
      <w:pPr>
        <w:pStyle w:val="BodyText"/>
        <w:spacing w:line="470" w:lineRule="auto" w:before="105"/>
        <w:ind w:right="1246" w:firstLine="420"/>
        <w:jc w:val="left"/>
      </w:pPr>
      <w:r>
        <w:rPr>
          <w:spacing w:val="-1"/>
        </w:rPr>
        <w:t>在按照审计准则执行审计工作的过程中，我们运用职业判断，并保持职业怀疑。同时，我们也</w:t>
      </w:r>
      <w:r>
        <w:rPr/>
        <w:t> 执行以下工作：</w:t>
      </w:r>
    </w:p>
    <w:p>
      <w:pPr>
        <w:pStyle w:val="BodyText"/>
        <w:spacing w:line="240" w:lineRule="auto" w:before="105"/>
        <w:ind w:left="560" w:right="1246"/>
        <w:jc w:val="left"/>
      </w:pPr>
      <w:r>
        <w:rPr/>
        <w:t>（一）识别和评估由于舞弊或错误导致的财务报表重大错报风险，设计和实施审计程序以应对</w:t>
      </w:r>
    </w:p>
    <w:p>
      <w:pPr>
        <w:spacing w:after="0" w:line="240" w:lineRule="auto"/>
        <w:jc w:val="left"/>
        <w:sectPr>
          <w:pgSz w:w="11910" w:h="16840"/>
          <w:pgMar w:header="917" w:footer="1019" w:top="1100" w:bottom="1200" w:left="1300" w:right="0"/>
        </w:sectPr>
      </w:pPr>
    </w:p>
    <w:p>
      <w:pPr>
        <w:spacing w:line="240" w:lineRule="auto" w:before="0"/>
        <w:rPr>
          <w:rFonts w:ascii="华文细黑" w:hAnsi="华文细黑" w:cs="华文细黑" w:eastAsia="华文细黑" w:hint="default"/>
          <w:sz w:val="20"/>
          <w:szCs w:val="20"/>
        </w:rPr>
      </w:pPr>
    </w:p>
    <w:p>
      <w:pPr>
        <w:pStyle w:val="BodyText"/>
        <w:spacing w:line="470" w:lineRule="auto" w:before="158"/>
        <w:ind w:right="1437"/>
        <w:jc w:val="both"/>
      </w:pPr>
      <w:r>
        <w:rPr>
          <w:spacing w:val="-1"/>
        </w:rPr>
        <w:t>这些风险，并获取充分、适当的审计证据，作为发表审计意见的基础。由于舞弊可能涉及串通、伪</w:t>
      </w:r>
      <w:r>
        <w:rPr>
          <w:spacing w:val="-18"/>
        </w:rPr>
        <w:t> </w:t>
      </w:r>
      <w:r>
        <w:rPr>
          <w:spacing w:val="-18"/>
        </w:rPr>
      </w:r>
      <w:r>
        <w:rPr/>
        <w:t>造、故意遗漏、虚假陈述或凌驾于内部控制之上，未能发现由于舞弊导致的重大错报的风险高于未</w:t>
      </w:r>
      <w:r>
        <w:rPr/>
        <w:t> 能发现由于错误导致的重大错报的风险。</w:t>
      </w:r>
    </w:p>
    <w:p>
      <w:pPr>
        <w:pStyle w:val="BodyText"/>
        <w:spacing w:line="470" w:lineRule="auto" w:before="105"/>
        <w:ind w:right="1437" w:firstLine="420"/>
        <w:jc w:val="both"/>
      </w:pPr>
      <w:r>
        <w:rPr/>
        <w:t>（二）了解与审计相关的内部控制，以设计恰当的审计程序，但目的并非对内部控制的有效性 发表意见。</w:t>
      </w:r>
    </w:p>
    <w:p>
      <w:pPr>
        <w:pStyle w:val="BodyText"/>
        <w:spacing w:line="240" w:lineRule="auto" w:before="105"/>
        <w:ind w:left="560" w:right="1246"/>
        <w:jc w:val="left"/>
      </w:pPr>
      <w:r>
        <w:rPr/>
        <w:t>（三）评价管理层选用会计政策的恰当性和作出会计估计及相关披露的合理性。</w:t>
      </w:r>
    </w:p>
    <w:p>
      <w:pPr>
        <w:spacing w:line="240" w:lineRule="auto" w:before="13"/>
        <w:rPr>
          <w:rFonts w:ascii="华文细黑" w:hAnsi="华文细黑" w:cs="华文细黑" w:eastAsia="华文细黑" w:hint="default"/>
          <w:sz w:val="22"/>
          <w:szCs w:val="22"/>
        </w:rPr>
      </w:pPr>
    </w:p>
    <w:p>
      <w:pPr>
        <w:pStyle w:val="BodyText"/>
        <w:spacing w:line="470" w:lineRule="auto"/>
        <w:ind w:right="1436" w:firstLine="420"/>
        <w:jc w:val="both"/>
      </w:pPr>
      <w:r>
        <w:rPr/>
        <w:t>（四）对管理层使用持续经营假设的恰当性得出结论。同时，根据获取的审计证据，就可能导 致对爱施德公司持续经营能力产生重大疑虑的事项或情况是否存在重大不确定性得出结论。如果我 们得出结论认为存在重大不确定性，审计准则要求我们在审计报告中提请报表使用者注意财务报表 中的相关披露；如果披露不充分，我们应当发表非无保留意见。我们的结论基于截至审计报告日可 获得的信息。然而，未来的事项或情况可能导致爱施德公司不能持续经营。</w:t>
      </w:r>
    </w:p>
    <w:p>
      <w:pPr>
        <w:pStyle w:val="BodyText"/>
        <w:spacing w:line="470" w:lineRule="auto" w:before="106"/>
        <w:ind w:right="1450" w:firstLine="420"/>
        <w:jc w:val="both"/>
      </w:pPr>
      <w:r>
        <w:rPr>
          <w:spacing w:val="-1"/>
        </w:rPr>
        <w:t>（五）评价财务报表的总体列报、结构和内容（包括披露），并评价财务报表是否公允反映相</w:t>
      </w:r>
      <w:r>
        <w:rPr/>
        <w:t> 关交易和事项。</w:t>
      </w:r>
    </w:p>
    <w:p>
      <w:pPr>
        <w:pStyle w:val="BodyText"/>
        <w:spacing w:line="468" w:lineRule="auto" w:before="106"/>
        <w:ind w:right="1437" w:firstLine="420"/>
        <w:jc w:val="both"/>
      </w:pPr>
      <w:r>
        <w:rPr/>
        <w:t>（六）就爱施德公司中实体或业务活动的财务信息获取充分、适当的审计证据，以对财务报表 发表意见。我们负责指导、监督和执行集团审计。我们对审计意见承担全部责任。</w:t>
      </w:r>
    </w:p>
    <w:p>
      <w:pPr>
        <w:pStyle w:val="BodyText"/>
        <w:spacing w:line="468" w:lineRule="auto" w:before="108"/>
        <w:ind w:right="1438" w:firstLine="412"/>
        <w:jc w:val="both"/>
      </w:pPr>
      <w:r>
        <w:rPr/>
        <w:t>我们与治理层就计划的审计范围、时间安排和重大审计发现等事项进行沟通，包括沟通我们在 审计中识别出的值得关注的内部控制缺陷。</w:t>
      </w:r>
    </w:p>
    <w:p>
      <w:pPr>
        <w:pStyle w:val="BodyText"/>
        <w:spacing w:line="468" w:lineRule="auto" w:before="108"/>
        <w:ind w:right="1437" w:firstLine="420"/>
        <w:jc w:val="both"/>
      </w:pPr>
      <w:r>
        <w:rPr/>
        <w:t>我们还就已遵守与独立性相关的职业道德要求向治理层提供声明，并与治理层沟通可能被合理 </w:t>
      </w:r>
      <w:r>
        <w:rPr>
          <w:spacing w:val="-3"/>
        </w:rPr>
        <w:t>认为影响我们独立性的所有关系和其他事项，以及相关的防范措施（如适用）。</w:t>
      </w:r>
    </w:p>
    <w:p>
      <w:pPr>
        <w:pStyle w:val="BodyText"/>
        <w:spacing w:line="470" w:lineRule="auto" w:before="108"/>
        <w:ind w:right="1438" w:firstLine="420"/>
        <w:jc w:val="both"/>
      </w:pPr>
      <w:r>
        <w:rPr>
          <w:spacing w:val="-1"/>
        </w:rPr>
        <w:t>从与治理层沟通过的事项中，我们确定哪些事项对本期财务报表审计最为重要，因而构成关键</w:t>
      </w:r>
      <w:r>
        <w:rPr/>
        <w:t> </w:t>
      </w:r>
      <w:r>
        <w:rPr>
          <w:spacing w:val="-1"/>
        </w:rPr>
        <w:t>审计事项。我们在审计报告中描述这些事项，除非法律法规禁止公开披露这些事项，或在极少数情</w:t>
      </w:r>
      <w:r>
        <w:rPr>
          <w:spacing w:val="-16"/>
        </w:rPr>
        <w:t> </w:t>
      </w:r>
      <w:r>
        <w:rPr>
          <w:spacing w:val="-16"/>
        </w:rPr>
      </w:r>
      <w:r>
        <w:rPr>
          <w:spacing w:val="-1"/>
        </w:rPr>
        <w:t>形下，如果合理预期在审计报告中沟通某事项造成的负面后果超过在公众利益方面产生的益处，我</w:t>
      </w:r>
      <w:r>
        <w:rPr>
          <w:spacing w:val="-16"/>
        </w:rPr>
        <w:t> </w:t>
      </w:r>
      <w:r>
        <w:rPr>
          <w:spacing w:val="-16"/>
        </w:rPr>
      </w:r>
      <w:r>
        <w:rPr/>
        <w:t>们确定不应在审计报告中沟通该事项。</w:t>
      </w:r>
    </w:p>
    <w:p>
      <w:pPr>
        <w:spacing w:after="0" w:line="470" w:lineRule="auto"/>
        <w:jc w:val="both"/>
        <w:sectPr>
          <w:pgSz w:w="11910" w:h="16840"/>
          <w:pgMar w:header="917" w:footer="1019" w:top="1100" w:bottom="1200" w:left="130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9"/>
          <w:szCs w:val="19"/>
        </w:rPr>
      </w:pPr>
    </w:p>
    <w:tbl>
      <w:tblPr>
        <w:tblW w:w="0" w:type="auto"/>
        <w:jc w:val="left"/>
        <w:tblInd w:w="517" w:type="dxa"/>
        <w:tblLayout w:type="fixed"/>
        <w:tblCellMar>
          <w:top w:w="0" w:type="dxa"/>
          <w:left w:w="0" w:type="dxa"/>
          <w:bottom w:w="0" w:type="dxa"/>
          <w:right w:w="0" w:type="dxa"/>
        </w:tblCellMar>
        <w:tblLook w:val="01E0"/>
      </w:tblPr>
      <w:tblGrid>
        <w:gridCol w:w="3858"/>
        <w:gridCol w:w="3564"/>
      </w:tblGrid>
      <w:tr>
        <w:trPr>
          <w:trHeight w:val="2291" w:hRule="exact"/>
        </w:trPr>
        <w:tc>
          <w:tcPr>
            <w:tcW w:w="3858" w:type="dxa"/>
            <w:tcBorders>
              <w:top w:val="nil" w:sz="6" w:space="0" w:color="auto"/>
              <w:left w:val="nil" w:sz="6" w:space="0" w:color="auto"/>
              <w:bottom w:val="nil" w:sz="6" w:space="0" w:color="auto"/>
              <w:right w:val="nil" w:sz="6" w:space="0" w:color="auto"/>
            </w:tcBorders>
          </w:tcPr>
          <w:p>
            <w:pPr>
              <w:pStyle w:val="TableParagraph"/>
              <w:spacing w:line="207" w:lineRule="exact"/>
              <w:ind w:right="96"/>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瑞华会计师事务所（特殊普通合伙）</w:t>
            </w:r>
          </w:p>
        </w:tc>
        <w:tc>
          <w:tcPr>
            <w:tcW w:w="3564" w:type="dxa"/>
            <w:tcBorders>
              <w:top w:val="nil" w:sz="6" w:space="0" w:color="auto"/>
              <w:left w:val="nil" w:sz="6" w:space="0" w:color="auto"/>
              <w:bottom w:val="nil" w:sz="6" w:space="0" w:color="auto"/>
              <w:right w:val="nil" w:sz="6" w:space="0" w:color="auto"/>
            </w:tcBorders>
          </w:tcPr>
          <w:p>
            <w:pPr>
              <w:pStyle w:val="TableParagraph"/>
              <w:spacing w:line="207" w:lineRule="exact"/>
              <w:ind w:left="298"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中国注册会计师：</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tabs>
                <w:tab w:pos="1978" w:val="left" w:leader="none"/>
                <w:tab w:pos="3496" w:val="left" w:leader="none"/>
              </w:tabs>
              <w:spacing w:line="240" w:lineRule="auto"/>
              <w:ind w:left="298" w:right="0"/>
              <w:jc w:val="left"/>
              <w:rPr>
                <w:rFonts w:ascii="Times New Roman" w:hAnsi="Times New Roman" w:cs="Times New Roman" w:eastAsia="Times New Roman" w:hint="default"/>
                <w:sz w:val="21"/>
                <w:szCs w:val="21"/>
              </w:rPr>
            </w:pPr>
            <w:r>
              <w:rPr>
                <w:rFonts w:ascii="华文细黑" w:hAnsi="华文细黑" w:cs="华文细黑" w:eastAsia="华文细黑" w:hint="default"/>
                <w:sz w:val="21"/>
                <w:szCs w:val="21"/>
              </w:rPr>
              <w:t>（项目合伙人）</w:t>
              <w:tab/>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p>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75"/>
              <w:ind w:left="2293"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邓登峰</w:t>
            </w:r>
          </w:p>
        </w:tc>
      </w:tr>
      <w:tr>
        <w:trPr>
          <w:trHeight w:val="1832" w:hRule="exact"/>
        </w:trPr>
        <w:tc>
          <w:tcPr>
            <w:tcW w:w="38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right="97"/>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中国·北京</w:t>
            </w:r>
          </w:p>
        </w:tc>
        <w:tc>
          <w:tcPr>
            <w:tcW w:w="356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tabs>
                <w:tab w:pos="3600" w:val="left" w:leader="none"/>
              </w:tabs>
              <w:spacing w:line="240" w:lineRule="auto"/>
              <w:ind w:left="298" w:right="-38"/>
              <w:jc w:val="left"/>
              <w:rPr>
                <w:rFonts w:ascii="Times New Roman" w:hAnsi="Times New Roman" w:cs="Times New Roman" w:eastAsia="Times New Roman" w:hint="default"/>
                <w:sz w:val="21"/>
                <w:szCs w:val="21"/>
              </w:rPr>
            </w:pPr>
            <w:r>
              <w:rPr>
                <w:rFonts w:ascii="华文细黑" w:hAnsi="华文细黑" w:cs="华文细黑" w:eastAsia="华文细黑" w:hint="default"/>
                <w:sz w:val="21"/>
                <w:szCs w:val="21"/>
              </w:rPr>
              <w:t>中国注册会计师：  </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p>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75"/>
              <w:ind w:right="534"/>
              <w:jc w:val="right"/>
              <w:rPr>
                <w:rFonts w:ascii="华文细黑" w:hAnsi="华文细黑" w:cs="华文细黑" w:eastAsia="华文细黑" w:hint="default"/>
                <w:sz w:val="21"/>
                <w:szCs w:val="21"/>
              </w:rPr>
            </w:pPr>
            <w:r>
              <w:rPr>
                <w:rFonts w:ascii="华文细黑" w:hAnsi="华文细黑" w:cs="华文细黑" w:eastAsia="华文细黑" w:hint="default"/>
                <w:spacing w:val="-1"/>
                <w:sz w:val="21"/>
                <w:szCs w:val="21"/>
              </w:rPr>
              <w:t>廖晓鸿</w:t>
            </w:r>
          </w:p>
        </w:tc>
      </w:tr>
      <w:tr>
        <w:trPr>
          <w:trHeight w:val="478" w:hRule="exact"/>
        </w:trPr>
        <w:tc>
          <w:tcPr>
            <w:tcW w:w="3858" w:type="dxa"/>
            <w:tcBorders>
              <w:top w:val="nil" w:sz="6" w:space="0" w:color="auto"/>
              <w:left w:val="nil" w:sz="6" w:space="0" w:color="auto"/>
              <w:bottom w:val="nil" w:sz="6" w:space="0" w:color="auto"/>
              <w:right w:val="nil" w:sz="6" w:space="0" w:color="auto"/>
            </w:tcBorders>
          </w:tcPr>
          <w:p>
            <w:pPr/>
          </w:p>
        </w:tc>
        <w:tc>
          <w:tcPr>
            <w:tcW w:w="3564" w:type="dxa"/>
            <w:tcBorders>
              <w:top w:val="nil" w:sz="6" w:space="0" w:color="auto"/>
              <w:left w:val="nil" w:sz="6" w:space="0" w:color="auto"/>
              <w:bottom w:val="nil" w:sz="6" w:space="0" w:color="auto"/>
              <w:right w:val="nil" w:sz="6" w:space="0" w:color="auto"/>
            </w:tcBorders>
          </w:tcPr>
          <w:p>
            <w:pPr>
              <w:pStyle w:val="TableParagraph"/>
              <w:spacing w:line="240" w:lineRule="auto" w:before="178"/>
              <w:ind w:left="1919"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2019</w:t>
            </w:r>
            <w:r>
              <w:rPr>
                <w:rFonts w:ascii="华文细黑" w:hAnsi="华文细黑" w:cs="华文细黑" w:eastAsia="华文细黑" w:hint="default"/>
                <w:sz w:val="21"/>
                <w:szCs w:val="21"/>
              </w:rPr>
              <w:t>年</w:t>
            </w:r>
            <w:r>
              <w:rPr>
                <w:rFonts w:ascii="华文细黑" w:hAnsi="华文细黑" w:cs="华文细黑" w:eastAsia="华文细黑" w:hint="default"/>
                <w:sz w:val="21"/>
                <w:szCs w:val="21"/>
              </w:rPr>
              <w:t>4</w:t>
            </w:r>
            <w:r>
              <w:rPr>
                <w:rFonts w:ascii="华文细黑" w:hAnsi="华文细黑" w:cs="华文细黑" w:eastAsia="华文细黑" w:hint="default"/>
                <w:sz w:val="21"/>
                <w:szCs w:val="21"/>
              </w:rPr>
              <w:t>月</w:t>
            </w:r>
            <w:r>
              <w:rPr>
                <w:rFonts w:ascii="华文细黑" w:hAnsi="华文细黑" w:cs="华文细黑" w:eastAsia="华文细黑" w:hint="default"/>
                <w:sz w:val="21"/>
                <w:szCs w:val="21"/>
              </w:rPr>
              <w:t>12</w:t>
            </w:r>
            <w:r>
              <w:rPr>
                <w:rFonts w:ascii="华文细黑" w:hAnsi="华文细黑" w:cs="华文细黑" w:eastAsia="华文细黑" w:hint="default"/>
                <w:sz w:val="21"/>
                <w:szCs w:val="21"/>
              </w:rPr>
              <w:t>日</w:t>
            </w:r>
          </w:p>
        </w:tc>
      </w:tr>
    </w:tbl>
    <w:p>
      <w:pPr>
        <w:spacing w:after="0" w:line="240" w:lineRule="auto"/>
        <w:jc w:val="left"/>
        <w:rPr>
          <w:rFonts w:ascii="华文细黑" w:hAnsi="华文细黑" w:cs="华文细黑" w:eastAsia="华文细黑" w:hint="default"/>
          <w:sz w:val="21"/>
          <w:szCs w:val="21"/>
        </w:rPr>
        <w:sectPr>
          <w:pgSz w:w="11910" w:h="16840"/>
          <w:pgMar w:header="917" w:footer="1019" w:top="1100" w:bottom="1200" w:left="130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Heading2"/>
        <w:spacing w:line="396" w:lineRule="exact"/>
        <w:ind w:left="220" w:right="6664"/>
        <w:jc w:val="left"/>
        <w:rPr>
          <w:b w:val="0"/>
          <w:bCs w:val="0"/>
        </w:rPr>
      </w:pPr>
      <w:bookmarkStart w:name="二、财务报表" w:id="211"/>
      <w:bookmarkEnd w:id="211"/>
      <w:r>
        <w:rPr>
          <w:b w:val="0"/>
          <w:bCs w:val="0"/>
        </w:rPr>
      </w:r>
      <w:r>
        <w:rPr/>
        <w:t>二、财务报表</w:t>
      </w:r>
      <w:r>
        <w:rPr>
          <w:b w:val="0"/>
          <w:bCs w:val="0"/>
        </w:rPr>
      </w:r>
    </w:p>
    <w:p>
      <w:pPr>
        <w:spacing w:line="240" w:lineRule="auto" w:before="1"/>
        <w:rPr>
          <w:rFonts w:ascii="华文细黑" w:hAnsi="华文细黑" w:cs="华文细黑" w:eastAsia="华文细黑" w:hint="default"/>
          <w:b/>
          <w:bCs/>
          <w:sz w:val="35"/>
          <w:szCs w:val="35"/>
        </w:rPr>
      </w:pPr>
    </w:p>
    <w:p>
      <w:pPr>
        <w:spacing w:line="600" w:lineRule="auto" w:before="0"/>
        <w:ind w:left="220" w:right="6664" w:firstLine="422"/>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财务附注中报表的单位为：人民币元 </w:t>
      </w:r>
      <w:bookmarkStart w:name="1、合并资产负债表" w:id="212"/>
      <w:bookmarkEnd w:id="212"/>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1</w:t>
      </w:r>
      <w:r>
        <w:rPr>
          <w:rFonts w:ascii="华文细黑" w:hAnsi="华文细黑" w:cs="华文细黑" w:eastAsia="华文细黑" w:hint="default"/>
          <w:b/>
          <w:bCs/>
          <w:sz w:val="21"/>
          <w:szCs w:val="21"/>
        </w:rPr>
        <w:t>、合并资产负债表</w:t>
      </w:r>
      <w:r>
        <w:rPr>
          <w:rFonts w:ascii="华文细黑" w:hAnsi="华文细黑" w:cs="华文细黑" w:eastAsia="华文细黑" w:hint="default"/>
          <w:sz w:val="21"/>
          <w:szCs w:val="21"/>
        </w:rPr>
      </w:r>
    </w:p>
    <w:p>
      <w:pPr>
        <w:spacing w:line="240" w:lineRule="auto" w:before="6"/>
        <w:rPr>
          <w:rFonts w:ascii="华文细黑" w:hAnsi="华文细黑" w:cs="华文细黑" w:eastAsia="华文细黑" w:hint="default"/>
          <w:b/>
          <w:bCs/>
          <w:sz w:val="14"/>
          <w:szCs w:val="14"/>
        </w:rPr>
      </w:pPr>
    </w:p>
    <w:p>
      <w:pPr>
        <w:pStyle w:val="BodyText"/>
        <w:spacing w:line="240" w:lineRule="auto"/>
        <w:ind w:left="220" w:right="6664"/>
        <w:jc w:val="left"/>
      </w:pPr>
      <w:r>
        <w:rPr/>
        <w:t>编制单位：深圳市爱施德股份有限公司</w:t>
      </w:r>
    </w:p>
    <w:p>
      <w:pPr>
        <w:spacing w:line="240" w:lineRule="auto" w:before="6"/>
        <w:rPr>
          <w:rFonts w:ascii="华文细黑" w:hAnsi="华文细黑" w:cs="华文细黑" w:eastAsia="华文细黑" w:hint="default"/>
          <w:sz w:val="9"/>
          <w:szCs w:val="9"/>
        </w:rPr>
      </w:pPr>
    </w:p>
    <w:p>
      <w:pPr>
        <w:pStyle w:val="BodyText"/>
        <w:spacing w:line="240" w:lineRule="auto" w:before="10"/>
        <w:ind w:left="0" w:right="1730"/>
        <w:jc w:val="right"/>
      </w:pPr>
      <w:r>
        <w:rPr>
          <w:rFonts w:ascii="华文细黑" w:hAnsi="华文细黑" w:cs="华文细黑" w:eastAsia="华文细黑" w:hint="default"/>
        </w:rPr>
        <w:t>2018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31</w:t>
      </w:r>
      <w:r>
        <w:rPr>
          <w:rFonts w:ascii="华文细黑" w:hAnsi="华文细黑" w:cs="华文细黑" w:eastAsia="华文细黑" w:hint="default"/>
          <w:spacing w:val="-2"/>
        </w:rPr>
        <w:t> </w:t>
      </w:r>
      <w:r>
        <w:rPr/>
        <w:t>日</w:t>
      </w:r>
    </w:p>
    <w:p>
      <w:pPr>
        <w:spacing w:line="240" w:lineRule="auto" w:before="5"/>
        <w:rPr>
          <w:rFonts w:ascii="华文细黑" w:hAnsi="华文细黑" w:cs="华文细黑" w:eastAsia="华文细黑" w:hint="default"/>
          <w:sz w:val="5"/>
          <w:szCs w:val="5"/>
        </w:rPr>
      </w:pPr>
    </w:p>
    <w:tbl>
      <w:tblPr>
        <w:tblW w:w="0" w:type="auto"/>
        <w:jc w:val="left"/>
        <w:tblInd w:w="103" w:type="dxa"/>
        <w:tblLayout w:type="fixed"/>
        <w:tblCellMar>
          <w:top w:w="0" w:type="dxa"/>
          <w:left w:w="0" w:type="dxa"/>
          <w:bottom w:w="0" w:type="dxa"/>
          <w:right w:w="0" w:type="dxa"/>
        </w:tblCellMar>
        <w:tblLook w:val="01E0"/>
      </w:tblPr>
      <w:tblGrid>
        <w:gridCol w:w="5499"/>
        <w:gridCol w:w="2127"/>
        <w:gridCol w:w="1943"/>
      </w:tblGrid>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right="0"/>
              <w:jc w:val="center"/>
              <w:rPr>
                <w:rFonts w:ascii="华文细黑" w:hAnsi="华文细黑" w:cs="华文细黑" w:eastAsia="华文细黑" w:hint="default"/>
                <w:sz w:val="20"/>
                <w:szCs w:val="20"/>
              </w:rPr>
            </w:pPr>
            <w:r>
              <w:rPr>
                <w:rFonts w:ascii="华文细黑" w:hAnsi="华文细黑" w:cs="华文细黑" w:eastAsia="华文细黑" w:hint="default"/>
                <w:sz w:val="20"/>
                <w:szCs w:val="20"/>
              </w:rPr>
              <w:t>项目</w:t>
            </w:r>
          </w:p>
        </w:tc>
        <w:tc>
          <w:tcPr>
            <w:tcW w:w="212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657"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期末余额</w:t>
            </w: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66"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期初余额</w:t>
            </w:r>
          </w:p>
        </w:tc>
      </w:tr>
      <w:tr>
        <w:trPr>
          <w:trHeight w:val="376"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流动资产：</w:t>
            </w:r>
          </w:p>
        </w:tc>
        <w:tc>
          <w:tcPr>
            <w:tcW w:w="2127"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385"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6"/>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货币资金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6"/>
              <w:ind w:right="100"/>
              <w:jc w:val="right"/>
              <w:rPr>
                <w:rFonts w:ascii="华文细黑" w:hAnsi="华文细黑" w:cs="华文细黑" w:eastAsia="华文细黑" w:hint="default"/>
                <w:sz w:val="20"/>
                <w:szCs w:val="20"/>
              </w:rPr>
            </w:pPr>
            <w:r>
              <w:rPr>
                <w:rFonts w:ascii="华文细黑"/>
                <w:spacing w:val="-1"/>
                <w:sz w:val="20"/>
              </w:rPr>
              <w:t>3,237,345,929.00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6"/>
              <w:ind w:right="100"/>
              <w:jc w:val="right"/>
              <w:rPr>
                <w:rFonts w:ascii="华文细黑" w:hAnsi="华文细黑" w:cs="华文细黑" w:eastAsia="华文细黑" w:hint="default"/>
                <w:sz w:val="20"/>
                <w:szCs w:val="20"/>
              </w:rPr>
            </w:pPr>
            <w:r>
              <w:rPr>
                <w:rFonts w:ascii="华文细黑"/>
                <w:spacing w:val="-1"/>
                <w:sz w:val="20"/>
              </w:rPr>
              <w:t>2,108,692,671.89</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以公允价值计量且其变动计入当期损益的金融资产</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217,968,239.73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23,621,500.80</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衍生金融资产</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应收票据及应收账款</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1,893,465,658.99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1,579,528,406.21</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7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其中：应收票据</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309,101,965.50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282,638,903.96</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3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应收账款</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1,584,363,693.49</w:t>
            </w:r>
            <w:r>
              <w:rPr>
                <w:rFonts w:ascii="华文细黑"/>
                <w:sz w:val="20"/>
              </w:rPr>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1,296,889,502.25</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预付款项</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575,808,804.89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1,758,668,802.33</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其他应收款</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118,509,117.74</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118,635,383.93</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7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其中：应收利息</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14,425,278.68</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3,807,799.77</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3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应收股利</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存货</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2,355,193,580.31</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3,937,640,208.30</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持有待售资产</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一年内到期的非流动资产</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其他流动资产</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484,830,906.12</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766,928,133.00</w:t>
            </w:r>
          </w:p>
        </w:tc>
      </w:tr>
      <w:tr>
        <w:trPr>
          <w:trHeight w:val="385"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流动资产合计</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8,883,122,236.78</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10,293,715,106.46</w:t>
            </w:r>
          </w:p>
        </w:tc>
      </w:tr>
      <w:tr>
        <w:trPr>
          <w:trHeight w:val="375"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非流动资产：</w:t>
            </w:r>
          </w:p>
        </w:tc>
        <w:tc>
          <w:tcPr>
            <w:tcW w:w="2127"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发放贷款和垫款</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919,312,251.62</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1,146,184,426.23</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可供出售金融资产</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216,660,954.98</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838,364,981.27</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持有至到期投资</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长期应收款</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长期股权投资</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32,738,065.61</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30,331,713.93</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投资性房地产</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固定资产</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15,782,914.57</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16,357,271.85</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在建工程</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2,562,743.79</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无形资产</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25,596,956.89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28,766,178.37</w:t>
            </w:r>
          </w:p>
        </w:tc>
      </w:tr>
    </w:tbl>
    <w:p>
      <w:pPr>
        <w:spacing w:after="0" w:line="240" w:lineRule="auto"/>
        <w:jc w:val="right"/>
        <w:rPr>
          <w:rFonts w:ascii="华文细黑" w:hAnsi="华文细黑" w:cs="华文细黑" w:eastAsia="华文细黑" w:hint="default"/>
          <w:sz w:val="20"/>
          <w:szCs w:val="20"/>
        </w:rPr>
        <w:sectPr>
          <w:pgSz w:w="11910" w:h="16840"/>
          <w:pgMar w:header="917" w:footer="1019" w:top="1100" w:bottom="1200" w:left="12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3" w:type="dxa"/>
        <w:tblLayout w:type="fixed"/>
        <w:tblCellMar>
          <w:top w:w="0" w:type="dxa"/>
          <w:left w:w="0" w:type="dxa"/>
          <w:bottom w:w="0" w:type="dxa"/>
          <w:right w:w="0" w:type="dxa"/>
        </w:tblCellMar>
        <w:tblLook w:val="01E0"/>
      </w:tblPr>
      <w:tblGrid>
        <w:gridCol w:w="5499"/>
        <w:gridCol w:w="2127"/>
        <w:gridCol w:w="1943"/>
      </w:tblGrid>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开发支出</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商誉</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3,674,103.39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2,210,817.00</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长期待摊费用</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8,961,863.25</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6,999,288.20</w:t>
            </w:r>
          </w:p>
        </w:tc>
      </w:tr>
      <w:tr>
        <w:trPr>
          <w:trHeight w:val="381"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递延所得税资产</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123,379,887.80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97,510,692.80</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其他非流动资产</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18,000,000.00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18,000,000.00</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非流动资产合计</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1,364,106,998.11</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2,187,288,113.44</w:t>
            </w:r>
          </w:p>
        </w:tc>
      </w:tr>
      <w:tr>
        <w:trPr>
          <w:trHeight w:val="385"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资产总计</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10,247,229,234.89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12,481,003,219.90</w:t>
            </w:r>
          </w:p>
        </w:tc>
      </w:tr>
      <w:tr>
        <w:trPr>
          <w:trHeight w:val="375"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流动负债：</w:t>
            </w:r>
          </w:p>
        </w:tc>
        <w:tc>
          <w:tcPr>
            <w:tcW w:w="2127"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短期借款</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3,636,967,774.36</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1,982,966,940.00</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以公允价值计量且其变动计入当期损益的金融负债</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衍生金融负债</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应付票据及应付账款</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176,250,914.20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2,855,479,741.27</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预收款项</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514,975,304.31</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669,371,497.39</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应付职工薪酬</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54,283,208.38</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93,931,190.96</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应交税费</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94,349,902.97</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63,470,420.55</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其他应付款</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58,080,015.91</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123,967,915.27</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7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其中：应付利息</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15,900,631.65</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18,412,793.14</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3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应付股利</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1"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持有待售负债</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一年内到期的非流动负债</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501,649,478.68</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其他流动负债</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5"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流动负债合计</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4,534,907,120.13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6,290,837,184.12</w:t>
            </w:r>
          </w:p>
        </w:tc>
      </w:tr>
      <w:tr>
        <w:trPr>
          <w:trHeight w:val="375"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非流动负债：</w:t>
            </w:r>
          </w:p>
        </w:tc>
        <w:tc>
          <w:tcPr>
            <w:tcW w:w="2127"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长期借款</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应付债券</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599,248,224.96</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598,150,321.29</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7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其中：优先股</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3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永续债</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长期应付款</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长期应付职工薪酬</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预计负债</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1,238,454.00</w:t>
            </w: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递延收益</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6,670,000.00</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递延所得税负债</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2,754,489.04</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37,933,130.56</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其他非流动负债</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1"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非流动负债合计</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603,241,168.00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642,753,451.85</w:t>
            </w:r>
          </w:p>
        </w:tc>
      </w:tr>
      <w:tr>
        <w:trPr>
          <w:trHeight w:val="385"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负债合计</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5,138,148,288.13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6,933,590,635.97</w:t>
            </w:r>
          </w:p>
        </w:tc>
      </w:tr>
      <w:tr>
        <w:trPr>
          <w:trHeight w:val="374"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所有者权益：</w:t>
            </w:r>
          </w:p>
        </w:tc>
        <w:tc>
          <w:tcPr>
            <w:tcW w:w="2127"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
        </w:tc>
      </w:tr>
    </w:tbl>
    <w:p>
      <w:pPr>
        <w:spacing w:after="0"/>
        <w:sectPr>
          <w:pgSz w:w="11910" w:h="16840"/>
          <w:pgMar w:header="917" w:footer="1019" w:top="1100" w:bottom="1200" w:left="12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3" w:type="dxa"/>
        <w:tblLayout w:type="fixed"/>
        <w:tblCellMar>
          <w:top w:w="0" w:type="dxa"/>
          <w:left w:w="0" w:type="dxa"/>
          <w:bottom w:w="0" w:type="dxa"/>
          <w:right w:w="0" w:type="dxa"/>
        </w:tblCellMar>
        <w:tblLook w:val="01E0"/>
      </w:tblPr>
      <w:tblGrid>
        <w:gridCol w:w="5499"/>
        <w:gridCol w:w="2127"/>
        <w:gridCol w:w="1943"/>
      </w:tblGrid>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股本</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1,239,281,806.00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1,032,734,839.00</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其他权益工具</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7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其中：优先股</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1"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3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永续债</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资本公积</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1,621,822,728.69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1,828,369,695.69</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减：库存股</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其他综合收益</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2,451,085.97</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167,752,408.95</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专项储备</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盈余公积</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264,724,184.43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246,843,122.20</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一般风险准备</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16,782,143.96</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14,732,877.61</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未分配利润</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1,776,746,860.02</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2,095,944,239.39</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归属于母公司所有者权益合计</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4,921,808,809.07</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5,386,377,182.84</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少数股东权益</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187,272,137.69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161,035,401.09</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所有者权益合计</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5,109,080,946.76</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5,547,412,583.93</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负债和所有者权益总计</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10,247,229,234.89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12,481,003,219.90</w:t>
            </w:r>
          </w:p>
        </w:tc>
      </w:tr>
    </w:tbl>
    <w:p>
      <w:pPr>
        <w:spacing w:line="240" w:lineRule="auto" w:before="6"/>
        <w:rPr>
          <w:rFonts w:ascii="Times New Roman" w:hAnsi="Times New Roman" w:cs="Times New Roman" w:eastAsia="Times New Roman" w:hint="default"/>
          <w:sz w:val="8"/>
          <w:szCs w:val="8"/>
        </w:rPr>
      </w:pPr>
    </w:p>
    <w:p>
      <w:pPr>
        <w:tabs>
          <w:tab w:pos="3423" w:val="left" w:leader="none"/>
          <w:tab w:pos="6887" w:val="left" w:leader="none"/>
        </w:tabs>
        <w:spacing w:line="597" w:lineRule="auto" w:before="10"/>
        <w:ind w:left="220" w:right="1487" w:firstLine="473"/>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法定代表人：黄文辉</w:t>
        <w:tab/>
      </w:r>
      <w:r>
        <w:rPr>
          <w:rFonts w:ascii="华文细黑" w:hAnsi="华文细黑" w:cs="华文细黑" w:eastAsia="华文细黑" w:hint="default"/>
          <w:spacing w:val="-1"/>
          <w:sz w:val="21"/>
          <w:szCs w:val="21"/>
        </w:rPr>
        <w:t>主管会计工作负责人：米泽东</w:t>
        <w:tab/>
        <w:t>会计机构负责人：米泽东</w:t>
      </w:r>
      <w:r>
        <w:rPr>
          <w:rFonts w:ascii="华文细黑" w:hAnsi="华文细黑" w:cs="华文细黑" w:eastAsia="华文细黑" w:hint="default"/>
          <w:sz w:val="21"/>
          <w:szCs w:val="21"/>
        </w:rPr>
        <w:t> </w:t>
      </w:r>
      <w:bookmarkStart w:name="2、母公司资产负债表" w:id="213"/>
      <w:bookmarkEnd w:id="213"/>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、母公司资产负债表</w:t>
      </w:r>
      <w:r>
        <w:rPr>
          <w:rFonts w:ascii="华文细黑" w:hAnsi="华文细黑" w:cs="华文细黑" w:eastAsia="华文细黑" w:hint="default"/>
          <w:sz w:val="21"/>
          <w:szCs w:val="21"/>
        </w:rPr>
      </w:r>
    </w:p>
    <w:p>
      <w:pPr>
        <w:spacing w:line="240" w:lineRule="auto" w:before="12"/>
        <w:rPr>
          <w:rFonts w:ascii="华文细黑" w:hAnsi="华文细黑" w:cs="华文细黑" w:eastAsia="华文细黑" w:hint="default"/>
          <w:b/>
          <w:bCs/>
          <w:sz w:val="9"/>
          <w:szCs w:val="9"/>
        </w:rPr>
      </w:pPr>
    </w:p>
    <w:tbl>
      <w:tblPr>
        <w:tblW w:w="0" w:type="auto"/>
        <w:jc w:val="left"/>
        <w:tblInd w:w="103" w:type="dxa"/>
        <w:tblLayout w:type="fixed"/>
        <w:tblCellMar>
          <w:top w:w="0" w:type="dxa"/>
          <w:left w:w="0" w:type="dxa"/>
          <w:bottom w:w="0" w:type="dxa"/>
          <w:right w:w="0" w:type="dxa"/>
        </w:tblCellMar>
        <w:tblLook w:val="01E0"/>
      </w:tblPr>
      <w:tblGrid>
        <w:gridCol w:w="5358"/>
        <w:gridCol w:w="2268"/>
        <w:gridCol w:w="1943"/>
      </w:tblGrid>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right="0"/>
              <w:jc w:val="center"/>
              <w:rPr>
                <w:rFonts w:ascii="华文细黑" w:hAnsi="华文细黑" w:cs="华文细黑" w:eastAsia="华文细黑" w:hint="default"/>
                <w:sz w:val="20"/>
                <w:szCs w:val="20"/>
              </w:rPr>
            </w:pPr>
            <w:r>
              <w:rPr>
                <w:rFonts w:ascii="华文细黑" w:hAnsi="华文细黑" w:cs="华文细黑" w:eastAsia="华文细黑" w:hint="default"/>
                <w:sz w:val="20"/>
                <w:szCs w:val="20"/>
              </w:rPr>
              <w:t>项目</w:t>
            </w:r>
          </w:p>
        </w:tc>
        <w:tc>
          <w:tcPr>
            <w:tcW w:w="22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728"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期末余额</w:t>
            </w: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66"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期初余额</w:t>
            </w:r>
          </w:p>
        </w:tc>
      </w:tr>
      <w:tr>
        <w:trPr>
          <w:trHeight w:val="376"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流动资产：</w:t>
            </w:r>
          </w:p>
        </w:tc>
        <w:tc>
          <w:tcPr>
            <w:tcW w:w="2268"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385"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6"/>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货币资金</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6"/>
              <w:ind w:right="100"/>
              <w:jc w:val="right"/>
              <w:rPr>
                <w:rFonts w:ascii="华文细黑" w:hAnsi="华文细黑" w:cs="华文细黑" w:eastAsia="华文细黑" w:hint="default"/>
                <w:sz w:val="20"/>
                <w:szCs w:val="20"/>
              </w:rPr>
            </w:pPr>
            <w:r>
              <w:rPr>
                <w:rFonts w:ascii="华文细黑"/>
                <w:spacing w:val="-1"/>
                <w:sz w:val="20"/>
              </w:rPr>
              <w:t>2,521,372,264.33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6"/>
              <w:ind w:right="100"/>
              <w:jc w:val="right"/>
              <w:rPr>
                <w:rFonts w:ascii="华文细黑" w:hAnsi="华文细黑" w:cs="华文细黑" w:eastAsia="华文细黑" w:hint="default"/>
                <w:sz w:val="20"/>
                <w:szCs w:val="20"/>
              </w:rPr>
            </w:pPr>
            <w:r>
              <w:rPr>
                <w:rFonts w:ascii="华文细黑"/>
                <w:spacing w:val="-1"/>
                <w:sz w:val="20"/>
              </w:rPr>
              <w:t>1,559,307,266.83</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以公允价值计量且其变动计入当期损益的金融资产</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217,968,239.73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23,621,500.80</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衍生金融资产</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应收票据及应收账款</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1,331,266,559.14</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1,071,814,228.45</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7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其中：应收票据</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225,300,733.00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216,233,320.56</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3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应收账款</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1,105,965,826.14</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855,580,907.89</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预付款项</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537,836,575.39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1,307,960,624.22</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其他应收款</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983,248,185.67</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1,374,918,537.20</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7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其中：应收利息</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8,228,726.67</w:t>
            </w: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3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应收股利</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存货</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1,470,121,852.07</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2,428,387,439.22</w:t>
            </w:r>
          </w:p>
        </w:tc>
      </w:tr>
      <w:tr>
        <w:trPr>
          <w:trHeight w:val="381"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持有待售资产</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一年内到期的非流动资产</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其他流动资产</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350,753,080.16</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541,105,761.35</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流动资产合计</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7,412,566,756.49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8,307,115,358.07</w:t>
            </w:r>
          </w:p>
        </w:tc>
      </w:tr>
    </w:tbl>
    <w:p>
      <w:pPr>
        <w:spacing w:after="0" w:line="240" w:lineRule="auto"/>
        <w:jc w:val="right"/>
        <w:rPr>
          <w:rFonts w:ascii="华文细黑" w:hAnsi="华文细黑" w:cs="华文细黑" w:eastAsia="华文细黑" w:hint="default"/>
          <w:sz w:val="20"/>
          <w:szCs w:val="20"/>
        </w:rPr>
        <w:sectPr>
          <w:pgSz w:w="11910" w:h="16840"/>
          <w:pgMar w:header="917" w:footer="1019" w:top="1100" w:bottom="1200" w:left="12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3" w:type="dxa"/>
        <w:tblLayout w:type="fixed"/>
        <w:tblCellMar>
          <w:top w:w="0" w:type="dxa"/>
          <w:left w:w="0" w:type="dxa"/>
          <w:bottom w:w="0" w:type="dxa"/>
          <w:right w:w="0" w:type="dxa"/>
        </w:tblCellMar>
        <w:tblLook w:val="01E0"/>
      </w:tblPr>
      <w:tblGrid>
        <w:gridCol w:w="5358"/>
        <w:gridCol w:w="2268"/>
        <w:gridCol w:w="1943"/>
      </w:tblGrid>
      <w:tr>
        <w:trPr>
          <w:trHeight w:val="376"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非流动资产：</w:t>
            </w:r>
          </w:p>
        </w:tc>
        <w:tc>
          <w:tcPr>
            <w:tcW w:w="2268"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385"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6"/>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可供出售金融资产</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持有至到期投资</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1"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长期应收款</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长期股权投资</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1,742,983,416.73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1,744,583,416.73</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投资性房地产</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固定资产</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6,925,235.24</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7,968,720.72</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在建工程</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无形资产</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16,807,103.03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19,813,451.66</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开发支出</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商誉</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长期待摊费用</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1,440,770.08</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383,738.09</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递延所得税资产</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41,773,797.32</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79,448,007.67</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其他非流动资产</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18,000,000.00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18,000,000.00</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非流动资产合计</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1,827,930,322.40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1,870,197,334.87</w:t>
            </w:r>
          </w:p>
        </w:tc>
      </w:tr>
      <w:tr>
        <w:trPr>
          <w:trHeight w:val="385"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资产总计</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9,240,497,078.89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10,177,312,692.94</w:t>
            </w:r>
          </w:p>
        </w:tc>
      </w:tr>
      <w:tr>
        <w:trPr>
          <w:trHeight w:val="375"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流动负债：</w:t>
            </w:r>
          </w:p>
        </w:tc>
        <w:tc>
          <w:tcPr>
            <w:tcW w:w="2268"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短期借款</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2,050,094,700.00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1,453,000,000.00</w:t>
            </w:r>
          </w:p>
        </w:tc>
      </w:tr>
      <w:tr>
        <w:trPr>
          <w:trHeight w:val="381"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以公允价值计量且其变动计入当期损益的金融负债</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衍生金融负债</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应付票据及应付账款</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1,354,334,367.53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2,241,061,179.27</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预收款项</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430,422,805.51</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575,750,951.99</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应付职工薪酬</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27,526,759.97</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62,881,434.34</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应交税费</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53,218,911.70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17,649,354.09</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其他应付款</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267,946,338.73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233,507,492.11</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7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其中：应付利息</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15,377,009.48</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17,813,272.64</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3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应付股利</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持有待售负债</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一年内到期的非流动负债</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501,649,478.68</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其他流动负债</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5"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流动负债合计</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4,183,543,883.44</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5,085,499,890.48</w:t>
            </w:r>
          </w:p>
        </w:tc>
      </w:tr>
      <w:tr>
        <w:trPr>
          <w:trHeight w:val="375"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非流动负债：</w:t>
            </w:r>
          </w:p>
        </w:tc>
        <w:tc>
          <w:tcPr>
            <w:tcW w:w="2268"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长期借款</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1"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应付债券</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599,248,224.96</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598,150,321.29</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7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其中：优先股</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3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永续债</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bl>
    <w:p>
      <w:pPr>
        <w:spacing w:after="0"/>
        <w:sectPr>
          <w:pgSz w:w="11910" w:h="16840"/>
          <w:pgMar w:header="917" w:footer="1019" w:top="1100" w:bottom="1200" w:left="12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3" w:type="dxa"/>
        <w:tblLayout w:type="fixed"/>
        <w:tblCellMar>
          <w:top w:w="0" w:type="dxa"/>
          <w:left w:w="0" w:type="dxa"/>
          <w:bottom w:w="0" w:type="dxa"/>
          <w:right w:w="0" w:type="dxa"/>
        </w:tblCellMar>
        <w:tblLook w:val="01E0"/>
      </w:tblPr>
      <w:tblGrid>
        <w:gridCol w:w="5358"/>
        <w:gridCol w:w="2268"/>
        <w:gridCol w:w="1943"/>
      </w:tblGrid>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长期应付款</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长期应付职工薪酬</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预计负债</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1"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递延收益</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6,670,000.00</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递延所得税负债</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1,992,059.93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3,543,225.12</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其他非流动负债</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非流动负债合计</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601,240,284.89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608,363,546.41</w:t>
            </w:r>
          </w:p>
        </w:tc>
      </w:tr>
      <w:tr>
        <w:trPr>
          <w:trHeight w:val="385"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负债合计</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4,784,784,168.33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5,693,863,436.89</w:t>
            </w:r>
          </w:p>
        </w:tc>
      </w:tr>
      <w:tr>
        <w:trPr>
          <w:trHeight w:val="37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所有者权益：</w:t>
            </w:r>
          </w:p>
        </w:tc>
        <w:tc>
          <w:tcPr>
            <w:tcW w:w="2268"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385"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6"/>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股本</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6"/>
              <w:ind w:right="100"/>
              <w:jc w:val="right"/>
              <w:rPr>
                <w:rFonts w:ascii="华文细黑" w:hAnsi="华文细黑" w:cs="华文细黑" w:eastAsia="华文细黑" w:hint="default"/>
                <w:sz w:val="20"/>
                <w:szCs w:val="20"/>
              </w:rPr>
            </w:pPr>
            <w:r>
              <w:rPr>
                <w:rFonts w:ascii="华文细黑"/>
                <w:spacing w:val="-1"/>
                <w:sz w:val="20"/>
              </w:rPr>
              <w:t>1,239,281,806.00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6"/>
              <w:ind w:right="100"/>
              <w:jc w:val="right"/>
              <w:rPr>
                <w:rFonts w:ascii="华文细黑" w:hAnsi="华文细黑" w:cs="华文细黑" w:eastAsia="华文细黑" w:hint="default"/>
                <w:sz w:val="20"/>
                <w:szCs w:val="20"/>
              </w:rPr>
            </w:pPr>
            <w:r>
              <w:rPr>
                <w:rFonts w:ascii="华文细黑"/>
                <w:spacing w:val="-1"/>
                <w:sz w:val="20"/>
              </w:rPr>
              <w:t>1,032,734,839.00</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其他权益工具</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7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其中：优先股</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3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永续债</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资本公积</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1,709,322,752.80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1,915,869,719.80</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减：库存股</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其他综合收益</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专项储备</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盈余公积</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264,724,184.43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246,843,122.20</w:t>
            </w:r>
          </w:p>
        </w:tc>
      </w:tr>
      <w:tr>
        <w:trPr>
          <w:trHeight w:val="381"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未分配利润</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1,242,384,167.33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1,288,001,575.05</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所有者权益合计</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4,455,712,910.56</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4,483,449,256.05</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负债和所有者权益总计</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9,240,497,078.89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10,177,312,692.94</w:t>
            </w:r>
          </w:p>
        </w:tc>
      </w:tr>
    </w:tbl>
    <w:p>
      <w:pPr>
        <w:spacing w:line="240" w:lineRule="auto" w:before="0"/>
        <w:rPr>
          <w:rFonts w:ascii="Times New Roman" w:hAnsi="Times New Roman" w:cs="Times New Roman" w:eastAsia="Times New Roman" w:hint="default"/>
          <w:sz w:val="20"/>
          <w:szCs w:val="20"/>
        </w:rPr>
      </w:pPr>
    </w:p>
    <w:p>
      <w:pPr>
        <w:pStyle w:val="Heading5"/>
        <w:spacing w:line="240" w:lineRule="auto" w:before="177"/>
        <w:ind w:left="220" w:right="6664"/>
        <w:jc w:val="left"/>
        <w:rPr>
          <w:b w:val="0"/>
          <w:bCs w:val="0"/>
        </w:rPr>
      </w:pPr>
      <w:bookmarkStart w:name="3、合并利润表" w:id="214"/>
      <w:bookmarkEnd w:id="214"/>
      <w:r>
        <w:rPr>
          <w:b w:val="0"/>
          <w:bCs w:val="0"/>
        </w:rPr>
      </w:r>
      <w:r>
        <w:rPr>
          <w:rFonts w:ascii="华文细黑" w:hAnsi="华文细黑" w:cs="华文细黑" w:eastAsia="华文细黑" w:hint="default"/>
        </w:rPr>
        <w:t>3</w:t>
      </w:r>
      <w:r>
        <w:rPr/>
        <w:t>、合并利润表</w:t>
      </w:r>
      <w:r>
        <w:rPr>
          <w:b w:val="0"/>
          <w:bCs w:val="0"/>
        </w:rPr>
      </w:r>
    </w:p>
    <w:p>
      <w:pPr>
        <w:spacing w:line="240" w:lineRule="auto" w:before="0"/>
        <w:rPr>
          <w:rFonts w:ascii="华文细黑" w:hAnsi="华文细黑" w:cs="华文细黑" w:eastAsia="华文细黑" w:hint="default"/>
          <w:b/>
          <w:bCs/>
          <w:sz w:val="20"/>
          <w:szCs w:val="20"/>
        </w:rPr>
      </w:pPr>
    </w:p>
    <w:p>
      <w:pPr>
        <w:spacing w:line="240" w:lineRule="auto" w:before="12"/>
        <w:rPr>
          <w:rFonts w:ascii="华文细黑" w:hAnsi="华文细黑" w:cs="华文细黑" w:eastAsia="华文细黑" w:hint="default"/>
          <w:b/>
          <w:bCs/>
          <w:sz w:val="17"/>
          <w:szCs w:val="17"/>
        </w:rPr>
      </w:pPr>
    </w:p>
    <w:p>
      <w:pPr>
        <w:pStyle w:val="BodyText"/>
        <w:spacing w:line="240" w:lineRule="auto" w:before="10"/>
        <w:ind w:left="4457" w:right="5251"/>
        <w:jc w:val="center"/>
      </w:pPr>
      <w:r>
        <w:rPr>
          <w:rFonts w:ascii="华文细黑" w:hAnsi="华文细黑" w:cs="华文细黑" w:eastAsia="华文细黑" w:hint="default"/>
        </w:rPr>
        <w:t>2018 </w:t>
      </w:r>
      <w:r>
        <w:rPr/>
        <w:t>年度</w:t>
      </w:r>
    </w:p>
    <w:p>
      <w:pPr>
        <w:spacing w:line="240" w:lineRule="auto" w:before="5"/>
        <w:rPr>
          <w:rFonts w:ascii="华文细黑" w:hAnsi="华文细黑" w:cs="华文细黑" w:eastAsia="华文细黑" w:hint="default"/>
          <w:sz w:val="5"/>
          <w:szCs w:val="5"/>
        </w:rPr>
      </w:pPr>
    </w:p>
    <w:tbl>
      <w:tblPr>
        <w:tblW w:w="0" w:type="auto"/>
        <w:jc w:val="left"/>
        <w:tblInd w:w="103" w:type="dxa"/>
        <w:tblLayout w:type="fixed"/>
        <w:tblCellMar>
          <w:top w:w="0" w:type="dxa"/>
          <w:left w:w="0" w:type="dxa"/>
          <w:bottom w:w="0" w:type="dxa"/>
          <w:right w:w="0" w:type="dxa"/>
        </w:tblCellMar>
        <w:tblLook w:val="01E0"/>
      </w:tblPr>
      <w:tblGrid>
        <w:gridCol w:w="5358"/>
        <w:gridCol w:w="2268"/>
        <w:gridCol w:w="1943"/>
      </w:tblGrid>
      <w:tr>
        <w:trPr>
          <w:trHeight w:val="375"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right="0"/>
              <w:jc w:val="center"/>
              <w:rPr>
                <w:rFonts w:ascii="华文细黑" w:hAnsi="华文细黑" w:cs="华文细黑" w:eastAsia="华文细黑" w:hint="default"/>
                <w:sz w:val="20"/>
                <w:szCs w:val="20"/>
              </w:rPr>
            </w:pPr>
            <w:r>
              <w:rPr>
                <w:rFonts w:ascii="华文细黑" w:hAnsi="华文细黑" w:cs="华文细黑" w:eastAsia="华文细黑" w:hint="default"/>
                <w:sz w:val="20"/>
                <w:szCs w:val="20"/>
              </w:rPr>
              <w:t>项目</w:t>
            </w:r>
          </w:p>
        </w:tc>
        <w:tc>
          <w:tcPr>
            <w:tcW w:w="22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628"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本期发生额</w:t>
            </w: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466"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上期发生额</w:t>
            </w:r>
          </w:p>
        </w:tc>
      </w:tr>
      <w:tr>
        <w:trPr>
          <w:trHeight w:val="385"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6"/>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一、营业总收入</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6"/>
              <w:ind w:right="101"/>
              <w:jc w:val="right"/>
              <w:rPr>
                <w:rFonts w:ascii="华文细黑" w:hAnsi="华文细黑" w:cs="华文细黑" w:eastAsia="华文细黑" w:hint="default"/>
                <w:sz w:val="20"/>
                <w:szCs w:val="20"/>
              </w:rPr>
            </w:pPr>
            <w:r>
              <w:rPr>
                <w:rFonts w:ascii="华文细黑"/>
                <w:spacing w:val="-1"/>
                <w:sz w:val="20"/>
              </w:rPr>
              <w:t>56,983,791,975.82</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6"/>
              <w:ind w:right="101"/>
              <w:jc w:val="right"/>
              <w:rPr>
                <w:rFonts w:ascii="华文细黑" w:hAnsi="华文细黑" w:cs="华文细黑" w:eastAsia="华文细黑" w:hint="default"/>
                <w:sz w:val="20"/>
                <w:szCs w:val="20"/>
              </w:rPr>
            </w:pPr>
            <w:r>
              <w:rPr>
                <w:rFonts w:ascii="华文细黑"/>
                <w:spacing w:val="-1"/>
                <w:sz w:val="20"/>
              </w:rPr>
              <w:t>56,735,870,506.54</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其中：营业收入</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56,807,507,066.59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2"/>
              <w:jc w:val="right"/>
              <w:rPr>
                <w:rFonts w:ascii="华文细黑" w:hAnsi="华文细黑" w:cs="华文细黑" w:eastAsia="华文细黑" w:hint="default"/>
                <w:sz w:val="20"/>
                <w:szCs w:val="20"/>
              </w:rPr>
            </w:pPr>
            <w:r>
              <w:rPr>
                <w:rFonts w:ascii="华文细黑"/>
                <w:spacing w:val="-1"/>
                <w:sz w:val="20"/>
              </w:rPr>
              <w:t>56,659,906,259.21</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利息收入</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176,284,909.23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75,964,247.33</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二、营业总成本</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57,097,157,451.42</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56,411,465,393.30</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其中：营业成本</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55,316,597,039.18</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55,061,629,135.70</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税金及附加</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42,119,511.31</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49,526,609.43</w:t>
            </w:r>
          </w:p>
        </w:tc>
      </w:tr>
      <w:tr>
        <w:trPr>
          <w:trHeight w:val="381"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销售费用</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729,338,057.25</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673,133,124.23</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管理费用</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220,777,637.63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200,693,568.02</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研发费用</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12,317,419.50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9,565,794.08</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财务费用</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240,881,973.35</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190,240,301.71</w:t>
            </w:r>
          </w:p>
        </w:tc>
      </w:tr>
    </w:tbl>
    <w:p>
      <w:pPr>
        <w:spacing w:after="0" w:line="240" w:lineRule="auto"/>
        <w:jc w:val="right"/>
        <w:rPr>
          <w:rFonts w:ascii="华文细黑" w:hAnsi="华文细黑" w:cs="华文细黑" w:eastAsia="华文细黑" w:hint="default"/>
          <w:sz w:val="20"/>
          <w:szCs w:val="20"/>
        </w:rPr>
        <w:sectPr>
          <w:pgSz w:w="11910" w:h="16840"/>
          <w:pgMar w:header="917" w:footer="1019" w:top="1100" w:bottom="1200" w:left="12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3" w:type="dxa"/>
        <w:tblLayout w:type="fixed"/>
        <w:tblCellMar>
          <w:top w:w="0" w:type="dxa"/>
          <w:left w:w="0" w:type="dxa"/>
          <w:bottom w:w="0" w:type="dxa"/>
          <w:right w:w="0" w:type="dxa"/>
        </w:tblCellMar>
        <w:tblLook w:val="01E0"/>
      </w:tblPr>
      <w:tblGrid>
        <w:gridCol w:w="5358"/>
        <w:gridCol w:w="2268"/>
        <w:gridCol w:w="1943"/>
      </w:tblGrid>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3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其中：利息费用</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260,021,275.22</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216,237,009.06</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right="737"/>
              <w:jc w:val="center"/>
              <w:rPr>
                <w:rFonts w:ascii="华文细黑" w:hAnsi="华文细黑" w:cs="华文细黑" w:eastAsia="华文细黑" w:hint="default"/>
                <w:sz w:val="20"/>
                <w:szCs w:val="20"/>
              </w:rPr>
            </w:pPr>
            <w:r>
              <w:rPr>
                <w:rFonts w:ascii="华文细黑" w:hAnsi="华文细黑" w:cs="华文细黑" w:eastAsia="华文细黑" w:hint="default"/>
                <w:sz w:val="20"/>
                <w:szCs w:val="20"/>
              </w:rPr>
              <w:t>利息收入</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51,677,810.32</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50,379,955.23</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资产减值损失</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535,125,813.20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226,676,860.13</w:t>
            </w:r>
          </w:p>
        </w:tc>
      </w:tr>
      <w:tr>
        <w:trPr>
          <w:trHeight w:val="381"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加：其他收益</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5,094,474.88</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2,983,347.99</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9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投资收益（损失以“－”号填列）</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56,565,486.41</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123,484,560.56</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9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其中：对联营企业和合营企业的投资收益</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-214,258.50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-10,686,966.24</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9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公允价值变动收益（损失以“－”号填列）</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-6,204,660.75</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-787,383.36</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9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汇兑收益（损失以“</w:t>
            </w:r>
            <w:r>
              <w:rPr>
                <w:rFonts w:ascii="华文细黑" w:hAnsi="华文细黑" w:cs="华文细黑" w:eastAsia="华文细黑" w:hint="default"/>
                <w:sz w:val="20"/>
                <w:szCs w:val="20"/>
              </w:rPr>
              <w:t>-</w:t>
            </w:r>
            <w:r>
              <w:rPr>
                <w:rFonts w:ascii="华文细黑" w:hAnsi="华文细黑" w:cs="华文细黑" w:eastAsia="华文细黑" w:hint="default"/>
                <w:sz w:val="20"/>
                <w:szCs w:val="20"/>
              </w:rPr>
              <w:t>”号填列）</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9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资产处置收益（损失以“</w:t>
            </w:r>
            <w:r>
              <w:rPr>
                <w:rFonts w:ascii="华文细黑" w:hAnsi="华文细黑" w:cs="华文细黑" w:eastAsia="华文细黑" w:hint="default"/>
                <w:sz w:val="20"/>
                <w:szCs w:val="20"/>
              </w:rPr>
              <w:t>-</w:t>
            </w:r>
            <w:r>
              <w:rPr>
                <w:rFonts w:ascii="华文细黑" w:hAnsi="华文细黑" w:cs="华文细黑" w:eastAsia="华文细黑" w:hint="default"/>
                <w:sz w:val="20"/>
                <w:szCs w:val="20"/>
              </w:rPr>
              <w:t>”号填列）</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-58,916.32</w:t>
            </w: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三、营业利润（亏损以“－”号填列）</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-57,969,091.38</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450,085,638.43</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加：营业外收入</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32,918,069.49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21,644,924.51</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减：营业外支出</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738,694.40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1,989,717.89</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四、利润总额（亏损总额以“－”号填列）</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-25,789,716.29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469,740,845.05</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减：所得税费用</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44,104,939.56</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71,212,999.83</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五、净利润（净亏损以“－”号填列）</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-69,894,655.85</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398,527,845.22</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right="441"/>
              <w:jc w:val="right"/>
              <w:rPr>
                <w:rFonts w:ascii="华文细黑" w:hAnsi="华文细黑" w:cs="华文细黑" w:eastAsia="华文细黑" w:hint="default"/>
                <w:sz w:val="20"/>
                <w:szCs w:val="20"/>
              </w:rPr>
            </w:pPr>
            <w:r>
              <w:rPr>
                <w:rFonts w:ascii="华文细黑" w:hAnsi="华文细黑" w:cs="华文细黑" w:eastAsia="华文细黑" w:hint="default"/>
                <w:spacing w:val="-1"/>
                <w:sz w:val="20"/>
                <w:szCs w:val="20"/>
              </w:rPr>
              <w:t>（一）持续经营净利润（净亏损以“－”号填列）</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-69,894,655.85</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398,527,845.22</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right="441"/>
              <w:jc w:val="right"/>
              <w:rPr>
                <w:rFonts w:ascii="华文细黑" w:hAnsi="华文细黑" w:cs="华文细黑" w:eastAsia="华文细黑" w:hint="default"/>
                <w:sz w:val="20"/>
                <w:szCs w:val="20"/>
              </w:rPr>
            </w:pPr>
            <w:r>
              <w:rPr>
                <w:rFonts w:ascii="华文细黑" w:hAnsi="华文细黑" w:cs="华文细黑" w:eastAsia="华文细黑" w:hint="default"/>
                <w:spacing w:val="-1"/>
                <w:sz w:val="20"/>
                <w:szCs w:val="20"/>
              </w:rPr>
              <w:t>（二）终止经营净利润（净亏损以“－”号填列）</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归属于母公司所有者的净利润</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-92,720,082.99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378,967,619.06</w:t>
            </w:r>
          </w:p>
        </w:tc>
      </w:tr>
      <w:tr>
        <w:trPr>
          <w:trHeight w:val="381"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少数股东损益</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22,825,427.14</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19,560,226.16</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六、其他综合收益的税后净额</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-165,197,778.67</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-108,918,858.25</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3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归属母公司所有者的其他综合收益的税后净额</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-165,301,322.98</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-108,860,571.96</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（一）不能重分类进损益的其他综合收益</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1.</w:t>
            </w:r>
            <w:r>
              <w:rPr>
                <w:rFonts w:ascii="华文细黑" w:hAnsi="华文细黑" w:cs="华文细黑" w:eastAsia="华文细黑" w:hint="default"/>
                <w:sz w:val="20"/>
                <w:szCs w:val="20"/>
              </w:rPr>
              <w:t>重新计量设定受益计划变动额</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2.</w:t>
            </w:r>
            <w:r>
              <w:rPr>
                <w:rFonts w:ascii="华文细黑" w:hAnsi="华文细黑" w:cs="华文细黑" w:eastAsia="华文细黑" w:hint="default"/>
                <w:sz w:val="20"/>
                <w:szCs w:val="20"/>
              </w:rPr>
              <w:t>权益法下不能转损益的其他综合收益</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（二）将重分类进损益的其他综合收益</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-165,301,322.98</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-108,860,571.96</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1.</w:t>
            </w:r>
            <w:r>
              <w:rPr>
                <w:rFonts w:ascii="华文细黑" w:hAnsi="华文细黑" w:cs="华文细黑" w:eastAsia="华文细黑" w:hint="default"/>
                <w:sz w:val="20"/>
                <w:szCs w:val="20"/>
              </w:rPr>
              <w:t>权益法下可转损益的其他综合收益</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2.</w:t>
            </w:r>
            <w:r>
              <w:rPr>
                <w:rFonts w:ascii="华文细黑" w:hAnsi="华文细黑" w:cs="华文细黑" w:eastAsia="华文细黑" w:hint="default"/>
                <w:sz w:val="20"/>
                <w:szCs w:val="20"/>
              </w:rPr>
              <w:t>可供出售金融资产公允价值变动损益</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-169,626,794.59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-105,015,954.58</w:t>
            </w:r>
          </w:p>
        </w:tc>
      </w:tr>
      <w:tr>
        <w:trPr>
          <w:trHeight w:val="67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3.</w:t>
            </w:r>
            <w:r>
              <w:rPr>
                <w:rFonts w:ascii="华文细黑" w:hAnsi="华文细黑" w:cs="华文细黑" w:eastAsia="华文细黑" w:hint="default"/>
                <w:sz w:val="20"/>
                <w:szCs w:val="20"/>
              </w:rPr>
              <w:t>持有至到期投资重分类为可供出售金融资产</w:t>
            </w:r>
          </w:p>
          <w:p>
            <w:pPr>
              <w:pStyle w:val="TableParagraph"/>
              <w:spacing w:line="240" w:lineRule="auto" w:before="8"/>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损益</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4.</w:t>
            </w:r>
            <w:r>
              <w:rPr>
                <w:rFonts w:ascii="华文细黑" w:hAnsi="华文细黑" w:cs="华文细黑" w:eastAsia="华文细黑" w:hint="default"/>
                <w:sz w:val="20"/>
                <w:szCs w:val="20"/>
              </w:rPr>
              <w:t>现金流量套期损益的有效部分</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5.</w:t>
            </w:r>
            <w:r>
              <w:rPr>
                <w:rFonts w:ascii="华文细黑" w:hAnsi="华文细黑" w:cs="华文细黑" w:eastAsia="华文细黑" w:hint="default"/>
                <w:sz w:val="20"/>
                <w:szCs w:val="20"/>
              </w:rPr>
              <w:t>外币财务报表折算差额</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4,325,471.61</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-3,844,617.38</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6.</w:t>
            </w:r>
            <w:r>
              <w:rPr>
                <w:rFonts w:ascii="华文细黑" w:hAnsi="华文细黑" w:cs="华文细黑" w:eastAsia="华文细黑" w:hint="default"/>
                <w:sz w:val="20"/>
                <w:szCs w:val="20"/>
              </w:rPr>
              <w:t>其他</w:t>
            </w:r>
          </w:p>
        </w:tc>
        <w:tc>
          <w:tcPr>
            <w:tcW w:w="2268"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3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归属于少数股东的其他综合收益的税后净额</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103,544.31</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-58,286.29</w:t>
            </w:r>
          </w:p>
        </w:tc>
      </w:tr>
      <w:tr>
        <w:trPr>
          <w:trHeight w:val="381"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七、综合收益总额</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-235,092,434.52</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289,608,986.97</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归属于母公司所有者的综合收益总额</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-258,021,405.97</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270,107,047.10</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归属于少数股东的综合收益总额</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22,928,971.45</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19,501,939.87</w:t>
            </w:r>
          </w:p>
        </w:tc>
      </w:tr>
    </w:tbl>
    <w:p>
      <w:pPr>
        <w:spacing w:after="0" w:line="240" w:lineRule="auto"/>
        <w:jc w:val="right"/>
        <w:rPr>
          <w:rFonts w:ascii="华文细黑" w:hAnsi="华文细黑" w:cs="华文细黑" w:eastAsia="华文细黑" w:hint="default"/>
          <w:sz w:val="20"/>
          <w:szCs w:val="20"/>
        </w:rPr>
        <w:sectPr>
          <w:pgSz w:w="11910" w:h="16840"/>
          <w:pgMar w:header="917" w:footer="1019" w:top="1100" w:bottom="1200" w:left="12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3" w:type="dxa"/>
        <w:tblLayout w:type="fixed"/>
        <w:tblCellMar>
          <w:top w:w="0" w:type="dxa"/>
          <w:left w:w="0" w:type="dxa"/>
          <w:bottom w:w="0" w:type="dxa"/>
          <w:right w:w="0" w:type="dxa"/>
        </w:tblCellMar>
        <w:tblLook w:val="01E0"/>
      </w:tblPr>
      <w:tblGrid>
        <w:gridCol w:w="5358"/>
        <w:gridCol w:w="2268"/>
        <w:gridCol w:w="1943"/>
      </w:tblGrid>
      <w:tr>
        <w:trPr>
          <w:trHeight w:val="376"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八、每股收益：</w:t>
            </w:r>
          </w:p>
        </w:tc>
        <w:tc>
          <w:tcPr>
            <w:tcW w:w="2268"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385"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6"/>
              <w:ind w:right="3041"/>
              <w:jc w:val="right"/>
              <w:rPr>
                <w:rFonts w:ascii="华文细黑" w:hAnsi="华文细黑" w:cs="华文细黑" w:eastAsia="华文细黑" w:hint="default"/>
                <w:sz w:val="20"/>
                <w:szCs w:val="20"/>
              </w:rPr>
            </w:pPr>
            <w:r>
              <w:rPr>
                <w:rFonts w:ascii="华文细黑" w:hAnsi="华文细黑" w:cs="华文细黑" w:eastAsia="华文细黑" w:hint="default"/>
                <w:spacing w:val="-1"/>
                <w:sz w:val="20"/>
                <w:szCs w:val="20"/>
              </w:rPr>
              <w:t>（一）基本每股收益</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6"/>
              <w:ind w:right="100"/>
              <w:jc w:val="right"/>
              <w:rPr>
                <w:rFonts w:ascii="华文细黑" w:hAnsi="华文细黑" w:cs="华文细黑" w:eastAsia="华文细黑" w:hint="default"/>
                <w:sz w:val="20"/>
                <w:szCs w:val="20"/>
              </w:rPr>
            </w:pPr>
            <w:r>
              <w:rPr>
                <w:rFonts w:ascii="华文细黑"/>
                <w:spacing w:val="-1"/>
                <w:sz w:val="20"/>
              </w:rPr>
              <w:t>-0.0748</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6"/>
              <w:ind w:right="101"/>
              <w:jc w:val="right"/>
              <w:rPr>
                <w:rFonts w:ascii="华文细黑" w:hAnsi="华文细黑" w:cs="华文细黑" w:eastAsia="华文细黑" w:hint="default"/>
                <w:sz w:val="20"/>
                <w:szCs w:val="20"/>
              </w:rPr>
            </w:pPr>
            <w:r>
              <w:rPr>
                <w:rFonts w:ascii="华文细黑"/>
                <w:spacing w:val="-1"/>
                <w:sz w:val="20"/>
              </w:rPr>
              <w:t>0.3058</w:t>
            </w:r>
          </w:p>
        </w:tc>
      </w:tr>
      <w:tr>
        <w:trPr>
          <w:trHeight w:val="380" w:hRule="exact"/>
        </w:trPr>
        <w:tc>
          <w:tcPr>
            <w:tcW w:w="53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right="3041"/>
              <w:jc w:val="right"/>
              <w:rPr>
                <w:rFonts w:ascii="华文细黑" w:hAnsi="华文细黑" w:cs="华文细黑" w:eastAsia="华文细黑" w:hint="default"/>
                <w:sz w:val="20"/>
                <w:szCs w:val="20"/>
              </w:rPr>
            </w:pPr>
            <w:r>
              <w:rPr>
                <w:rFonts w:ascii="华文细黑" w:hAnsi="华文细黑" w:cs="华文细黑" w:eastAsia="华文细黑" w:hint="default"/>
                <w:spacing w:val="-1"/>
                <w:sz w:val="20"/>
                <w:szCs w:val="20"/>
              </w:rPr>
              <w:t>（二）稀释每股收益</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-0.0748</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0.3058</w:t>
            </w:r>
          </w:p>
        </w:tc>
      </w:tr>
    </w:tbl>
    <w:p>
      <w:pPr>
        <w:spacing w:line="240" w:lineRule="auto" w:before="5"/>
        <w:rPr>
          <w:rFonts w:ascii="Times New Roman" w:hAnsi="Times New Roman" w:cs="Times New Roman" w:eastAsia="Times New Roman" w:hint="default"/>
          <w:sz w:val="8"/>
          <w:szCs w:val="8"/>
        </w:rPr>
      </w:pPr>
    </w:p>
    <w:p>
      <w:pPr>
        <w:pStyle w:val="BodyText"/>
        <w:spacing w:line="324" w:lineRule="auto" w:before="10"/>
        <w:ind w:left="222" w:right="1423"/>
        <w:jc w:val="left"/>
      </w:pPr>
      <w:r>
        <w:rPr>
          <w:spacing w:val="-1"/>
        </w:rPr>
        <w:t>本期发生同一控制下企业合并的，被合并方在合并前实现的净利润为：</w:t>
      </w:r>
      <w:r>
        <w:rPr>
          <w:rFonts w:ascii="华文细黑" w:hAnsi="华文细黑" w:cs="华文细黑" w:eastAsia="华文细黑" w:hint="default"/>
          <w:spacing w:val="-1"/>
        </w:rPr>
        <w:t>0.00</w:t>
      </w:r>
      <w:r>
        <w:rPr>
          <w:rFonts w:ascii="华文细黑" w:hAnsi="华文细黑" w:cs="华文细黑" w:eastAsia="华文细黑" w:hint="default"/>
          <w:spacing w:val="6"/>
        </w:rPr>
        <w:t> </w:t>
      </w:r>
      <w:r>
        <w:rPr>
          <w:spacing w:val="-2"/>
        </w:rPr>
        <w:t>元，上期被合并方实现</w:t>
      </w:r>
      <w:r>
        <w:rPr/>
        <w:t> 的净利润为：</w:t>
      </w:r>
      <w:r>
        <w:rPr>
          <w:rFonts w:ascii="华文细黑" w:hAnsi="华文细黑" w:cs="华文细黑" w:eastAsia="华文细黑" w:hint="default"/>
        </w:rPr>
        <w:t>0.00</w:t>
      </w:r>
      <w:r>
        <w:rPr>
          <w:rFonts w:ascii="华文细黑" w:hAnsi="华文细黑" w:cs="华文细黑" w:eastAsia="华文细黑" w:hint="default"/>
          <w:spacing w:val="-1"/>
        </w:rPr>
        <w:t> </w:t>
      </w:r>
      <w:r>
        <w:rPr/>
        <w:t>元。</w:t>
      </w:r>
    </w:p>
    <w:p>
      <w:pPr>
        <w:pStyle w:val="BodyText"/>
        <w:tabs>
          <w:tab w:pos="3268" w:val="left" w:leader="none"/>
          <w:tab w:pos="6837" w:val="left" w:leader="none"/>
        </w:tabs>
        <w:spacing w:line="597" w:lineRule="auto" w:before="64"/>
        <w:ind w:left="220" w:right="1538" w:firstLine="2"/>
        <w:jc w:val="left"/>
        <w:rPr>
          <w:rFonts w:ascii="华文细黑" w:hAnsi="华文细黑" w:cs="华文细黑" w:eastAsia="华文细黑" w:hint="default"/>
        </w:rPr>
      </w:pPr>
      <w:r>
        <w:rPr/>
        <w:t>法定代表人：黄文辉</w:t>
        <w:tab/>
      </w:r>
      <w:r>
        <w:rPr>
          <w:spacing w:val="-1"/>
        </w:rPr>
        <w:t>主管会计工作负责人：米泽东</w:t>
        <w:tab/>
        <w:t>会计机构负责人：米泽东</w:t>
      </w:r>
      <w:r>
        <w:rPr>
          <w:spacing w:val="-46"/>
        </w:rPr>
        <w:t> </w:t>
      </w:r>
      <w:r>
        <w:rPr>
          <w:spacing w:val="-46"/>
        </w:rPr>
      </w:r>
      <w:bookmarkStart w:name="4、母公司利润表" w:id="215"/>
      <w:bookmarkEnd w:id="215"/>
      <w:r>
        <w:rPr>
          <w:spacing w:val="-46"/>
        </w:rPr>
      </w:r>
      <w:r>
        <w:rPr>
          <w:rFonts w:ascii="华文细黑" w:hAnsi="华文细黑" w:cs="华文细黑" w:eastAsia="华文细黑" w:hint="default"/>
          <w:b/>
          <w:bCs/>
        </w:rPr>
        <w:t>4</w:t>
      </w:r>
      <w:r>
        <w:rPr>
          <w:rFonts w:ascii="华文细黑" w:hAnsi="华文细黑" w:cs="华文细黑" w:eastAsia="华文细黑" w:hint="default"/>
          <w:b/>
          <w:bCs/>
        </w:rPr>
        <w:t>、母公司利润表</w:t>
      </w:r>
      <w:r>
        <w:rPr>
          <w:rFonts w:ascii="华文细黑" w:hAnsi="华文细黑" w:cs="华文细黑" w:eastAsia="华文细黑" w:hint="default"/>
        </w:rPr>
      </w:r>
    </w:p>
    <w:p>
      <w:pPr>
        <w:spacing w:line="240" w:lineRule="auto" w:before="12"/>
        <w:rPr>
          <w:rFonts w:ascii="华文细黑" w:hAnsi="华文细黑" w:cs="华文细黑" w:eastAsia="华文细黑" w:hint="default"/>
          <w:b/>
          <w:bCs/>
          <w:sz w:val="9"/>
          <w:szCs w:val="9"/>
        </w:rPr>
      </w:pPr>
    </w:p>
    <w:tbl>
      <w:tblPr>
        <w:tblW w:w="0" w:type="auto"/>
        <w:jc w:val="left"/>
        <w:tblInd w:w="103" w:type="dxa"/>
        <w:tblLayout w:type="fixed"/>
        <w:tblCellMar>
          <w:top w:w="0" w:type="dxa"/>
          <w:left w:w="0" w:type="dxa"/>
          <w:bottom w:w="0" w:type="dxa"/>
          <w:right w:w="0" w:type="dxa"/>
        </w:tblCellMar>
        <w:tblLook w:val="01E0"/>
      </w:tblPr>
      <w:tblGrid>
        <w:gridCol w:w="5642"/>
        <w:gridCol w:w="1984"/>
        <w:gridCol w:w="1943"/>
      </w:tblGrid>
      <w:tr>
        <w:trPr>
          <w:trHeight w:val="375"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 w:right="0"/>
              <w:jc w:val="center"/>
              <w:rPr>
                <w:rFonts w:ascii="华文细黑" w:hAnsi="华文细黑" w:cs="华文细黑" w:eastAsia="华文细黑" w:hint="default"/>
                <w:sz w:val="20"/>
                <w:szCs w:val="20"/>
              </w:rPr>
            </w:pPr>
            <w:r>
              <w:rPr>
                <w:rFonts w:ascii="华文细黑" w:hAnsi="华文细黑" w:cs="华文细黑" w:eastAsia="华文细黑" w:hint="default"/>
                <w:sz w:val="20"/>
                <w:szCs w:val="20"/>
              </w:rPr>
              <w:t>项目</w:t>
            </w:r>
          </w:p>
        </w:tc>
        <w:tc>
          <w:tcPr>
            <w:tcW w:w="19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486"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本期发生额</w:t>
            </w: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466"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上期发生额</w:t>
            </w:r>
          </w:p>
        </w:tc>
      </w:tr>
      <w:tr>
        <w:trPr>
          <w:trHeight w:val="385"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6"/>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一、营业收入</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6"/>
              <w:ind w:right="102"/>
              <w:jc w:val="right"/>
              <w:rPr>
                <w:rFonts w:ascii="华文细黑" w:hAnsi="华文细黑" w:cs="华文细黑" w:eastAsia="华文细黑" w:hint="default"/>
                <w:sz w:val="20"/>
                <w:szCs w:val="20"/>
              </w:rPr>
            </w:pPr>
            <w:r>
              <w:rPr>
                <w:rFonts w:ascii="华文细黑"/>
                <w:spacing w:val="-1"/>
                <w:sz w:val="20"/>
              </w:rPr>
              <w:t>42,122,299,858.49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6"/>
              <w:ind w:right="101"/>
              <w:jc w:val="right"/>
              <w:rPr>
                <w:rFonts w:ascii="华文细黑" w:hAnsi="华文细黑" w:cs="华文细黑" w:eastAsia="华文细黑" w:hint="default"/>
                <w:sz w:val="20"/>
                <w:szCs w:val="20"/>
              </w:rPr>
            </w:pPr>
            <w:r>
              <w:rPr>
                <w:rFonts w:ascii="华文细黑"/>
                <w:spacing w:val="-1"/>
                <w:sz w:val="20"/>
              </w:rPr>
              <w:t>38,896,514,673.95</w:t>
            </w: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减：营业成本</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2"/>
              <w:jc w:val="right"/>
              <w:rPr>
                <w:rFonts w:ascii="华文细黑" w:hAnsi="华文细黑" w:cs="华文细黑" w:eastAsia="华文细黑" w:hint="default"/>
                <w:sz w:val="20"/>
                <w:szCs w:val="20"/>
              </w:rPr>
            </w:pPr>
            <w:r>
              <w:rPr>
                <w:rFonts w:ascii="华文细黑"/>
                <w:spacing w:val="-1"/>
                <w:sz w:val="20"/>
              </w:rPr>
              <w:t>41,184,199,168.21</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37,911,193,617.30</w:t>
            </w: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9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税金及附加</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2"/>
              <w:jc w:val="right"/>
              <w:rPr>
                <w:rFonts w:ascii="华文细黑" w:hAnsi="华文细黑" w:cs="华文细黑" w:eastAsia="华文细黑" w:hint="default"/>
                <w:sz w:val="20"/>
                <w:szCs w:val="20"/>
              </w:rPr>
            </w:pPr>
            <w:r>
              <w:rPr>
                <w:rFonts w:ascii="华文细黑"/>
                <w:spacing w:val="-1"/>
                <w:sz w:val="20"/>
              </w:rPr>
              <w:t>23,413,969.19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24,321,079.20</w:t>
            </w: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9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销售费用</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2"/>
              <w:jc w:val="right"/>
              <w:rPr>
                <w:rFonts w:ascii="华文细黑" w:hAnsi="华文细黑" w:cs="华文细黑" w:eastAsia="华文细黑" w:hint="default"/>
                <w:sz w:val="20"/>
                <w:szCs w:val="20"/>
              </w:rPr>
            </w:pPr>
            <w:r>
              <w:rPr>
                <w:rFonts w:ascii="华文细黑"/>
                <w:spacing w:val="-1"/>
                <w:sz w:val="20"/>
              </w:rPr>
              <w:t>497,781,026.46</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445,438,365.71</w:t>
            </w: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9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管理费用</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2"/>
              <w:jc w:val="right"/>
              <w:rPr>
                <w:rFonts w:ascii="华文细黑" w:hAnsi="华文细黑" w:cs="华文细黑" w:eastAsia="华文细黑" w:hint="default"/>
                <w:sz w:val="20"/>
                <w:szCs w:val="20"/>
              </w:rPr>
            </w:pPr>
            <w:r>
              <w:rPr>
                <w:rFonts w:ascii="华文细黑"/>
                <w:spacing w:val="-1"/>
                <w:sz w:val="20"/>
              </w:rPr>
              <w:t>104,320,301.70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116,240,403.56</w:t>
            </w: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9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研发费用</w:t>
            </w:r>
          </w:p>
        </w:tc>
        <w:tc>
          <w:tcPr>
            <w:tcW w:w="1984"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9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财务费用</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2"/>
              <w:jc w:val="right"/>
              <w:rPr>
                <w:rFonts w:ascii="华文细黑" w:hAnsi="华文细黑" w:cs="华文细黑" w:eastAsia="华文细黑" w:hint="default"/>
                <w:sz w:val="20"/>
                <w:szCs w:val="20"/>
              </w:rPr>
            </w:pPr>
            <w:r>
              <w:rPr>
                <w:rFonts w:ascii="华文细黑"/>
                <w:spacing w:val="-1"/>
                <w:sz w:val="20"/>
              </w:rPr>
              <w:t>147,033,957.16</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140,259,431.58</w:t>
            </w: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其中：利息费用</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2"/>
              <w:jc w:val="right"/>
              <w:rPr>
                <w:rFonts w:ascii="华文细黑" w:hAnsi="华文细黑" w:cs="华文细黑" w:eastAsia="华文细黑" w:hint="default"/>
                <w:sz w:val="20"/>
                <w:szCs w:val="20"/>
              </w:rPr>
            </w:pPr>
            <w:r>
              <w:rPr>
                <w:rFonts w:ascii="华文细黑"/>
                <w:spacing w:val="-1"/>
                <w:sz w:val="20"/>
              </w:rPr>
              <w:t>158,851,093.89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157,733,223.96</w:t>
            </w: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7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利息收入</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2"/>
              <w:jc w:val="right"/>
              <w:rPr>
                <w:rFonts w:ascii="华文细黑" w:hAnsi="华文细黑" w:cs="华文细黑" w:eastAsia="华文细黑" w:hint="default"/>
                <w:sz w:val="20"/>
                <w:szCs w:val="20"/>
              </w:rPr>
            </w:pPr>
            <w:r>
              <w:rPr>
                <w:rFonts w:ascii="华文细黑"/>
                <w:spacing w:val="-1"/>
                <w:sz w:val="20"/>
              </w:rPr>
              <w:t>43,863,843.16</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37,603,644.55</w:t>
            </w: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9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资产减值损失</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2"/>
              <w:jc w:val="right"/>
              <w:rPr>
                <w:rFonts w:ascii="华文细黑" w:hAnsi="华文细黑" w:cs="华文细黑" w:eastAsia="华文细黑" w:hint="default"/>
                <w:sz w:val="20"/>
                <w:szCs w:val="20"/>
              </w:rPr>
            </w:pPr>
            <w:r>
              <w:rPr>
                <w:rFonts w:ascii="华文细黑"/>
                <w:spacing w:val="-1"/>
                <w:sz w:val="20"/>
              </w:rPr>
              <w:t>68,214,366.30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202,465,862.27</w:t>
            </w: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加：其他收益</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2"/>
              <w:jc w:val="right"/>
              <w:rPr>
                <w:rFonts w:ascii="华文细黑" w:hAnsi="华文细黑" w:cs="华文细黑" w:eastAsia="华文细黑" w:hint="default"/>
                <w:sz w:val="20"/>
                <w:szCs w:val="20"/>
              </w:rPr>
            </w:pPr>
            <w:r>
              <w:rPr>
                <w:rFonts w:ascii="华文细黑"/>
                <w:spacing w:val="-1"/>
                <w:sz w:val="20"/>
              </w:rPr>
              <w:t>2,826,936.61</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2,420,000.00</w:t>
            </w: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9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投资收益（损失以“－”号填列）</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2"/>
              <w:jc w:val="right"/>
              <w:rPr>
                <w:rFonts w:ascii="华文细黑" w:hAnsi="华文细黑" w:cs="华文细黑" w:eastAsia="华文细黑" w:hint="default"/>
                <w:sz w:val="20"/>
                <w:szCs w:val="20"/>
              </w:rPr>
            </w:pPr>
            <w:r>
              <w:rPr>
                <w:rFonts w:ascii="华文细黑"/>
                <w:spacing w:val="-1"/>
                <w:sz w:val="20"/>
              </w:rPr>
              <w:t>119,659,271.85</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111,315,191.75</w:t>
            </w: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9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其中：对联营企业和合营企业的投资收益</w:t>
            </w:r>
          </w:p>
        </w:tc>
        <w:tc>
          <w:tcPr>
            <w:tcW w:w="1984"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9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公允价值变动收益（损失以“－”号填列）</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2"/>
              <w:jc w:val="right"/>
              <w:rPr>
                <w:rFonts w:ascii="华文细黑" w:hAnsi="华文细黑" w:cs="华文细黑" w:eastAsia="华文细黑" w:hint="default"/>
                <w:sz w:val="20"/>
                <w:szCs w:val="20"/>
              </w:rPr>
            </w:pPr>
            <w:r>
              <w:rPr>
                <w:rFonts w:ascii="华文细黑"/>
                <w:spacing w:val="-1"/>
                <w:sz w:val="20"/>
              </w:rPr>
              <w:t>-6,204,660.75</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-787,383.36</w:t>
            </w: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9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资产处置收益（损失以“</w:t>
            </w:r>
            <w:r>
              <w:rPr>
                <w:rFonts w:ascii="华文细黑" w:hAnsi="华文细黑" w:cs="华文细黑" w:eastAsia="华文细黑" w:hint="default"/>
                <w:sz w:val="20"/>
                <w:szCs w:val="20"/>
              </w:rPr>
              <w:t>-</w:t>
            </w:r>
            <w:r>
              <w:rPr>
                <w:rFonts w:ascii="华文细黑" w:hAnsi="华文细黑" w:cs="华文细黑" w:eastAsia="华文细黑" w:hint="default"/>
                <w:sz w:val="20"/>
                <w:szCs w:val="20"/>
              </w:rPr>
              <w:t>”号填列）</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3"/>
              <w:jc w:val="right"/>
              <w:rPr>
                <w:rFonts w:ascii="华文细黑" w:hAnsi="华文细黑" w:cs="华文细黑" w:eastAsia="华文细黑" w:hint="default"/>
                <w:sz w:val="20"/>
                <w:szCs w:val="20"/>
              </w:rPr>
            </w:pPr>
            <w:r>
              <w:rPr>
                <w:rFonts w:ascii="华文细黑"/>
                <w:spacing w:val="-1"/>
                <w:sz w:val="20"/>
              </w:rPr>
              <w:t>84,382.91</w:t>
            </w: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二、营业利润（亏损以“－”号填列）</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2"/>
              <w:jc w:val="right"/>
              <w:rPr>
                <w:rFonts w:ascii="华文细黑" w:hAnsi="华文细黑" w:cs="华文细黑" w:eastAsia="华文细黑" w:hint="default"/>
                <w:sz w:val="20"/>
                <w:szCs w:val="20"/>
              </w:rPr>
            </w:pPr>
            <w:r>
              <w:rPr>
                <w:rFonts w:ascii="华文细黑"/>
                <w:spacing w:val="-1"/>
                <w:sz w:val="20"/>
              </w:rPr>
              <w:t>213,703,000.09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169,543,722.72</w:t>
            </w: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加：营业外收入</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2"/>
              <w:jc w:val="right"/>
              <w:rPr>
                <w:rFonts w:ascii="华文细黑" w:hAnsi="华文细黑" w:cs="华文细黑" w:eastAsia="华文细黑" w:hint="default"/>
                <w:sz w:val="20"/>
                <w:szCs w:val="20"/>
              </w:rPr>
            </w:pPr>
            <w:r>
              <w:rPr>
                <w:rFonts w:ascii="华文细黑"/>
                <w:spacing w:val="-1"/>
                <w:sz w:val="20"/>
              </w:rPr>
              <w:t>5,457,856.56</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4,195,952.45</w:t>
            </w: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减：营业外支出</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130,839.63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808,047.96</w:t>
            </w: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三、利润总额（亏损总额以“－”号填列）</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2"/>
              <w:jc w:val="right"/>
              <w:rPr>
                <w:rFonts w:ascii="华文细黑" w:hAnsi="华文细黑" w:cs="华文细黑" w:eastAsia="华文细黑" w:hint="default"/>
                <w:sz w:val="20"/>
                <w:szCs w:val="20"/>
              </w:rPr>
            </w:pPr>
            <w:r>
              <w:rPr>
                <w:rFonts w:ascii="华文细黑"/>
                <w:spacing w:val="-1"/>
                <w:sz w:val="20"/>
              </w:rPr>
              <w:t>219,030,017.02</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172,931,627.21</w:t>
            </w: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减：所得税费用</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40,219,394.71</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16,800,800.92</w:t>
            </w: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四、净利润（净亏损以“－”号填列）</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2"/>
              <w:jc w:val="right"/>
              <w:rPr>
                <w:rFonts w:ascii="华文细黑" w:hAnsi="华文细黑" w:cs="华文细黑" w:eastAsia="华文细黑" w:hint="default"/>
                <w:sz w:val="20"/>
                <w:szCs w:val="20"/>
              </w:rPr>
            </w:pPr>
            <w:r>
              <w:rPr>
                <w:rFonts w:ascii="华文细黑"/>
                <w:spacing w:val="-1"/>
                <w:sz w:val="20"/>
              </w:rPr>
              <w:t>178,810,622.31</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156,130,826.29</w:t>
            </w: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right="725"/>
              <w:jc w:val="right"/>
              <w:rPr>
                <w:rFonts w:ascii="华文细黑" w:hAnsi="华文细黑" w:cs="华文细黑" w:eastAsia="华文细黑" w:hint="default"/>
                <w:sz w:val="20"/>
                <w:szCs w:val="20"/>
              </w:rPr>
            </w:pPr>
            <w:r>
              <w:rPr>
                <w:rFonts w:ascii="华文细黑" w:hAnsi="华文细黑" w:cs="华文细黑" w:eastAsia="华文细黑" w:hint="default"/>
                <w:spacing w:val="-1"/>
                <w:sz w:val="20"/>
                <w:szCs w:val="20"/>
              </w:rPr>
              <w:t>（一）持续经营净利润（净亏损以“－”号填列）</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2"/>
              <w:jc w:val="right"/>
              <w:rPr>
                <w:rFonts w:ascii="华文细黑" w:hAnsi="华文细黑" w:cs="华文细黑" w:eastAsia="华文细黑" w:hint="default"/>
                <w:sz w:val="20"/>
                <w:szCs w:val="20"/>
              </w:rPr>
            </w:pPr>
            <w:r>
              <w:rPr>
                <w:rFonts w:ascii="华文细黑"/>
                <w:spacing w:val="-1"/>
                <w:sz w:val="20"/>
              </w:rPr>
              <w:t>178,810,622.31</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156,130,826.29</w:t>
            </w: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right="725"/>
              <w:jc w:val="right"/>
              <w:rPr>
                <w:rFonts w:ascii="华文细黑" w:hAnsi="华文细黑" w:cs="华文细黑" w:eastAsia="华文细黑" w:hint="default"/>
                <w:sz w:val="20"/>
                <w:szCs w:val="20"/>
              </w:rPr>
            </w:pPr>
            <w:r>
              <w:rPr>
                <w:rFonts w:ascii="华文细黑" w:hAnsi="华文细黑" w:cs="华文细黑" w:eastAsia="华文细黑" w:hint="default"/>
                <w:spacing w:val="-1"/>
                <w:sz w:val="20"/>
                <w:szCs w:val="20"/>
              </w:rPr>
              <w:t>（二）终止经营净利润（净亏损以“－”号填列）</w:t>
            </w:r>
          </w:p>
        </w:tc>
        <w:tc>
          <w:tcPr>
            <w:tcW w:w="1984"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五、其他综合收益的税后净额</w:t>
            </w:r>
          </w:p>
        </w:tc>
        <w:tc>
          <w:tcPr>
            <w:tcW w:w="1984"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（一）不能重分类进损益的其他综合收益</w:t>
            </w:r>
          </w:p>
        </w:tc>
        <w:tc>
          <w:tcPr>
            <w:tcW w:w="1984"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1.</w:t>
            </w:r>
            <w:r>
              <w:rPr>
                <w:rFonts w:ascii="华文细黑" w:hAnsi="华文细黑" w:cs="华文细黑" w:eastAsia="华文细黑" w:hint="default"/>
                <w:sz w:val="20"/>
                <w:szCs w:val="20"/>
              </w:rPr>
              <w:t>重新计量设定受益计划变动额</w:t>
            </w:r>
          </w:p>
        </w:tc>
        <w:tc>
          <w:tcPr>
            <w:tcW w:w="1984"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bl>
    <w:p>
      <w:pPr>
        <w:spacing w:after="0"/>
        <w:sectPr>
          <w:pgSz w:w="11910" w:h="16840"/>
          <w:pgMar w:header="917" w:footer="1019" w:top="1100" w:bottom="1200" w:left="1220" w:right="0"/>
        </w:sectPr>
      </w:pPr>
    </w:p>
    <w:p>
      <w:pPr>
        <w:spacing w:line="240" w:lineRule="auto" w:before="8"/>
        <w:rPr>
          <w:rFonts w:ascii="华文细黑" w:hAnsi="华文细黑" w:cs="华文细黑" w:eastAsia="华文细黑" w:hint="default"/>
          <w:b/>
          <w:bCs/>
          <w:sz w:val="23"/>
          <w:szCs w:val="23"/>
        </w:rPr>
      </w:pPr>
    </w:p>
    <w:tbl>
      <w:tblPr>
        <w:tblW w:w="0" w:type="auto"/>
        <w:jc w:val="left"/>
        <w:tblInd w:w="103" w:type="dxa"/>
        <w:tblLayout w:type="fixed"/>
        <w:tblCellMar>
          <w:top w:w="0" w:type="dxa"/>
          <w:left w:w="0" w:type="dxa"/>
          <w:bottom w:w="0" w:type="dxa"/>
          <w:right w:w="0" w:type="dxa"/>
        </w:tblCellMar>
        <w:tblLook w:val="01E0"/>
      </w:tblPr>
      <w:tblGrid>
        <w:gridCol w:w="5642"/>
        <w:gridCol w:w="1984"/>
        <w:gridCol w:w="1943"/>
      </w:tblGrid>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2.</w:t>
            </w:r>
            <w:r>
              <w:rPr>
                <w:rFonts w:ascii="华文细黑" w:hAnsi="华文细黑" w:cs="华文细黑" w:eastAsia="华文细黑" w:hint="default"/>
                <w:sz w:val="20"/>
                <w:szCs w:val="20"/>
              </w:rPr>
              <w:t>权益法下不能转损益的其他综合收益</w:t>
            </w:r>
          </w:p>
        </w:tc>
        <w:tc>
          <w:tcPr>
            <w:tcW w:w="1984"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（二）将重分类进损益的其他综合收益</w:t>
            </w:r>
          </w:p>
        </w:tc>
        <w:tc>
          <w:tcPr>
            <w:tcW w:w="1984"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1.</w:t>
            </w:r>
            <w:r>
              <w:rPr>
                <w:rFonts w:ascii="华文细黑" w:hAnsi="华文细黑" w:cs="华文细黑" w:eastAsia="华文细黑" w:hint="default"/>
                <w:sz w:val="20"/>
                <w:szCs w:val="20"/>
              </w:rPr>
              <w:t>权益法下可转损益的其他综合收益</w:t>
            </w:r>
          </w:p>
        </w:tc>
        <w:tc>
          <w:tcPr>
            <w:tcW w:w="1984"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1"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2.</w:t>
            </w:r>
            <w:r>
              <w:rPr>
                <w:rFonts w:ascii="华文细黑" w:hAnsi="华文细黑" w:cs="华文细黑" w:eastAsia="华文细黑" w:hint="default"/>
                <w:sz w:val="20"/>
                <w:szCs w:val="20"/>
              </w:rPr>
              <w:t>可供出售金融资产公允价值变动损益</w:t>
            </w:r>
          </w:p>
        </w:tc>
        <w:tc>
          <w:tcPr>
            <w:tcW w:w="1984"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3.</w:t>
            </w:r>
            <w:r>
              <w:rPr>
                <w:rFonts w:ascii="华文细黑" w:hAnsi="华文细黑" w:cs="华文细黑" w:eastAsia="华文细黑" w:hint="default"/>
                <w:sz w:val="20"/>
                <w:szCs w:val="20"/>
              </w:rPr>
              <w:t>持有至到期投资重分类为可供出售金融资产损益</w:t>
            </w:r>
          </w:p>
        </w:tc>
        <w:tc>
          <w:tcPr>
            <w:tcW w:w="1984"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4.</w:t>
            </w:r>
            <w:r>
              <w:rPr>
                <w:rFonts w:ascii="华文细黑" w:hAnsi="华文细黑" w:cs="华文细黑" w:eastAsia="华文细黑" w:hint="default"/>
                <w:sz w:val="20"/>
                <w:szCs w:val="20"/>
              </w:rPr>
              <w:t>现金流量套期损益的有效部分</w:t>
            </w:r>
          </w:p>
        </w:tc>
        <w:tc>
          <w:tcPr>
            <w:tcW w:w="1984"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5.</w:t>
            </w:r>
            <w:r>
              <w:rPr>
                <w:rFonts w:ascii="华文细黑" w:hAnsi="华文细黑" w:cs="华文细黑" w:eastAsia="华文细黑" w:hint="default"/>
                <w:sz w:val="20"/>
                <w:szCs w:val="20"/>
              </w:rPr>
              <w:t>外币财务报表折算差额</w:t>
            </w:r>
          </w:p>
        </w:tc>
        <w:tc>
          <w:tcPr>
            <w:tcW w:w="1984"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1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6.</w:t>
            </w:r>
            <w:r>
              <w:rPr>
                <w:rFonts w:ascii="华文细黑" w:hAnsi="华文细黑" w:cs="华文细黑" w:eastAsia="华文细黑" w:hint="default"/>
                <w:sz w:val="20"/>
                <w:szCs w:val="20"/>
              </w:rPr>
              <w:t>其他</w:t>
            </w:r>
          </w:p>
        </w:tc>
        <w:tc>
          <w:tcPr>
            <w:tcW w:w="1984"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5"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六、综合收益总额</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left="484" w:right="0"/>
              <w:jc w:val="left"/>
              <w:rPr>
                <w:rFonts w:ascii="华文细黑" w:hAnsi="华文细黑" w:cs="华文细黑" w:eastAsia="华文细黑" w:hint="default"/>
                <w:sz w:val="20"/>
                <w:szCs w:val="20"/>
              </w:rPr>
            </w:pPr>
            <w:r>
              <w:rPr>
                <w:rFonts w:ascii="华文细黑"/>
                <w:sz w:val="20"/>
              </w:rPr>
              <w:t>178,810,622.31</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left="445" w:right="0"/>
              <w:jc w:val="left"/>
              <w:rPr>
                <w:rFonts w:ascii="华文细黑" w:hAnsi="华文细黑" w:cs="华文细黑" w:eastAsia="华文细黑" w:hint="default"/>
                <w:sz w:val="20"/>
                <w:szCs w:val="20"/>
              </w:rPr>
            </w:pPr>
            <w:r>
              <w:rPr>
                <w:rFonts w:ascii="华文细黑"/>
                <w:sz w:val="20"/>
              </w:rPr>
              <w:t>156,130,826.29</w:t>
            </w:r>
          </w:p>
        </w:tc>
      </w:tr>
      <w:tr>
        <w:trPr>
          <w:trHeight w:val="371"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七、每股收益：</w:t>
            </w:r>
          </w:p>
        </w:tc>
        <w:tc>
          <w:tcPr>
            <w:tcW w:w="1984"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385"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6"/>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（一）基本每股收益</w:t>
            </w:r>
          </w:p>
        </w:tc>
        <w:tc>
          <w:tcPr>
            <w:tcW w:w="1984"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6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（二）稀释每股收益</w:t>
            </w:r>
          </w:p>
        </w:tc>
        <w:tc>
          <w:tcPr>
            <w:tcW w:w="1984"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bl>
    <w:p>
      <w:pPr>
        <w:spacing w:line="240" w:lineRule="auto" w:before="1"/>
        <w:rPr>
          <w:rFonts w:ascii="华文细黑" w:hAnsi="华文细黑" w:cs="华文细黑" w:eastAsia="华文细黑" w:hint="default"/>
          <w:b/>
          <w:bCs/>
          <w:sz w:val="28"/>
          <w:szCs w:val="28"/>
        </w:rPr>
      </w:pPr>
    </w:p>
    <w:p>
      <w:pPr>
        <w:pStyle w:val="Heading5"/>
        <w:spacing w:line="240" w:lineRule="auto"/>
        <w:ind w:left="220" w:right="6664"/>
        <w:jc w:val="left"/>
        <w:rPr>
          <w:b w:val="0"/>
          <w:bCs w:val="0"/>
        </w:rPr>
      </w:pPr>
      <w:bookmarkStart w:name="5、合并现金流量表" w:id="216"/>
      <w:bookmarkEnd w:id="216"/>
      <w:r>
        <w:rPr>
          <w:b w:val="0"/>
          <w:bCs w:val="0"/>
        </w:rPr>
      </w:r>
      <w:r>
        <w:rPr>
          <w:rFonts w:ascii="华文细黑" w:hAnsi="华文细黑" w:cs="华文细黑" w:eastAsia="华文细黑" w:hint="default"/>
        </w:rPr>
        <w:t>5</w:t>
      </w:r>
      <w:r>
        <w:rPr/>
        <w:t>、合并现金流量表</w:t>
      </w:r>
      <w:r>
        <w:rPr>
          <w:b w:val="0"/>
          <w:bCs w:val="0"/>
        </w:rPr>
      </w:r>
    </w:p>
    <w:p>
      <w:pPr>
        <w:spacing w:line="240" w:lineRule="auto" w:before="0"/>
        <w:rPr>
          <w:rFonts w:ascii="华文细黑" w:hAnsi="华文细黑" w:cs="华文细黑" w:eastAsia="华文细黑" w:hint="default"/>
          <w:b/>
          <w:bCs/>
          <w:sz w:val="20"/>
          <w:szCs w:val="20"/>
        </w:rPr>
      </w:pPr>
    </w:p>
    <w:p>
      <w:pPr>
        <w:spacing w:line="240" w:lineRule="auto" w:before="12"/>
        <w:rPr>
          <w:rFonts w:ascii="华文细黑" w:hAnsi="华文细黑" w:cs="华文细黑" w:eastAsia="华文细黑" w:hint="default"/>
          <w:b/>
          <w:bCs/>
          <w:sz w:val="17"/>
          <w:szCs w:val="17"/>
        </w:rPr>
      </w:pPr>
    </w:p>
    <w:p>
      <w:pPr>
        <w:pStyle w:val="BodyText"/>
        <w:spacing w:line="240" w:lineRule="auto" w:before="10"/>
        <w:ind w:left="4457" w:right="5251"/>
        <w:jc w:val="center"/>
      </w:pPr>
      <w:r>
        <w:rPr>
          <w:rFonts w:ascii="华文细黑" w:hAnsi="华文细黑" w:cs="华文细黑" w:eastAsia="华文细黑" w:hint="default"/>
        </w:rPr>
        <w:t>2018 </w:t>
      </w:r>
      <w:r>
        <w:rPr/>
        <w:t>年度</w:t>
      </w:r>
    </w:p>
    <w:p>
      <w:pPr>
        <w:spacing w:line="240" w:lineRule="auto" w:before="5"/>
        <w:rPr>
          <w:rFonts w:ascii="华文细黑" w:hAnsi="华文细黑" w:cs="华文细黑" w:eastAsia="华文细黑" w:hint="default"/>
          <w:sz w:val="5"/>
          <w:szCs w:val="5"/>
        </w:rPr>
      </w:pPr>
    </w:p>
    <w:tbl>
      <w:tblPr>
        <w:tblW w:w="0" w:type="auto"/>
        <w:jc w:val="left"/>
        <w:tblInd w:w="103" w:type="dxa"/>
        <w:tblLayout w:type="fixed"/>
        <w:tblCellMar>
          <w:top w:w="0" w:type="dxa"/>
          <w:left w:w="0" w:type="dxa"/>
          <w:bottom w:w="0" w:type="dxa"/>
          <w:right w:w="0" w:type="dxa"/>
        </w:tblCellMar>
        <w:tblLook w:val="01E0"/>
      </w:tblPr>
      <w:tblGrid>
        <w:gridCol w:w="5499"/>
        <w:gridCol w:w="2127"/>
        <w:gridCol w:w="1943"/>
      </w:tblGrid>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right="0"/>
              <w:jc w:val="center"/>
              <w:rPr>
                <w:rFonts w:ascii="华文细黑" w:hAnsi="华文细黑" w:cs="华文细黑" w:eastAsia="华文细黑" w:hint="default"/>
                <w:sz w:val="20"/>
                <w:szCs w:val="20"/>
              </w:rPr>
            </w:pPr>
            <w:r>
              <w:rPr>
                <w:rFonts w:ascii="华文细黑" w:hAnsi="华文细黑" w:cs="华文细黑" w:eastAsia="华文细黑" w:hint="default"/>
                <w:sz w:val="20"/>
                <w:szCs w:val="20"/>
              </w:rPr>
              <w:t>项目</w:t>
            </w:r>
          </w:p>
        </w:tc>
        <w:tc>
          <w:tcPr>
            <w:tcW w:w="212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57"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本期发生额</w:t>
            </w: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466"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上期发生额</w:t>
            </w:r>
          </w:p>
        </w:tc>
      </w:tr>
      <w:tr>
        <w:trPr>
          <w:trHeight w:val="376"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一、经营活动产生的现金流量：</w:t>
            </w:r>
          </w:p>
        </w:tc>
        <w:tc>
          <w:tcPr>
            <w:tcW w:w="2127"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385"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6"/>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销售商品、提供劳务收到的现金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6"/>
              <w:ind w:right="101"/>
              <w:jc w:val="right"/>
              <w:rPr>
                <w:rFonts w:ascii="华文细黑" w:hAnsi="华文细黑" w:cs="华文细黑" w:eastAsia="华文细黑" w:hint="default"/>
                <w:sz w:val="20"/>
                <w:szCs w:val="20"/>
              </w:rPr>
            </w:pPr>
            <w:r>
              <w:rPr>
                <w:rFonts w:ascii="华文细黑"/>
                <w:spacing w:val="-1"/>
                <w:sz w:val="20"/>
              </w:rPr>
              <w:t>66,880,866,961.99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6"/>
              <w:ind w:right="101"/>
              <w:jc w:val="right"/>
              <w:rPr>
                <w:rFonts w:ascii="华文细黑" w:hAnsi="华文细黑" w:cs="华文细黑" w:eastAsia="华文细黑" w:hint="default"/>
                <w:sz w:val="20"/>
                <w:szCs w:val="20"/>
              </w:rPr>
            </w:pPr>
            <w:r>
              <w:rPr>
                <w:rFonts w:ascii="华文细黑"/>
                <w:spacing w:val="-1"/>
                <w:sz w:val="20"/>
              </w:rPr>
              <w:t>68,161,670,763.06</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right="1983"/>
              <w:jc w:val="right"/>
              <w:rPr>
                <w:rFonts w:ascii="华文细黑" w:hAnsi="华文细黑" w:cs="华文细黑" w:eastAsia="华文细黑" w:hint="default"/>
                <w:sz w:val="20"/>
                <w:szCs w:val="20"/>
              </w:rPr>
            </w:pPr>
            <w:r>
              <w:rPr>
                <w:rFonts w:ascii="华文细黑" w:hAnsi="华文细黑" w:cs="华文细黑" w:eastAsia="华文细黑" w:hint="default"/>
                <w:spacing w:val="-1"/>
                <w:sz w:val="20"/>
                <w:szCs w:val="20"/>
              </w:rPr>
              <w:t>客户存款和同业存放款项净增加额</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3,360,344,902.23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2,015,707,590.95</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收取利息、手续费及佣金的现金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148,899,090.27</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80,418,656.53</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收到的税费返还</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收到其他与经营活动有关的现金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429,379,192.51</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362,659,429.20</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经营活动现金流入小计</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70,819,490,147.00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70,620,456,439.74</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购买商品、接受劳务支付的现金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65,571,622,185.16</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67,677,143,998.21</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客户贷款及垫款净增加额</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3,202,754,736.20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2,983,981,191.21</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right="1983"/>
              <w:jc w:val="right"/>
              <w:rPr>
                <w:rFonts w:ascii="华文细黑" w:hAnsi="华文细黑" w:cs="华文细黑" w:eastAsia="华文细黑" w:hint="default"/>
                <w:sz w:val="20"/>
                <w:szCs w:val="20"/>
              </w:rPr>
            </w:pPr>
            <w:r>
              <w:rPr>
                <w:rFonts w:ascii="华文细黑" w:hAnsi="华文细黑" w:cs="华文细黑" w:eastAsia="华文细黑" w:hint="default"/>
                <w:spacing w:val="-1"/>
                <w:sz w:val="20"/>
                <w:szCs w:val="20"/>
              </w:rPr>
              <w:t>支付给职工以及为职工支付的现金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420,465,210.94</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375,434,197.24</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支付的各项税费</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338,533,265.21</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270,132,667.90</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支付其他与经营活动有关的现金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793,866,009.58</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856,555,296.46</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经营活动现金流出小计</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70,327,241,407.09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72,163,247,351.02</w:t>
            </w:r>
          </w:p>
        </w:tc>
      </w:tr>
      <w:tr>
        <w:trPr>
          <w:trHeight w:val="385"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经营活动产生的现金流量净额</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492,248,739.91</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-1,542,790,911.28</w:t>
            </w:r>
          </w:p>
        </w:tc>
      </w:tr>
      <w:tr>
        <w:trPr>
          <w:trHeight w:val="37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二、投资活动产生的现金流量：</w:t>
            </w:r>
          </w:p>
        </w:tc>
        <w:tc>
          <w:tcPr>
            <w:tcW w:w="2127"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386"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6"/>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收回投资收到的现金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6"/>
              <w:ind w:right="101"/>
              <w:jc w:val="right"/>
              <w:rPr>
                <w:rFonts w:ascii="华文细黑" w:hAnsi="华文细黑" w:cs="华文细黑" w:eastAsia="华文细黑" w:hint="default"/>
                <w:sz w:val="20"/>
                <w:szCs w:val="20"/>
              </w:rPr>
            </w:pPr>
            <w:r>
              <w:rPr>
                <w:rFonts w:ascii="华文细黑"/>
                <w:spacing w:val="-1"/>
                <w:sz w:val="20"/>
              </w:rPr>
              <w:t>16,112,385,601.79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6"/>
              <w:ind w:right="101"/>
              <w:jc w:val="right"/>
              <w:rPr>
                <w:rFonts w:ascii="华文细黑" w:hAnsi="华文细黑" w:cs="华文细黑" w:eastAsia="华文细黑" w:hint="default"/>
                <w:sz w:val="20"/>
                <w:szCs w:val="20"/>
              </w:rPr>
            </w:pPr>
            <w:r>
              <w:rPr>
                <w:rFonts w:ascii="华文细黑"/>
                <w:spacing w:val="-1"/>
                <w:sz w:val="20"/>
              </w:rPr>
              <w:t>13,974,692,975.99</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取得投资收益收到的现金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32,065,531.96</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121,726,826.22</w:t>
            </w:r>
          </w:p>
        </w:tc>
      </w:tr>
      <w:tr>
        <w:trPr>
          <w:trHeight w:val="67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处置固定资产、无形资产和其他长期资产收回的现金净</w:t>
            </w:r>
          </w:p>
          <w:p>
            <w:pPr>
              <w:pStyle w:val="TableParagraph"/>
              <w:spacing w:line="240" w:lineRule="auto" w:before="8"/>
              <w:ind w:left="103" w:right="0"/>
              <w:jc w:val="left"/>
              <w:rPr>
                <w:rFonts w:ascii="华文细黑" w:hAnsi="华文细黑" w:cs="华文细黑" w:eastAsia="华文细黑" w:hint="default"/>
                <w:sz w:val="20"/>
                <w:szCs w:val="20"/>
              </w:rPr>
            </w:pPr>
            <w:r>
              <w:rPr>
                <w:rFonts w:ascii="华文细黑" w:hAnsi="华文细黑" w:cs="华文细黑" w:eastAsia="华文细黑" w:hint="default"/>
                <w:w w:val="100"/>
                <w:sz w:val="20"/>
                <w:szCs w:val="20"/>
              </w:rPr>
              <w:t>额</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57"/>
              <w:ind w:right="100"/>
              <w:jc w:val="right"/>
              <w:rPr>
                <w:rFonts w:ascii="华文细黑" w:hAnsi="华文细黑" w:cs="华文细黑" w:eastAsia="华文细黑" w:hint="default"/>
                <w:sz w:val="20"/>
                <w:szCs w:val="20"/>
              </w:rPr>
            </w:pPr>
            <w:r>
              <w:rPr>
                <w:rFonts w:ascii="华文细黑"/>
                <w:spacing w:val="-1"/>
                <w:sz w:val="20"/>
              </w:rPr>
              <w:t>375,365.00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57"/>
              <w:ind w:right="100"/>
              <w:jc w:val="right"/>
              <w:rPr>
                <w:rFonts w:ascii="华文细黑" w:hAnsi="华文细黑" w:cs="华文细黑" w:eastAsia="华文细黑" w:hint="default"/>
                <w:sz w:val="20"/>
                <w:szCs w:val="20"/>
              </w:rPr>
            </w:pPr>
            <w:r>
              <w:rPr>
                <w:rFonts w:ascii="华文细黑"/>
                <w:spacing w:val="-1"/>
                <w:sz w:val="20"/>
              </w:rPr>
              <w:t>755,830.40</w:t>
            </w:r>
          </w:p>
        </w:tc>
      </w:tr>
    </w:tbl>
    <w:p>
      <w:pPr>
        <w:spacing w:after="0" w:line="240" w:lineRule="auto"/>
        <w:jc w:val="right"/>
        <w:rPr>
          <w:rFonts w:ascii="华文细黑" w:hAnsi="华文细黑" w:cs="华文细黑" w:eastAsia="华文细黑" w:hint="default"/>
          <w:sz w:val="20"/>
          <w:szCs w:val="20"/>
        </w:rPr>
        <w:sectPr>
          <w:pgSz w:w="11910" w:h="16840"/>
          <w:pgMar w:header="917" w:footer="1019" w:top="1100" w:bottom="1200" w:left="1220" w:right="0"/>
        </w:sectPr>
      </w:pPr>
    </w:p>
    <w:p>
      <w:pPr>
        <w:spacing w:line="240" w:lineRule="auto" w:before="8"/>
        <w:rPr>
          <w:rFonts w:ascii="华文细黑" w:hAnsi="华文细黑" w:cs="华文细黑" w:eastAsia="华文细黑" w:hint="default"/>
          <w:sz w:val="23"/>
          <w:szCs w:val="23"/>
        </w:rPr>
      </w:pPr>
    </w:p>
    <w:tbl>
      <w:tblPr>
        <w:tblW w:w="0" w:type="auto"/>
        <w:jc w:val="left"/>
        <w:tblInd w:w="103" w:type="dxa"/>
        <w:tblLayout w:type="fixed"/>
        <w:tblCellMar>
          <w:top w:w="0" w:type="dxa"/>
          <w:left w:w="0" w:type="dxa"/>
          <w:bottom w:w="0" w:type="dxa"/>
          <w:right w:w="0" w:type="dxa"/>
        </w:tblCellMar>
        <w:tblLook w:val="01E0"/>
      </w:tblPr>
      <w:tblGrid>
        <w:gridCol w:w="5499"/>
        <w:gridCol w:w="2127"/>
        <w:gridCol w:w="1943"/>
      </w:tblGrid>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处置子公司及其他营业单位收到的现金净额</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141,700,735.75</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收到其他与投资活动有关的现金</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投资活动现金流入小计</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16,144,826,498.75</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14,238,876,368.36</w:t>
            </w:r>
          </w:p>
        </w:tc>
      </w:tr>
      <w:tr>
        <w:trPr>
          <w:trHeight w:val="381"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购建固定资产、无形资产和其他长期资产支付的现金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18,451,568.53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14,076,953.58</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投资支付的现金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15,979,772,446.94</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14,276,850,000.00</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取得子公司及其他营业单位支付的现金净额</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928,150.75</w:t>
            </w: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支付其他与投资活动有关的现金</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投资活动现金流出小计</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15,999,152,166.22</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14,290,926,953.58</w:t>
            </w:r>
          </w:p>
        </w:tc>
      </w:tr>
      <w:tr>
        <w:trPr>
          <w:trHeight w:val="385"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投资活动产生的现金流量净额</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145,674,332.53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-52,050,585.22</w:t>
            </w:r>
          </w:p>
        </w:tc>
      </w:tr>
      <w:tr>
        <w:trPr>
          <w:trHeight w:val="371"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三、筹资活动产生的现金流量：</w:t>
            </w:r>
          </w:p>
        </w:tc>
        <w:tc>
          <w:tcPr>
            <w:tcW w:w="2127"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385"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6"/>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吸收投资收到的现金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6"/>
              <w:ind w:right="101"/>
              <w:jc w:val="right"/>
              <w:rPr>
                <w:rFonts w:ascii="华文细黑" w:hAnsi="华文细黑" w:cs="华文细黑" w:eastAsia="华文细黑" w:hint="default"/>
                <w:sz w:val="20"/>
                <w:szCs w:val="20"/>
              </w:rPr>
            </w:pPr>
            <w:r>
              <w:rPr>
                <w:rFonts w:ascii="华文细黑"/>
                <w:spacing w:val="-1"/>
                <w:sz w:val="20"/>
              </w:rPr>
              <w:t>6,713,400.00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6"/>
              <w:ind w:right="100"/>
              <w:jc w:val="right"/>
              <w:rPr>
                <w:rFonts w:ascii="华文细黑" w:hAnsi="华文细黑" w:cs="华文细黑" w:eastAsia="华文细黑" w:hint="default"/>
                <w:sz w:val="20"/>
                <w:szCs w:val="20"/>
              </w:rPr>
            </w:pPr>
            <w:r>
              <w:rPr>
                <w:rFonts w:ascii="华文细黑"/>
                <w:spacing w:val="-1"/>
                <w:sz w:val="20"/>
              </w:rPr>
              <w:t>6,882,500.00</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其中：子公司吸收少数股东投资收到的现金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6,713,400.00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6,882,500.00</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取得借款收到的现金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7,378,170,574.36</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9,120,803,924.14</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发行债券收到的现金</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598,200,000.00</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收到其他与筹资活动有关的现金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637,215,146.13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1,807,709,029.90</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筹资活动现金流入小计</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8,022,099,120.49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11,533,595,454.04</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偿还债务支付的现金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6,251,925,000.00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8,431,067,642.28</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分配股利、利润或偿付利息支付的现金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468,449,765.19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366,665,674.47</w:t>
            </w:r>
          </w:p>
        </w:tc>
      </w:tr>
      <w:tr>
        <w:trPr>
          <w:trHeight w:val="381"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其中：子公司支付给少数股东的股利、利润</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1,200,000.00</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支付其他与筹资活动有关的现金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1,826,923,378.70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611,248,000.00</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筹资活动现金流出小计</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8,547,298,143.89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9,408,981,316.75</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筹资活动产生的现金流量净额</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-525,199,023.40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2,124,614,137.29</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四、汇率变动对现金及现金等价物的影响</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1,253,829.37</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-2,763,506.77</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五、现金及现金等价物净增加额</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113,977,878.41</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527,009,134.02</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加：期初现金及现金等价物余额</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1,497,244,671.89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970,235,537.87</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六、期末现金及现金等价物余额</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1,611,222,550.30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1,497,244,671.89</w:t>
            </w:r>
          </w:p>
        </w:tc>
      </w:tr>
    </w:tbl>
    <w:p>
      <w:pPr>
        <w:spacing w:line="240" w:lineRule="auto" w:before="1"/>
        <w:rPr>
          <w:rFonts w:ascii="华文细黑" w:hAnsi="华文细黑" w:cs="华文细黑" w:eastAsia="华文细黑" w:hint="default"/>
          <w:sz w:val="28"/>
          <w:szCs w:val="28"/>
        </w:rPr>
      </w:pPr>
    </w:p>
    <w:p>
      <w:pPr>
        <w:pStyle w:val="Heading5"/>
        <w:spacing w:line="240" w:lineRule="auto"/>
        <w:ind w:left="220" w:right="6664"/>
        <w:jc w:val="left"/>
        <w:rPr>
          <w:b w:val="0"/>
          <w:bCs w:val="0"/>
        </w:rPr>
      </w:pPr>
      <w:bookmarkStart w:name="6、母公司现金流量表" w:id="217"/>
      <w:bookmarkEnd w:id="217"/>
      <w:r>
        <w:rPr>
          <w:b w:val="0"/>
          <w:bCs w:val="0"/>
        </w:rPr>
      </w:r>
      <w:r>
        <w:rPr>
          <w:rFonts w:ascii="华文细黑" w:hAnsi="华文细黑" w:cs="华文细黑" w:eastAsia="华文细黑" w:hint="default"/>
        </w:rPr>
        <w:t>6</w:t>
      </w:r>
      <w:r>
        <w:rPr/>
        <w:t>、母公司现金流量表</w:t>
      </w:r>
      <w:r>
        <w:rPr>
          <w:b w:val="0"/>
          <w:bCs w:val="0"/>
        </w:rPr>
      </w:r>
    </w:p>
    <w:p>
      <w:pPr>
        <w:spacing w:line="240" w:lineRule="auto" w:before="0"/>
        <w:rPr>
          <w:rFonts w:ascii="华文细黑" w:hAnsi="华文细黑" w:cs="华文细黑" w:eastAsia="华文细黑" w:hint="default"/>
          <w:b/>
          <w:bCs/>
          <w:sz w:val="20"/>
          <w:szCs w:val="20"/>
        </w:rPr>
      </w:pPr>
    </w:p>
    <w:p>
      <w:pPr>
        <w:spacing w:line="240" w:lineRule="auto" w:before="10"/>
        <w:rPr>
          <w:rFonts w:ascii="华文细黑" w:hAnsi="华文细黑" w:cs="华文细黑" w:eastAsia="华文细黑" w:hint="default"/>
          <w:b/>
          <w:bCs/>
          <w:sz w:val="13"/>
          <w:szCs w:val="13"/>
        </w:rPr>
      </w:pPr>
    </w:p>
    <w:tbl>
      <w:tblPr>
        <w:tblW w:w="0" w:type="auto"/>
        <w:jc w:val="left"/>
        <w:tblInd w:w="103" w:type="dxa"/>
        <w:tblLayout w:type="fixed"/>
        <w:tblCellMar>
          <w:top w:w="0" w:type="dxa"/>
          <w:left w:w="0" w:type="dxa"/>
          <w:bottom w:w="0" w:type="dxa"/>
          <w:right w:w="0" w:type="dxa"/>
        </w:tblCellMar>
        <w:tblLook w:val="01E0"/>
      </w:tblPr>
      <w:tblGrid>
        <w:gridCol w:w="5499"/>
        <w:gridCol w:w="2127"/>
        <w:gridCol w:w="1943"/>
      </w:tblGrid>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right="0"/>
              <w:jc w:val="center"/>
              <w:rPr>
                <w:rFonts w:ascii="华文细黑" w:hAnsi="华文细黑" w:cs="华文细黑" w:eastAsia="华文细黑" w:hint="default"/>
                <w:sz w:val="20"/>
                <w:szCs w:val="20"/>
              </w:rPr>
            </w:pPr>
            <w:r>
              <w:rPr>
                <w:rFonts w:ascii="华文细黑" w:hAnsi="华文细黑" w:cs="华文细黑" w:eastAsia="华文细黑" w:hint="default"/>
                <w:sz w:val="20"/>
                <w:szCs w:val="20"/>
              </w:rPr>
              <w:t>项目</w:t>
            </w:r>
          </w:p>
        </w:tc>
        <w:tc>
          <w:tcPr>
            <w:tcW w:w="212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57"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本期发生额</w:t>
            </w: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466"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上期发生额</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一、经营活动产生的现金流量：</w:t>
            </w:r>
          </w:p>
        </w:tc>
        <w:tc>
          <w:tcPr>
            <w:tcW w:w="2127"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right="2182"/>
              <w:jc w:val="right"/>
              <w:rPr>
                <w:rFonts w:ascii="华文细黑" w:hAnsi="华文细黑" w:cs="华文细黑" w:eastAsia="华文细黑" w:hint="default"/>
                <w:sz w:val="20"/>
                <w:szCs w:val="20"/>
              </w:rPr>
            </w:pPr>
            <w:r>
              <w:rPr>
                <w:rFonts w:ascii="华文细黑" w:hAnsi="华文细黑" w:cs="华文细黑" w:eastAsia="华文细黑" w:hint="default"/>
                <w:spacing w:val="-1"/>
                <w:sz w:val="20"/>
                <w:szCs w:val="20"/>
              </w:rPr>
              <w:t>销售商品、提供劳务收到的现金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49,797,323,542.10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46,793,643,383.27</w:t>
            </w:r>
          </w:p>
        </w:tc>
      </w:tr>
      <w:tr>
        <w:trPr>
          <w:trHeight w:val="381"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收到的税费返还</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right="2182"/>
              <w:jc w:val="right"/>
              <w:rPr>
                <w:rFonts w:ascii="华文细黑" w:hAnsi="华文细黑" w:cs="华文细黑" w:eastAsia="华文细黑" w:hint="default"/>
                <w:sz w:val="20"/>
                <w:szCs w:val="20"/>
              </w:rPr>
            </w:pPr>
            <w:r>
              <w:rPr>
                <w:rFonts w:ascii="华文细黑" w:hAnsi="华文细黑" w:cs="华文细黑" w:eastAsia="华文细黑" w:hint="default"/>
                <w:spacing w:val="-1"/>
                <w:sz w:val="20"/>
                <w:szCs w:val="20"/>
              </w:rPr>
              <w:t>收到其他与经营活动有关的现金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538,901,551.45</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178,937,876.45</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经营活动现金流入小计</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50,336,225,093.55</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46,972,581,259.72</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right="2182"/>
              <w:jc w:val="right"/>
              <w:rPr>
                <w:rFonts w:ascii="华文细黑" w:hAnsi="华文细黑" w:cs="华文细黑" w:eastAsia="华文细黑" w:hint="default"/>
                <w:sz w:val="20"/>
                <w:szCs w:val="20"/>
              </w:rPr>
            </w:pPr>
            <w:r>
              <w:rPr>
                <w:rFonts w:ascii="华文细黑" w:hAnsi="华文细黑" w:cs="华文细黑" w:eastAsia="华文细黑" w:hint="default"/>
                <w:spacing w:val="-1"/>
                <w:sz w:val="20"/>
                <w:szCs w:val="20"/>
              </w:rPr>
              <w:t>购买商品、接受劳务支付的现金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48,311,754,327.42</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46,237,721,592.84</w:t>
            </w:r>
          </w:p>
        </w:tc>
      </w:tr>
    </w:tbl>
    <w:p>
      <w:pPr>
        <w:spacing w:after="0" w:line="240" w:lineRule="auto"/>
        <w:jc w:val="right"/>
        <w:rPr>
          <w:rFonts w:ascii="华文细黑" w:hAnsi="华文细黑" w:cs="华文细黑" w:eastAsia="华文细黑" w:hint="default"/>
          <w:sz w:val="20"/>
          <w:szCs w:val="20"/>
        </w:rPr>
        <w:sectPr>
          <w:pgSz w:w="11910" w:h="16840"/>
          <w:pgMar w:header="917" w:footer="1019" w:top="1100" w:bottom="1200" w:left="12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3" w:type="dxa"/>
        <w:tblLayout w:type="fixed"/>
        <w:tblCellMar>
          <w:top w:w="0" w:type="dxa"/>
          <w:left w:w="0" w:type="dxa"/>
          <w:bottom w:w="0" w:type="dxa"/>
          <w:right w:w="0" w:type="dxa"/>
        </w:tblCellMar>
        <w:tblLook w:val="01E0"/>
      </w:tblPr>
      <w:tblGrid>
        <w:gridCol w:w="5499"/>
        <w:gridCol w:w="2127"/>
        <w:gridCol w:w="1943"/>
      </w:tblGrid>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支付给职工以及为职工支付的现金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258,688,307.85</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262,302,740.59</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支付的各项税费</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176,939,635.53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128,253,984.96</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支付其他与经营活动有关的现金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400,279,126.42</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901,258,176.19</w:t>
            </w:r>
          </w:p>
        </w:tc>
      </w:tr>
      <w:tr>
        <w:trPr>
          <w:trHeight w:val="381"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经营活动现金流出小计</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49,147,661,397.22</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47,529,536,494.58</w:t>
            </w:r>
          </w:p>
        </w:tc>
      </w:tr>
      <w:tr>
        <w:trPr>
          <w:trHeight w:val="385"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经营活动产生的现金流量净额</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1,188,563,696.33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-556,955,234.86</w:t>
            </w:r>
          </w:p>
        </w:tc>
      </w:tr>
      <w:tr>
        <w:trPr>
          <w:trHeight w:val="37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二、投资活动产生的现金流量：</w:t>
            </w:r>
          </w:p>
        </w:tc>
        <w:tc>
          <w:tcPr>
            <w:tcW w:w="2127"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385"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6"/>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收回投资收到的现金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6"/>
              <w:ind w:right="101"/>
              <w:jc w:val="right"/>
              <w:rPr>
                <w:rFonts w:ascii="华文细黑" w:hAnsi="华文细黑" w:cs="华文细黑" w:eastAsia="华文细黑" w:hint="default"/>
                <w:sz w:val="20"/>
                <w:szCs w:val="20"/>
              </w:rPr>
            </w:pPr>
            <w:r>
              <w:rPr>
                <w:rFonts w:ascii="华文细黑"/>
                <w:spacing w:val="-1"/>
                <w:sz w:val="20"/>
              </w:rPr>
              <w:t>16,080,548,600.32</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6"/>
              <w:ind w:right="101"/>
              <w:jc w:val="right"/>
              <w:rPr>
                <w:rFonts w:ascii="华文细黑" w:hAnsi="华文细黑" w:cs="华文细黑" w:eastAsia="华文细黑" w:hint="default"/>
                <w:sz w:val="20"/>
                <w:szCs w:val="20"/>
              </w:rPr>
            </w:pPr>
            <w:r>
              <w:rPr>
                <w:rFonts w:ascii="华文细黑"/>
                <w:spacing w:val="-1"/>
                <w:sz w:val="20"/>
              </w:rPr>
              <w:t>13,936,362,778.10</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取得投资收益收到的现金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117,701,585.10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113,833,876.63</w:t>
            </w:r>
          </w:p>
        </w:tc>
      </w:tr>
      <w:tr>
        <w:trPr>
          <w:trHeight w:val="67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处置固定资产、无形资产和其他长期资产收回的现金净</w:t>
            </w:r>
          </w:p>
          <w:p>
            <w:pPr>
              <w:pStyle w:val="TableParagraph"/>
              <w:spacing w:line="240" w:lineRule="auto" w:before="8"/>
              <w:ind w:left="103" w:right="0"/>
              <w:jc w:val="left"/>
              <w:rPr>
                <w:rFonts w:ascii="华文细黑" w:hAnsi="华文细黑" w:cs="华文细黑" w:eastAsia="华文细黑" w:hint="default"/>
                <w:sz w:val="20"/>
                <w:szCs w:val="20"/>
              </w:rPr>
            </w:pPr>
            <w:r>
              <w:rPr>
                <w:rFonts w:ascii="华文细黑" w:hAnsi="华文细黑" w:cs="华文细黑" w:eastAsia="华文细黑" w:hint="default"/>
                <w:w w:val="100"/>
                <w:sz w:val="20"/>
                <w:szCs w:val="20"/>
              </w:rPr>
              <w:t>额</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57"/>
              <w:ind w:right="100"/>
              <w:jc w:val="right"/>
              <w:rPr>
                <w:rFonts w:ascii="华文细黑" w:hAnsi="华文细黑" w:cs="华文细黑" w:eastAsia="华文细黑" w:hint="default"/>
                <w:sz w:val="20"/>
                <w:szCs w:val="20"/>
              </w:rPr>
            </w:pPr>
            <w:r>
              <w:rPr>
                <w:rFonts w:ascii="华文细黑"/>
                <w:spacing w:val="-1"/>
                <w:sz w:val="20"/>
              </w:rPr>
              <w:t>375,365.00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57"/>
              <w:ind w:right="100"/>
              <w:jc w:val="right"/>
              <w:rPr>
                <w:rFonts w:ascii="华文细黑" w:hAnsi="华文细黑" w:cs="华文细黑" w:eastAsia="华文细黑" w:hint="default"/>
                <w:sz w:val="20"/>
                <w:szCs w:val="20"/>
              </w:rPr>
            </w:pPr>
            <w:r>
              <w:rPr>
                <w:rFonts w:ascii="华文细黑"/>
                <w:spacing w:val="-1"/>
                <w:sz w:val="20"/>
              </w:rPr>
              <w:t>8,678,807.95</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处置子公司及其他营业单位收到的现金净额</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收到其他与投资活动有关的现金</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投资活动现金流入小计</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16,198,625,550.42</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14,058,875,462.68</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购建固定资产、无形资产和其他长期资产支付的现金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3,978,768.59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2,721,810.04</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投资支付的现金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15,966,000,000.00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15,228,720,000.00</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取得子公司及其他营业单位支付的现金净额</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支付其他与投资活动有关的现金</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投资活动现金流出小计</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15,969,978,768.59</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15,231,441,810.04</w:t>
            </w:r>
          </w:p>
        </w:tc>
      </w:tr>
      <w:tr>
        <w:trPr>
          <w:trHeight w:val="386"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投资活动产生的现金流量净额</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228,646,781.83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-1,172,566,347.36</w:t>
            </w:r>
          </w:p>
        </w:tc>
      </w:tr>
      <w:tr>
        <w:trPr>
          <w:trHeight w:val="375"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三、筹资活动产生的现金流量：</w:t>
            </w:r>
          </w:p>
        </w:tc>
        <w:tc>
          <w:tcPr>
            <w:tcW w:w="2127"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943"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吸收投资收到的现金</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取得借款收到的现金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5,745,594,700.00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8,162,306,619.09</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发行债券收到的现金</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598,200,000.00</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收到其他与筹资活动有关的现金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607,215,146.13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1,777,709,029.90</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筹资活动现金流入小计</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6,352,809,846.13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10,538,215,648.99</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偿还债务支付的现金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5,651,299,400.00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7,416,507,219.09</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分配股利、利润或偿付利息支付的现金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372,790,741.10</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306,354,554.45</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支付其他与筹资活动有关的现金</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1,752,228,521.25</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572,248,000.00</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筹资活动现金流出小计</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7,776,318,662.35</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0"/>
              <w:jc w:val="right"/>
              <w:rPr>
                <w:rFonts w:ascii="华文细黑" w:hAnsi="华文细黑" w:cs="华文细黑" w:eastAsia="华文细黑" w:hint="default"/>
                <w:sz w:val="20"/>
                <w:szCs w:val="20"/>
              </w:rPr>
            </w:pPr>
            <w:r>
              <w:rPr>
                <w:rFonts w:ascii="华文细黑"/>
                <w:spacing w:val="-1"/>
                <w:sz w:val="20"/>
              </w:rPr>
              <w:t>8,295,109,773.54</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筹资活动产生的现金流量净额</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-1,423,508,816.22</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0"/>
              <w:jc w:val="right"/>
              <w:rPr>
                <w:rFonts w:ascii="华文细黑" w:hAnsi="华文细黑" w:cs="华文细黑" w:eastAsia="华文细黑" w:hint="default"/>
                <w:sz w:val="20"/>
                <w:szCs w:val="20"/>
              </w:rPr>
            </w:pPr>
            <w:r>
              <w:rPr>
                <w:rFonts w:ascii="华文细黑"/>
                <w:spacing w:val="-1"/>
                <w:sz w:val="20"/>
              </w:rPr>
              <w:t>2,243,105,875.45</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四、汇率变动对现金及现金等价物的影响</w:t>
            </w:r>
          </w:p>
        </w:tc>
        <w:tc>
          <w:tcPr>
            <w:tcW w:w="2127" w:type="dxa"/>
            <w:tcBorders>
              <w:top w:val="single" w:sz="4" w:space="0" w:color="FFC000"/>
              <w:left w:val="single" w:sz="4" w:space="0" w:color="FFC000"/>
              <w:bottom w:val="single" w:sz="4" w:space="0" w:color="FFC000"/>
              <w:right w:val="single" w:sz="4" w:space="0" w:color="FFC000"/>
            </w:tcBorders>
          </w:tcPr>
          <w:p>
            <w:pPr/>
          </w:p>
        </w:tc>
        <w:tc>
          <w:tcPr>
            <w:tcW w:w="1943"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五、现金及现金等价物净增加额</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-6,298,338.06</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513,584,293.23</w:t>
            </w:r>
          </w:p>
        </w:tc>
      </w:tr>
      <w:tr>
        <w:trPr>
          <w:trHeight w:val="380"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left="504"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加：期初现金及现金等价物余额</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987,059,266.83</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101"/>
              <w:jc w:val="right"/>
              <w:rPr>
                <w:rFonts w:ascii="华文细黑" w:hAnsi="华文细黑" w:cs="华文细黑" w:eastAsia="华文细黑" w:hint="default"/>
                <w:sz w:val="20"/>
                <w:szCs w:val="20"/>
              </w:rPr>
            </w:pPr>
            <w:r>
              <w:rPr>
                <w:rFonts w:ascii="华文细黑"/>
                <w:spacing w:val="-1"/>
                <w:sz w:val="20"/>
              </w:rPr>
              <w:t>473,474,973.60</w:t>
            </w:r>
          </w:p>
        </w:tc>
      </w:tr>
      <w:tr>
        <w:trPr>
          <w:trHeight w:val="381" w:hRule="exact"/>
        </w:trPr>
        <w:tc>
          <w:tcPr>
            <w:tcW w:w="54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六、期末现金及现金等价物余额</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980,760,928.77</w:t>
            </w:r>
          </w:p>
        </w:tc>
        <w:tc>
          <w:tcPr>
            <w:tcW w:w="19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101"/>
              <w:jc w:val="right"/>
              <w:rPr>
                <w:rFonts w:ascii="华文细黑" w:hAnsi="华文细黑" w:cs="华文细黑" w:eastAsia="华文细黑" w:hint="default"/>
                <w:sz w:val="20"/>
                <w:szCs w:val="20"/>
              </w:rPr>
            </w:pPr>
            <w:r>
              <w:rPr>
                <w:rFonts w:ascii="华文细黑"/>
                <w:spacing w:val="-1"/>
                <w:sz w:val="20"/>
              </w:rPr>
              <w:t>987,059,266.83</w:t>
            </w:r>
          </w:p>
        </w:tc>
      </w:tr>
    </w:tbl>
    <w:p>
      <w:pPr>
        <w:spacing w:after="0" w:line="240" w:lineRule="auto"/>
        <w:jc w:val="right"/>
        <w:rPr>
          <w:rFonts w:ascii="华文细黑" w:hAnsi="华文细黑" w:cs="华文细黑" w:eastAsia="华文细黑" w:hint="default"/>
          <w:sz w:val="20"/>
          <w:szCs w:val="20"/>
        </w:rPr>
        <w:sectPr>
          <w:pgSz w:w="11910" w:h="16840"/>
          <w:pgMar w:header="917" w:footer="1019" w:top="1100" w:bottom="1200" w:left="122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7"/>
          <w:szCs w:val="17"/>
        </w:rPr>
      </w:pPr>
    </w:p>
    <w:p>
      <w:pPr>
        <w:spacing w:line="712" w:lineRule="auto" w:before="10"/>
        <w:ind w:left="1100" w:right="8017" w:firstLine="0"/>
        <w:jc w:val="left"/>
        <w:rPr>
          <w:rFonts w:ascii="华文细黑" w:hAnsi="华文细黑" w:cs="华文细黑" w:eastAsia="华文细黑" w:hint="default"/>
          <w:sz w:val="21"/>
          <w:szCs w:val="21"/>
        </w:rPr>
      </w:pPr>
      <w:r>
        <w:rPr/>
        <w:pict>
          <v:shape style="position:absolute;margin-left:22.08pt;margin-top:70.161697pt;width:560.8pt;height:621.550pt;mso-position-horizontal-relative:page;mso-position-vertical-relative:paragraph;z-index:12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129"/>
                    <w:gridCol w:w="992"/>
                    <w:gridCol w:w="426"/>
                    <w:gridCol w:w="282"/>
                    <w:gridCol w:w="287"/>
                    <w:gridCol w:w="992"/>
                    <w:gridCol w:w="424"/>
                    <w:gridCol w:w="848"/>
                    <w:gridCol w:w="426"/>
                    <w:gridCol w:w="852"/>
                    <w:gridCol w:w="851"/>
                    <w:gridCol w:w="853"/>
                    <w:gridCol w:w="851"/>
                    <w:gridCol w:w="988"/>
                  </w:tblGrid>
                  <w:tr>
                    <w:trPr>
                      <w:trHeight w:val="380" w:hRule="exact"/>
                    </w:trPr>
                    <w:tc>
                      <w:tcPr>
                        <w:tcW w:w="212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24"/>
                          <w:ind w:right="0"/>
                          <w:jc w:val="center"/>
                          <w:rPr>
                            <w:rFonts w:ascii="华文细黑" w:hAnsi="华文细黑" w:cs="华文细黑" w:eastAsia="华文细黑" w:hint="default"/>
                            <w:sz w:val="15"/>
                            <w:szCs w:val="15"/>
                          </w:rPr>
                        </w:pPr>
                        <w:r>
                          <w:rPr>
                            <w:rFonts w:ascii="华文细黑" w:hAnsi="华文细黑" w:cs="华文细黑" w:eastAsia="华文细黑" w:hint="default"/>
                            <w:sz w:val="15"/>
                            <w:szCs w:val="15"/>
                          </w:rPr>
                          <w:t>项目</w:t>
                        </w:r>
                      </w:p>
                    </w:tc>
                    <w:tc>
                      <w:tcPr>
                        <w:tcW w:w="9072" w:type="dxa"/>
                        <w:gridSpan w:val="13"/>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4"/>
                          <w:ind w:right="1"/>
                          <w:jc w:val="center"/>
                          <w:rPr>
                            <w:rFonts w:ascii="华文细黑" w:hAnsi="华文细黑" w:cs="华文细黑" w:eastAsia="华文细黑" w:hint="default"/>
                            <w:sz w:val="15"/>
                            <w:szCs w:val="15"/>
                          </w:rPr>
                        </w:pPr>
                        <w:r>
                          <w:rPr>
                            <w:rFonts w:ascii="华文细黑" w:hAnsi="华文细黑" w:cs="华文细黑" w:eastAsia="华文细黑" w:hint="default"/>
                            <w:sz w:val="15"/>
                            <w:szCs w:val="15"/>
                          </w:rPr>
                          <w:t>本期金额</w:t>
                        </w:r>
                      </w:p>
                    </w:tc>
                  </w:tr>
                  <w:tr>
                    <w:trPr>
                      <w:trHeight w:val="380" w:hRule="exact"/>
                    </w:trPr>
                    <w:tc>
                      <w:tcPr>
                        <w:tcW w:w="2129" w:type="dxa"/>
                        <w:vMerge/>
                        <w:tcBorders>
                          <w:left w:val="single" w:sz="4" w:space="0" w:color="FFC000"/>
                          <w:right w:val="single" w:sz="4" w:space="0" w:color="FFC000"/>
                        </w:tcBorders>
                        <w:shd w:val="clear" w:color="auto" w:fill="FFF8E6"/>
                      </w:tcPr>
                      <w:p>
                        <w:pPr/>
                      </w:p>
                    </w:tc>
                    <w:tc>
                      <w:tcPr>
                        <w:tcW w:w="7233" w:type="dxa"/>
                        <w:gridSpan w:val="11"/>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4"/>
                          <w:ind w:right="0"/>
                          <w:jc w:val="center"/>
                          <w:rPr>
                            <w:rFonts w:ascii="华文细黑" w:hAnsi="华文细黑" w:cs="华文细黑" w:eastAsia="华文细黑" w:hint="default"/>
                            <w:sz w:val="15"/>
                            <w:szCs w:val="15"/>
                          </w:rPr>
                        </w:pPr>
                        <w:r>
                          <w:rPr>
                            <w:rFonts w:ascii="华文细黑" w:hAnsi="华文细黑" w:cs="华文细黑" w:eastAsia="华文细黑" w:hint="default"/>
                            <w:sz w:val="15"/>
                            <w:szCs w:val="15"/>
                          </w:rPr>
                          <w:t>归属于母公司所有者权益</w:t>
                        </w:r>
                      </w:p>
                    </w:tc>
                    <w:tc>
                      <w:tcPr>
                        <w:tcW w:w="851"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
                          <w:ind w:right="0"/>
                          <w:jc w:val="left"/>
                          <w:rPr>
                            <w:rFonts w:ascii="华文细黑" w:hAnsi="华文细黑" w:cs="华文细黑" w:eastAsia="华文细黑" w:hint="default"/>
                            <w:sz w:val="13"/>
                            <w:szCs w:val="13"/>
                          </w:rPr>
                        </w:pPr>
                      </w:p>
                      <w:p>
                        <w:pPr>
                          <w:pStyle w:val="TableParagraph"/>
                          <w:spacing w:line="328" w:lineRule="auto"/>
                          <w:ind w:left="269" w:right="119" w:hanging="15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少数股东 权益</w:t>
                        </w:r>
                      </w:p>
                    </w:tc>
                    <w:tc>
                      <w:tcPr>
                        <w:tcW w:w="98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
                          <w:ind w:right="0"/>
                          <w:jc w:val="left"/>
                          <w:rPr>
                            <w:rFonts w:ascii="华文细黑" w:hAnsi="华文细黑" w:cs="华文细黑" w:eastAsia="华文细黑" w:hint="default"/>
                            <w:sz w:val="13"/>
                            <w:szCs w:val="13"/>
                          </w:rPr>
                        </w:pPr>
                      </w:p>
                      <w:p>
                        <w:pPr>
                          <w:pStyle w:val="TableParagraph"/>
                          <w:spacing w:line="328" w:lineRule="auto"/>
                          <w:ind w:left="338" w:right="112" w:hanging="225"/>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所有者权益 合计</w:t>
                        </w:r>
                      </w:p>
                    </w:tc>
                  </w:tr>
                  <w:tr>
                    <w:trPr>
                      <w:trHeight w:val="380" w:hRule="exact"/>
                    </w:trPr>
                    <w:tc>
                      <w:tcPr>
                        <w:tcW w:w="2129" w:type="dxa"/>
                        <w:vMerge/>
                        <w:tcBorders>
                          <w:left w:val="single" w:sz="4" w:space="0" w:color="FFC000"/>
                          <w:right w:val="single" w:sz="4" w:space="0" w:color="FFC000"/>
                        </w:tcBorders>
                        <w:shd w:val="clear" w:color="auto" w:fill="FFF8E6"/>
                      </w:tcPr>
                      <w:p>
                        <w:pPr/>
                      </w:p>
                    </w:tc>
                    <w:tc>
                      <w:tcPr>
                        <w:tcW w:w="99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3"/>
                          <w:ind w:right="0"/>
                          <w:jc w:val="left"/>
                          <w:rPr>
                            <w:rFonts w:ascii="华文细黑" w:hAnsi="华文细黑" w:cs="华文细黑" w:eastAsia="华文细黑" w:hint="default"/>
                            <w:sz w:val="9"/>
                            <w:szCs w:val="9"/>
                          </w:rPr>
                        </w:pPr>
                      </w:p>
                      <w:p>
                        <w:pPr>
                          <w:pStyle w:val="TableParagraph"/>
                          <w:spacing w:line="240" w:lineRule="auto"/>
                          <w:ind w:right="1"/>
                          <w:jc w:val="center"/>
                          <w:rPr>
                            <w:rFonts w:ascii="华文细黑" w:hAnsi="华文细黑" w:cs="华文细黑" w:eastAsia="华文细黑" w:hint="default"/>
                            <w:sz w:val="15"/>
                            <w:szCs w:val="15"/>
                          </w:rPr>
                        </w:pPr>
                        <w:r>
                          <w:rPr>
                            <w:rFonts w:ascii="华文细黑" w:hAnsi="华文细黑" w:cs="华文细黑" w:eastAsia="华文细黑" w:hint="default"/>
                            <w:sz w:val="15"/>
                            <w:szCs w:val="15"/>
                          </w:rPr>
                          <w:t>股本</w:t>
                        </w:r>
                      </w:p>
                    </w:tc>
                    <w:tc>
                      <w:tcPr>
                        <w:tcW w:w="995" w:type="dxa"/>
                        <w:gridSpan w:val="3"/>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
                          <w:ind w:right="0"/>
                          <w:jc w:val="left"/>
                          <w:rPr>
                            <w:rFonts w:ascii="华文细黑" w:hAnsi="华文细黑" w:cs="华文细黑" w:eastAsia="华文细黑" w:hint="default"/>
                            <w:sz w:val="6"/>
                            <w:szCs w:val="6"/>
                          </w:rPr>
                        </w:pPr>
                      </w:p>
                      <w:p>
                        <w:pPr>
                          <w:pStyle w:val="TableParagraph"/>
                          <w:spacing w:line="240" w:lineRule="auto"/>
                          <w:ind w:left="161" w:right="0"/>
                          <w:jc w:val="left"/>
                          <w:rPr>
                            <w:rFonts w:ascii="华文细黑" w:hAnsi="华文细黑" w:cs="华文细黑" w:eastAsia="华文细黑" w:hint="default"/>
                            <w:sz w:val="11"/>
                            <w:szCs w:val="11"/>
                          </w:rPr>
                        </w:pPr>
                        <w:r>
                          <w:rPr>
                            <w:rFonts w:ascii="华文细黑" w:hAnsi="华文细黑" w:cs="华文细黑" w:eastAsia="华文细黑" w:hint="default"/>
                            <w:sz w:val="11"/>
                            <w:szCs w:val="11"/>
                          </w:rPr>
                          <w:t>其他权益工具</w:t>
                        </w:r>
                      </w:p>
                    </w:tc>
                    <w:tc>
                      <w:tcPr>
                        <w:tcW w:w="99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3"/>
                          <w:ind w:right="0"/>
                          <w:jc w:val="left"/>
                          <w:rPr>
                            <w:rFonts w:ascii="华文细黑" w:hAnsi="华文细黑" w:cs="华文细黑" w:eastAsia="华文细黑" w:hint="default"/>
                            <w:sz w:val="9"/>
                            <w:szCs w:val="9"/>
                          </w:rPr>
                        </w:pPr>
                      </w:p>
                      <w:p>
                        <w:pPr>
                          <w:pStyle w:val="TableParagraph"/>
                          <w:spacing w:line="240" w:lineRule="auto"/>
                          <w:ind w:left="190"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资本公积</w:t>
                        </w:r>
                      </w:p>
                    </w:tc>
                    <w:tc>
                      <w:tcPr>
                        <w:tcW w:w="424"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5"/>
                          <w:ind w:right="0"/>
                          <w:jc w:val="left"/>
                          <w:rPr>
                            <w:rFonts w:ascii="华文细黑" w:hAnsi="华文细黑" w:cs="华文细黑" w:eastAsia="华文细黑" w:hint="default"/>
                            <w:sz w:val="8"/>
                            <w:szCs w:val="8"/>
                          </w:rPr>
                        </w:pPr>
                      </w:p>
                      <w:p>
                        <w:pPr>
                          <w:pStyle w:val="TableParagraph"/>
                          <w:spacing w:line="379" w:lineRule="auto"/>
                          <w:ind w:left="141" w:right="49" w:hanging="39"/>
                          <w:jc w:val="left"/>
                          <w:rPr>
                            <w:rFonts w:ascii="华文细黑" w:hAnsi="华文细黑" w:cs="华文细黑" w:eastAsia="华文细黑" w:hint="default"/>
                            <w:sz w:val="13"/>
                            <w:szCs w:val="13"/>
                          </w:rPr>
                        </w:pPr>
                        <w:r>
                          <w:rPr>
                            <w:rFonts w:ascii="华文细黑" w:hAnsi="华文细黑" w:cs="华文细黑" w:eastAsia="华文细黑" w:hint="default"/>
                            <w:sz w:val="13"/>
                            <w:szCs w:val="13"/>
                          </w:rPr>
                          <w:t>减：</w:t>
                        </w:r>
                        <w:r>
                          <w:rPr>
                            <w:rFonts w:ascii="华文细黑" w:hAnsi="华文细黑" w:cs="华文细黑" w:eastAsia="华文细黑" w:hint="default"/>
                            <w:w w:val="99"/>
                            <w:sz w:val="13"/>
                            <w:szCs w:val="13"/>
                          </w:rPr>
                          <w:t> </w:t>
                        </w:r>
                        <w:r>
                          <w:rPr>
                            <w:rFonts w:ascii="华文细黑" w:hAnsi="华文细黑" w:cs="华文细黑" w:eastAsia="华文细黑" w:hint="default"/>
                            <w:sz w:val="13"/>
                            <w:szCs w:val="13"/>
                          </w:rPr>
                          <w:t>库</w:t>
                        </w:r>
                        <w:r>
                          <w:rPr>
                            <w:rFonts w:ascii="华文细黑" w:hAnsi="华文细黑" w:cs="华文细黑" w:eastAsia="华文细黑" w:hint="default"/>
                            <w:w w:val="99"/>
                            <w:sz w:val="13"/>
                            <w:szCs w:val="13"/>
                          </w:rPr>
                          <w:t> </w:t>
                        </w:r>
                        <w:r>
                          <w:rPr>
                            <w:rFonts w:ascii="华文细黑" w:hAnsi="华文细黑" w:cs="华文细黑" w:eastAsia="华文细黑" w:hint="default"/>
                            <w:sz w:val="13"/>
                            <w:szCs w:val="13"/>
                          </w:rPr>
                          <w:t>存</w:t>
                        </w:r>
                        <w:r>
                          <w:rPr>
                            <w:rFonts w:ascii="华文细黑" w:hAnsi="华文细黑" w:cs="华文细黑" w:eastAsia="华文细黑" w:hint="default"/>
                            <w:w w:val="99"/>
                            <w:sz w:val="13"/>
                            <w:szCs w:val="13"/>
                          </w:rPr>
                          <w:t> </w:t>
                        </w:r>
                        <w:r>
                          <w:rPr>
                            <w:rFonts w:ascii="华文细黑" w:hAnsi="华文细黑" w:cs="华文细黑" w:eastAsia="华文细黑" w:hint="default"/>
                            <w:sz w:val="13"/>
                            <w:szCs w:val="13"/>
                          </w:rPr>
                          <w:t>股</w:t>
                        </w:r>
                      </w:p>
                    </w:tc>
                    <w:tc>
                      <w:tcPr>
                        <w:tcW w:w="84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9"/>
                          <w:ind w:right="0"/>
                          <w:jc w:val="left"/>
                          <w:rPr>
                            <w:rFonts w:ascii="华文细黑" w:hAnsi="华文细黑" w:cs="华文细黑" w:eastAsia="华文细黑" w:hint="default"/>
                            <w:sz w:val="13"/>
                            <w:szCs w:val="13"/>
                          </w:rPr>
                        </w:pPr>
                      </w:p>
                      <w:p>
                        <w:pPr>
                          <w:pStyle w:val="TableParagraph"/>
                          <w:spacing w:line="328" w:lineRule="auto"/>
                          <w:ind w:left="268" w:right="119" w:hanging="15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其他综合 收益</w:t>
                        </w:r>
                      </w:p>
                    </w:tc>
                    <w:tc>
                      <w:tcPr>
                        <w:tcW w:w="426" w:type="dxa"/>
                        <w:vMerge w:val="restart"/>
                        <w:tcBorders>
                          <w:top w:val="single" w:sz="4" w:space="0" w:color="FFC000"/>
                          <w:left w:val="single" w:sz="4" w:space="0" w:color="FFC000"/>
                          <w:right w:val="single" w:sz="4" w:space="0" w:color="FFC000"/>
                        </w:tcBorders>
                        <w:shd w:val="clear" w:color="auto" w:fill="FFF8E6"/>
                      </w:tcPr>
                      <w:p>
                        <w:pPr>
                          <w:pStyle w:val="TableParagraph"/>
                          <w:spacing w:line="328" w:lineRule="auto" w:before="99"/>
                          <w:ind w:left="133" w:right="131"/>
                          <w:jc w:val="both"/>
                          <w:rPr>
                            <w:rFonts w:ascii="华文细黑" w:hAnsi="华文细黑" w:cs="华文细黑" w:eastAsia="华文细黑" w:hint="default"/>
                            <w:sz w:val="15"/>
                            <w:szCs w:val="15"/>
                          </w:rPr>
                        </w:pPr>
                        <w:r>
                          <w:rPr>
                            <w:rFonts w:ascii="华文细黑" w:hAnsi="华文细黑" w:cs="华文细黑" w:eastAsia="华文细黑" w:hint="default"/>
                            <w:sz w:val="15"/>
                            <w:szCs w:val="15"/>
                          </w:rPr>
                          <w:t>专 项 储 备</w:t>
                        </w:r>
                      </w:p>
                    </w:tc>
                    <w:tc>
                      <w:tcPr>
                        <w:tcW w:w="85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3"/>
                          <w:ind w:right="0"/>
                          <w:jc w:val="left"/>
                          <w:rPr>
                            <w:rFonts w:ascii="华文细黑" w:hAnsi="华文细黑" w:cs="华文细黑" w:eastAsia="华文细黑" w:hint="default"/>
                            <w:sz w:val="9"/>
                            <w:szCs w:val="9"/>
                          </w:rPr>
                        </w:pPr>
                      </w:p>
                      <w:p>
                        <w:pPr>
                          <w:pStyle w:val="TableParagraph"/>
                          <w:spacing w:line="240" w:lineRule="auto"/>
                          <w:ind w:left="120"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盈余公积</w:t>
                        </w:r>
                      </w:p>
                    </w:tc>
                    <w:tc>
                      <w:tcPr>
                        <w:tcW w:w="851"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9"/>
                          <w:ind w:right="0"/>
                          <w:jc w:val="left"/>
                          <w:rPr>
                            <w:rFonts w:ascii="华文细黑" w:hAnsi="华文细黑" w:cs="华文细黑" w:eastAsia="华文细黑" w:hint="default"/>
                            <w:sz w:val="13"/>
                            <w:szCs w:val="13"/>
                          </w:rPr>
                        </w:pPr>
                      </w:p>
                      <w:p>
                        <w:pPr>
                          <w:pStyle w:val="TableParagraph"/>
                          <w:spacing w:line="328" w:lineRule="auto"/>
                          <w:ind w:left="269" w:right="120" w:hanging="15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一般风险 准备</w:t>
                        </w:r>
                      </w:p>
                    </w:tc>
                    <w:tc>
                      <w:tcPr>
                        <w:tcW w:w="853"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9"/>
                          <w:ind w:right="0"/>
                          <w:jc w:val="left"/>
                          <w:rPr>
                            <w:rFonts w:ascii="华文细黑" w:hAnsi="华文细黑" w:cs="华文细黑" w:eastAsia="华文细黑" w:hint="default"/>
                            <w:sz w:val="13"/>
                            <w:szCs w:val="13"/>
                          </w:rPr>
                        </w:pPr>
                      </w:p>
                      <w:p>
                        <w:pPr>
                          <w:pStyle w:val="TableParagraph"/>
                          <w:spacing w:line="328" w:lineRule="auto"/>
                          <w:ind w:left="346" w:right="120" w:hanging="226"/>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未分配利 润</w:t>
                        </w:r>
                      </w:p>
                    </w:tc>
                    <w:tc>
                      <w:tcPr>
                        <w:tcW w:w="851" w:type="dxa"/>
                        <w:vMerge/>
                        <w:tcBorders>
                          <w:left w:val="single" w:sz="4" w:space="0" w:color="FFC000"/>
                          <w:right w:val="single" w:sz="4" w:space="0" w:color="FFC000"/>
                        </w:tcBorders>
                        <w:shd w:val="clear" w:color="auto" w:fill="FFF8E6"/>
                      </w:tcPr>
                      <w:p>
                        <w:pPr/>
                      </w:p>
                    </w:tc>
                    <w:tc>
                      <w:tcPr>
                        <w:tcW w:w="988" w:type="dxa"/>
                        <w:vMerge/>
                        <w:tcBorders>
                          <w:left w:val="single" w:sz="4" w:space="0" w:color="FFC000"/>
                          <w:right w:val="single" w:sz="4" w:space="0" w:color="FFC000"/>
                        </w:tcBorders>
                        <w:shd w:val="clear" w:color="auto" w:fill="FFF8E6"/>
                      </w:tcPr>
                      <w:p>
                        <w:pPr/>
                      </w:p>
                    </w:tc>
                  </w:tr>
                  <w:tr>
                    <w:trPr>
                      <w:trHeight w:val="960" w:hRule="exact"/>
                    </w:trPr>
                    <w:tc>
                      <w:tcPr>
                        <w:tcW w:w="2129" w:type="dxa"/>
                        <w:vMerge/>
                        <w:tcBorders>
                          <w:left w:val="single" w:sz="4" w:space="0" w:color="FFC000"/>
                          <w:bottom w:val="single" w:sz="4" w:space="0" w:color="FFC000"/>
                          <w:right w:val="single" w:sz="4" w:space="0" w:color="FFC000"/>
                        </w:tcBorders>
                        <w:shd w:val="clear" w:color="auto" w:fill="FFF8E6"/>
                      </w:tcPr>
                      <w:p>
                        <w:pPr/>
                      </w:p>
                    </w:tc>
                    <w:tc>
                      <w:tcPr>
                        <w:tcW w:w="992" w:type="dxa"/>
                        <w:vMerge/>
                        <w:tcBorders>
                          <w:left w:val="single" w:sz="4" w:space="0" w:color="FFC000"/>
                          <w:bottom w:val="single" w:sz="4" w:space="0" w:color="FFC000"/>
                          <w:right w:val="single" w:sz="4" w:space="0" w:color="FFC000"/>
                        </w:tcBorders>
                        <w:shd w:val="clear" w:color="auto" w:fill="FFF8E6"/>
                      </w:tcPr>
                      <w:p>
                        <w:pPr/>
                      </w:p>
                    </w:tc>
                    <w:tc>
                      <w:tcPr>
                        <w:tcW w:w="42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28" w:lineRule="auto" w:before="54"/>
                          <w:ind w:left="103" w:right="161"/>
                          <w:jc w:val="both"/>
                          <w:rPr>
                            <w:rFonts w:ascii="华文细黑" w:hAnsi="华文细黑" w:cs="华文细黑" w:eastAsia="华文细黑" w:hint="default"/>
                            <w:sz w:val="15"/>
                            <w:szCs w:val="15"/>
                          </w:rPr>
                        </w:pPr>
                        <w:r>
                          <w:rPr>
                            <w:rFonts w:ascii="华文细黑" w:hAnsi="华文细黑" w:cs="华文细黑" w:eastAsia="华文细黑" w:hint="default"/>
                            <w:sz w:val="15"/>
                            <w:szCs w:val="15"/>
                          </w:rPr>
                          <w:t>优 先 股</w:t>
                        </w:r>
                      </w:p>
                    </w:tc>
                    <w:tc>
                      <w:tcPr>
                        <w:tcW w:w="28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28" w:lineRule="auto" w:before="54"/>
                          <w:ind w:left="101" w:right="18"/>
                          <w:jc w:val="both"/>
                          <w:rPr>
                            <w:rFonts w:ascii="华文细黑" w:hAnsi="华文细黑" w:cs="华文细黑" w:eastAsia="华文细黑" w:hint="default"/>
                            <w:sz w:val="15"/>
                            <w:szCs w:val="15"/>
                          </w:rPr>
                        </w:pPr>
                        <w:r>
                          <w:rPr>
                            <w:rFonts w:ascii="华文细黑" w:hAnsi="华文细黑" w:cs="华文细黑" w:eastAsia="华文细黑" w:hint="default"/>
                            <w:sz w:val="15"/>
                            <w:szCs w:val="15"/>
                          </w:rPr>
                          <w:t>永 续 债</w:t>
                        </w:r>
                      </w:p>
                    </w:tc>
                    <w:tc>
                      <w:tcPr>
                        <w:tcW w:w="28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
                          <w:ind w:right="0"/>
                          <w:jc w:val="left"/>
                          <w:rPr>
                            <w:rFonts w:ascii="华文细黑" w:hAnsi="华文细黑" w:cs="华文细黑" w:eastAsia="华文细黑" w:hint="default"/>
                            <w:sz w:val="14"/>
                            <w:szCs w:val="14"/>
                          </w:rPr>
                        </w:pPr>
                      </w:p>
                      <w:p>
                        <w:pPr>
                          <w:pStyle w:val="TableParagraph"/>
                          <w:spacing w:line="328" w:lineRule="auto"/>
                          <w:ind w:left="101" w:right="23"/>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其 他</w:t>
                        </w:r>
                      </w:p>
                    </w:tc>
                    <w:tc>
                      <w:tcPr>
                        <w:tcW w:w="992" w:type="dxa"/>
                        <w:vMerge/>
                        <w:tcBorders>
                          <w:left w:val="single" w:sz="4" w:space="0" w:color="FFC000"/>
                          <w:bottom w:val="single" w:sz="4" w:space="0" w:color="FFC000"/>
                          <w:right w:val="single" w:sz="4" w:space="0" w:color="FFC000"/>
                        </w:tcBorders>
                        <w:shd w:val="clear" w:color="auto" w:fill="FFF8E6"/>
                      </w:tcPr>
                      <w:p>
                        <w:pPr/>
                      </w:p>
                    </w:tc>
                    <w:tc>
                      <w:tcPr>
                        <w:tcW w:w="424" w:type="dxa"/>
                        <w:vMerge/>
                        <w:tcBorders>
                          <w:left w:val="single" w:sz="4" w:space="0" w:color="FFC000"/>
                          <w:bottom w:val="single" w:sz="4" w:space="0" w:color="FFC000"/>
                          <w:right w:val="single" w:sz="4" w:space="0" w:color="FFC000"/>
                        </w:tcBorders>
                        <w:shd w:val="clear" w:color="auto" w:fill="FFF8E6"/>
                      </w:tcPr>
                      <w:p>
                        <w:pPr/>
                      </w:p>
                    </w:tc>
                    <w:tc>
                      <w:tcPr>
                        <w:tcW w:w="848" w:type="dxa"/>
                        <w:vMerge/>
                        <w:tcBorders>
                          <w:left w:val="single" w:sz="4" w:space="0" w:color="FFC000"/>
                          <w:bottom w:val="single" w:sz="4" w:space="0" w:color="FFC000"/>
                          <w:right w:val="single" w:sz="4" w:space="0" w:color="FFC000"/>
                        </w:tcBorders>
                        <w:shd w:val="clear" w:color="auto" w:fill="FFF8E6"/>
                      </w:tcPr>
                      <w:p>
                        <w:pPr/>
                      </w:p>
                    </w:tc>
                    <w:tc>
                      <w:tcPr>
                        <w:tcW w:w="426" w:type="dxa"/>
                        <w:vMerge/>
                        <w:tcBorders>
                          <w:left w:val="single" w:sz="4" w:space="0" w:color="FFC000"/>
                          <w:bottom w:val="single" w:sz="4" w:space="0" w:color="FFC000"/>
                          <w:right w:val="single" w:sz="4" w:space="0" w:color="FFC000"/>
                        </w:tcBorders>
                        <w:shd w:val="clear" w:color="auto" w:fill="FFF8E6"/>
                      </w:tcPr>
                      <w:p>
                        <w:pPr/>
                      </w:p>
                    </w:tc>
                    <w:tc>
                      <w:tcPr>
                        <w:tcW w:w="852" w:type="dxa"/>
                        <w:vMerge/>
                        <w:tcBorders>
                          <w:left w:val="single" w:sz="4" w:space="0" w:color="FFC000"/>
                          <w:bottom w:val="single" w:sz="4" w:space="0" w:color="FFC000"/>
                          <w:right w:val="single" w:sz="4" w:space="0" w:color="FFC000"/>
                        </w:tcBorders>
                        <w:shd w:val="clear" w:color="auto" w:fill="FFF8E6"/>
                      </w:tcPr>
                      <w:p>
                        <w:pPr/>
                      </w:p>
                    </w:tc>
                    <w:tc>
                      <w:tcPr>
                        <w:tcW w:w="851" w:type="dxa"/>
                        <w:vMerge/>
                        <w:tcBorders>
                          <w:left w:val="single" w:sz="4" w:space="0" w:color="FFC000"/>
                          <w:bottom w:val="single" w:sz="4" w:space="0" w:color="FFC000"/>
                          <w:right w:val="single" w:sz="4" w:space="0" w:color="FFC000"/>
                        </w:tcBorders>
                        <w:shd w:val="clear" w:color="auto" w:fill="FFF8E6"/>
                      </w:tcPr>
                      <w:p>
                        <w:pPr/>
                      </w:p>
                    </w:tc>
                    <w:tc>
                      <w:tcPr>
                        <w:tcW w:w="853" w:type="dxa"/>
                        <w:vMerge/>
                        <w:tcBorders>
                          <w:left w:val="single" w:sz="4" w:space="0" w:color="FFC000"/>
                          <w:bottom w:val="single" w:sz="4" w:space="0" w:color="FFC000"/>
                          <w:right w:val="single" w:sz="4" w:space="0" w:color="FFC000"/>
                        </w:tcBorders>
                        <w:shd w:val="clear" w:color="auto" w:fill="FFF8E6"/>
                      </w:tcPr>
                      <w:p>
                        <w:pPr/>
                      </w:p>
                    </w:tc>
                    <w:tc>
                      <w:tcPr>
                        <w:tcW w:w="851" w:type="dxa"/>
                        <w:vMerge/>
                        <w:tcBorders>
                          <w:left w:val="single" w:sz="4" w:space="0" w:color="FFC000"/>
                          <w:bottom w:val="single" w:sz="4" w:space="0" w:color="FFC000"/>
                          <w:right w:val="single" w:sz="4" w:space="0" w:color="FFC000"/>
                        </w:tcBorders>
                        <w:shd w:val="clear" w:color="auto" w:fill="FFF8E6"/>
                      </w:tcPr>
                      <w:p>
                        <w:pPr/>
                      </w:p>
                    </w:tc>
                    <w:tc>
                      <w:tcPr>
                        <w:tcW w:w="988" w:type="dxa"/>
                        <w:vMerge/>
                        <w:tcBorders>
                          <w:left w:val="single" w:sz="4" w:space="0" w:color="FFC000"/>
                          <w:bottom w:val="single" w:sz="4" w:space="0" w:color="FFC000"/>
                          <w:right w:val="single" w:sz="4" w:space="0" w:color="FFC000"/>
                        </w:tcBorders>
                        <w:shd w:val="clear" w:color="auto" w:fill="FFF8E6"/>
                      </w:tcPr>
                      <w:p>
                        <w:pPr/>
                      </w:p>
                    </w:tc>
                  </w:tr>
                  <w:tr>
                    <w:trPr>
                      <w:trHeight w:val="670"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
                          <w:ind w:right="0"/>
                          <w:jc w:val="left"/>
                          <w:rPr>
                            <w:rFonts w:ascii="华文细黑" w:hAnsi="华文细黑" w:cs="华文细黑" w:eastAsia="华文细黑" w:hint="default"/>
                            <w:sz w:val="14"/>
                            <w:szCs w:val="14"/>
                          </w:rPr>
                        </w:pPr>
                      </w:p>
                      <w:p>
                        <w:pPr>
                          <w:pStyle w:val="TableParagraph"/>
                          <w:spacing w:line="240" w:lineRule="auto"/>
                          <w:ind w:left="104"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一、上年期末余额</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172" w:right="0"/>
                          <w:jc w:val="left"/>
                          <w:rPr>
                            <w:rFonts w:ascii="华文细黑" w:hAnsi="华文细黑" w:cs="华文细黑" w:eastAsia="华文细黑" w:hint="default"/>
                            <w:sz w:val="15"/>
                            <w:szCs w:val="15"/>
                          </w:rPr>
                        </w:pPr>
                        <w:r>
                          <w:rPr>
                            <w:rFonts w:ascii="华文细黑"/>
                            <w:sz w:val="15"/>
                          </w:rPr>
                          <w:t>1,032,734,</w:t>
                        </w:r>
                      </w:p>
                      <w:p>
                        <w:pPr>
                          <w:pStyle w:val="TableParagraph"/>
                          <w:spacing w:line="240" w:lineRule="auto" w:before="78"/>
                          <w:ind w:left="422" w:right="0"/>
                          <w:jc w:val="left"/>
                          <w:rPr>
                            <w:rFonts w:ascii="华文细黑" w:hAnsi="华文细黑" w:cs="华文细黑" w:eastAsia="华文细黑" w:hint="default"/>
                            <w:sz w:val="15"/>
                            <w:szCs w:val="15"/>
                          </w:rPr>
                        </w:pPr>
                        <w:r>
                          <w:rPr>
                            <w:rFonts w:ascii="华文细黑"/>
                            <w:sz w:val="15"/>
                          </w:rPr>
                          <w:t>839.00</w:t>
                        </w: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172" w:right="0"/>
                          <w:jc w:val="left"/>
                          <w:rPr>
                            <w:rFonts w:ascii="华文细黑" w:hAnsi="华文细黑" w:cs="华文细黑" w:eastAsia="华文细黑" w:hint="default"/>
                            <w:sz w:val="15"/>
                            <w:szCs w:val="15"/>
                          </w:rPr>
                        </w:pPr>
                        <w:r>
                          <w:rPr>
                            <w:rFonts w:ascii="华文细黑"/>
                            <w:sz w:val="15"/>
                          </w:rPr>
                          <w:t>1,828,369,</w:t>
                        </w:r>
                      </w:p>
                      <w:p>
                        <w:pPr>
                          <w:pStyle w:val="TableParagraph"/>
                          <w:spacing w:line="240" w:lineRule="auto" w:before="78"/>
                          <w:ind w:left="422" w:right="0"/>
                          <w:jc w:val="left"/>
                          <w:rPr>
                            <w:rFonts w:ascii="华文细黑" w:hAnsi="华文细黑" w:cs="华文细黑" w:eastAsia="华文细黑" w:hint="default"/>
                            <w:sz w:val="15"/>
                            <w:szCs w:val="15"/>
                          </w:rPr>
                        </w:pPr>
                        <w:r>
                          <w:rPr>
                            <w:rFonts w:ascii="华文细黑"/>
                            <w:sz w:val="15"/>
                          </w:rPr>
                          <w:t>695.69</w:t>
                        </w: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49" w:right="0"/>
                          <w:jc w:val="center"/>
                          <w:rPr>
                            <w:rFonts w:ascii="华文细黑" w:hAnsi="华文细黑" w:cs="华文细黑" w:eastAsia="华文细黑" w:hint="default"/>
                            <w:sz w:val="15"/>
                            <w:szCs w:val="15"/>
                          </w:rPr>
                        </w:pPr>
                        <w:r>
                          <w:rPr>
                            <w:rFonts w:ascii="华文细黑"/>
                            <w:sz w:val="15"/>
                          </w:rPr>
                          <w:t>167,752,</w:t>
                        </w:r>
                      </w:p>
                      <w:p>
                        <w:pPr>
                          <w:pStyle w:val="TableParagraph"/>
                          <w:spacing w:line="240" w:lineRule="auto" w:before="78"/>
                          <w:ind w:left="174" w:right="0"/>
                          <w:jc w:val="center"/>
                          <w:rPr>
                            <w:rFonts w:ascii="华文细黑" w:hAnsi="华文细黑" w:cs="华文细黑" w:eastAsia="华文细黑" w:hint="default"/>
                            <w:sz w:val="15"/>
                            <w:szCs w:val="15"/>
                          </w:rPr>
                        </w:pPr>
                        <w:r>
                          <w:rPr>
                            <w:rFonts w:ascii="华文细黑"/>
                            <w:sz w:val="15"/>
                          </w:rPr>
                          <w:t>408.95</w:t>
                        </w: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50" w:right="0"/>
                          <w:jc w:val="center"/>
                          <w:rPr>
                            <w:rFonts w:ascii="华文细黑" w:hAnsi="华文细黑" w:cs="华文细黑" w:eastAsia="华文细黑" w:hint="default"/>
                            <w:sz w:val="15"/>
                            <w:szCs w:val="15"/>
                          </w:rPr>
                        </w:pPr>
                        <w:r>
                          <w:rPr>
                            <w:rFonts w:ascii="华文细黑"/>
                            <w:sz w:val="15"/>
                          </w:rPr>
                          <w:t>246,843,</w:t>
                        </w:r>
                      </w:p>
                      <w:p>
                        <w:pPr>
                          <w:pStyle w:val="TableParagraph"/>
                          <w:spacing w:line="240" w:lineRule="auto" w:before="78"/>
                          <w:ind w:left="175" w:right="0"/>
                          <w:jc w:val="center"/>
                          <w:rPr>
                            <w:rFonts w:ascii="华文细黑" w:hAnsi="华文细黑" w:cs="华文细黑" w:eastAsia="华文细黑" w:hint="default"/>
                            <w:sz w:val="15"/>
                            <w:szCs w:val="15"/>
                          </w:rPr>
                        </w:pPr>
                        <w:r>
                          <w:rPr>
                            <w:rFonts w:ascii="华文细黑"/>
                            <w:sz w:val="15"/>
                          </w:rPr>
                          <w:t>122.20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155" w:right="0"/>
                          <w:jc w:val="left"/>
                          <w:rPr>
                            <w:rFonts w:ascii="华文细黑" w:hAnsi="华文细黑" w:cs="华文细黑" w:eastAsia="华文细黑" w:hint="default"/>
                            <w:sz w:val="15"/>
                            <w:szCs w:val="15"/>
                          </w:rPr>
                        </w:pPr>
                        <w:r>
                          <w:rPr>
                            <w:rFonts w:ascii="华文细黑"/>
                            <w:sz w:val="15"/>
                          </w:rPr>
                          <w:t>14,732,8</w:t>
                        </w:r>
                      </w:p>
                      <w:p>
                        <w:pPr>
                          <w:pStyle w:val="TableParagraph"/>
                          <w:spacing w:line="240" w:lineRule="auto" w:before="78"/>
                          <w:ind w:left="362" w:right="0"/>
                          <w:jc w:val="left"/>
                          <w:rPr>
                            <w:rFonts w:ascii="华文细黑" w:hAnsi="华文细黑" w:cs="华文细黑" w:eastAsia="华文细黑" w:hint="default"/>
                            <w:sz w:val="15"/>
                            <w:szCs w:val="15"/>
                          </w:rPr>
                        </w:pPr>
                        <w:r>
                          <w:rPr>
                            <w:rFonts w:ascii="华文细黑"/>
                            <w:sz w:val="15"/>
                          </w:rPr>
                          <w:t>77.61</w:t>
                        </w:r>
                      </w:p>
                    </w:tc>
                    <w:tc>
                      <w:tcPr>
                        <w:tcW w:w="8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158" w:right="0"/>
                          <w:jc w:val="left"/>
                          <w:rPr>
                            <w:rFonts w:ascii="华文细黑" w:hAnsi="华文细黑" w:cs="华文细黑" w:eastAsia="华文细黑" w:hint="default"/>
                            <w:sz w:val="15"/>
                            <w:szCs w:val="15"/>
                          </w:rPr>
                        </w:pPr>
                        <w:r>
                          <w:rPr>
                            <w:rFonts w:ascii="华文细黑"/>
                            <w:sz w:val="15"/>
                          </w:rPr>
                          <w:t>2,095,94</w:t>
                        </w:r>
                      </w:p>
                      <w:p>
                        <w:pPr>
                          <w:pStyle w:val="TableParagraph"/>
                          <w:spacing w:line="240" w:lineRule="auto" w:before="78"/>
                          <w:ind w:left="158" w:right="0"/>
                          <w:jc w:val="left"/>
                          <w:rPr>
                            <w:rFonts w:ascii="华文细黑" w:hAnsi="华文细黑" w:cs="华文细黑" w:eastAsia="华文细黑" w:hint="default"/>
                            <w:sz w:val="15"/>
                            <w:szCs w:val="15"/>
                          </w:rPr>
                        </w:pPr>
                        <w:r>
                          <w:rPr>
                            <w:rFonts w:ascii="华文细黑"/>
                            <w:sz w:val="15"/>
                          </w:rPr>
                          <w:t>4,239.39</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51" w:right="0"/>
                          <w:jc w:val="center"/>
                          <w:rPr>
                            <w:rFonts w:ascii="华文细黑" w:hAnsi="华文细黑" w:cs="华文细黑" w:eastAsia="华文细黑" w:hint="default"/>
                            <w:sz w:val="15"/>
                            <w:szCs w:val="15"/>
                          </w:rPr>
                        </w:pPr>
                        <w:r>
                          <w:rPr>
                            <w:rFonts w:ascii="华文细黑"/>
                            <w:sz w:val="15"/>
                          </w:rPr>
                          <w:t>161,035,</w:t>
                        </w:r>
                      </w:p>
                      <w:p>
                        <w:pPr>
                          <w:pStyle w:val="TableParagraph"/>
                          <w:spacing w:line="240" w:lineRule="auto" w:before="78"/>
                          <w:ind w:left="176" w:right="0"/>
                          <w:jc w:val="center"/>
                          <w:rPr>
                            <w:rFonts w:ascii="华文细黑" w:hAnsi="华文细黑" w:cs="华文细黑" w:eastAsia="华文细黑" w:hint="default"/>
                            <w:sz w:val="15"/>
                            <w:szCs w:val="15"/>
                          </w:rPr>
                        </w:pPr>
                        <w:r>
                          <w:rPr>
                            <w:rFonts w:ascii="华文细黑"/>
                            <w:sz w:val="15"/>
                          </w:rPr>
                          <w:t>401.09</w:t>
                        </w:r>
                      </w:p>
                    </w:tc>
                    <w:tc>
                      <w:tcPr>
                        <w:tcW w:w="9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168" w:right="0"/>
                          <w:jc w:val="left"/>
                          <w:rPr>
                            <w:rFonts w:ascii="华文细黑" w:hAnsi="华文细黑" w:cs="华文细黑" w:eastAsia="华文细黑" w:hint="default"/>
                            <w:sz w:val="15"/>
                            <w:szCs w:val="15"/>
                          </w:rPr>
                        </w:pPr>
                        <w:r>
                          <w:rPr>
                            <w:rFonts w:ascii="华文细黑"/>
                            <w:sz w:val="15"/>
                          </w:rPr>
                          <w:t>5,547,412,</w:t>
                        </w:r>
                      </w:p>
                      <w:p>
                        <w:pPr>
                          <w:pStyle w:val="TableParagraph"/>
                          <w:spacing w:line="240" w:lineRule="auto" w:before="78"/>
                          <w:ind w:left="417" w:right="0"/>
                          <w:jc w:val="left"/>
                          <w:rPr>
                            <w:rFonts w:ascii="华文细黑" w:hAnsi="华文细黑" w:cs="华文细黑" w:eastAsia="华文细黑" w:hint="default"/>
                            <w:sz w:val="15"/>
                            <w:szCs w:val="15"/>
                          </w:rPr>
                        </w:pPr>
                        <w:r>
                          <w:rPr>
                            <w:rFonts w:ascii="华文细黑"/>
                            <w:sz w:val="15"/>
                          </w:rPr>
                          <w:t>583.93</w:t>
                        </w:r>
                      </w:p>
                    </w:tc>
                  </w:tr>
                  <w:tr>
                    <w:trPr>
                      <w:trHeight w:val="380"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6"/>
                          <w:ind w:left="104"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加：会计政策变更</w:t>
                        </w:r>
                      </w:p>
                    </w:tc>
                    <w:tc>
                      <w:tcPr>
                        <w:tcW w:w="99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853"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4"/>
                          <w:ind w:left="104"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前期差错更正</w:t>
                        </w:r>
                      </w:p>
                    </w:tc>
                    <w:tc>
                      <w:tcPr>
                        <w:tcW w:w="99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853"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379"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4"/>
                          <w:ind w:left="104"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同一控制下企业合并</w:t>
                        </w:r>
                      </w:p>
                    </w:tc>
                    <w:tc>
                      <w:tcPr>
                        <w:tcW w:w="99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853"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6"/>
                          <w:ind w:left="104"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其他</w:t>
                        </w:r>
                      </w:p>
                    </w:tc>
                    <w:tc>
                      <w:tcPr>
                        <w:tcW w:w="99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853"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670"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
                          <w:ind w:right="0"/>
                          <w:jc w:val="left"/>
                          <w:rPr>
                            <w:rFonts w:ascii="华文细黑" w:hAnsi="华文细黑" w:cs="华文细黑" w:eastAsia="华文细黑" w:hint="default"/>
                            <w:sz w:val="14"/>
                            <w:szCs w:val="14"/>
                          </w:rPr>
                        </w:pPr>
                      </w:p>
                      <w:p>
                        <w:pPr>
                          <w:pStyle w:val="TableParagraph"/>
                          <w:spacing w:line="240" w:lineRule="auto"/>
                          <w:ind w:left="104"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二、本年期初余额</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172" w:right="0"/>
                          <w:jc w:val="left"/>
                          <w:rPr>
                            <w:rFonts w:ascii="华文细黑" w:hAnsi="华文细黑" w:cs="华文细黑" w:eastAsia="华文细黑" w:hint="default"/>
                            <w:sz w:val="15"/>
                            <w:szCs w:val="15"/>
                          </w:rPr>
                        </w:pPr>
                        <w:r>
                          <w:rPr>
                            <w:rFonts w:ascii="华文细黑"/>
                            <w:sz w:val="15"/>
                          </w:rPr>
                          <w:t>1,032,734,</w:t>
                        </w:r>
                      </w:p>
                      <w:p>
                        <w:pPr>
                          <w:pStyle w:val="TableParagraph"/>
                          <w:spacing w:line="240" w:lineRule="auto" w:before="78"/>
                          <w:ind w:left="422" w:right="0"/>
                          <w:jc w:val="left"/>
                          <w:rPr>
                            <w:rFonts w:ascii="华文细黑" w:hAnsi="华文细黑" w:cs="华文细黑" w:eastAsia="华文细黑" w:hint="default"/>
                            <w:sz w:val="15"/>
                            <w:szCs w:val="15"/>
                          </w:rPr>
                        </w:pPr>
                        <w:r>
                          <w:rPr>
                            <w:rFonts w:ascii="华文细黑"/>
                            <w:sz w:val="15"/>
                          </w:rPr>
                          <w:t>839.00</w:t>
                        </w: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172" w:right="0"/>
                          <w:jc w:val="left"/>
                          <w:rPr>
                            <w:rFonts w:ascii="华文细黑" w:hAnsi="华文细黑" w:cs="华文细黑" w:eastAsia="华文细黑" w:hint="default"/>
                            <w:sz w:val="15"/>
                            <w:szCs w:val="15"/>
                          </w:rPr>
                        </w:pPr>
                        <w:r>
                          <w:rPr>
                            <w:rFonts w:ascii="华文细黑"/>
                            <w:sz w:val="15"/>
                          </w:rPr>
                          <w:t>1,828,369,</w:t>
                        </w:r>
                      </w:p>
                      <w:p>
                        <w:pPr>
                          <w:pStyle w:val="TableParagraph"/>
                          <w:spacing w:line="240" w:lineRule="auto" w:before="78"/>
                          <w:ind w:left="422" w:right="0"/>
                          <w:jc w:val="left"/>
                          <w:rPr>
                            <w:rFonts w:ascii="华文细黑" w:hAnsi="华文细黑" w:cs="华文细黑" w:eastAsia="华文细黑" w:hint="default"/>
                            <w:sz w:val="15"/>
                            <w:szCs w:val="15"/>
                          </w:rPr>
                        </w:pPr>
                        <w:r>
                          <w:rPr>
                            <w:rFonts w:ascii="华文细黑"/>
                            <w:sz w:val="15"/>
                          </w:rPr>
                          <w:t>695.69</w:t>
                        </w: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49" w:right="0"/>
                          <w:jc w:val="center"/>
                          <w:rPr>
                            <w:rFonts w:ascii="华文细黑" w:hAnsi="华文细黑" w:cs="华文细黑" w:eastAsia="华文细黑" w:hint="default"/>
                            <w:sz w:val="15"/>
                            <w:szCs w:val="15"/>
                          </w:rPr>
                        </w:pPr>
                        <w:r>
                          <w:rPr>
                            <w:rFonts w:ascii="华文细黑"/>
                            <w:sz w:val="15"/>
                          </w:rPr>
                          <w:t>167,752,</w:t>
                        </w:r>
                      </w:p>
                      <w:p>
                        <w:pPr>
                          <w:pStyle w:val="TableParagraph"/>
                          <w:spacing w:line="240" w:lineRule="auto" w:before="78"/>
                          <w:ind w:left="174" w:right="0"/>
                          <w:jc w:val="center"/>
                          <w:rPr>
                            <w:rFonts w:ascii="华文细黑" w:hAnsi="华文细黑" w:cs="华文细黑" w:eastAsia="华文细黑" w:hint="default"/>
                            <w:sz w:val="15"/>
                            <w:szCs w:val="15"/>
                          </w:rPr>
                        </w:pPr>
                        <w:r>
                          <w:rPr>
                            <w:rFonts w:ascii="华文细黑"/>
                            <w:sz w:val="15"/>
                          </w:rPr>
                          <w:t>408.95</w:t>
                        </w: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50" w:right="0"/>
                          <w:jc w:val="center"/>
                          <w:rPr>
                            <w:rFonts w:ascii="华文细黑" w:hAnsi="华文细黑" w:cs="华文细黑" w:eastAsia="华文细黑" w:hint="default"/>
                            <w:sz w:val="15"/>
                            <w:szCs w:val="15"/>
                          </w:rPr>
                        </w:pPr>
                        <w:r>
                          <w:rPr>
                            <w:rFonts w:ascii="华文细黑"/>
                            <w:sz w:val="15"/>
                          </w:rPr>
                          <w:t>246,843,</w:t>
                        </w:r>
                      </w:p>
                      <w:p>
                        <w:pPr>
                          <w:pStyle w:val="TableParagraph"/>
                          <w:spacing w:line="240" w:lineRule="auto" w:before="78"/>
                          <w:ind w:left="175" w:right="0"/>
                          <w:jc w:val="center"/>
                          <w:rPr>
                            <w:rFonts w:ascii="华文细黑" w:hAnsi="华文细黑" w:cs="华文细黑" w:eastAsia="华文细黑" w:hint="default"/>
                            <w:sz w:val="15"/>
                            <w:szCs w:val="15"/>
                          </w:rPr>
                        </w:pPr>
                        <w:r>
                          <w:rPr>
                            <w:rFonts w:ascii="华文细黑"/>
                            <w:sz w:val="15"/>
                          </w:rPr>
                          <w:t>122.20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155" w:right="0"/>
                          <w:jc w:val="left"/>
                          <w:rPr>
                            <w:rFonts w:ascii="华文细黑" w:hAnsi="华文细黑" w:cs="华文细黑" w:eastAsia="华文细黑" w:hint="default"/>
                            <w:sz w:val="15"/>
                            <w:szCs w:val="15"/>
                          </w:rPr>
                        </w:pPr>
                        <w:r>
                          <w:rPr>
                            <w:rFonts w:ascii="华文细黑"/>
                            <w:sz w:val="15"/>
                          </w:rPr>
                          <w:t>14,732,8</w:t>
                        </w:r>
                      </w:p>
                      <w:p>
                        <w:pPr>
                          <w:pStyle w:val="TableParagraph"/>
                          <w:spacing w:line="240" w:lineRule="auto" w:before="78"/>
                          <w:ind w:left="362" w:right="0"/>
                          <w:jc w:val="left"/>
                          <w:rPr>
                            <w:rFonts w:ascii="华文细黑" w:hAnsi="华文细黑" w:cs="华文细黑" w:eastAsia="华文细黑" w:hint="default"/>
                            <w:sz w:val="15"/>
                            <w:szCs w:val="15"/>
                          </w:rPr>
                        </w:pPr>
                        <w:r>
                          <w:rPr>
                            <w:rFonts w:ascii="华文细黑"/>
                            <w:sz w:val="15"/>
                          </w:rPr>
                          <w:t>77.61</w:t>
                        </w:r>
                      </w:p>
                    </w:tc>
                    <w:tc>
                      <w:tcPr>
                        <w:tcW w:w="8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158" w:right="0"/>
                          <w:jc w:val="left"/>
                          <w:rPr>
                            <w:rFonts w:ascii="华文细黑" w:hAnsi="华文细黑" w:cs="华文细黑" w:eastAsia="华文细黑" w:hint="default"/>
                            <w:sz w:val="15"/>
                            <w:szCs w:val="15"/>
                          </w:rPr>
                        </w:pPr>
                        <w:r>
                          <w:rPr>
                            <w:rFonts w:ascii="华文细黑"/>
                            <w:sz w:val="15"/>
                          </w:rPr>
                          <w:t>2,095,94</w:t>
                        </w:r>
                      </w:p>
                      <w:p>
                        <w:pPr>
                          <w:pStyle w:val="TableParagraph"/>
                          <w:spacing w:line="240" w:lineRule="auto" w:before="78"/>
                          <w:ind w:left="158" w:right="0"/>
                          <w:jc w:val="left"/>
                          <w:rPr>
                            <w:rFonts w:ascii="华文细黑" w:hAnsi="华文细黑" w:cs="华文细黑" w:eastAsia="华文细黑" w:hint="default"/>
                            <w:sz w:val="15"/>
                            <w:szCs w:val="15"/>
                          </w:rPr>
                        </w:pPr>
                        <w:r>
                          <w:rPr>
                            <w:rFonts w:ascii="华文细黑"/>
                            <w:sz w:val="15"/>
                          </w:rPr>
                          <w:t>4,239.39</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51" w:right="0"/>
                          <w:jc w:val="center"/>
                          <w:rPr>
                            <w:rFonts w:ascii="华文细黑" w:hAnsi="华文细黑" w:cs="华文细黑" w:eastAsia="华文细黑" w:hint="default"/>
                            <w:sz w:val="15"/>
                            <w:szCs w:val="15"/>
                          </w:rPr>
                        </w:pPr>
                        <w:r>
                          <w:rPr>
                            <w:rFonts w:ascii="华文细黑"/>
                            <w:sz w:val="15"/>
                          </w:rPr>
                          <w:t>161,035,</w:t>
                        </w:r>
                      </w:p>
                      <w:p>
                        <w:pPr>
                          <w:pStyle w:val="TableParagraph"/>
                          <w:spacing w:line="240" w:lineRule="auto" w:before="78"/>
                          <w:ind w:left="176" w:right="0"/>
                          <w:jc w:val="center"/>
                          <w:rPr>
                            <w:rFonts w:ascii="华文细黑" w:hAnsi="华文细黑" w:cs="华文细黑" w:eastAsia="华文细黑" w:hint="default"/>
                            <w:sz w:val="15"/>
                            <w:szCs w:val="15"/>
                          </w:rPr>
                        </w:pPr>
                        <w:r>
                          <w:rPr>
                            <w:rFonts w:ascii="华文细黑"/>
                            <w:sz w:val="15"/>
                          </w:rPr>
                          <w:t>401.09</w:t>
                        </w:r>
                      </w:p>
                    </w:tc>
                    <w:tc>
                      <w:tcPr>
                        <w:tcW w:w="9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168" w:right="0"/>
                          <w:jc w:val="left"/>
                          <w:rPr>
                            <w:rFonts w:ascii="华文细黑" w:hAnsi="华文细黑" w:cs="华文细黑" w:eastAsia="华文细黑" w:hint="default"/>
                            <w:sz w:val="15"/>
                            <w:szCs w:val="15"/>
                          </w:rPr>
                        </w:pPr>
                        <w:r>
                          <w:rPr>
                            <w:rFonts w:ascii="华文细黑"/>
                            <w:sz w:val="15"/>
                          </w:rPr>
                          <w:t>5,547,412,</w:t>
                        </w:r>
                      </w:p>
                      <w:p>
                        <w:pPr>
                          <w:pStyle w:val="TableParagraph"/>
                          <w:spacing w:line="240" w:lineRule="auto" w:before="78"/>
                          <w:ind w:left="417" w:right="0"/>
                          <w:jc w:val="left"/>
                          <w:rPr>
                            <w:rFonts w:ascii="华文细黑" w:hAnsi="华文细黑" w:cs="华文细黑" w:eastAsia="华文细黑" w:hint="default"/>
                            <w:sz w:val="15"/>
                            <w:szCs w:val="15"/>
                          </w:rPr>
                        </w:pPr>
                        <w:r>
                          <w:rPr>
                            <w:rFonts w:ascii="华文细黑"/>
                            <w:sz w:val="15"/>
                          </w:rPr>
                          <w:t>583.93</w:t>
                        </w:r>
                      </w:p>
                    </w:tc>
                  </w:tr>
                  <w:tr>
                    <w:trPr>
                      <w:trHeight w:val="671"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28" w:lineRule="auto" w:before="56"/>
                          <w:ind w:left="104" w:right="101"/>
                          <w:jc w:val="left"/>
                          <w:rPr>
                            <w:rFonts w:ascii="华文细黑" w:hAnsi="华文细黑" w:cs="华文细黑" w:eastAsia="华文细黑" w:hint="default"/>
                            <w:sz w:val="15"/>
                            <w:szCs w:val="15"/>
                          </w:rPr>
                        </w:pPr>
                        <w:r>
                          <w:rPr>
                            <w:rFonts w:ascii="华文细黑" w:hAnsi="华文细黑" w:cs="华文细黑" w:eastAsia="华文细黑" w:hint="default"/>
                            <w:spacing w:val="-4"/>
                            <w:sz w:val="15"/>
                            <w:szCs w:val="15"/>
                          </w:rPr>
                          <w:t>三、本期增减变动金额（减少</w:t>
                        </w:r>
                        <w:r>
                          <w:rPr>
                            <w:rFonts w:ascii="华文细黑" w:hAnsi="华文细黑" w:cs="华文细黑" w:eastAsia="华文细黑" w:hint="default"/>
                            <w:spacing w:val="-26"/>
                            <w:sz w:val="15"/>
                            <w:szCs w:val="15"/>
                          </w:rPr>
                          <w:t> </w:t>
                        </w:r>
                        <w:r>
                          <w:rPr>
                            <w:rFonts w:ascii="华文细黑" w:hAnsi="华文细黑" w:cs="华文细黑" w:eastAsia="华文细黑" w:hint="default"/>
                            <w:spacing w:val="-26"/>
                            <w:sz w:val="15"/>
                            <w:szCs w:val="15"/>
                          </w:rPr>
                        </w:r>
                        <w:r>
                          <w:rPr>
                            <w:rFonts w:ascii="华文细黑" w:hAnsi="华文细黑" w:cs="华文细黑" w:eastAsia="华文细黑" w:hint="default"/>
                            <w:sz w:val="15"/>
                            <w:szCs w:val="15"/>
                          </w:rPr>
                          <w:t>以“－”号填列）</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6"/>
                          <w:ind w:left="131" w:right="0"/>
                          <w:jc w:val="left"/>
                          <w:rPr>
                            <w:rFonts w:ascii="华文细黑" w:hAnsi="华文细黑" w:cs="华文细黑" w:eastAsia="华文细黑" w:hint="default"/>
                            <w:sz w:val="15"/>
                            <w:szCs w:val="15"/>
                          </w:rPr>
                        </w:pPr>
                        <w:r>
                          <w:rPr>
                            <w:rFonts w:ascii="华文细黑"/>
                            <w:sz w:val="15"/>
                          </w:rPr>
                          <w:t>206,546,96</w:t>
                        </w:r>
                      </w:p>
                      <w:p>
                        <w:pPr>
                          <w:pStyle w:val="TableParagraph"/>
                          <w:spacing w:line="240" w:lineRule="auto" w:before="79"/>
                          <w:ind w:left="589" w:right="0"/>
                          <w:jc w:val="left"/>
                          <w:rPr>
                            <w:rFonts w:ascii="华文细黑" w:hAnsi="华文细黑" w:cs="华文细黑" w:eastAsia="华文细黑" w:hint="default"/>
                            <w:sz w:val="15"/>
                            <w:szCs w:val="15"/>
                          </w:rPr>
                        </w:pPr>
                        <w:r>
                          <w:rPr>
                            <w:rFonts w:ascii="华文细黑"/>
                            <w:sz w:val="15"/>
                          </w:rPr>
                          <w:t>7.00</w:t>
                        </w: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6"/>
                          <w:ind w:left="165" w:right="0"/>
                          <w:jc w:val="left"/>
                          <w:rPr>
                            <w:rFonts w:ascii="华文细黑" w:hAnsi="华文细黑" w:cs="华文细黑" w:eastAsia="华文细黑" w:hint="default"/>
                            <w:sz w:val="15"/>
                            <w:szCs w:val="15"/>
                          </w:rPr>
                        </w:pPr>
                        <w:r>
                          <w:rPr>
                            <w:rFonts w:ascii="华文细黑"/>
                            <w:sz w:val="15"/>
                          </w:rPr>
                          <w:t>-206,546,9</w:t>
                        </w:r>
                      </w:p>
                      <w:p>
                        <w:pPr>
                          <w:pStyle w:val="TableParagraph"/>
                          <w:spacing w:line="240" w:lineRule="auto" w:before="79"/>
                          <w:ind w:left="505" w:right="0"/>
                          <w:jc w:val="left"/>
                          <w:rPr>
                            <w:rFonts w:ascii="华文细黑" w:hAnsi="华文细黑" w:cs="华文细黑" w:eastAsia="华文细黑" w:hint="default"/>
                            <w:sz w:val="15"/>
                            <w:szCs w:val="15"/>
                          </w:rPr>
                        </w:pPr>
                        <w:r>
                          <w:rPr>
                            <w:rFonts w:ascii="华文细黑"/>
                            <w:sz w:val="15"/>
                          </w:rPr>
                          <w:t>67.00</w:t>
                        </w: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6"/>
                          <w:ind w:left="1" w:right="0"/>
                          <w:jc w:val="center"/>
                          <w:rPr>
                            <w:rFonts w:ascii="华文细黑" w:hAnsi="华文细黑" w:cs="华文细黑" w:eastAsia="华文细黑" w:hint="default"/>
                            <w:sz w:val="15"/>
                            <w:szCs w:val="15"/>
                          </w:rPr>
                        </w:pPr>
                        <w:r>
                          <w:rPr>
                            <w:rFonts w:ascii="华文细黑"/>
                            <w:sz w:val="15"/>
                          </w:rPr>
                          <w:t>-165,301,</w:t>
                        </w:r>
                      </w:p>
                      <w:p>
                        <w:pPr>
                          <w:pStyle w:val="TableParagraph"/>
                          <w:spacing w:line="240" w:lineRule="auto" w:before="79"/>
                          <w:ind w:left="174" w:right="0"/>
                          <w:jc w:val="center"/>
                          <w:rPr>
                            <w:rFonts w:ascii="华文细黑" w:hAnsi="华文细黑" w:cs="华文细黑" w:eastAsia="华文细黑" w:hint="default"/>
                            <w:sz w:val="15"/>
                            <w:szCs w:val="15"/>
                          </w:rPr>
                        </w:pPr>
                        <w:r>
                          <w:rPr>
                            <w:rFonts w:ascii="华文细黑"/>
                            <w:sz w:val="15"/>
                          </w:rPr>
                          <w:t>322.98</w:t>
                        </w: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6"/>
                          <w:ind w:left="156" w:right="0"/>
                          <w:jc w:val="left"/>
                          <w:rPr>
                            <w:rFonts w:ascii="华文细黑" w:hAnsi="华文细黑" w:cs="华文细黑" w:eastAsia="华文细黑" w:hint="default"/>
                            <w:sz w:val="15"/>
                            <w:szCs w:val="15"/>
                          </w:rPr>
                        </w:pPr>
                        <w:r>
                          <w:rPr>
                            <w:rFonts w:ascii="华文细黑"/>
                            <w:sz w:val="15"/>
                          </w:rPr>
                          <w:t>17,881,0</w:t>
                        </w:r>
                      </w:p>
                      <w:p>
                        <w:pPr>
                          <w:pStyle w:val="TableParagraph"/>
                          <w:spacing w:line="240" w:lineRule="auto" w:before="79"/>
                          <w:ind w:left="363" w:right="0"/>
                          <w:jc w:val="left"/>
                          <w:rPr>
                            <w:rFonts w:ascii="华文细黑" w:hAnsi="华文细黑" w:cs="华文细黑" w:eastAsia="华文细黑" w:hint="default"/>
                            <w:sz w:val="15"/>
                            <w:szCs w:val="15"/>
                          </w:rPr>
                        </w:pPr>
                        <w:r>
                          <w:rPr>
                            <w:rFonts w:ascii="华文细黑"/>
                            <w:sz w:val="15"/>
                          </w:rPr>
                          <w:t>62.23</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6"/>
                          <w:ind w:left="155" w:right="0"/>
                          <w:jc w:val="left"/>
                          <w:rPr>
                            <w:rFonts w:ascii="华文细黑" w:hAnsi="华文细黑" w:cs="华文细黑" w:eastAsia="华文细黑" w:hint="default"/>
                            <w:sz w:val="15"/>
                            <w:szCs w:val="15"/>
                          </w:rPr>
                        </w:pPr>
                        <w:r>
                          <w:rPr>
                            <w:rFonts w:ascii="华文细黑"/>
                            <w:sz w:val="15"/>
                          </w:rPr>
                          <w:t>2,049,26</w:t>
                        </w:r>
                      </w:p>
                      <w:p>
                        <w:pPr>
                          <w:pStyle w:val="TableParagraph"/>
                          <w:spacing w:line="240" w:lineRule="auto" w:before="79"/>
                          <w:ind w:left="446" w:right="0"/>
                          <w:jc w:val="left"/>
                          <w:rPr>
                            <w:rFonts w:ascii="华文细黑" w:hAnsi="华文细黑" w:cs="华文细黑" w:eastAsia="华文细黑" w:hint="default"/>
                            <w:sz w:val="15"/>
                            <w:szCs w:val="15"/>
                          </w:rPr>
                        </w:pPr>
                        <w:r>
                          <w:rPr>
                            <w:rFonts w:ascii="华文细黑"/>
                            <w:sz w:val="15"/>
                          </w:rPr>
                          <w:t>6.35</w:t>
                        </w:r>
                      </w:p>
                    </w:tc>
                    <w:tc>
                      <w:tcPr>
                        <w:tcW w:w="8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6"/>
                          <w:ind w:left="5" w:right="0"/>
                          <w:jc w:val="center"/>
                          <w:rPr>
                            <w:rFonts w:ascii="华文细黑" w:hAnsi="华文细黑" w:cs="华文细黑" w:eastAsia="华文细黑" w:hint="default"/>
                            <w:sz w:val="15"/>
                            <w:szCs w:val="15"/>
                          </w:rPr>
                        </w:pPr>
                        <w:r>
                          <w:rPr>
                            <w:rFonts w:ascii="华文细黑"/>
                            <w:sz w:val="15"/>
                          </w:rPr>
                          <w:t>-319,197,</w:t>
                        </w:r>
                      </w:p>
                      <w:p>
                        <w:pPr>
                          <w:pStyle w:val="TableParagraph"/>
                          <w:spacing w:line="240" w:lineRule="auto" w:before="79"/>
                          <w:ind w:left="179" w:right="0"/>
                          <w:jc w:val="center"/>
                          <w:rPr>
                            <w:rFonts w:ascii="华文细黑" w:hAnsi="华文细黑" w:cs="华文细黑" w:eastAsia="华文细黑" w:hint="default"/>
                            <w:sz w:val="15"/>
                            <w:szCs w:val="15"/>
                          </w:rPr>
                        </w:pPr>
                        <w:r>
                          <w:rPr>
                            <w:rFonts w:ascii="华文细黑"/>
                            <w:sz w:val="15"/>
                          </w:rPr>
                          <w:t>379.37</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6"/>
                          <w:ind w:left="155" w:right="0"/>
                          <w:jc w:val="left"/>
                          <w:rPr>
                            <w:rFonts w:ascii="华文细黑" w:hAnsi="华文细黑" w:cs="华文细黑" w:eastAsia="华文细黑" w:hint="default"/>
                            <w:sz w:val="15"/>
                            <w:szCs w:val="15"/>
                          </w:rPr>
                        </w:pPr>
                        <w:r>
                          <w:rPr>
                            <w:rFonts w:ascii="华文细黑"/>
                            <w:sz w:val="15"/>
                          </w:rPr>
                          <w:t>26,236,7</w:t>
                        </w:r>
                      </w:p>
                      <w:p>
                        <w:pPr>
                          <w:pStyle w:val="TableParagraph"/>
                          <w:spacing w:line="240" w:lineRule="auto" w:before="79"/>
                          <w:ind w:left="363" w:right="0"/>
                          <w:jc w:val="left"/>
                          <w:rPr>
                            <w:rFonts w:ascii="华文细黑" w:hAnsi="华文细黑" w:cs="华文细黑" w:eastAsia="华文细黑" w:hint="default"/>
                            <w:sz w:val="15"/>
                            <w:szCs w:val="15"/>
                          </w:rPr>
                        </w:pPr>
                        <w:r>
                          <w:rPr>
                            <w:rFonts w:ascii="华文细黑"/>
                            <w:sz w:val="15"/>
                          </w:rPr>
                          <w:t>36.60</w:t>
                        </w:r>
                      </w:p>
                    </w:tc>
                    <w:tc>
                      <w:tcPr>
                        <w:tcW w:w="9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6"/>
                          <w:ind w:left="160" w:right="0"/>
                          <w:jc w:val="left"/>
                          <w:rPr>
                            <w:rFonts w:ascii="华文细黑" w:hAnsi="华文细黑" w:cs="华文细黑" w:eastAsia="华文细黑" w:hint="default"/>
                            <w:sz w:val="15"/>
                            <w:szCs w:val="15"/>
                          </w:rPr>
                        </w:pPr>
                        <w:r>
                          <w:rPr>
                            <w:rFonts w:ascii="华文细黑"/>
                            <w:sz w:val="15"/>
                          </w:rPr>
                          <w:t>-438,331,6</w:t>
                        </w:r>
                      </w:p>
                      <w:p>
                        <w:pPr>
                          <w:pStyle w:val="TableParagraph"/>
                          <w:spacing w:line="240" w:lineRule="auto" w:before="79"/>
                          <w:ind w:left="500" w:right="0"/>
                          <w:jc w:val="left"/>
                          <w:rPr>
                            <w:rFonts w:ascii="华文细黑" w:hAnsi="华文细黑" w:cs="华文细黑" w:eastAsia="华文细黑" w:hint="default"/>
                            <w:sz w:val="15"/>
                            <w:szCs w:val="15"/>
                          </w:rPr>
                        </w:pPr>
                        <w:r>
                          <w:rPr>
                            <w:rFonts w:ascii="华文细黑"/>
                            <w:sz w:val="15"/>
                          </w:rPr>
                          <w:t>37.17</w:t>
                        </w:r>
                      </w:p>
                    </w:tc>
                  </w:tr>
                  <w:tr>
                    <w:trPr>
                      <w:trHeight w:val="670"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
                          <w:ind w:right="0"/>
                          <w:jc w:val="left"/>
                          <w:rPr>
                            <w:rFonts w:ascii="华文细黑" w:hAnsi="华文细黑" w:cs="华文细黑" w:eastAsia="华文细黑" w:hint="default"/>
                            <w:sz w:val="14"/>
                            <w:szCs w:val="14"/>
                          </w:rPr>
                        </w:pPr>
                      </w:p>
                      <w:p>
                        <w:pPr>
                          <w:pStyle w:val="TableParagraph"/>
                          <w:spacing w:line="240" w:lineRule="auto"/>
                          <w:ind w:left="104"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（一）综合收益总额</w:t>
                        </w:r>
                      </w:p>
                    </w:tc>
                    <w:tc>
                      <w:tcPr>
                        <w:tcW w:w="99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1" w:right="0"/>
                          <w:jc w:val="center"/>
                          <w:rPr>
                            <w:rFonts w:ascii="华文细黑" w:hAnsi="华文细黑" w:cs="华文细黑" w:eastAsia="华文细黑" w:hint="default"/>
                            <w:sz w:val="15"/>
                            <w:szCs w:val="15"/>
                          </w:rPr>
                        </w:pPr>
                        <w:r>
                          <w:rPr>
                            <w:rFonts w:ascii="华文细黑"/>
                            <w:sz w:val="15"/>
                          </w:rPr>
                          <w:t>-165,301,</w:t>
                        </w:r>
                      </w:p>
                      <w:p>
                        <w:pPr>
                          <w:pStyle w:val="TableParagraph"/>
                          <w:spacing w:line="240" w:lineRule="auto" w:before="78"/>
                          <w:ind w:left="174" w:right="0"/>
                          <w:jc w:val="center"/>
                          <w:rPr>
                            <w:rFonts w:ascii="华文细黑" w:hAnsi="华文细黑" w:cs="华文细黑" w:eastAsia="华文细黑" w:hint="default"/>
                            <w:sz w:val="15"/>
                            <w:szCs w:val="15"/>
                          </w:rPr>
                        </w:pPr>
                        <w:r>
                          <w:rPr>
                            <w:rFonts w:ascii="华文细黑"/>
                            <w:sz w:val="15"/>
                          </w:rPr>
                          <w:t>322.98</w:t>
                        </w: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8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109" w:right="0"/>
                          <w:jc w:val="left"/>
                          <w:rPr>
                            <w:rFonts w:ascii="华文细黑" w:hAnsi="华文细黑" w:cs="华文细黑" w:eastAsia="华文细黑" w:hint="default"/>
                            <w:sz w:val="15"/>
                            <w:szCs w:val="15"/>
                          </w:rPr>
                        </w:pPr>
                        <w:r>
                          <w:rPr>
                            <w:rFonts w:ascii="华文细黑"/>
                            <w:sz w:val="15"/>
                          </w:rPr>
                          <w:t>-92,720,0</w:t>
                        </w:r>
                      </w:p>
                      <w:p>
                        <w:pPr>
                          <w:pStyle w:val="TableParagraph"/>
                          <w:spacing w:line="240" w:lineRule="auto" w:before="78"/>
                          <w:ind w:left="365" w:right="0"/>
                          <w:jc w:val="left"/>
                          <w:rPr>
                            <w:rFonts w:ascii="华文细黑" w:hAnsi="华文细黑" w:cs="华文细黑" w:eastAsia="华文细黑" w:hint="default"/>
                            <w:sz w:val="15"/>
                            <w:szCs w:val="15"/>
                          </w:rPr>
                        </w:pPr>
                        <w:r>
                          <w:rPr>
                            <w:rFonts w:ascii="华文细黑"/>
                            <w:sz w:val="15"/>
                          </w:rPr>
                          <w:t>82.99</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155" w:right="0"/>
                          <w:jc w:val="left"/>
                          <w:rPr>
                            <w:rFonts w:ascii="华文细黑" w:hAnsi="华文细黑" w:cs="华文细黑" w:eastAsia="华文细黑" w:hint="default"/>
                            <w:sz w:val="15"/>
                            <w:szCs w:val="15"/>
                          </w:rPr>
                        </w:pPr>
                        <w:r>
                          <w:rPr>
                            <w:rFonts w:ascii="华文细黑"/>
                            <w:sz w:val="15"/>
                          </w:rPr>
                          <w:t>22,928,9</w:t>
                        </w:r>
                      </w:p>
                      <w:p>
                        <w:pPr>
                          <w:pStyle w:val="TableParagraph"/>
                          <w:spacing w:line="240" w:lineRule="auto" w:before="78"/>
                          <w:ind w:left="363" w:right="0"/>
                          <w:jc w:val="left"/>
                          <w:rPr>
                            <w:rFonts w:ascii="华文细黑" w:hAnsi="华文细黑" w:cs="华文细黑" w:eastAsia="华文细黑" w:hint="default"/>
                            <w:sz w:val="15"/>
                            <w:szCs w:val="15"/>
                          </w:rPr>
                        </w:pPr>
                        <w:r>
                          <w:rPr>
                            <w:rFonts w:ascii="华文细黑"/>
                            <w:sz w:val="15"/>
                          </w:rPr>
                          <w:t>71.45</w:t>
                        </w:r>
                      </w:p>
                    </w:tc>
                    <w:tc>
                      <w:tcPr>
                        <w:tcW w:w="9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160" w:right="0"/>
                          <w:jc w:val="left"/>
                          <w:rPr>
                            <w:rFonts w:ascii="华文细黑" w:hAnsi="华文细黑" w:cs="华文细黑" w:eastAsia="华文细黑" w:hint="default"/>
                            <w:sz w:val="15"/>
                            <w:szCs w:val="15"/>
                          </w:rPr>
                        </w:pPr>
                        <w:r>
                          <w:rPr>
                            <w:rFonts w:ascii="华文细黑"/>
                            <w:sz w:val="15"/>
                          </w:rPr>
                          <w:t>-235,092,4</w:t>
                        </w:r>
                      </w:p>
                      <w:p>
                        <w:pPr>
                          <w:pStyle w:val="TableParagraph"/>
                          <w:spacing w:line="240" w:lineRule="auto" w:before="78"/>
                          <w:ind w:left="500" w:right="0"/>
                          <w:jc w:val="left"/>
                          <w:rPr>
                            <w:rFonts w:ascii="华文细黑" w:hAnsi="华文细黑" w:cs="华文细黑" w:eastAsia="华文细黑" w:hint="default"/>
                            <w:sz w:val="15"/>
                            <w:szCs w:val="15"/>
                          </w:rPr>
                        </w:pPr>
                        <w:r>
                          <w:rPr>
                            <w:rFonts w:ascii="华文细黑"/>
                            <w:sz w:val="15"/>
                          </w:rPr>
                          <w:t>34.52</w:t>
                        </w:r>
                      </w:p>
                    </w:tc>
                  </w:tr>
                  <w:tr>
                    <w:trPr>
                      <w:trHeight w:val="670"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
                          <w:ind w:right="0"/>
                          <w:jc w:val="left"/>
                          <w:rPr>
                            <w:rFonts w:ascii="华文细黑" w:hAnsi="华文细黑" w:cs="华文细黑" w:eastAsia="华文细黑" w:hint="default"/>
                            <w:sz w:val="14"/>
                            <w:szCs w:val="14"/>
                          </w:rPr>
                        </w:pPr>
                      </w:p>
                      <w:p>
                        <w:pPr>
                          <w:pStyle w:val="TableParagraph"/>
                          <w:spacing w:line="240" w:lineRule="auto"/>
                          <w:ind w:left="104" w:right="0"/>
                          <w:jc w:val="left"/>
                          <w:rPr>
                            <w:rFonts w:ascii="华文细黑" w:hAnsi="华文细黑" w:cs="华文细黑" w:eastAsia="华文细黑" w:hint="default"/>
                            <w:sz w:val="15"/>
                            <w:szCs w:val="15"/>
                          </w:rPr>
                        </w:pPr>
                        <w:r>
                          <w:rPr>
                            <w:rFonts w:ascii="华文细黑" w:hAnsi="华文细黑" w:cs="华文细黑" w:eastAsia="华文细黑" w:hint="default"/>
                            <w:spacing w:val="-3"/>
                            <w:sz w:val="15"/>
                            <w:szCs w:val="15"/>
                          </w:rPr>
                          <w:t>（二）所有者投入和减少资本</w:t>
                        </w:r>
                      </w:p>
                    </w:tc>
                    <w:tc>
                      <w:tcPr>
                        <w:tcW w:w="99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853"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155" w:right="0"/>
                          <w:jc w:val="left"/>
                          <w:rPr>
                            <w:rFonts w:ascii="华文细黑" w:hAnsi="华文细黑" w:cs="华文细黑" w:eastAsia="华文细黑" w:hint="default"/>
                            <w:sz w:val="15"/>
                            <w:szCs w:val="15"/>
                          </w:rPr>
                        </w:pPr>
                        <w:r>
                          <w:rPr>
                            <w:rFonts w:ascii="华文细黑"/>
                            <w:sz w:val="15"/>
                          </w:rPr>
                          <w:t>3,307,76</w:t>
                        </w:r>
                      </w:p>
                      <w:p>
                        <w:pPr>
                          <w:pStyle w:val="TableParagraph"/>
                          <w:spacing w:line="240" w:lineRule="auto" w:before="78"/>
                          <w:ind w:left="447" w:right="0"/>
                          <w:jc w:val="left"/>
                          <w:rPr>
                            <w:rFonts w:ascii="华文细黑" w:hAnsi="华文细黑" w:cs="华文细黑" w:eastAsia="华文细黑" w:hint="default"/>
                            <w:sz w:val="15"/>
                            <w:szCs w:val="15"/>
                          </w:rPr>
                        </w:pPr>
                        <w:r>
                          <w:rPr>
                            <w:rFonts w:ascii="华文细黑"/>
                            <w:sz w:val="15"/>
                          </w:rPr>
                          <w:t>5.15</w:t>
                        </w:r>
                      </w:p>
                    </w:tc>
                    <w:tc>
                      <w:tcPr>
                        <w:tcW w:w="9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right="102"/>
                          <w:jc w:val="right"/>
                          <w:rPr>
                            <w:rFonts w:ascii="华文细黑" w:hAnsi="华文细黑" w:cs="华文细黑" w:eastAsia="华文细黑" w:hint="default"/>
                            <w:sz w:val="15"/>
                            <w:szCs w:val="15"/>
                          </w:rPr>
                        </w:pPr>
                        <w:r>
                          <w:rPr>
                            <w:rFonts w:ascii="华文细黑"/>
                            <w:spacing w:val="-1"/>
                            <w:sz w:val="15"/>
                          </w:rPr>
                          <w:t>3,307,765.</w:t>
                        </w:r>
                      </w:p>
                      <w:p>
                        <w:pPr>
                          <w:pStyle w:val="TableParagraph"/>
                          <w:spacing w:line="240" w:lineRule="auto" w:before="78"/>
                          <w:ind w:right="101"/>
                          <w:jc w:val="right"/>
                          <w:rPr>
                            <w:rFonts w:ascii="华文细黑" w:hAnsi="华文细黑" w:cs="华文细黑" w:eastAsia="华文细黑" w:hint="default"/>
                            <w:sz w:val="15"/>
                            <w:szCs w:val="15"/>
                          </w:rPr>
                        </w:pPr>
                        <w:r>
                          <w:rPr>
                            <w:rFonts w:ascii="华文细黑"/>
                            <w:spacing w:val="-1"/>
                            <w:w w:val="95"/>
                            <w:sz w:val="15"/>
                          </w:rPr>
                          <w:t>15</w:t>
                        </w:r>
                        <w:r>
                          <w:rPr>
                            <w:rFonts w:ascii="华文细黑"/>
                            <w:w w:val="95"/>
                            <w:sz w:val="15"/>
                          </w:rPr>
                        </w:r>
                      </w:p>
                    </w:tc>
                  </w:tr>
                  <w:tr>
                    <w:trPr>
                      <w:trHeight w:val="671"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
                          <w:ind w:right="0"/>
                          <w:jc w:val="left"/>
                          <w:rPr>
                            <w:rFonts w:ascii="华文细黑" w:hAnsi="华文细黑" w:cs="华文细黑" w:eastAsia="华文细黑" w:hint="default"/>
                            <w:sz w:val="14"/>
                            <w:szCs w:val="14"/>
                          </w:rPr>
                        </w:pPr>
                      </w:p>
                      <w:p>
                        <w:pPr>
                          <w:pStyle w:val="TableParagraph"/>
                          <w:spacing w:line="240" w:lineRule="auto"/>
                          <w:ind w:left="104"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1</w:t>
                        </w:r>
                        <w:r>
                          <w:rPr>
                            <w:rFonts w:ascii="华文细黑" w:hAnsi="华文细黑" w:cs="华文细黑" w:eastAsia="华文细黑" w:hint="default"/>
                            <w:sz w:val="15"/>
                            <w:szCs w:val="15"/>
                          </w:rPr>
                          <w:t>．所有者投入的普通股</w:t>
                        </w:r>
                      </w:p>
                    </w:tc>
                    <w:tc>
                      <w:tcPr>
                        <w:tcW w:w="99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853"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6"/>
                          <w:ind w:left="155" w:right="0"/>
                          <w:jc w:val="left"/>
                          <w:rPr>
                            <w:rFonts w:ascii="华文细黑" w:hAnsi="华文细黑" w:cs="华文细黑" w:eastAsia="华文细黑" w:hint="default"/>
                            <w:sz w:val="15"/>
                            <w:szCs w:val="15"/>
                          </w:rPr>
                        </w:pPr>
                        <w:r>
                          <w:rPr>
                            <w:rFonts w:ascii="华文细黑"/>
                            <w:sz w:val="15"/>
                          </w:rPr>
                          <w:t>3,307,76</w:t>
                        </w:r>
                      </w:p>
                      <w:p>
                        <w:pPr>
                          <w:pStyle w:val="TableParagraph"/>
                          <w:spacing w:line="240" w:lineRule="auto" w:before="78"/>
                          <w:ind w:left="447" w:right="0"/>
                          <w:jc w:val="left"/>
                          <w:rPr>
                            <w:rFonts w:ascii="华文细黑" w:hAnsi="华文细黑" w:cs="华文细黑" w:eastAsia="华文细黑" w:hint="default"/>
                            <w:sz w:val="15"/>
                            <w:szCs w:val="15"/>
                          </w:rPr>
                        </w:pPr>
                        <w:r>
                          <w:rPr>
                            <w:rFonts w:ascii="华文细黑"/>
                            <w:sz w:val="15"/>
                          </w:rPr>
                          <w:t>5.15</w:t>
                        </w:r>
                      </w:p>
                    </w:tc>
                    <w:tc>
                      <w:tcPr>
                        <w:tcW w:w="9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6"/>
                          <w:ind w:right="102"/>
                          <w:jc w:val="right"/>
                          <w:rPr>
                            <w:rFonts w:ascii="华文细黑" w:hAnsi="华文细黑" w:cs="华文细黑" w:eastAsia="华文细黑" w:hint="default"/>
                            <w:sz w:val="15"/>
                            <w:szCs w:val="15"/>
                          </w:rPr>
                        </w:pPr>
                        <w:r>
                          <w:rPr>
                            <w:rFonts w:ascii="华文细黑"/>
                            <w:spacing w:val="-1"/>
                            <w:sz w:val="15"/>
                          </w:rPr>
                          <w:t>3,307,765.</w:t>
                        </w:r>
                      </w:p>
                      <w:p>
                        <w:pPr>
                          <w:pStyle w:val="TableParagraph"/>
                          <w:spacing w:line="240" w:lineRule="auto" w:before="78"/>
                          <w:ind w:right="101"/>
                          <w:jc w:val="right"/>
                          <w:rPr>
                            <w:rFonts w:ascii="华文细黑" w:hAnsi="华文细黑" w:cs="华文细黑" w:eastAsia="华文细黑" w:hint="default"/>
                            <w:sz w:val="15"/>
                            <w:szCs w:val="15"/>
                          </w:rPr>
                        </w:pPr>
                        <w:r>
                          <w:rPr>
                            <w:rFonts w:ascii="华文细黑"/>
                            <w:spacing w:val="-1"/>
                            <w:w w:val="95"/>
                            <w:sz w:val="15"/>
                          </w:rPr>
                          <w:t>15</w:t>
                        </w:r>
                        <w:r>
                          <w:rPr>
                            <w:rFonts w:ascii="华文细黑"/>
                            <w:w w:val="95"/>
                            <w:sz w:val="15"/>
                          </w:rPr>
                        </w:r>
                      </w:p>
                    </w:tc>
                  </w:tr>
                  <w:tr>
                    <w:trPr>
                      <w:trHeight w:val="670"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28" w:lineRule="auto" w:before="54"/>
                          <w:ind w:left="104" w:right="131"/>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2</w:t>
                        </w:r>
                        <w:r>
                          <w:rPr>
                            <w:rFonts w:ascii="华文细黑" w:hAnsi="华文细黑" w:cs="华文细黑" w:eastAsia="华文细黑" w:hint="default"/>
                            <w:sz w:val="15"/>
                            <w:szCs w:val="15"/>
                          </w:rPr>
                          <w:t>．其他权益工具持有者投入 资本</w:t>
                        </w:r>
                      </w:p>
                    </w:tc>
                    <w:tc>
                      <w:tcPr>
                        <w:tcW w:w="99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853"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670"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28" w:lineRule="auto" w:before="54"/>
                          <w:ind w:left="104" w:right="13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3</w:t>
                        </w:r>
                        <w:r>
                          <w:rPr>
                            <w:rFonts w:ascii="华文细黑" w:hAnsi="华文细黑" w:cs="华文细黑" w:eastAsia="华文细黑" w:hint="default"/>
                            <w:sz w:val="15"/>
                            <w:szCs w:val="15"/>
                          </w:rPr>
                          <w:t>．股份支付计入所有者权益 的金额</w:t>
                        </w:r>
                      </w:p>
                    </w:tc>
                    <w:tc>
                      <w:tcPr>
                        <w:tcW w:w="99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853"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6"/>
                          <w:ind w:left="104"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4</w:t>
                        </w:r>
                        <w:r>
                          <w:rPr>
                            <w:rFonts w:ascii="华文细黑" w:hAnsi="华文细黑" w:cs="华文细黑" w:eastAsia="华文细黑" w:hint="default"/>
                            <w:sz w:val="15"/>
                            <w:szCs w:val="15"/>
                          </w:rPr>
                          <w:t>．其他</w:t>
                        </w:r>
                      </w:p>
                    </w:tc>
                    <w:tc>
                      <w:tcPr>
                        <w:tcW w:w="99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853"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670"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
                          <w:ind w:right="0"/>
                          <w:jc w:val="left"/>
                          <w:rPr>
                            <w:rFonts w:ascii="华文细黑" w:hAnsi="华文细黑" w:cs="华文细黑" w:eastAsia="华文细黑" w:hint="default"/>
                            <w:sz w:val="14"/>
                            <w:szCs w:val="14"/>
                          </w:rPr>
                        </w:pPr>
                      </w:p>
                      <w:p>
                        <w:pPr>
                          <w:pStyle w:val="TableParagraph"/>
                          <w:spacing w:line="240" w:lineRule="auto"/>
                          <w:ind w:left="104"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（三）利润分配</w:t>
                        </w:r>
                      </w:p>
                    </w:tc>
                    <w:tc>
                      <w:tcPr>
                        <w:tcW w:w="99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156" w:right="0"/>
                          <w:jc w:val="left"/>
                          <w:rPr>
                            <w:rFonts w:ascii="华文细黑" w:hAnsi="华文细黑" w:cs="华文细黑" w:eastAsia="华文细黑" w:hint="default"/>
                            <w:sz w:val="15"/>
                            <w:szCs w:val="15"/>
                          </w:rPr>
                        </w:pPr>
                        <w:r>
                          <w:rPr>
                            <w:rFonts w:ascii="华文细黑"/>
                            <w:sz w:val="15"/>
                          </w:rPr>
                          <w:t>17,881,0</w:t>
                        </w:r>
                      </w:p>
                      <w:p>
                        <w:pPr>
                          <w:pStyle w:val="TableParagraph"/>
                          <w:spacing w:line="240" w:lineRule="auto" w:before="78"/>
                          <w:ind w:left="363" w:right="0"/>
                          <w:jc w:val="left"/>
                          <w:rPr>
                            <w:rFonts w:ascii="华文细黑" w:hAnsi="华文细黑" w:cs="华文细黑" w:eastAsia="华文细黑" w:hint="default"/>
                            <w:sz w:val="15"/>
                            <w:szCs w:val="15"/>
                          </w:rPr>
                        </w:pPr>
                        <w:r>
                          <w:rPr>
                            <w:rFonts w:ascii="华文细黑"/>
                            <w:sz w:val="15"/>
                          </w:rPr>
                          <w:t>62.23</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155" w:right="0"/>
                          <w:jc w:val="left"/>
                          <w:rPr>
                            <w:rFonts w:ascii="华文细黑" w:hAnsi="华文细黑" w:cs="华文细黑" w:eastAsia="华文细黑" w:hint="default"/>
                            <w:sz w:val="15"/>
                            <w:szCs w:val="15"/>
                          </w:rPr>
                        </w:pPr>
                        <w:r>
                          <w:rPr>
                            <w:rFonts w:ascii="华文细黑"/>
                            <w:sz w:val="15"/>
                          </w:rPr>
                          <w:t>2,049,26</w:t>
                        </w:r>
                      </w:p>
                      <w:p>
                        <w:pPr>
                          <w:pStyle w:val="TableParagraph"/>
                          <w:spacing w:line="240" w:lineRule="auto" w:before="78"/>
                          <w:ind w:left="446" w:right="0"/>
                          <w:jc w:val="left"/>
                          <w:rPr>
                            <w:rFonts w:ascii="华文细黑" w:hAnsi="华文细黑" w:cs="华文细黑" w:eastAsia="华文细黑" w:hint="default"/>
                            <w:sz w:val="15"/>
                            <w:szCs w:val="15"/>
                          </w:rPr>
                        </w:pPr>
                        <w:r>
                          <w:rPr>
                            <w:rFonts w:ascii="华文细黑"/>
                            <w:sz w:val="15"/>
                          </w:rPr>
                          <w:t>6.35</w:t>
                        </w:r>
                      </w:p>
                    </w:tc>
                    <w:tc>
                      <w:tcPr>
                        <w:tcW w:w="8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5" w:right="0"/>
                          <w:jc w:val="center"/>
                          <w:rPr>
                            <w:rFonts w:ascii="华文细黑" w:hAnsi="华文细黑" w:cs="华文细黑" w:eastAsia="华文细黑" w:hint="default"/>
                            <w:sz w:val="15"/>
                            <w:szCs w:val="15"/>
                          </w:rPr>
                        </w:pPr>
                        <w:r>
                          <w:rPr>
                            <w:rFonts w:ascii="华文细黑"/>
                            <w:sz w:val="15"/>
                          </w:rPr>
                          <w:t>-226,477,</w:t>
                        </w:r>
                      </w:p>
                      <w:p>
                        <w:pPr>
                          <w:pStyle w:val="TableParagraph"/>
                          <w:spacing w:line="240" w:lineRule="auto" w:before="78"/>
                          <w:ind w:left="179" w:right="0"/>
                          <w:jc w:val="center"/>
                          <w:rPr>
                            <w:rFonts w:ascii="华文细黑" w:hAnsi="华文细黑" w:cs="华文细黑" w:eastAsia="华文细黑" w:hint="default"/>
                            <w:sz w:val="15"/>
                            <w:szCs w:val="15"/>
                          </w:rPr>
                        </w:pPr>
                        <w:r>
                          <w:rPr>
                            <w:rFonts w:ascii="华文细黑"/>
                            <w:sz w:val="15"/>
                          </w:rPr>
                          <w:t>296.38</w:t>
                        </w:r>
                      </w:p>
                    </w:tc>
                    <w:tc>
                      <w:tcPr>
                        <w:tcW w:w="851"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160" w:right="0"/>
                          <w:jc w:val="left"/>
                          <w:rPr>
                            <w:rFonts w:ascii="华文细黑" w:hAnsi="华文细黑" w:cs="华文细黑" w:eastAsia="华文细黑" w:hint="default"/>
                            <w:sz w:val="15"/>
                            <w:szCs w:val="15"/>
                          </w:rPr>
                        </w:pPr>
                        <w:r>
                          <w:rPr>
                            <w:rFonts w:ascii="华文细黑"/>
                            <w:sz w:val="15"/>
                          </w:rPr>
                          <w:t>-206,546,9</w:t>
                        </w:r>
                      </w:p>
                      <w:p>
                        <w:pPr>
                          <w:pStyle w:val="TableParagraph"/>
                          <w:spacing w:line="240" w:lineRule="auto" w:before="78"/>
                          <w:ind w:left="500" w:right="0"/>
                          <w:jc w:val="left"/>
                          <w:rPr>
                            <w:rFonts w:ascii="华文细黑" w:hAnsi="华文细黑" w:cs="华文细黑" w:eastAsia="华文细黑" w:hint="default"/>
                            <w:sz w:val="15"/>
                            <w:szCs w:val="15"/>
                          </w:rPr>
                        </w:pPr>
                        <w:r>
                          <w:rPr>
                            <w:rFonts w:ascii="华文细黑"/>
                            <w:sz w:val="15"/>
                          </w:rPr>
                          <w:t>67.80</w:t>
                        </w:r>
                      </w:p>
                    </w:tc>
                  </w:tr>
                  <w:tr>
                    <w:trPr>
                      <w:trHeight w:val="671"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
                          <w:ind w:right="0"/>
                          <w:jc w:val="left"/>
                          <w:rPr>
                            <w:rFonts w:ascii="华文细黑" w:hAnsi="华文细黑" w:cs="华文细黑" w:eastAsia="华文细黑" w:hint="default"/>
                            <w:sz w:val="14"/>
                            <w:szCs w:val="14"/>
                          </w:rPr>
                        </w:pPr>
                      </w:p>
                      <w:p>
                        <w:pPr>
                          <w:pStyle w:val="TableParagraph"/>
                          <w:spacing w:line="240" w:lineRule="auto"/>
                          <w:ind w:left="104"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1</w:t>
                        </w:r>
                        <w:r>
                          <w:rPr>
                            <w:rFonts w:ascii="华文细黑" w:hAnsi="华文细黑" w:cs="华文细黑" w:eastAsia="华文细黑" w:hint="default"/>
                            <w:sz w:val="15"/>
                            <w:szCs w:val="15"/>
                          </w:rPr>
                          <w:t>．提取盈余公积</w:t>
                        </w:r>
                      </w:p>
                    </w:tc>
                    <w:tc>
                      <w:tcPr>
                        <w:tcW w:w="99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6"/>
                          <w:ind w:left="156" w:right="0"/>
                          <w:jc w:val="left"/>
                          <w:rPr>
                            <w:rFonts w:ascii="华文细黑" w:hAnsi="华文细黑" w:cs="华文细黑" w:eastAsia="华文细黑" w:hint="default"/>
                            <w:sz w:val="15"/>
                            <w:szCs w:val="15"/>
                          </w:rPr>
                        </w:pPr>
                        <w:r>
                          <w:rPr>
                            <w:rFonts w:ascii="华文细黑"/>
                            <w:sz w:val="15"/>
                          </w:rPr>
                          <w:t>17,881,0</w:t>
                        </w:r>
                      </w:p>
                      <w:p>
                        <w:pPr>
                          <w:pStyle w:val="TableParagraph"/>
                          <w:spacing w:line="240" w:lineRule="auto" w:before="78"/>
                          <w:ind w:left="363" w:right="0"/>
                          <w:jc w:val="left"/>
                          <w:rPr>
                            <w:rFonts w:ascii="华文细黑" w:hAnsi="华文细黑" w:cs="华文细黑" w:eastAsia="华文细黑" w:hint="default"/>
                            <w:sz w:val="15"/>
                            <w:szCs w:val="15"/>
                          </w:rPr>
                        </w:pPr>
                        <w:r>
                          <w:rPr>
                            <w:rFonts w:ascii="华文细黑"/>
                            <w:sz w:val="15"/>
                          </w:rPr>
                          <w:t>62.23</w:t>
                        </w:r>
                      </w:p>
                    </w:tc>
                    <w:tc>
                      <w:tcPr>
                        <w:tcW w:w="851" w:type="dxa"/>
                        <w:tcBorders>
                          <w:top w:val="single" w:sz="4" w:space="0" w:color="FFC000"/>
                          <w:left w:val="single" w:sz="4" w:space="0" w:color="FFC000"/>
                          <w:bottom w:val="single" w:sz="4" w:space="0" w:color="FFC000"/>
                          <w:right w:val="single" w:sz="4" w:space="0" w:color="FFC000"/>
                        </w:tcBorders>
                      </w:tcPr>
                      <w:p>
                        <w:pPr/>
                      </w:p>
                    </w:tc>
                    <w:tc>
                      <w:tcPr>
                        <w:tcW w:w="8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6"/>
                          <w:ind w:left="109" w:right="0"/>
                          <w:jc w:val="left"/>
                          <w:rPr>
                            <w:rFonts w:ascii="华文细黑" w:hAnsi="华文细黑" w:cs="华文细黑" w:eastAsia="华文细黑" w:hint="default"/>
                            <w:sz w:val="15"/>
                            <w:szCs w:val="15"/>
                          </w:rPr>
                        </w:pPr>
                        <w:r>
                          <w:rPr>
                            <w:rFonts w:ascii="华文细黑"/>
                            <w:sz w:val="15"/>
                          </w:rPr>
                          <w:t>-17,881,0</w:t>
                        </w:r>
                      </w:p>
                      <w:p>
                        <w:pPr>
                          <w:pStyle w:val="TableParagraph"/>
                          <w:spacing w:line="240" w:lineRule="auto" w:before="78"/>
                          <w:ind w:left="365" w:right="0"/>
                          <w:jc w:val="left"/>
                          <w:rPr>
                            <w:rFonts w:ascii="华文细黑" w:hAnsi="华文细黑" w:cs="华文细黑" w:eastAsia="华文细黑" w:hint="default"/>
                            <w:sz w:val="15"/>
                            <w:szCs w:val="15"/>
                          </w:rPr>
                        </w:pPr>
                        <w:r>
                          <w:rPr>
                            <w:rFonts w:ascii="华文细黑"/>
                            <w:sz w:val="15"/>
                          </w:rPr>
                          <w:t>62.23</w:t>
                        </w:r>
                      </w:p>
                    </w:tc>
                    <w:tc>
                      <w:tcPr>
                        <w:tcW w:w="851"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670"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
                          <w:ind w:right="0"/>
                          <w:jc w:val="left"/>
                          <w:rPr>
                            <w:rFonts w:ascii="华文细黑" w:hAnsi="华文细黑" w:cs="华文细黑" w:eastAsia="华文细黑" w:hint="default"/>
                            <w:sz w:val="14"/>
                            <w:szCs w:val="14"/>
                          </w:rPr>
                        </w:pPr>
                      </w:p>
                      <w:p>
                        <w:pPr>
                          <w:pStyle w:val="TableParagraph"/>
                          <w:spacing w:line="240" w:lineRule="auto"/>
                          <w:ind w:left="104"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2</w:t>
                        </w:r>
                        <w:r>
                          <w:rPr>
                            <w:rFonts w:ascii="华文细黑" w:hAnsi="华文细黑" w:cs="华文细黑" w:eastAsia="华文细黑" w:hint="default"/>
                            <w:sz w:val="15"/>
                            <w:szCs w:val="15"/>
                          </w:rPr>
                          <w:t>．提取一般风险准备</w:t>
                        </w:r>
                      </w:p>
                    </w:tc>
                    <w:tc>
                      <w:tcPr>
                        <w:tcW w:w="99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155" w:right="0"/>
                          <w:jc w:val="left"/>
                          <w:rPr>
                            <w:rFonts w:ascii="华文细黑" w:hAnsi="华文细黑" w:cs="华文细黑" w:eastAsia="华文细黑" w:hint="default"/>
                            <w:sz w:val="15"/>
                            <w:szCs w:val="15"/>
                          </w:rPr>
                        </w:pPr>
                        <w:r>
                          <w:rPr>
                            <w:rFonts w:ascii="华文细黑"/>
                            <w:sz w:val="15"/>
                          </w:rPr>
                          <w:t>2,049,26</w:t>
                        </w:r>
                      </w:p>
                      <w:p>
                        <w:pPr>
                          <w:pStyle w:val="TableParagraph"/>
                          <w:spacing w:line="240" w:lineRule="auto" w:before="79"/>
                          <w:ind w:left="446" w:right="0"/>
                          <w:jc w:val="left"/>
                          <w:rPr>
                            <w:rFonts w:ascii="华文细黑" w:hAnsi="华文细黑" w:cs="华文细黑" w:eastAsia="华文细黑" w:hint="default"/>
                            <w:sz w:val="15"/>
                            <w:szCs w:val="15"/>
                          </w:rPr>
                        </w:pPr>
                        <w:r>
                          <w:rPr>
                            <w:rFonts w:ascii="华文细黑"/>
                            <w:sz w:val="15"/>
                          </w:rPr>
                          <w:t>6.35</w:t>
                        </w:r>
                      </w:p>
                    </w:tc>
                    <w:tc>
                      <w:tcPr>
                        <w:tcW w:w="8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109" w:right="0"/>
                          <w:jc w:val="left"/>
                          <w:rPr>
                            <w:rFonts w:ascii="华文细黑" w:hAnsi="华文细黑" w:cs="华文细黑" w:eastAsia="华文细黑" w:hint="default"/>
                            <w:sz w:val="15"/>
                            <w:szCs w:val="15"/>
                          </w:rPr>
                        </w:pPr>
                        <w:r>
                          <w:rPr>
                            <w:rFonts w:ascii="华文细黑"/>
                            <w:sz w:val="15"/>
                          </w:rPr>
                          <w:t>-2,049,26</w:t>
                        </w:r>
                      </w:p>
                      <w:p>
                        <w:pPr>
                          <w:pStyle w:val="TableParagraph"/>
                          <w:spacing w:line="240" w:lineRule="auto" w:before="79"/>
                          <w:ind w:left="449" w:right="0"/>
                          <w:jc w:val="left"/>
                          <w:rPr>
                            <w:rFonts w:ascii="华文细黑" w:hAnsi="华文细黑" w:cs="华文细黑" w:eastAsia="华文细黑" w:hint="default"/>
                            <w:sz w:val="15"/>
                            <w:szCs w:val="15"/>
                          </w:rPr>
                        </w:pPr>
                        <w:r>
                          <w:rPr>
                            <w:rFonts w:ascii="华文细黑"/>
                            <w:sz w:val="15"/>
                          </w:rPr>
                          <w:t>6.35</w:t>
                        </w:r>
                      </w:p>
                    </w:tc>
                    <w:tc>
                      <w:tcPr>
                        <w:tcW w:w="851"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670"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28" w:lineRule="auto" w:before="54"/>
                          <w:ind w:left="104" w:right="131"/>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3</w:t>
                        </w:r>
                        <w:r>
                          <w:rPr>
                            <w:rFonts w:ascii="华文细黑" w:hAnsi="华文细黑" w:cs="华文细黑" w:eastAsia="华文细黑" w:hint="default"/>
                            <w:sz w:val="15"/>
                            <w:szCs w:val="15"/>
                          </w:rPr>
                          <w:t>．对所有者（或股东）的分 配</w:t>
                        </w:r>
                      </w:p>
                    </w:tc>
                    <w:tc>
                      <w:tcPr>
                        <w:tcW w:w="99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8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5" w:right="0"/>
                          <w:jc w:val="center"/>
                          <w:rPr>
                            <w:rFonts w:ascii="华文细黑" w:hAnsi="华文细黑" w:cs="华文细黑" w:eastAsia="华文细黑" w:hint="default"/>
                            <w:sz w:val="15"/>
                            <w:szCs w:val="15"/>
                          </w:rPr>
                        </w:pPr>
                        <w:r>
                          <w:rPr>
                            <w:rFonts w:ascii="华文细黑"/>
                            <w:sz w:val="15"/>
                          </w:rPr>
                          <w:t>-206,546,</w:t>
                        </w:r>
                      </w:p>
                      <w:p>
                        <w:pPr>
                          <w:pStyle w:val="TableParagraph"/>
                          <w:spacing w:line="240" w:lineRule="auto" w:before="78"/>
                          <w:ind w:left="179" w:right="0"/>
                          <w:jc w:val="center"/>
                          <w:rPr>
                            <w:rFonts w:ascii="华文细黑" w:hAnsi="华文细黑" w:cs="华文细黑" w:eastAsia="华文细黑" w:hint="default"/>
                            <w:sz w:val="15"/>
                            <w:szCs w:val="15"/>
                          </w:rPr>
                        </w:pPr>
                        <w:r>
                          <w:rPr>
                            <w:rFonts w:ascii="华文细黑"/>
                            <w:sz w:val="15"/>
                          </w:rPr>
                          <w:t>967.80</w:t>
                        </w:r>
                      </w:p>
                    </w:tc>
                    <w:tc>
                      <w:tcPr>
                        <w:tcW w:w="851"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160" w:right="0"/>
                          <w:jc w:val="left"/>
                          <w:rPr>
                            <w:rFonts w:ascii="华文细黑" w:hAnsi="华文细黑" w:cs="华文细黑" w:eastAsia="华文细黑" w:hint="default"/>
                            <w:sz w:val="15"/>
                            <w:szCs w:val="15"/>
                          </w:rPr>
                        </w:pPr>
                        <w:r>
                          <w:rPr>
                            <w:rFonts w:ascii="华文细黑"/>
                            <w:sz w:val="15"/>
                          </w:rPr>
                          <w:t>-206,546,9</w:t>
                        </w:r>
                      </w:p>
                      <w:p>
                        <w:pPr>
                          <w:pStyle w:val="TableParagraph"/>
                          <w:spacing w:line="240" w:lineRule="auto" w:before="78"/>
                          <w:ind w:left="500" w:right="0"/>
                          <w:jc w:val="left"/>
                          <w:rPr>
                            <w:rFonts w:ascii="华文细黑" w:hAnsi="华文细黑" w:cs="华文细黑" w:eastAsia="华文细黑" w:hint="default"/>
                            <w:sz w:val="15"/>
                            <w:szCs w:val="15"/>
                          </w:rPr>
                        </w:pPr>
                        <w:r>
                          <w:rPr>
                            <w:rFonts w:ascii="华文细黑"/>
                            <w:sz w:val="15"/>
                          </w:rPr>
                          <w:t>67.80</w:t>
                        </w:r>
                      </w:p>
                    </w:tc>
                  </w:tr>
                  <w:tr>
                    <w:trPr>
                      <w:trHeight w:val="380"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6"/>
                          <w:ind w:left="104"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4</w:t>
                        </w:r>
                        <w:r>
                          <w:rPr>
                            <w:rFonts w:ascii="华文细黑" w:hAnsi="华文细黑" w:cs="华文细黑" w:eastAsia="华文细黑" w:hint="default"/>
                            <w:sz w:val="15"/>
                            <w:szCs w:val="15"/>
                          </w:rPr>
                          <w:t>．其他</w:t>
                        </w:r>
                      </w:p>
                    </w:tc>
                    <w:tc>
                      <w:tcPr>
                        <w:tcW w:w="99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853"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bl>
                <w:p>
                  <w:pPr/>
                </w:p>
              </w:txbxContent>
            </v:textbox>
            <w10:wrap type="none"/>
          </v:shape>
        </w:pict>
      </w:r>
      <w:bookmarkStart w:name="7、合并所有者权益变动表" w:id="218"/>
      <w:bookmarkEnd w:id="218"/>
      <w:r>
        <w:rPr/>
      </w:r>
      <w:r>
        <w:rPr>
          <w:rFonts w:ascii="华文细黑" w:hAnsi="华文细黑" w:cs="华文细黑" w:eastAsia="华文细黑" w:hint="default"/>
          <w:b/>
          <w:bCs/>
          <w:sz w:val="21"/>
          <w:szCs w:val="21"/>
        </w:rPr>
        <w:t>7</w:t>
      </w:r>
      <w:r>
        <w:rPr>
          <w:rFonts w:ascii="华文细黑" w:hAnsi="华文细黑" w:cs="华文细黑" w:eastAsia="华文细黑" w:hint="default"/>
          <w:b/>
          <w:bCs/>
          <w:sz w:val="21"/>
          <w:szCs w:val="21"/>
        </w:rPr>
        <w:t>、合并所有者权益变动表</w:t>
      </w:r>
      <w:r>
        <w:rPr>
          <w:rFonts w:ascii="华文细黑" w:hAnsi="华文细黑" w:cs="华文细黑" w:eastAsia="华文细黑" w:hint="default"/>
          <w:b/>
          <w:bCs/>
          <w:w w:val="99"/>
          <w:sz w:val="21"/>
          <w:szCs w:val="21"/>
        </w:rPr>
        <w:t> </w:t>
      </w:r>
      <w:r>
        <w:rPr>
          <w:rFonts w:ascii="华文细黑" w:hAnsi="华文细黑" w:cs="华文细黑" w:eastAsia="华文细黑" w:hint="default"/>
          <w:sz w:val="21"/>
          <w:szCs w:val="21"/>
        </w:rPr>
        <w:t>本期金额</w:t>
      </w:r>
    </w:p>
    <w:p>
      <w:pPr>
        <w:spacing w:after="0" w:line="712" w:lineRule="auto"/>
        <w:jc w:val="left"/>
        <w:rPr>
          <w:rFonts w:ascii="华文细黑" w:hAnsi="华文细黑" w:cs="华文细黑" w:eastAsia="华文细黑" w:hint="default"/>
          <w:sz w:val="21"/>
          <w:szCs w:val="21"/>
        </w:rPr>
        <w:sectPr>
          <w:footerReference w:type="default" r:id="rId27"/>
          <w:pgSz w:w="11910" w:h="16840"/>
          <w:pgMar w:footer="1019" w:header="917" w:top="1100" w:bottom="1200" w:left="340" w:right="0"/>
        </w:sectPr>
      </w:pPr>
    </w:p>
    <w:p>
      <w:pPr>
        <w:spacing w:line="240" w:lineRule="auto" w:before="8"/>
        <w:rPr>
          <w:rFonts w:ascii="华文细黑" w:hAnsi="华文细黑" w:cs="华文细黑" w:eastAsia="华文细黑" w:hint="default"/>
          <w:sz w:val="23"/>
          <w:szCs w:val="23"/>
        </w:rPr>
      </w:pPr>
    </w:p>
    <w:tbl>
      <w:tblPr>
        <w:tblW w:w="0" w:type="auto"/>
        <w:jc w:val="left"/>
        <w:tblInd w:w="102" w:type="dxa"/>
        <w:tblLayout w:type="fixed"/>
        <w:tblCellMar>
          <w:top w:w="0" w:type="dxa"/>
          <w:left w:w="0" w:type="dxa"/>
          <w:bottom w:w="0" w:type="dxa"/>
          <w:right w:w="0" w:type="dxa"/>
        </w:tblCellMar>
        <w:tblLook w:val="01E0"/>
      </w:tblPr>
      <w:tblGrid>
        <w:gridCol w:w="2129"/>
        <w:gridCol w:w="992"/>
        <w:gridCol w:w="426"/>
        <w:gridCol w:w="282"/>
        <w:gridCol w:w="287"/>
        <w:gridCol w:w="992"/>
        <w:gridCol w:w="424"/>
        <w:gridCol w:w="848"/>
        <w:gridCol w:w="426"/>
        <w:gridCol w:w="852"/>
        <w:gridCol w:w="851"/>
        <w:gridCol w:w="853"/>
        <w:gridCol w:w="851"/>
        <w:gridCol w:w="988"/>
      </w:tblGrid>
      <w:tr>
        <w:trPr>
          <w:trHeight w:val="670"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
              <w:ind w:right="0"/>
              <w:jc w:val="left"/>
              <w:rPr>
                <w:rFonts w:ascii="华文细黑" w:hAnsi="华文细黑" w:cs="华文细黑" w:eastAsia="华文细黑" w:hint="default"/>
                <w:sz w:val="14"/>
                <w:szCs w:val="14"/>
              </w:rPr>
            </w:pPr>
          </w:p>
          <w:p>
            <w:pPr>
              <w:pStyle w:val="TableParagraph"/>
              <w:spacing w:line="240" w:lineRule="auto"/>
              <w:ind w:left="103"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（四）所有者权益内部结转</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131" w:right="0"/>
              <w:jc w:val="left"/>
              <w:rPr>
                <w:rFonts w:ascii="华文细黑" w:hAnsi="华文细黑" w:cs="华文细黑" w:eastAsia="华文细黑" w:hint="default"/>
                <w:sz w:val="15"/>
                <w:szCs w:val="15"/>
              </w:rPr>
            </w:pPr>
            <w:r>
              <w:rPr>
                <w:rFonts w:ascii="华文细黑"/>
                <w:sz w:val="15"/>
              </w:rPr>
              <w:t>206,546,96</w:t>
            </w:r>
          </w:p>
          <w:p>
            <w:pPr>
              <w:pStyle w:val="TableParagraph"/>
              <w:spacing w:line="240" w:lineRule="auto" w:before="78"/>
              <w:ind w:left="589" w:right="0"/>
              <w:jc w:val="left"/>
              <w:rPr>
                <w:rFonts w:ascii="华文细黑" w:hAnsi="华文细黑" w:cs="华文细黑" w:eastAsia="华文细黑" w:hint="default"/>
                <w:sz w:val="15"/>
                <w:szCs w:val="15"/>
              </w:rPr>
            </w:pPr>
            <w:r>
              <w:rPr>
                <w:rFonts w:ascii="华文细黑"/>
                <w:sz w:val="15"/>
              </w:rPr>
              <w:t>7.00</w:t>
            </w: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4"/>
              <w:ind w:left="165" w:right="0"/>
              <w:jc w:val="left"/>
              <w:rPr>
                <w:rFonts w:ascii="华文细黑" w:hAnsi="华文细黑" w:cs="华文细黑" w:eastAsia="华文细黑" w:hint="default"/>
                <w:sz w:val="15"/>
                <w:szCs w:val="15"/>
              </w:rPr>
            </w:pPr>
            <w:r>
              <w:rPr>
                <w:rFonts w:ascii="华文细黑"/>
                <w:sz w:val="15"/>
              </w:rPr>
              <w:t>-206,546,9</w:t>
            </w:r>
          </w:p>
          <w:p>
            <w:pPr>
              <w:pStyle w:val="TableParagraph"/>
              <w:spacing w:line="240" w:lineRule="auto" w:before="78"/>
              <w:ind w:left="505" w:right="0"/>
              <w:jc w:val="left"/>
              <w:rPr>
                <w:rFonts w:ascii="华文细黑" w:hAnsi="华文细黑" w:cs="华文细黑" w:eastAsia="华文细黑" w:hint="default"/>
                <w:sz w:val="15"/>
                <w:szCs w:val="15"/>
              </w:rPr>
            </w:pPr>
            <w:r>
              <w:rPr>
                <w:rFonts w:ascii="华文细黑"/>
                <w:sz w:val="15"/>
              </w:rPr>
              <w:t>67.00</w:t>
            </w: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853"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671"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28" w:lineRule="auto" w:before="56"/>
              <w:ind w:left="103" w:right="13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1</w:t>
            </w:r>
            <w:r>
              <w:rPr>
                <w:rFonts w:ascii="华文细黑" w:hAnsi="华文细黑" w:cs="华文细黑" w:eastAsia="华文细黑" w:hint="default"/>
                <w:sz w:val="15"/>
                <w:szCs w:val="15"/>
              </w:rPr>
              <w:t>．资本公积转增资本（或股 本）</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6"/>
              <w:ind w:left="131" w:right="0"/>
              <w:jc w:val="left"/>
              <w:rPr>
                <w:rFonts w:ascii="华文细黑" w:hAnsi="华文细黑" w:cs="华文细黑" w:eastAsia="华文细黑" w:hint="default"/>
                <w:sz w:val="15"/>
                <w:szCs w:val="15"/>
              </w:rPr>
            </w:pPr>
            <w:r>
              <w:rPr>
                <w:rFonts w:ascii="华文细黑"/>
                <w:sz w:val="15"/>
              </w:rPr>
              <w:t>206,546,96</w:t>
            </w:r>
          </w:p>
          <w:p>
            <w:pPr>
              <w:pStyle w:val="TableParagraph"/>
              <w:spacing w:line="240" w:lineRule="auto" w:before="78"/>
              <w:ind w:left="589" w:right="0"/>
              <w:jc w:val="left"/>
              <w:rPr>
                <w:rFonts w:ascii="华文细黑" w:hAnsi="华文细黑" w:cs="华文细黑" w:eastAsia="华文细黑" w:hint="default"/>
                <w:sz w:val="15"/>
                <w:szCs w:val="15"/>
              </w:rPr>
            </w:pPr>
            <w:r>
              <w:rPr>
                <w:rFonts w:ascii="华文细黑"/>
                <w:sz w:val="15"/>
              </w:rPr>
              <w:t>7.00</w:t>
            </w: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6"/>
              <w:ind w:left="165" w:right="0"/>
              <w:jc w:val="left"/>
              <w:rPr>
                <w:rFonts w:ascii="华文细黑" w:hAnsi="华文细黑" w:cs="华文细黑" w:eastAsia="华文细黑" w:hint="default"/>
                <w:sz w:val="15"/>
                <w:szCs w:val="15"/>
              </w:rPr>
            </w:pPr>
            <w:r>
              <w:rPr>
                <w:rFonts w:ascii="华文细黑"/>
                <w:sz w:val="15"/>
              </w:rPr>
              <w:t>-206,546,9</w:t>
            </w:r>
          </w:p>
          <w:p>
            <w:pPr>
              <w:pStyle w:val="TableParagraph"/>
              <w:spacing w:line="240" w:lineRule="auto" w:before="78"/>
              <w:ind w:left="505" w:right="0"/>
              <w:jc w:val="left"/>
              <w:rPr>
                <w:rFonts w:ascii="华文细黑" w:hAnsi="华文细黑" w:cs="华文细黑" w:eastAsia="华文细黑" w:hint="default"/>
                <w:sz w:val="15"/>
                <w:szCs w:val="15"/>
              </w:rPr>
            </w:pPr>
            <w:r>
              <w:rPr>
                <w:rFonts w:ascii="华文细黑"/>
                <w:sz w:val="15"/>
              </w:rPr>
              <w:t>67.00</w:t>
            </w: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853"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670"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28" w:lineRule="auto" w:before="55"/>
              <w:ind w:left="103" w:right="13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2</w:t>
            </w:r>
            <w:r>
              <w:rPr>
                <w:rFonts w:ascii="华文细黑" w:hAnsi="华文细黑" w:cs="华文细黑" w:eastAsia="华文细黑" w:hint="default"/>
                <w:sz w:val="15"/>
                <w:szCs w:val="15"/>
              </w:rPr>
              <w:t>．盈余公积转增资本（或股 本）</w:t>
            </w:r>
          </w:p>
        </w:tc>
        <w:tc>
          <w:tcPr>
            <w:tcW w:w="99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853"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4"/>
              <w:ind w:left="103"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3</w:t>
            </w:r>
            <w:r>
              <w:rPr>
                <w:rFonts w:ascii="华文细黑" w:hAnsi="华文细黑" w:cs="华文细黑" w:eastAsia="华文细黑" w:hint="default"/>
                <w:sz w:val="15"/>
                <w:szCs w:val="15"/>
              </w:rPr>
              <w:t>．盈余公积弥补亏损</w:t>
            </w:r>
          </w:p>
        </w:tc>
        <w:tc>
          <w:tcPr>
            <w:tcW w:w="99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853"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670"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28" w:lineRule="auto" w:before="54"/>
              <w:ind w:left="103" w:right="13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4</w:t>
            </w:r>
            <w:r>
              <w:rPr>
                <w:rFonts w:ascii="华文细黑" w:hAnsi="华文细黑" w:cs="华文细黑" w:eastAsia="华文细黑" w:hint="default"/>
                <w:sz w:val="15"/>
                <w:szCs w:val="15"/>
              </w:rPr>
              <w:t>．设定受益计划变动额结转 留存收益</w:t>
            </w:r>
          </w:p>
        </w:tc>
        <w:tc>
          <w:tcPr>
            <w:tcW w:w="99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853"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4"/>
              <w:ind w:left="103"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5</w:t>
            </w:r>
            <w:r>
              <w:rPr>
                <w:rFonts w:ascii="华文细黑" w:hAnsi="华文细黑" w:cs="华文细黑" w:eastAsia="华文细黑" w:hint="default"/>
                <w:sz w:val="15"/>
                <w:szCs w:val="15"/>
              </w:rPr>
              <w:t>．其他</w:t>
            </w:r>
          </w:p>
        </w:tc>
        <w:tc>
          <w:tcPr>
            <w:tcW w:w="99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853"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379"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4"/>
              <w:ind w:left="103"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（五）专项储备</w:t>
            </w:r>
          </w:p>
        </w:tc>
        <w:tc>
          <w:tcPr>
            <w:tcW w:w="99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853"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6"/>
              <w:ind w:left="103"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1</w:t>
            </w:r>
            <w:r>
              <w:rPr>
                <w:rFonts w:ascii="华文细黑" w:hAnsi="华文细黑" w:cs="华文细黑" w:eastAsia="华文细黑" w:hint="default"/>
                <w:sz w:val="15"/>
                <w:szCs w:val="15"/>
              </w:rPr>
              <w:t>．本期提取</w:t>
            </w:r>
          </w:p>
        </w:tc>
        <w:tc>
          <w:tcPr>
            <w:tcW w:w="99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853"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4"/>
              <w:ind w:left="103"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2</w:t>
            </w:r>
            <w:r>
              <w:rPr>
                <w:rFonts w:ascii="华文细黑" w:hAnsi="华文细黑" w:cs="华文细黑" w:eastAsia="华文细黑" w:hint="default"/>
                <w:sz w:val="15"/>
                <w:szCs w:val="15"/>
              </w:rPr>
              <w:t>．本期使用</w:t>
            </w:r>
          </w:p>
        </w:tc>
        <w:tc>
          <w:tcPr>
            <w:tcW w:w="99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853"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379"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4"/>
              <w:ind w:left="103"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（六）其他</w:t>
            </w:r>
          </w:p>
        </w:tc>
        <w:tc>
          <w:tcPr>
            <w:tcW w:w="99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853"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671" w:hRule="exact"/>
        </w:trPr>
        <w:tc>
          <w:tcPr>
            <w:tcW w:w="21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
              <w:ind w:right="0"/>
              <w:jc w:val="left"/>
              <w:rPr>
                <w:rFonts w:ascii="华文细黑" w:hAnsi="华文细黑" w:cs="华文细黑" w:eastAsia="华文细黑" w:hint="default"/>
                <w:sz w:val="14"/>
                <w:szCs w:val="14"/>
              </w:rPr>
            </w:pPr>
          </w:p>
          <w:p>
            <w:pPr>
              <w:pStyle w:val="TableParagraph"/>
              <w:spacing w:line="240" w:lineRule="auto"/>
              <w:ind w:left="103"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四、本期期末余额</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6"/>
              <w:ind w:left="172" w:right="0"/>
              <w:jc w:val="left"/>
              <w:rPr>
                <w:rFonts w:ascii="华文细黑" w:hAnsi="华文细黑" w:cs="华文细黑" w:eastAsia="华文细黑" w:hint="default"/>
                <w:sz w:val="15"/>
                <w:szCs w:val="15"/>
              </w:rPr>
            </w:pPr>
            <w:r>
              <w:rPr>
                <w:rFonts w:ascii="华文细黑"/>
                <w:sz w:val="15"/>
              </w:rPr>
              <w:t>1,239,281,</w:t>
            </w:r>
          </w:p>
          <w:p>
            <w:pPr>
              <w:pStyle w:val="TableParagraph"/>
              <w:spacing w:line="240" w:lineRule="auto" w:before="78"/>
              <w:ind w:left="422" w:right="0"/>
              <w:jc w:val="left"/>
              <w:rPr>
                <w:rFonts w:ascii="华文细黑" w:hAnsi="华文细黑" w:cs="华文细黑" w:eastAsia="华文细黑" w:hint="default"/>
                <w:sz w:val="15"/>
                <w:szCs w:val="15"/>
              </w:rPr>
            </w:pPr>
            <w:r>
              <w:rPr>
                <w:rFonts w:ascii="华文细黑"/>
                <w:sz w:val="15"/>
              </w:rPr>
              <w:t>806.00</w:t>
            </w:r>
          </w:p>
        </w:tc>
        <w:tc>
          <w:tcPr>
            <w:tcW w:w="426"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287"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6"/>
              <w:ind w:left="172" w:right="0"/>
              <w:jc w:val="left"/>
              <w:rPr>
                <w:rFonts w:ascii="华文细黑" w:hAnsi="华文细黑" w:cs="华文细黑" w:eastAsia="华文细黑" w:hint="default"/>
                <w:sz w:val="15"/>
                <w:szCs w:val="15"/>
              </w:rPr>
            </w:pPr>
            <w:r>
              <w:rPr>
                <w:rFonts w:ascii="华文细黑"/>
                <w:sz w:val="15"/>
              </w:rPr>
              <w:t>1,621,822,</w:t>
            </w:r>
          </w:p>
          <w:p>
            <w:pPr>
              <w:pStyle w:val="TableParagraph"/>
              <w:spacing w:line="240" w:lineRule="auto" w:before="78"/>
              <w:ind w:left="422" w:right="0"/>
              <w:jc w:val="left"/>
              <w:rPr>
                <w:rFonts w:ascii="华文细黑" w:hAnsi="华文细黑" w:cs="华文细黑" w:eastAsia="华文细黑" w:hint="default"/>
                <w:sz w:val="15"/>
                <w:szCs w:val="15"/>
              </w:rPr>
            </w:pPr>
            <w:r>
              <w:rPr>
                <w:rFonts w:ascii="华文细黑"/>
                <w:sz w:val="15"/>
              </w:rPr>
              <w:t>728.69</w:t>
            </w:r>
          </w:p>
        </w:tc>
        <w:tc>
          <w:tcPr>
            <w:tcW w:w="424" w:type="dxa"/>
            <w:tcBorders>
              <w:top w:val="single" w:sz="4" w:space="0" w:color="FFC000"/>
              <w:left w:val="single" w:sz="4" w:space="0" w:color="FFC000"/>
              <w:bottom w:val="single" w:sz="4" w:space="0" w:color="FFC000"/>
              <w:right w:val="single" w:sz="4" w:space="0" w:color="FFC000"/>
            </w:tcBorders>
          </w:tcPr>
          <w:p>
            <w:pPr/>
          </w:p>
        </w:tc>
        <w:tc>
          <w:tcPr>
            <w:tcW w:w="8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6"/>
              <w:ind w:left="153" w:right="0"/>
              <w:jc w:val="left"/>
              <w:rPr>
                <w:rFonts w:ascii="华文细黑" w:hAnsi="华文细黑" w:cs="华文细黑" w:eastAsia="华文细黑" w:hint="default"/>
                <w:sz w:val="15"/>
                <w:szCs w:val="15"/>
              </w:rPr>
            </w:pPr>
            <w:r>
              <w:rPr>
                <w:rFonts w:ascii="华文细黑"/>
                <w:sz w:val="15"/>
              </w:rPr>
              <w:t>2,451,08</w:t>
            </w:r>
          </w:p>
          <w:p>
            <w:pPr>
              <w:pStyle w:val="TableParagraph"/>
              <w:spacing w:line="240" w:lineRule="auto" w:before="78"/>
              <w:ind w:left="445" w:right="0"/>
              <w:jc w:val="left"/>
              <w:rPr>
                <w:rFonts w:ascii="华文细黑" w:hAnsi="华文细黑" w:cs="华文细黑" w:eastAsia="华文细黑" w:hint="default"/>
                <w:sz w:val="15"/>
                <w:szCs w:val="15"/>
              </w:rPr>
            </w:pPr>
            <w:r>
              <w:rPr>
                <w:rFonts w:ascii="华文细黑"/>
                <w:sz w:val="15"/>
              </w:rPr>
              <w:t>5.97</w:t>
            </w: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6"/>
              <w:ind w:left="50" w:right="0"/>
              <w:jc w:val="center"/>
              <w:rPr>
                <w:rFonts w:ascii="华文细黑" w:hAnsi="华文细黑" w:cs="华文细黑" w:eastAsia="华文细黑" w:hint="default"/>
                <w:sz w:val="15"/>
                <w:szCs w:val="15"/>
              </w:rPr>
            </w:pPr>
            <w:r>
              <w:rPr>
                <w:rFonts w:ascii="华文细黑"/>
                <w:sz w:val="15"/>
              </w:rPr>
              <w:t>264,724,</w:t>
            </w:r>
          </w:p>
          <w:p>
            <w:pPr>
              <w:pStyle w:val="TableParagraph"/>
              <w:spacing w:line="240" w:lineRule="auto" w:before="78"/>
              <w:ind w:left="175" w:right="0"/>
              <w:jc w:val="center"/>
              <w:rPr>
                <w:rFonts w:ascii="华文细黑" w:hAnsi="华文细黑" w:cs="华文细黑" w:eastAsia="华文细黑" w:hint="default"/>
                <w:sz w:val="15"/>
                <w:szCs w:val="15"/>
              </w:rPr>
            </w:pPr>
            <w:r>
              <w:rPr>
                <w:rFonts w:ascii="华文细黑"/>
                <w:sz w:val="15"/>
              </w:rPr>
              <w:t>184.43</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6"/>
              <w:ind w:left="155" w:right="0"/>
              <w:jc w:val="left"/>
              <w:rPr>
                <w:rFonts w:ascii="华文细黑" w:hAnsi="华文细黑" w:cs="华文细黑" w:eastAsia="华文细黑" w:hint="default"/>
                <w:sz w:val="15"/>
                <w:szCs w:val="15"/>
              </w:rPr>
            </w:pPr>
            <w:r>
              <w:rPr>
                <w:rFonts w:ascii="华文细黑"/>
                <w:sz w:val="15"/>
              </w:rPr>
              <w:t>16,782,1</w:t>
            </w:r>
          </w:p>
          <w:p>
            <w:pPr>
              <w:pStyle w:val="TableParagraph"/>
              <w:spacing w:line="240" w:lineRule="auto" w:before="78"/>
              <w:ind w:left="362" w:right="0"/>
              <w:jc w:val="left"/>
              <w:rPr>
                <w:rFonts w:ascii="华文细黑" w:hAnsi="华文细黑" w:cs="华文细黑" w:eastAsia="华文细黑" w:hint="default"/>
                <w:sz w:val="15"/>
                <w:szCs w:val="15"/>
              </w:rPr>
            </w:pPr>
            <w:r>
              <w:rPr>
                <w:rFonts w:ascii="华文细黑"/>
                <w:sz w:val="15"/>
              </w:rPr>
              <w:t>43.96</w:t>
            </w:r>
          </w:p>
        </w:tc>
        <w:tc>
          <w:tcPr>
            <w:tcW w:w="8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6"/>
              <w:ind w:left="158" w:right="0"/>
              <w:jc w:val="left"/>
              <w:rPr>
                <w:rFonts w:ascii="华文细黑" w:hAnsi="华文细黑" w:cs="华文细黑" w:eastAsia="华文细黑" w:hint="default"/>
                <w:sz w:val="15"/>
                <w:szCs w:val="15"/>
              </w:rPr>
            </w:pPr>
            <w:r>
              <w:rPr>
                <w:rFonts w:ascii="华文细黑"/>
                <w:sz w:val="15"/>
              </w:rPr>
              <w:t>1,776,74</w:t>
            </w:r>
          </w:p>
          <w:p>
            <w:pPr>
              <w:pStyle w:val="TableParagraph"/>
              <w:spacing w:line="240" w:lineRule="auto" w:before="78"/>
              <w:ind w:left="158" w:right="0"/>
              <w:jc w:val="left"/>
              <w:rPr>
                <w:rFonts w:ascii="华文细黑" w:hAnsi="华文细黑" w:cs="华文细黑" w:eastAsia="华文细黑" w:hint="default"/>
                <w:sz w:val="15"/>
                <w:szCs w:val="15"/>
              </w:rPr>
            </w:pPr>
            <w:r>
              <w:rPr>
                <w:rFonts w:ascii="华文细黑"/>
                <w:sz w:val="15"/>
              </w:rPr>
              <w:t>6,860.02</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6"/>
              <w:ind w:left="51" w:right="0"/>
              <w:jc w:val="center"/>
              <w:rPr>
                <w:rFonts w:ascii="华文细黑" w:hAnsi="华文细黑" w:cs="华文细黑" w:eastAsia="华文细黑" w:hint="default"/>
                <w:sz w:val="15"/>
                <w:szCs w:val="15"/>
              </w:rPr>
            </w:pPr>
            <w:r>
              <w:rPr>
                <w:rFonts w:ascii="华文细黑"/>
                <w:sz w:val="15"/>
              </w:rPr>
              <w:t>187,272,</w:t>
            </w:r>
          </w:p>
          <w:p>
            <w:pPr>
              <w:pStyle w:val="TableParagraph"/>
              <w:spacing w:line="240" w:lineRule="auto" w:before="78"/>
              <w:ind w:left="176" w:right="0"/>
              <w:jc w:val="center"/>
              <w:rPr>
                <w:rFonts w:ascii="华文细黑" w:hAnsi="华文细黑" w:cs="华文细黑" w:eastAsia="华文细黑" w:hint="default"/>
                <w:sz w:val="15"/>
                <w:szCs w:val="15"/>
              </w:rPr>
            </w:pPr>
            <w:r>
              <w:rPr>
                <w:rFonts w:ascii="华文细黑"/>
                <w:sz w:val="15"/>
              </w:rPr>
              <w:t>137.69</w:t>
            </w:r>
          </w:p>
        </w:tc>
        <w:tc>
          <w:tcPr>
            <w:tcW w:w="9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6"/>
              <w:ind w:left="168" w:right="0"/>
              <w:jc w:val="left"/>
              <w:rPr>
                <w:rFonts w:ascii="华文细黑" w:hAnsi="华文细黑" w:cs="华文细黑" w:eastAsia="华文细黑" w:hint="default"/>
                <w:sz w:val="15"/>
                <w:szCs w:val="15"/>
              </w:rPr>
            </w:pPr>
            <w:r>
              <w:rPr>
                <w:rFonts w:ascii="华文细黑"/>
                <w:sz w:val="15"/>
              </w:rPr>
              <w:t>5,109,080,</w:t>
            </w:r>
          </w:p>
          <w:p>
            <w:pPr>
              <w:pStyle w:val="TableParagraph"/>
              <w:spacing w:line="240" w:lineRule="auto" w:before="78"/>
              <w:ind w:left="417" w:right="0"/>
              <w:jc w:val="left"/>
              <w:rPr>
                <w:rFonts w:ascii="华文细黑" w:hAnsi="华文细黑" w:cs="华文细黑" w:eastAsia="华文细黑" w:hint="default"/>
                <w:sz w:val="15"/>
                <w:szCs w:val="15"/>
              </w:rPr>
            </w:pPr>
            <w:r>
              <w:rPr>
                <w:rFonts w:ascii="华文细黑"/>
                <w:sz w:val="15"/>
              </w:rPr>
              <w:t>946.76</w:t>
            </w:r>
          </w:p>
        </w:tc>
      </w:tr>
    </w:tbl>
    <w:p>
      <w:pPr>
        <w:spacing w:line="240" w:lineRule="auto" w:before="0"/>
        <w:rPr>
          <w:rFonts w:ascii="华文细黑" w:hAnsi="华文细黑" w:cs="华文细黑" w:eastAsia="华文细黑" w:hint="default"/>
          <w:sz w:val="20"/>
          <w:szCs w:val="20"/>
        </w:rPr>
      </w:pPr>
    </w:p>
    <w:p>
      <w:pPr>
        <w:spacing w:line="240" w:lineRule="auto" w:before="1"/>
        <w:rPr>
          <w:rFonts w:ascii="华文细黑" w:hAnsi="华文细黑" w:cs="华文细黑" w:eastAsia="华文细黑" w:hint="default"/>
          <w:sz w:val="18"/>
          <w:szCs w:val="18"/>
        </w:rPr>
      </w:pPr>
    </w:p>
    <w:p>
      <w:pPr>
        <w:pStyle w:val="BodyText"/>
        <w:spacing w:line="388" w:lineRule="auto" w:before="10"/>
        <w:ind w:left="1100" w:right="9606" w:firstLine="2"/>
        <w:jc w:val="left"/>
      </w:pPr>
      <w:r>
        <w:rPr/>
        <w:t>（续） 上期金额</w:t>
      </w:r>
    </w:p>
    <w:p>
      <w:pPr>
        <w:spacing w:line="240" w:lineRule="auto" w:before="5"/>
        <w:rPr>
          <w:rFonts w:ascii="华文细黑" w:hAnsi="华文细黑" w:cs="华文细黑" w:eastAsia="华文细黑" w:hint="default"/>
          <w:sz w:val="5"/>
          <w:szCs w:val="5"/>
        </w:rPr>
      </w:pPr>
    </w:p>
    <w:tbl>
      <w:tblPr>
        <w:tblW w:w="0" w:type="auto"/>
        <w:jc w:val="left"/>
        <w:tblInd w:w="101" w:type="dxa"/>
        <w:tblLayout w:type="fixed"/>
        <w:tblCellMar>
          <w:top w:w="0" w:type="dxa"/>
          <w:left w:w="0" w:type="dxa"/>
          <w:bottom w:w="0" w:type="dxa"/>
          <w:right w:w="0" w:type="dxa"/>
        </w:tblCellMar>
        <w:tblLook w:val="01E0"/>
      </w:tblPr>
      <w:tblGrid>
        <w:gridCol w:w="1844"/>
        <w:gridCol w:w="991"/>
        <w:gridCol w:w="428"/>
        <w:gridCol w:w="282"/>
        <w:gridCol w:w="426"/>
        <w:gridCol w:w="993"/>
        <w:gridCol w:w="427"/>
        <w:gridCol w:w="860"/>
        <w:gridCol w:w="416"/>
        <w:gridCol w:w="850"/>
        <w:gridCol w:w="849"/>
        <w:gridCol w:w="997"/>
        <w:gridCol w:w="850"/>
        <w:gridCol w:w="988"/>
      </w:tblGrid>
      <w:tr>
        <w:trPr>
          <w:trHeight w:val="380" w:hRule="exact"/>
        </w:trPr>
        <w:tc>
          <w:tcPr>
            <w:tcW w:w="1844"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4"/>
              <w:ind w:right="0"/>
              <w:jc w:val="left"/>
              <w:rPr>
                <w:rFonts w:ascii="华文细黑" w:hAnsi="华文细黑" w:cs="华文细黑" w:eastAsia="华文细黑" w:hint="default"/>
                <w:sz w:val="23"/>
                <w:szCs w:val="23"/>
              </w:rPr>
            </w:pPr>
          </w:p>
          <w:p>
            <w:pPr>
              <w:pStyle w:val="TableParagraph"/>
              <w:spacing w:line="240" w:lineRule="auto"/>
              <w:ind w:right="0"/>
              <w:jc w:val="center"/>
              <w:rPr>
                <w:rFonts w:ascii="华文细黑" w:hAnsi="华文细黑" w:cs="华文细黑" w:eastAsia="华文细黑" w:hint="default"/>
                <w:sz w:val="16"/>
                <w:szCs w:val="16"/>
              </w:rPr>
            </w:pPr>
            <w:r>
              <w:rPr>
                <w:rFonts w:ascii="华文细黑" w:hAnsi="华文细黑" w:cs="华文细黑" w:eastAsia="华文细黑" w:hint="default"/>
                <w:sz w:val="16"/>
                <w:szCs w:val="16"/>
              </w:rPr>
              <w:t>项目</w:t>
            </w:r>
          </w:p>
        </w:tc>
        <w:tc>
          <w:tcPr>
            <w:tcW w:w="9358" w:type="dxa"/>
            <w:gridSpan w:val="13"/>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6"/>
              <w:ind w:right="3"/>
              <w:jc w:val="center"/>
              <w:rPr>
                <w:rFonts w:ascii="华文细黑" w:hAnsi="华文细黑" w:cs="华文细黑" w:eastAsia="华文细黑" w:hint="default"/>
                <w:sz w:val="16"/>
                <w:szCs w:val="16"/>
              </w:rPr>
            </w:pPr>
            <w:r>
              <w:rPr>
                <w:rFonts w:ascii="华文细黑" w:hAnsi="华文细黑" w:cs="华文细黑" w:eastAsia="华文细黑" w:hint="default"/>
                <w:sz w:val="16"/>
                <w:szCs w:val="16"/>
              </w:rPr>
              <w:t>上期金额</w:t>
            </w:r>
          </w:p>
        </w:tc>
      </w:tr>
      <w:tr>
        <w:trPr>
          <w:trHeight w:val="380" w:hRule="exact"/>
        </w:trPr>
        <w:tc>
          <w:tcPr>
            <w:tcW w:w="1844" w:type="dxa"/>
            <w:vMerge/>
            <w:tcBorders>
              <w:left w:val="single" w:sz="4" w:space="0" w:color="FFC000"/>
              <w:right w:val="single" w:sz="4" w:space="0" w:color="FFC000"/>
            </w:tcBorders>
            <w:shd w:val="clear" w:color="auto" w:fill="FFF8E6"/>
          </w:tcPr>
          <w:p>
            <w:pPr/>
          </w:p>
        </w:tc>
        <w:tc>
          <w:tcPr>
            <w:tcW w:w="7520" w:type="dxa"/>
            <w:gridSpan w:val="11"/>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6"/>
              <w:ind w:right="1"/>
              <w:jc w:val="center"/>
              <w:rPr>
                <w:rFonts w:ascii="华文细黑" w:hAnsi="华文细黑" w:cs="华文细黑" w:eastAsia="华文细黑" w:hint="default"/>
                <w:sz w:val="16"/>
                <w:szCs w:val="16"/>
              </w:rPr>
            </w:pPr>
            <w:r>
              <w:rPr>
                <w:rFonts w:ascii="华文细黑" w:hAnsi="华文细黑" w:cs="华文细黑" w:eastAsia="华文细黑" w:hint="default"/>
                <w:sz w:val="16"/>
                <w:szCs w:val="16"/>
              </w:rPr>
              <w:t>归属于母公司所有者权益</w:t>
            </w:r>
          </w:p>
        </w:tc>
        <w:tc>
          <w:tcPr>
            <w:tcW w:w="85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309" w:lineRule="auto"/>
              <w:ind w:left="178" w:right="18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少数股</w:t>
            </w:r>
            <w:r>
              <w:rPr>
                <w:rFonts w:ascii="华文细黑" w:hAnsi="华文细黑" w:cs="华文细黑" w:eastAsia="华文细黑" w:hint="default"/>
                <w:w w:val="99"/>
                <w:sz w:val="16"/>
                <w:szCs w:val="16"/>
              </w:rPr>
              <w:t> </w:t>
            </w:r>
            <w:r>
              <w:rPr>
                <w:rFonts w:ascii="华文细黑" w:hAnsi="华文细黑" w:cs="华文细黑" w:eastAsia="华文细黑" w:hint="default"/>
                <w:sz w:val="16"/>
                <w:szCs w:val="16"/>
              </w:rPr>
              <w:t>东权益</w:t>
            </w:r>
          </w:p>
        </w:tc>
        <w:tc>
          <w:tcPr>
            <w:tcW w:w="98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309" w:lineRule="auto"/>
              <w:ind w:left="248" w:right="168" w:hanging="8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所有者权</w:t>
            </w:r>
            <w:r>
              <w:rPr>
                <w:rFonts w:ascii="华文细黑" w:hAnsi="华文细黑" w:cs="华文细黑" w:eastAsia="华文细黑" w:hint="default"/>
                <w:w w:val="99"/>
                <w:sz w:val="16"/>
                <w:szCs w:val="16"/>
              </w:rPr>
              <w:t> </w:t>
            </w:r>
            <w:r>
              <w:rPr>
                <w:rFonts w:ascii="华文细黑" w:hAnsi="华文细黑" w:cs="华文细黑" w:eastAsia="华文细黑" w:hint="default"/>
                <w:sz w:val="16"/>
                <w:szCs w:val="16"/>
              </w:rPr>
              <w:t>益合计</w:t>
            </w:r>
          </w:p>
        </w:tc>
      </w:tr>
      <w:tr>
        <w:trPr>
          <w:trHeight w:val="380" w:hRule="exact"/>
        </w:trPr>
        <w:tc>
          <w:tcPr>
            <w:tcW w:w="1844" w:type="dxa"/>
            <w:vMerge/>
            <w:tcBorders>
              <w:left w:val="single" w:sz="4" w:space="0" w:color="FFC000"/>
              <w:right w:val="single" w:sz="4" w:space="0" w:color="FFC000"/>
            </w:tcBorders>
            <w:shd w:val="clear" w:color="auto" w:fill="FFF8E6"/>
          </w:tcPr>
          <w:p>
            <w:pPr/>
          </w:p>
        </w:tc>
        <w:tc>
          <w:tcPr>
            <w:tcW w:w="991"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4"/>
              <w:ind w:right="0"/>
              <w:jc w:val="left"/>
              <w:rPr>
                <w:rFonts w:ascii="华文细黑" w:hAnsi="华文细黑" w:cs="华文细黑" w:eastAsia="华文细黑" w:hint="default"/>
                <w:sz w:val="12"/>
                <w:szCs w:val="12"/>
              </w:rPr>
            </w:pPr>
          </w:p>
          <w:p>
            <w:pPr>
              <w:pStyle w:val="TableParagraph"/>
              <w:spacing w:line="240" w:lineRule="auto"/>
              <w:ind w:right="0"/>
              <w:jc w:val="center"/>
              <w:rPr>
                <w:rFonts w:ascii="华文细黑" w:hAnsi="华文细黑" w:cs="华文细黑" w:eastAsia="华文细黑" w:hint="default"/>
                <w:sz w:val="16"/>
                <w:szCs w:val="16"/>
              </w:rPr>
            </w:pPr>
            <w:r>
              <w:rPr>
                <w:rFonts w:ascii="华文细黑" w:hAnsi="华文细黑" w:cs="华文细黑" w:eastAsia="华文细黑" w:hint="default"/>
                <w:sz w:val="16"/>
                <w:szCs w:val="16"/>
              </w:rPr>
              <w:t>股本</w:t>
            </w:r>
          </w:p>
        </w:tc>
        <w:tc>
          <w:tcPr>
            <w:tcW w:w="1136" w:type="dxa"/>
            <w:gridSpan w:val="3"/>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4"/>
              <w:ind w:left="112"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其他权益工具</w:t>
            </w:r>
          </w:p>
        </w:tc>
        <w:tc>
          <w:tcPr>
            <w:tcW w:w="993"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4"/>
              <w:ind w:right="0"/>
              <w:jc w:val="left"/>
              <w:rPr>
                <w:rFonts w:ascii="华文细黑" w:hAnsi="华文细黑" w:cs="华文细黑" w:eastAsia="华文细黑" w:hint="default"/>
                <w:sz w:val="12"/>
                <w:szCs w:val="12"/>
              </w:rPr>
            </w:pPr>
          </w:p>
          <w:p>
            <w:pPr>
              <w:pStyle w:val="TableParagraph"/>
              <w:spacing w:line="240" w:lineRule="auto"/>
              <w:ind w:left="171"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资本公积</w:t>
            </w:r>
          </w:p>
        </w:tc>
        <w:tc>
          <w:tcPr>
            <w:tcW w:w="427"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46"/>
              <w:ind w:left="128" w:right="0"/>
              <w:jc w:val="both"/>
              <w:rPr>
                <w:rFonts w:ascii="华文细黑" w:hAnsi="华文细黑" w:cs="华文细黑" w:eastAsia="华文细黑" w:hint="default"/>
                <w:sz w:val="16"/>
                <w:szCs w:val="16"/>
              </w:rPr>
            </w:pPr>
            <w:r>
              <w:rPr>
                <w:rFonts w:ascii="华文细黑" w:hAnsi="华文细黑" w:cs="华文细黑" w:eastAsia="华文细黑" w:hint="default"/>
                <w:w w:val="99"/>
                <w:sz w:val="16"/>
                <w:szCs w:val="16"/>
              </w:rPr>
              <w:t>减</w:t>
            </w:r>
            <w:r>
              <w:rPr>
                <w:rFonts w:ascii="华文细黑" w:hAnsi="华文细黑" w:cs="华文细黑" w:eastAsia="华文细黑" w:hint="default"/>
                <w:sz w:val="16"/>
                <w:szCs w:val="16"/>
              </w:rPr>
            </w:r>
          </w:p>
          <w:p>
            <w:pPr>
              <w:pStyle w:val="TableParagraph"/>
              <w:spacing w:line="309" w:lineRule="auto" w:before="63"/>
              <w:ind w:left="128" w:right="127"/>
              <w:jc w:val="both"/>
              <w:rPr>
                <w:rFonts w:ascii="华文细黑" w:hAnsi="华文细黑" w:cs="华文细黑" w:eastAsia="华文细黑" w:hint="default"/>
                <w:sz w:val="16"/>
                <w:szCs w:val="16"/>
              </w:rPr>
            </w:pPr>
            <w:r>
              <w:rPr>
                <w:rFonts w:ascii="华文细黑" w:hAnsi="华文细黑" w:cs="华文细黑" w:eastAsia="华文细黑" w:hint="default"/>
                <w:sz w:val="16"/>
                <w:szCs w:val="16"/>
              </w:rPr>
              <w:t>：</w:t>
            </w:r>
            <w:r>
              <w:rPr>
                <w:rFonts w:ascii="华文细黑" w:hAnsi="华文细黑" w:cs="华文细黑" w:eastAsia="华文细黑" w:hint="default"/>
                <w:w w:val="99"/>
                <w:sz w:val="16"/>
                <w:szCs w:val="16"/>
              </w:rPr>
              <w:t> </w:t>
            </w:r>
            <w:r>
              <w:rPr>
                <w:rFonts w:ascii="华文细黑" w:hAnsi="华文细黑" w:cs="华文细黑" w:eastAsia="华文细黑" w:hint="default"/>
                <w:sz w:val="16"/>
                <w:szCs w:val="16"/>
              </w:rPr>
              <w:t>库</w:t>
            </w:r>
            <w:r>
              <w:rPr>
                <w:rFonts w:ascii="华文细黑" w:hAnsi="华文细黑" w:cs="华文细黑" w:eastAsia="华文细黑" w:hint="default"/>
                <w:w w:val="99"/>
                <w:sz w:val="16"/>
                <w:szCs w:val="16"/>
              </w:rPr>
              <w:t> </w:t>
            </w:r>
            <w:r>
              <w:rPr>
                <w:rFonts w:ascii="华文细黑" w:hAnsi="华文细黑" w:cs="华文细黑" w:eastAsia="华文细黑" w:hint="default"/>
                <w:sz w:val="16"/>
                <w:szCs w:val="16"/>
              </w:rPr>
              <w:t>存</w:t>
            </w:r>
            <w:r>
              <w:rPr>
                <w:rFonts w:ascii="华文细黑" w:hAnsi="华文细黑" w:cs="华文细黑" w:eastAsia="华文细黑" w:hint="default"/>
                <w:w w:val="99"/>
                <w:sz w:val="16"/>
                <w:szCs w:val="16"/>
              </w:rPr>
              <w:t> </w:t>
            </w:r>
            <w:r>
              <w:rPr>
                <w:rFonts w:ascii="华文细黑" w:hAnsi="华文细黑" w:cs="华文细黑" w:eastAsia="华文细黑" w:hint="default"/>
                <w:sz w:val="16"/>
                <w:szCs w:val="16"/>
              </w:rPr>
              <w:t>股</w:t>
            </w:r>
          </w:p>
        </w:tc>
        <w:tc>
          <w:tcPr>
            <w:tcW w:w="86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2"/>
              <w:ind w:right="0"/>
              <w:jc w:val="left"/>
              <w:rPr>
                <w:rFonts w:ascii="华文细黑" w:hAnsi="华文细黑" w:cs="华文细黑" w:eastAsia="华文细黑" w:hint="default"/>
                <w:sz w:val="18"/>
                <w:szCs w:val="18"/>
              </w:rPr>
            </w:pPr>
          </w:p>
          <w:p>
            <w:pPr>
              <w:pStyle w:val="TableParagraph"/>
              <w:spacing w:line="309" w:lineRule="auto"/>
              <w:ind w:left="265" w:right="104" w:hanging="16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其他综合</w:t>
            </w:r>
            <w:r>
              <w:rPr>
                <w:rFonts w:ascii="华文细黑" w:hAnsi="华文细黑" w:cs="华文细黑" w:eastAsia="华文细黑" w:hint="default"/>
                <w:w w:val="99"/>
                <w:sz w:val="16"/>
                <w:szCs w:val="16"/>
              </w:rPr>
              <w:t> </w:t>
            </w:r>
            <w:r>
              <w:rPr>
                <w:rFonts w:ascii="华文细黑" w:hAnsi="华文细黑" w:cs="华文细黑" w:eastAsia="华文细黑" w:hint="default"/>
                <w:sz w:val="16"/>
                <w:szCs w:val="16"/>
              </w:rPr>
              <w:t>收益</w:t>
            </w:r>
          </w:p>
        </w:tc>
        <w:tc>
          <w:tcPr>
            <w:tcW w:w="416"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8"/>
              <w:ind w:right="0"/>
              <w:jc w:val="left"/>
              <w:rPr>
                <w:rFonts w:ascii="华文细黑" w:hAnsi="华文细黑" w:cs="华文细黑" w:eastAsia="华文细黑" w:hint="default"/>
                <w:sz w:val="13"/>
                <w:szCs w:val="13"/>
              </w:rPr>
            </w:pPr>
          </w:p>
          <w:p>
            <w:pPr>
              <w:pStyle w:val="TableParagraph"/>
              <w:spacing w:line="307" w:lineRule="auto"/>
              <w:ind w:left="123" w:right="121"/>
              <w:jc w:val="both"/>
              <w:rPr>
                <w:rFonts w:ascii="华文细黑" w:hAnsi="华文细黑" w:cs="华文细黑" w:eastAsia="华文细黑" w:hint="default"/>
                <w:sz w:val="16"/>
                <w:szCs w:val="16"/>
              </w:rPr>
            </w:pPr>
            <w:r>
              <w:rPr>
                <w:rFonts w:ascii="华文细黑" w:hAnsi="华文细黑" w:cs="华文细黑" w:eastAsia="华文细黑" w:hint="default"/>
                <w:sz w:val="16"/>
                <w:szCs w:val="16"/>
              </w:rPr>
              <w:t>专</w:t>
            </w:r>
            <w:r>
              <w:rPr>
                <w:rFonts w:ascii="华文细黑" w:hAnsi="华文细黑" w:cs="华文细黑" w:eastAsia="华文细黑" w:hint="default"/>
                <w:w w:val="99"/>
                <w:sz w:val="16"/>
                <w:szCs w:val="16"/>
              </w:rPr>
              <w:t> </w:t>
            </w:r>
            <w:r>
              <w:rPr>
                <w:rFonts w:ascii="华文细黑" w:hAnsi="华文细黑" w:cs="华文细黑" w:eastAsia="华文细黑" w:hint="default"/>
                <w:sz w:val="16"/>
                <w:szCs w:val="16"/>
              </w:rPr>
              <w:t>项</w:t>
            </w:r>
            <w:r>
              <w:rPr>
                <w:rFonts w:ascii="华文细黑" w:hAnsi="华文细黑" w:cs="华文细黑" w:eastAsia="华文细黑" w:hint="default"/>
                <w:w w:val="99"/>
                <w:sz w:val="16"/>
                <w:szCs w:val="16"/>
              </w:rPr>
              <w:t> </w:t>
            </w:r>
            <w:r>
              <w:rPr>
                <w:rFonts w:ascii="华文细黑" w:hAnsi="华文细黑" w:cs="华文细黑" w:eastAsia="华文细黑" w:hint="default"/>
                <w:sz w:val="16"/>
                <w:szCs w:val="16"/>
              </w:rPr>
              <w:t>储</w:t>
            </w:r>
            <w:r>
              <w:rPr>
                <w:rFonts w:ascii="华文细黑" w:hAnsi="华文细黑" w:cs="华文细黑" w:eastAsia="华文细黑" w:hint="default"/>
                <w:w w:val="99"/>
                <w:sz w:val="16"/>
                <w:szCs w:val="16"/>
              </w:rPr>
              <w:t> </w:t>
            </w:r>
            <w:r>
              <w:rPr>
                <w:rFonts w:ascii="华文细黑" w:hAnsi="华文细黑" w:cs="华文细黑" w:eastAsia="华文细黑" w:hint="default"/>
                <w:sz w:val="16"/>
                <w:szCs w:val="16"/>
              </w:rPr>
              <w:t>备</w:t>
            </w:r>
          </w:p>
        </w:tc>
        <w:tc>
          <w:tcPr>
            <w:tcW w:w="85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2"/>
              <w:ind w:right="0"/>
              <w:jc w:val="left"/>
              <w:rPr>
                <w:rFonts w:ascii="华文细黑" w:hAnsi="华文细黑" w:cs="华文细黑" w:eastAsia="华文细黑" w:hint="default"/>
                <w:sz w:val="18"/>
                <w:szCs w:val="18"/>
              </w:rPr>
            </w:pPr>
          </w:p>
          <w:p>
            <w:pPr>
              <w:pStyle w:val="TableParagraph"/>
              <w:spacing w:line="309" w:lineRule="auto"/>
              <w:ind w:left="339" w:right="180" w:hanging="161"/>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盈余公</w:t>
            </w:r>
            <w:r>
              <w:rPr>
                <w:rFonts w:ascii="华文细黑" w:hAnsi="华文细黑" w:cs="华文细黑" w:eastAsia="华文细黑" w:hint="default"/>
                <w:w w:val="99"/>
                <w:sz w:val="16"/>
                <w:szCs w:val="16"/>
              </w:rPr>
              <w:t> </w:t>
            </w:r>
            <w:r>
              <w:rPr>
                <w:rFonts w:ascii="华文细黑" w:hAnsi="华文细黑" w:cs="华文细黑" w:eastAsia="华文细黑" w:hint="default"/>
                <w:sz w:val="16"/>
                <w:szCs w:val="16"/>
              </w:rPr>
              <w:t>积</w:t>
            </w:r>
          </w:p>
        </w:tc>
        <w:tc>
          <w:tcPr>
            <w:tcW w:w="84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2"/>
              <w:ind w:right="0"/>
              <w:jc w:val="left"/>
              <w:rPr>
                <w:rFonts w:ascii="华文细黑" w:hAnsi="华文细黑" w:cs="华文细黑" w:eastAsia="华文细黑" w:hint="default"/>
                <w:sz w:val="18"/>
                <w:szCs w:val="18"/>
              </w:rPr>
            </w:pPr>
          </w:p>
          <w:p>
            <w:pPr>
              <w:pStyle w:val="TableParagraph"/>
              <w:spacing w:line="309" w:lineRule="auto"/>
              <w:ind w:left="179" w:right="179"/>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一般风</w:t>
            </w:r>
            <w:r>
              <w:rPr>
                <w:rFonts w:ascii="华文细黑" w:hAnsi="华文细黑" w:cs="华文细黑" w:eastAsia="华文细黑" w:hint="default"/>
                <w:w w:val="99"/>
                <w:sz w:val="16"/>
                <w:szCs w:val="16"/>
              </w:rPr>
              <w:t> </w:t>
            </w:r>
            <w:r>
              <w:rPr>
                <w:rFonts w:ascii="华文细黑" w:hAnsi="华文细黑" w:cs="华文细黑" w:eastAsia="华文细黑" w:hint="default"/>
                <w:sz w:val="16"/>
                <w:szCs w:val="16"/>
              </w:rPr>
              <w:t>险准备</w:t>
            </w:r>
          </w:p>
        </w:tc>
        <w:tc>
          <w:tcPr>
            <w:tcW w:w="997"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2"/>
              <w:ind w:right="0"/>
              <w:jc w:val="left"/>
              <w:rPr>
                <w:rFonts w:ascii="华文细黑" w:hAnsi="华文细黑" w:cs="华文细黑" w:eastAsia="华文细黑" w:hint="default"/>
                <w:sz w:val="18"/>
                <w:szCs w:val="18"/>
              </w:rPr>
            </w:pPr>
          </w:p>
          <w:p>
            <w:pPr>
              <w:pStyle w:val="TableParagraph"/>
              <w:spacing w:line="309" w:lineRule="auto"/>
              <w:ind w:left="413" w:right="173" w:hanging="24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未分配利</w:t>
            </w:r>
            <w:r>
              <w:rPr>
                <w:rFonts w:ascii="华文细黑" w:hAnsi="华文细黑" w:cs="华文细黑" w:eastAsia="华文细黑" w:hint="default"/>
                <w:w w:val="99"/>
                <w:sz w:val="16"/>
                <w:szCs w:val="16"/>
              </w:rPr>
              <w:t> </w:t>
            </w:r>
            <w:r>
              <w:rPr>
                <w:rFonts w:ascii="华文细黑" w:hAnsi="华文细黑" w:cs="华文细黑" w:eastAsia="华文细黑" w:hint="default"/>
                <w:sz w:val="16"/>
                <w:szCs w:val="16"/>
              </w:rPr>
              <w:t>润</w:t>
            </w:r>
          </w:p>
        </w:tc>
        <w:tc>
          <w:tcPr>
            <w:tcW w:w="850" w:type="dxa"/>
            <w:vMerge/>
            <w:tcBorders>
              <w:left w:val="single" w:sz="4" w:space="0" w:color="FFC000"/>
              <w:right w:val="single" w:sz="4" w:space="0" w:color="FFC000"/>
            </w:tcBorders>
            <w:shd w:val="clear" w:color="auto" w:fill="FFF8E6"/>
          </w:tcPr>
          <w:p>
            <w:pPr/>
          </w:p>
        </w:tc>
        <w:tc>
          <w:tcPr>
            <w:tcW w:w="988" w:type="dxa"/>
            <w:vMerge/>
            <w:tcBorders>
              <w:left w:val="single" w:sz="4" w:space="0" w:color="FFC000"/>
              <w:right w:val="single" w:sz="4" w:space="0" w:color="FFC000"/>
            </w:tcBorders>
            <w:shd w:val="clear" w:color="auto" w:fill="FFF8E6"/>
          </w:tcPr>
          <w:p>
            <w:pPr/>
          </w:p>
        </w:tc>
      </w:tr>
      <w:tr>
        <w:trPr>
          <w:trHeight w:val="1160" w:hRule="exact"/>
        </w:trPr>
        <w:tc>
          <w:tcPr>
            <w:tcW w:w="1844" w:type="dxa"/>
            <w:vMerge/>
            <w:tcBorders>
              <w:left w:val="single" w:sz="4" w:space="0" w:color="FFC000"/>
              <w:bottom w:val="single" w:sz="4" w:space="0" w:color="FFC000"/>
              <w:right w:val="single" w:sz="4" w:space="0" w:color="FFC000"/>
            </w:tcBorders>
            <w:shd w:val="clear" w:color="auto" w:fill="FFF8E6"/>
          </w:tcPr>
          <w:p>
            <w:pPr/>
          </w:p>
        </w:tc>
        <w:tc>
          <w:tcPr>
            <w:tcW w:w="991" w:type="dxa"/>
            <w:vMerge/>
            <w:tcBorders>
              <w:left w:val="single" w:sz="4" w:space="0" w:color="FFC000"/>
              <w:bottom w:val="single" w:sz="4" w:space="0" w:color="FFC000"/>
              <w:right w:val="single" w:sz="4" w:space="0" w:color="FFC000"/>
            </w:tcBorders>
            <w:shd w:val="clear" w:color="auto" w:fill="FFF8E6"/>
          </w:tcPr>
          <w:p>
            <w:pPr/>
          </w:p>
        </w:tc>
        <w:tc>
          <w:tcPr>
            <w:tcW w:w="42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
              <w:ind w:right="0"/>
              <w:jc w:val="left"/>
              <w:rPr>
                <w:rFonts w:ascii="华文细黑" w:hAnsi="华文细黑" w:cs="华文细黑" w:eastAsia="华文细黑" w:hint="default"/>
                <w:sz w:val="10"/>
                <w:szCs w:val="10"/>
              </w:rPr>
            </w:pPr>
          </w:p>
          <w:p>
            <w:pPr>
              <w:pStyle w:val="TableParagraph"/>
              <w:spacing w:line="309" w:lineRule="auto"/>
              <w:ind w:left="129" w:right="127"/>
              <w:jc w:val="both"/>
              <w:rPr>
                <w:rFonts w:ascii="华文细黑" w:hAnsi="华文细黑" w:cs="华文细黑" w:eastAsia="华文细黑" w:hint="default"/>
                <w:sz w:val="16"/>
                <w:szCs w:val="16"/>
              </w:rPr>
            </w:pPr>
            <w:r>
              <w:rPr>
                <w:rFonts w:ascii="华文细黑" w:hAnsi="华文细黑" w:cs="华文细黑" w:eastAsia="华文细黑" w:hint="default"/>
                <w:sz w:val="16"/>
                <w:szCs w:val="16"/>
              </w:rPr>
              <w:t>优</w:t>
            </w:r>
            <w:r>
              <w:rPr>
                <w:rFonts w:ascii="华文细黑" w:hAnsi="华文细黑" w:cs="华文细黑" w:eastAsia="华文细黑" w:hint="default"/>
                <w:w w:val="99"/>
                <w:sz w:val="16"/>
                <w:szCs w:val="16"/>
              </w:rPr>
              <w:t> </w:t>
            </w:r>
            <w:r>
              <w:rPr>
                <w:rFonts w:ascii="华文细黑" w:hAnsi="华文细黑" w:cs="华文细黑" w:eastAsia="华文细黑" w:hint="default"/>
                <w:sz w:val="16"/>
                <w:szCs w:val="16"/>
              </w:rPr>
              <w:t>先</w:t>
            </w:r>
            <w:r>
              <w:rPr>
                <w:rFonts w:ascii="华文细黑" w:hAnsi="华文细黑" w:cs="华文细黑" w:eastAsia="华文细黑" w:hint="default"/>
                <w:w w:val="99"/>
                <w:sz w:val="16"/>
                <w:szCs w:val="16"/>
              </w:rPr>
              <w:t> </w:t>
            </w:r>
            <w:r>
              <w:rPr>
                <w:rFonts w:ascii="华文细黑" w:hAnsi="华文细黑" w:cs="华文细黑" w:eastAsia="华文细黑" w:hint="default"/>
                <w:sz w:val="16"/>
                <w:szCs w:val="16"/>
              </w:rPr>
              <w:t>股</w:t>
            </w:r>
          </w:p>
        </w:tc>
        <w:tc>
          <w:tcPr>
            <w:tcW w:w="28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
              <w:ind w:right="0"/>
              <w:jc w:val="left"/>
              <w:rPr>
                <w:rFonts w:ascii="华文细黑" w:hAnsi="华文细黑" w:cs="华文细黑" w:eastAsia="华文细黑" w:hint="default"/>
                <w:sz w:val="10"/>
                <w:szCs w:val="10"/>
              </w:rPr>
            </w:pPr>
          </w:p>
          <w:p>
            <w:pPr>
              <w:pStyle w:val="TableParagraph"/>
              <w:spacing w:line="309" w:lineRule="auto"/>
              <w:ind w:left="103" w:right="7"/>
              <w:jc w:val="both"/>
              <w:rPr>
                <w:rFonts w:ascii="华文细黑" w:hAnsi="华文细黑" w:cs="华文细黑" w:eastAsia="华文细黑" w:hint="default"/>
                <w:sz w:val="16"/>
                <w:szCs w:val="16"/>
              </w:rPr>
            </w:pPr>
            <w:r>
              <w:rPr>
                <w:rFonts w:ascii="华文细黑" w:hAnsi="华文细黑" w:cs="华文细黑" w:eastAsia="华文细黑" w:hint="default"/>
                <w:sz w:val="16"/>
                <w:szCs w:val="16"/>
              </w:rPr>
              <w:t>永</w:t>
            </w:r>
            <w:r>
              <w:rPr>
                <w:rFonts w:ascii="华文细黑" w:hAnsi="华文细黑" w:cs="华文细黑" w:eastAsia="华文细黑" w:hint="default"/>
                <w:w w:val="99"/>
                <w:sz w:val="16"/>
                <w:szCs w:val="16"/>
              </w:rPr>
              <w:t> </w:t>
            </w:r>
            <w:r>
              <w:rPr>
                <w:rFonts w:ascii="华文细黑" w:hAnsi="华文细黑" w:cs="华文细黑" w:eastAsia="华文细黑" w:hint="default"/>
                <w:sz w:val="16"/>
                <w:szCs w:val="16"/>
              </w:rPr>
              <w:t>续</w:t>
            </w:r>
            <w:r>
              <w:rPr>
                <w:rFonts w:ascii="华文细黑" w:hAnsi="华文细黑" w:cs="华文细黑" w:eastAsia="华文细黑" w:hint="default"/>
                <w:w w:val="99"/>
                <w:sz w:val="16"/>
                <w:szCs w:val="16"/>
              </w:rPr>
              <w:t> </w:t>
            </w:r>
            <w:r>
              <w:rPr>
                <w:rFonts w:ascii="华文细黑" w:hAnsi="华文细黑" w:cs="华文细黑" w:eastAsia="华文细黑" w:hint="default"/>
                <w:sz w:val="16"/>
                <w:szCs w:val="16"/>
              </w:rPr>
              <w:t>债</w:t>
            </w:r>
          </w:p>
        </w:tc>
        <w:tc>
          <w:tcPr>
            <w:tcW w:w="42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9"/>
              <w:ind w:right="0"/>
              <w:jc w:val="left"/>
              <w:rPr>
                <w:rFonts w:ascii="华文细黑" w:hAnsi="华文细黑" w:cs="华文细黑" w:eastAsia="华文细黑" w:hint="default"/>
                <w:sz w:val="20"/>
                <w:szCs w:val="20"/>
              </w:rPr>
            </w:pPr>
          </w:p>
          <w:p>
            <w:pPr>
              <w:pStyle w:val="TableParagraph"/>
              <w:spacing w:line="309" w:lineRule="auto"/>
              <w:ind w:left="128" w:right="126"/>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其</w:t>
            </w:r>
            <w:r>
              <w:rPr>
                <w:rFonts w:ascii="华文细黑" w:hAnsi="华文细黑" w:cs="华文细黑" w:eastAsia="华文细黑" w:hint="default"/>
                <w:w w:val="99"/>
                <w:sz w:val="16"/>
                <w:szCs w:val="16"/>
              </w:rPr>
              <w:t> </w:t>
            </w:r>
            <w:r>
              <w:rPr>
                <w:rFonts w:ascii="华文细黑" w:hAnsi="华文细黑" w:cs="华文细黑" w:eastAsia="华文细黑" w:hint="default"/>
                <w:sz w:val="16"/>
                <w:szCs w:val="16"/>
              </w:rPr>
              <w:t>他</w:t>
            </w:r>
          </w:p>
        </w:tc>
        <w:tc>
          <w:tcPr>
            <w:tcW w:w="993" w:type="dxa"/>
            <w:vMerge/>
            <w:tcBorders>
              <w:left w:val="single" w:sz="4" w:space="0" w:color="FFC000"/>
              <w:bottom w:val="single" w:sz="4" w:space="0" w:color="FFC000"/>
              <w:right w:val="single" w:sz="4" w:space="0" w:color="FFC000"/>
            </w:tcBorders>
            <w:shd w:val="clear" w:color="auto" w:fill="FFF8E6"/>
          </w:tcPr>
          <w:p>
            <w:pPr/>
          </w:p>
        </w:tc>
        <w:tc>
          <w:tcPr>
            <w:tcW w:w="427" w:type="dxa"/>
            <w:vMerge/>
            <w:tcBorders>
              <w:left w:val="single" w:sz="4" w:space="0" w:color="FFC000"/>
              <w:bottom w:val="single" w:sz="4" w:space="0" w:color="FFC000"/>
              <w:right w:val="single" w:sz="4" w:space="0" w:color="FFC000"/>
            </w:tcBorders>
            <w:shd w:val="clear" w:color="auto" w:fill="FFF8E6"/>
          </w:tcPr>
          <w:p>
            <w:pPr/>
          </w:p>
        </w:tc>
        <w:tc>
          <w:tcPr>
            <w:tcW w:w="860" w:type="dxa"/>
            <w:vMerge/>
            <w:tcBorders>
              <w:left w:val="single" w:sz="4" w:space="0" w:color="FFC000"/>
              <w:bottom w:val="single" w:sz="4" w:space="0" w:color="FFC000"/>
              <w:right w:val="single" w:sz="4" w:space="0" w:color="FFC000"/>
            </w:tcBorders>
            <w:shd w:val="clear" w:color="auto" w:fill="FFF8E6"/>
          </w:tcPr>
          <w:p>
            <w:pPr/>
          </w:p>
        </w:tc>
        <w:tc>
          <w:tcPr>
            <w:tcW w:w="416" w:type="dxa"/>
            <w:vMerge/>
            <w:tcBorders>
              <w:left w:val="single" w:sz="4" w:space="0" w:color="FFC000"/>
              <w:bottom w:val="single" w:sz="4" w:space="0" w:color="FFC000"/>
              <w:right w:val="single" w:sz="4" w:space="0" w:color="FFC000"/>
            </w:tcBorders>
            <w:shd w:val="clear" w:color="auto" w:fill="FFF8E6"/>
          </w:tcPr>
          <w:p>
            <w:pPr/>
          </w:p>
        </w:tc>
        <w:tc>
          <w:tcPr>
            <w:tcW w:w="850" w:type="dxa"/>
            <w:vMerge/>
            <w:tcBorders>
              <w:left w:val="single" w:sz="4" w:space="0" w:color="FFC000"/>
              <w:bottom w:val="single" w:sz="4" w:space="0" w:color="FFC000"/>
              <w:right w:val="single" w:sz="4" w:space="0" w:color="FFC000"/>
            </w:tcBorders>
            <w:shd w:val="clear" w:color="auto" w:fill="FFF8E6"/>
          </w:tcPr>
          <w:p>
            <w:pPr/>
          </w:p>
        </w:tc>
        <w:tc>
          <w:tcPr>
            <w:tcW w:w="849" w:type="dxa"/>
            <w:vMerge/>
            <w:tcBorders>
              <w:left w:val="single" w:sz="4" w:space="0" w:color="FFC000"/>
              <w:bottom w:val="single" w:sz="4" w:space="0" w:color="FFC000"/>
              <w:right w:val="single" w:sz="4" w:space="0" w:color="FFC000"/>
            </w:tcBorders>
            <w:shd w:val="clear" w:color="auto" w:fill="FFF8E6"/>
          </w:tcPr>
          <w:p>
            <w:pPr/>
          </w:p>
        </w:tc>
        <w:tc>
          <w:tcPr>
            <w:tcW w:w="997" w:type="dxa"/>
            <w:vMerge/>
            <w:tcBorders>
              <w:left w:val="single" w:sz="4" w:space="0" w:color="FFC000"/>
              <w:bottom w:val="single" w:sz="4" w:space="0" w:color="FFC000"/>
              <w:right w:val="single" w:sz="4" w:space="0" w:color="FFC000"/>
            </w:tcBorders>
            <w:shd w:val="clear" w:color="auto" w:fill="FFF8E6"/>
          </w:tcPr>
          <w:p>
            <w:pPr/>
          </w:p>
        </w:tc>
        <w:tc>
          <w:tcPr>
            <w:tcW w:w="850" w:type="dxa"/>
            <w:vMerge/>
            <w:tcBorders>
              <w:left w:val="single" w:sz="4" w:space="0" w:color="FFC000"/>
              <w:bottom w:val="single" w:sz="4" w:space="0" w:color="FFC000"/>
              <w:right w:val="single" w:sz="4" w:space="0" w:color="FFC000"/>
            </w:tcBorders>
            <w:shd w:val="clear" w:color="auto" w:fill="FFF8E6"/>
          </w:tcPr>
          <w:p>
            <w:pPr/>
          </w:p>
        </w:tc>
        <w:tc>
          <w:tcPr>
            <w:tcW w:w="988" w:type="dxa"/>
            <w:vMerge/>
            <w:tcBorders>
              <w:left w:val="single" w:sz="4" w:space="0" w:color="FFC000"/>
              <w:bottom w:val="single" w:sz="4" w:space="0" w:color="FFC000"/>
              <w:right w:val="single" w:sz="4" w:space="0" w:color="FFC000"/>
            </w:tcBorders>
            <w:shd w:val="clear" w:color="auto" w:fill="FFF8E6"/>
          </w:tcPr>
          <w:p>
            <w:pPr/>
          </w:p>
        </w:tc>
      </w:tr>
      <w:tr>
        <w:trPr>
          <w:trHeight w:val="670" w:hRule="exact"/>
        </w:trPr>
        <w:tc>
          <w:tcPr>
            <w:tcW w:w="18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
              <w:ind w:right="0"/>
              <w:jc w:val="left"/>
              <w:rPr>
                <w:rFonts w:ascii="华文细黑" w:hAnsi="华文细黑" w:cs="华文细黑" w:eastAsia="华文细黑" w:hint="default"/>
                <w:sz w:val="13"/>
                <w:szCs w:val="13"/>
              </w:rPr>
            </w:pPr>
          </w:p>
          <w:p>
            <w:pPr>
              <w:pStyle w:val="TableParagraph"/>
              <w:spacing w:line="240" w:lineRule="auto"/>
              <w:ind w:left="104"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一、上年期末余额</w:t>
            </w:r>
          </w:p>
        </w:tc>
        <w:tc>
          <w:tcPr>
            <w:tcW w:w="9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4" w:right="0"/>
              <w:jc w:val="left"/>
              <w:rPr>
                <w:rFonts w:ascii="华文细黑" w:hAnsi="华文细黑" w:cs="华文细黑" w:eastAsia="华文细黑" w:hint="default"/>
                <w:sz w:val="16"/>
                <w:szCs w:val="16"/>
              </w:rPr>
            </w:pPr>
            <w:r>
              <w:rPr>
                <w:rFonts w:ascii="华文细黑"/>
                <w:sz w:val="16"/>
              </w:rPr>
              <w:t>1,032,734,</w:t>
            </w:r>
          </w:p>
          <w:p>
            <w:pPr>
              <w:pStyle w:val="TableParagraph"/>
              <w:spacing w:line="240" w:lineRule="auto" w:before="64"/>
              <w:ind w:left="391" w:right="0"/>
              <w:jc w:val="left"/>
              <w:rPr>
                <w:rFonts w:ascii="华文细黑" w:hAnsi="华文细黑" w:cs="华文细黑" w:eastAsia="华文细黑" w:hint="default"/>
                <w:sz w:val="16"/>
                <w:szCs w:val="16"/>
              </w:rPr>
            </w:pPr>
            <w:r>
              <w:rPr>
                <w:rFonts w:ascii="华文细黑"/>
                <w:sz w:val="16"/>
              </w:rPr>
              <w:t>839.00</w:t>
            </w: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5" w:right="0"/>
              <w:jc w:val="left"/>
              <w:rPr>
                <w:rFonts w:ascii="华文细黑" w:hAnsi="华文细黑" w:cs="华文细黑" w:eastAsia="华文细黑" w:hint="default"/>
                <w:sz w:val="16"/>
                <w:szCs w:val="16"/>
              </w:rPr>
            </w:pPr>
            <w:r>
              <w:rPr>
                <w:rFonts w:ascii="华文细黑"/>
                <w:sz w:val="16"/>
              </w:rPr>
              <w:t>1,828,177,</w:t>
            </w:r>
          </w:p>
          <w:p>
            <w:pPr>
              <w:pStyle w:val="TableParagraph"/>
              <w:spacing w:line="240" w:lineRule="auto" w:before="64"/>
              <w:ind w:left="392" w:right="0"/>
              <w:jc w:val="left"/>
              <w:rPr>
                <w:rFonts w:ascii="华文细黑" w:hAnsi="华文细黑" w:cs="华文细黑" w:eastAsia="华文细黑" w:hint="default"/>
                <w:sz w:val="16"/>
                <w:szCs w:val="16"/>
              </w:rPr>
            </w:pPr>
            <w:r>
              <w:rPr>
                <w:rFonts w:ascii="华文细黑"/>
                <w:sz w:val="16"/>
              </w:rPr>
              <w:t>838.61</w:t>
            </w: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25" w:right="0"/>
              <w:jc w:val="center"/>
              <w:rPr>
                <w:rFonts w:ascii="华文细黑" w:hAnsi="华文细黑" w:cs="华文细黑" w:eastAsia="华文细黑" w:hint="default"/>
                <w:sz w:val="16"/>
                <w:szCs w:val="16"/>
              </w:rPr>
            </w:pPr>
            <w:r>
              <w:rPr>
                <w:rFonts w:ascii="华文细黑"/>
                <w:sz w:val="16"/>
              </w:rPr>
              <w:t>276,612,</w:t>
            </w:r>
          </w:p>
          <w:p>
            <w:pPr>
              <w:pStyle w:val="TableParagraph"/>
              <w:spacing w:line="240" w:lineRule="auto" w:before="64"/>
              <w:ind w:left="158" w:right="0"/>
              <w:jc w:val="center"/>
              <w:rPr>
                <w:rFonts w:ascii="华文细黑" w:hAnsi="华文细黑" w:cs="华文细黑" w:eastAsia="华文细黑" w:hint="default"/>
                <w:sz w:val="16"/>
                <w:szCs w:val="16"/>
              </w:rPr>
            </w:pPr>
            <w:r>
              <w:rPr>
                <w:rFonts w:ascii="华文细黑"/>
                <w:sz w:val="16"/>
              </w:rPr>
              <w:t>980.91</w:t>
            </w: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 w:right="0"/>
              <w:jc w:val="center"/>
              <w:rPr>
                <w:rFonts w:ascii="华文细黑" w:hAnsi="华文细黑" w:cs="华文细黑" w:eastAsia="华文细黑" w:hint="default"/>
                <w:sz w:val="16"/>
                <w:szCs w:val="16"/>
              </w:rPr>
            </w:pPr>
            <w:r>
              <w:rPr>
                <w:rFonts w:ascii="华文细黑"/>
                <w:sz w:val="16"/>
              </w:rPr>
              <w:t>231,230,</w:t>
            </w:r>
          </w:p>
          <w:p>
            <w:pPr>
              <w:pStyle w:val="TableParagraph"/>
              <w:spacing w:line="240" w:lineRule="auto" w:before="64"/>
              <w:ind w:left="145" w:right="0"/>
              <w:jc w:val="center"/>
              <w:rPr>
                <w:rFonts w:ascii="华文细黑" w:hAnsi="华文细黑" w:cs="华文细黑" w:eastAsia="华文细黑" w:hint="default"/>
                <w:sz w:val="16"/>
                <w:szCs w:val="16"/>
              </w:rPr>
            </w:pPr>
            <w:r>
              <w:rPr>
                <w:rFonts w:ascii="华文细黑"/>
                <w:sz w:val="16"/>
              </w:rPr>
              <w:t>039.57</w:t>
            </w: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30" w:right="0"/>
              <w:jc w:val="left"/>
              <w:rPr>
                <w:rFonts w:ascii="华文细黑" w:hAnsi="华文细黑" w:cs="华文细黑" w:eastAsia="华文细黑" w:hint="default"/>
                <w:sz w:val="16"/>
                <w:szCs w:val="16"/>
              </w:rPr>
            </w:pPr>
            <w:r>
              <w:rPr>
                <w:rFonts w:ascii="华文细黑"/>
                <w:sz w:val="16"/>
              </w:rPr>
              <w:t>1,902,232,</w:t>
            </w:r>
          </w:p>
          <w:p>
            <w:pPr>
              <w:pStyle w:val="TableParagraph"/>
              <w:spacing w:line="240" w:lineRule="auto" w:before="64"/>
              <w:ind w:left="397" w:right="0"/>
              <w:jc w:val="left"/>
              <w:rPr>
                <w:rFonts w:ascii="华文细黑" w:hAnsi="华文细黑" w:cs="华文细黑" w:eastAsia="华文细黑" w:hint="default"/>
                <w:sz w:val="16"/>
                <w:szCs w:val="16"/>
              </w:rPr>
            </w:pPr>
            <w:r>
              <w:rPr>
                <w:rFonts w:ascii="华文细黑"/>
                <w:sz w:val="16"/>
              </w:rPr>
              <w:t>806.42</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 w:right="0"/>
              <w:jc w:val="center"/>
              <w:rPr>
                <w:rFonts w:ascii="华文细黑" w:hAnsi="华文细黑" w:cs="华文细黑" w:eastAsia="华文细黑" w:hint="default"/>
                <w:sz w:val="16"/>
                <w:szCs w:val="16"/>
              </w:rPr>
            </w:pPr>
            <w:r>
              <w:rPr>
                <w:rFonts w:ascii="华文细黑"/>
                <w:sz w:val="16"/>
              </w:rPr>
              <w:t>134,362,</w:t>
            </w:r>
          </w:p>
          <w:p>
            <w:pPr>
              <w:pStyle w:val="TableParagraph"/>
              <w:spacing w:line="240" w:lineRule="auto" w:before="64"/>
              <w:ind w:left="145" w:right="0"/>
              <w:jc w:val="center"/>
              <w:rPr>
                <w:rFonts w:ascii="华文细黑" w:hAnsi="华文细黑" w:cs="华文细黑" w:eastAsia="华文细黑" w:hint="default"/>
                <w:sz w:val="16"/>
                <w:szCs w:val="16"/>
              </w:rPr>
            </w:pPr>
            <w:r>
              <w:rPr>
                <w:rFonts w:ascii="华文细黑"/>
                <w:sz w:val="16"/>
              </w:rPr>
              <w:t>818.30</w:t>
            </w:r>
          </w:p>
        </w:tc>
        <w:tc>
          <w:tcPr>
            <w:tcW w:w="9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1" w:right="0"/>
              <w:jc w:val="left"/>
              <w:rPr>
                <w:rFonts w:ascii="华文细黑" w:hAnsi="华文细黑" w:cs="华文细黑" w:eastAsia="华文细黑" w:hint="default"/>
                <w:sz w:val="16"/>
                <w:szCs w:val="16"/>
              </w:rPr>
            </w:pPr>
            <w:r>
              <w:rPr>
                <w:rFonts w:ascii="华文细黑"/>
                <w:sz w:val="16"/>
              </w:rPr>
              <w:t>5,405,351,</w:t>
            </w:r>
          </w:p>
          <w:p>
            <w:pPr>
              <w:pStyle w:val="TableParagraph"/>
              <w:spacing w:line="240" w:lineRule="auto" w:before="64"/>
              <w:ind w:left="387" w:right="0"/>
              <w:jc w:val="left"/>
              <w:rPr>
                <w:rFonts w:ascii="华文细黑" w:hAnsi="华文细黑" w:cs="华文细黑" w:eastAsia="华文细黑" w:hint="default"/>
                <w:sz w:val="16"/>
                <w:szCs w:val="16"/>
              </w:rPr>
            </w:pPr>
            <w:r>
              <w:rPr>
                <w:rFonts w:ascii="华文细黑"/>
                <w:sz w:val="16"/>
              </w:rPr>
              <w:t>322.81</w:t>
            </w:r>
          </w:p>
        </w:tc>
      </w:tr>
      <w:tr>
        <w:trPr>
          <w:trHeight w:val="380" w:hRule="exact"/>
        </w:trPr>
        <w:tc>
          <w:tcPr>
            <w:tcW w:w="18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7"/>
              <w:ind w:left="104"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加：会计政策变更</w:t>
            </w:r>
          </w:p>
        </w:tc>
        <w:tc>
          <w:tcPr>
            <w:tcW w:w="991"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18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6"/>
              <w:ind w:left="104"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前期差错更正</w:t>
            </w:r>
          </w:p>
        </w:tc>
        <w:tc>
          <w:tcPr>
            <w:tcW w:w="991"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379" w:hRule="exact"/>
        </w:trPr>
        <w:tc>
          <w:tcPr>
            <w:tcW w:w="18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6"/>
              <w:ind w:left="104"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同一控制下企业合并</w:t>
            </w:r>
          </w:p>
        </w:tc>
        <w:tc>
          <w:tcPr>
            <w:tcW w:w="991"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18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7"/>
              <w:ind w:right="24"/>
              <w:jc w:val="center"/>
              <w:rPr>
                <w:rFonts w:ascii="华文细黑" w:hAnsi="华文细黑" w:cs="华文细黑" w:eastAsia="华文细黑" w:hint="default"/>
                <w:sz w:val="16"/>
                <w:szCs w:val="16"/>
              </w:rPr>
            </w:pPr>
            <w:r>
              <w:rPr>
                <w:rFonts w:ascii="华文细黑" w:hAnsi="华文细黑" w:cs="华文细黑" w:eastAsia="华文细黑" w:hint="default"/>
                <w:sz w:val="16"/>
                <w:szCs w:val="16"/>
              </w:rPr>
              <w:t>其他</w:t>
            </w:r>
          </w:p>
        </w:tc>
        <w:tc>
          <w:tcPr>
            <w:tcW w:w="991"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670" w:hRule="exact"/>
        </w:trPr>
        <w:tc>
          <w:tcPr>
            <w:tcW w:w="18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
              <w:ind w:right="0"/>
              <w:jc w:val="left"/>
              <w:rPr>
                <w:rFonts w:ascii="华文细黑" w:hAnsi="华文细黑" w:cs="华文细黑" w:eastAsia="华文细黑" w:hint="default"/>
                <w:sz w:val="13"/>
                <w:szCs w:val="13"/>
              </w:rPr>
            </w:pPr>
          </w:p>
          <w:p>
            <w:pPr>
              <w:pStyle w:val="TableParagraph"/>
              <w:spacing w:line="240" w:lineRule="auto"/>
              <w:ind w:left="104"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二、本年期初余额</w:t>
            </w:r>
          </w:p>
        </w:tc>
        <w:tc>
          <w:tcPr>
            <w:tcW w:w="9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4" w:right="0"/>
              <w:jc w:val="left"/>
              <w:rPr>
                <w:rFonts w:ascii="华文细黑" w:hAnsi="华文细黑" w:cs="华文细黑" w:eastAsia="华文细黑" w:hint="default"/>
                <w:sz w:val="16"/>
                <w:szCs w:val="16"/>
              </w:rPr>
            </w:pPr>
            <w:r>
              <w:rPr>
                <w:rFonts w:ascii="华文细黑"/>
                <w:sz w:val="16"/>
              </w:rPr>
              <w:t>1,032,734,</w:t>
            </w:r>
          </w:p>
          <w:p>
            <w:pPr>
              <w:pStyle w:val="TableParagraph"/>
              <w:spacing w:line="240" w:lineRule="auto" w:before="64"/>
              <w:ind w:left="391" w:right="0"/>
              <w:jc w:val="left"/>
              <w:rPr>
                <w:rFonts w:ascii="华文细黑" w:hAnsi="华文细黑" w:cs="华文细黑" w:eastAsia="华文细黑" w:hint="default"/>
                <w:sz w:val="16"/>
                <w:szCs w:val="16"/>
              </w:rPr>
            </w:pPr>
            <w:r>
              <w:rPr>
                <w:rFonts w:ascii="华文细黑"/>
                <w:sz w:val="16"/>
              </w:rPr>
              <w:t>839.00</w:t>
            </w: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5" w:right="0"/>
              <w:jc w:val="left"/>
              <w:rPr>
                <w:rFonts w:ascii="华文细黑" w:hAnsi="华文细黑" w:cs="华文细黑" w:eastAsia="华文细黑" w:hint="default"/>
                <w:sz w:val="16"/>
                <w:szCs w:val="16"/>
              </w:rPr>
            </w:pPr>
            <w:r>
              <w:rPr>
                <w:rFonts w:ascii="华文细黑"/>
                <w:sz w:val="16"/>
              </w:rPr>
              <w:t>1,828,177,</w:t>
            </w:r>
          </w:p>
          <w:p>
            <w:pPr>
              <w:pStyle w:val="TableParagraph"/>
              <w:spacing w:line="240" w:lineRule="auto" w:before="64"/>
              <w:ind w:left="392" w:right="0"/>
              <w:jc w:val="left"/>
              <w:rPr>
                <w:rFonts w:ascii="华文细黑" w:hAnsi="华文细黑" w:cs="华文细黑" w:eastAsia="华文细黑" w:hint="default"/>
                <w:sz w:val="16"/>
                <w:szCs w:val="16"/>
              </w:rPr>
            </w:pPr>
            <w:r>
              <w:rPr>
                <w:rFonts w:ascii="华文细黑"/>
                <w:sz w:val="16"/>
              </w:rPr>
              <w:t>838.61</w:t>
            </w: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25" w:right="0"/>
              <w:jc w:val="center"/>
              <w:rPr>
                <w:rFonts w:ascii="华文细黑" w:hAnsi="华文细黑" w:cs="华文细黑" w:eastAsia="华文细黑" w:hint="default"/>
                <w:sz w:val="16"/>
                <w:szCs w:val="16"/>
              </w:rPr>
            </w:pPr>
            <w:r>
              <w:rPr>
                <w:rFonts w:ascii="华文细黑"/>
                <w:sz w:val="16"/>
              </w:rPr>
              <w:t>276,612,</w:t>
            </w:r>
          </w:p>
          <w:p>
            <w:pPr>
              <w:pStyle w:val="TableParagraph"/>
              <w:spacing w:line="240" w:lineRule="auto" w:before="64"/>
              <w:ind w:left="158" w:right="0"/>
              <w:jc w:val="center"/>
              <w:rPr>
                <w:rFonts w:ascii="华文细黑" w:hAnsi="华文细黑" w:cs="华文细黑" w:eastAsia="华文细黑" w:hint="default"/>
                <w:sz w:val="16"/>
                <w:szCs w:val="16"/>
              </w:rPr>
            </w:pPr>
            <w:r>
              <w:rPr>
                <w:rFonts w:ascii="华文细黑"/>
                <w:sz w:val="16"/>
              </w:rPr>
              <w:t>980.91</w:t>
            </w: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 w:right="0"/>
              <w:jc w:val="center"/>
              <w:rPr>
                <w:rFonts w:ascii="华文细黑" w:hAnsi="华文细黑" w:cs="华文细黑" w:eastAsia="华文细黑" w:hint="default"/>
                <w:sz w:val="16"/>
                <w:szCs w:val="16"/>
              </w:rPr>
            </w:pPr>
            <w:r>
              <w:rPr>
                <w:rFonts w:ascii="华文细黑"/>
                <w:sz w:val="16"/>
              </w:rPr>
              <w:t>231,230,</w:t>
            </w:r>
          </w:p>
          <w:p>
            <w:pPr>
              <w:pStyle w:val="TableParagraph"/>
              <w:spacing w:line="240" w:lineRule="auto" w:before="64"/>
              <w:ind w:left="145" w:right="0"/>
              <w:jc w:val="center"/>
              <w:rPr>
                <w:rFonts w:ascii="华文细黑" w:hAnsi="华文细黑" w:cs="华文细黑" w:eastAsia="华文细黑" w:hint="default"/>
                <w:sz w:val="16"/>
                <w:szCs w:val="16"/>
              </w:rPr>
            </w:pPr>
            <w:r>
              <w:rPr>
                <w:rFonts w:ascii="华文细黑"/>
                <w:sz w:val="16"/>
              </w:rPr>
              <w:t>039.57</w:t>
            </w: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30" w:right="0"/>
              <w:jc w:val="left"/>
              <w:rPr>
                <w:rFonts w:ascii="华文细黑" w:hAnsi="华文细黑" w:cs="华文细黑" w:eastAsia="华文细黑" w:hint="default"/>
                <w:sz w:val="16"/>
                <w:szCs w:val="16"/>
              </w:rPr>
            </w:pPr>
            <w:r>
              <w:rPr>
                <w:rFonts w:ascii="华文细黑"/>
                <w:sz w:val="16"/>
              </w:rPr>
              <w:t>1,902,232,</w:t>
            </w:r>
          </w:p>
          <w:p>
            <w:pPr>
              <w:pStyle w:val="TableParagraph"/>
              <w:spacing w:line="240" w:lineRule="auto" w:before="64"/>
              <w:ind w:left="397" w:right="0"/>
              <w:jc w:val="left"/>
              <w:rPr>
                <w:rFonts w:ascii="华文细黑" w:hAnsi="华文细黑" w:cs="华文细黑" w:eastAsia="华文细黑" w:hint="default"/>
                <w:sz w:val="16"/>
                <w:szCs w:val="16"/>
              </w:rPr>
            </w:pPr>
            <w:r>
              <w:rPr>
                <w:rFonts w:ascii="华文细黑"/>
                <w:sz w:val="16"/>
              </w:rPr>
              <w:t>806.42</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 w:right="0"/>
              <w:jc w:val="center"/>
              <w:rPr>
                <w:rFonts w:ascii="华文细黑" w:hAnsi="华文细黑" w:cs="华文细黑" w:eastAsia="华文细黑" w:hint="default"/>
                <w:sz w:val="16"/>
                <w:szCs w:val="16"/>
              </w:rPr>
            </w:pPr>
            <w:r>
              <w:rPr>
                <w:rFonts w:ascii="华文细黑"/>
                <w:sz w:val="16"/>
              </w:rPr>
              <w:t>134,362,</w:t>
            </w:r>
          </w:p>
          <w:p>
            <w:pPr>
              <w:pStyle w:val="TableParagraph"/>
              <w:spacing w:line="240" w:lineRule="auto" w:before="64"/>
              <w:ind w:left="145" w:right="0"/>
              <w:jc w:val="center"/>
              <w:rPr>
                <w:rFonts w:ascii="华文细黑" w:hAnsi="华文细黑" w:cs="华文细黑" w:eastAsia="华文细黑" w:hint="default"/>
                <w:sz w:val="16"/>
                <w:szCs w:val="16"/>
              </w:rPr>
            </w:pPr>
            <w:r>
              <w:rPr>
                <w:rFonts w:ascii="华文细黑"/>
                <w:sz w:val="16"/>
              </w:rPr>
              <w:t>818.30</w:t>
            </w:r>
          </w:p>
        </w:tc>
        <w:tc>
          <w:tcPr>
            <w:tcW w:w="9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1" w:right="0"/>
              <w:jc w:val="left"/>
              <w:rPr>
                <w:rFonts w:ascii="华文细黑" w:hAnsi="华文细黑" w:cs="华文细黑" w:eastAsia="华文细黑" w:hint="default"/>
                <w:sz w:val="16"/>
                <w:szCs w:val="16"/>
              </w:rPr>
            </w:pPr>
            <w:r>
              <w:rPr>
                <w:rFonts w:ascii="华文细黑"/>
                <w:sz w:val="16"/>
              </w:rPr>
              <w:t>5,405,351,</w:t>
            </w:r>
          </w:p>
          <w:p>
            <w:pPr>
              <w:pStyle w:val="TableParagraph"/>
              <w:spacing w:line="240" w:lineRule="auto" w:before="64"/>
              <w:ind w:left="387" w:right="0"/>
              <w:jc w:val="left"/>
              <w:rPr>
                <w:rFonts w:ascii="华文细黑" w:hAnsi="华文细黑" w:cs="华文细黑" w:eastAsia="华文细黑" w:hint="default"/>
                <w:sz w:val="16"/>
                <w:szCs w:val="16"/>
              </w:rPr>
            </w:pPr>
            <w:r>
              <w:rPr>
                <w:rFonts w:ascii="华文细黑"/>
                <w:sz w:val="16"/>
              </w:rPr>
              <w:t>322.81</w:t>
            </w:r>
          </w:p>
        </w:tc>
      </w:tr>
      <w:tr>
        <w:trPr>
          <w:trHeight w:val="671" w:hRule="exact"/>
        </w:trPr>
        <w:tc>
          <w:tcPr>
            <w:tcW w:w="18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7"/>
              <w:ind w:left="104"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三、本期增减变动金额</w:t>
            </w:r>
          </w:p>
          <w:p>
            <w:pPr>
              <w:pStyle w:val="TableParagraph"/>
              <w:spacing w:line="240" w:lineRule="auto" w:before="64"/>
              <w:ind w:left="104" w:right="0"/>
              <w:jc w:val="left"/>
              <w:rPr>
                <w:rFonts w:ascii="华文细黑" w:hAnsi="华文细黑" w:cs="华文细黑" w:eastAsia="华文细黑" w:hint="default"/>
                <w:sz w:val="16"/>
                <w:szCs w:val="16"/>
              </w:rPr>
            </w:pPr>
            <w:r>
              <w:rPr>
                <w:rFonts w:ascii="华文细黑" w:hAnsi="华文细黑" w:cs="华文细黑" w:eastAsia="华文细黑" w:hint="default"/>
                <w:spacing w:val="-5"/>
                <w:sz w:val="16"/>
                <w:szCs w:val="16"/>
              </w:rPr>
              <w:t>（减少以“－”号填列）</w:t>
            </w:r>
          </w:p>
        </w:tc>
        <w:tc>
          <w:tcPr>
            <w:tcW w:w="991"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right="100"/>
              <w:jc w:val="right"/>
              <w:rPr>
                <w:rFonts w:ascii="华文细黑" w:hAnsi="华文细黑" w:cs="华文细黑" w:eastAsia="华文细黑" w:hint="default"/>
                <w:sz w:val="16"/>
                <w:szCs w:val="16"/>
              </w:rPr>
            </w:pPr>
            <w:r>
              <w:rPr>
                <w:rFonts w:ascii="华文细黑"/>
                <w:w w:val="95"/>
                <w:sz w:val="16"/>
              </w:rPr>
              <w:t>191,857.0</w:t>
            </w:r>
            <w:r>
              <w:rPr>
                <w:rFonts w:ascii="华文细黑"/>
                <w:sz w:val="16"/>
              </w:rPr>
            </w:r>
          </w:p>
          <w:p>
            <w:pPr>
              <w:pStyle w:val="TableParagraph"/>
              <w:spacing w:line="240" w:lineRule="auto" w:before="64"/>
              <w:ind w:right="101"/>
              <w:jc w:val="right"/>
              <w:rPr>
                <w:rFonts w:ascii="华文细黑" w:hAnsi="华文细黑" w:cs="华文细黑" w:eastAsia="华文细黑" w:hint="default"/>
                <w:sz w:val="16"/>
                <w:szCs w:val="16"/>
              </w:rPr>
            </w:pPr>
            <w:r>
              <w:rPr>
                <w:rFonts w:ascii="华文细黑"/>
                <w:w w:val="99"/>
                <w:sz w:val="16"/>
              </w:rPr>
              <w:t>8</w:t>
            </w:r>
            <w:r>
              <w:rPr>
                <w:rFonts w:ascii="华文细黑"/>
                <w:sz w:val="16"/>
              </w:rPr>
            </w: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18" w:right="0"/>
              <w:jc w:val="left"/>
              <w:rPr>
                <w:rFonts w:ascii="华文细黑" w:hAnsi="华文细黑" w:cs="华文细黑" w:eastAsia="华文细黑" w:hint="default"/>
                <w:sz w:val="16"/>
                <w:szCs w:val="16"/>
              </w:rPr>
            </w:pPr>
            <w:r>
              <w:rPr>
                <w:rFonts w:ascii="华文细黑"/>
                <w:sz w:val="16"/>
              </w:rPr>
              <w:t>-108,860</w:t>
            </w:r>
          </w:p>
          <w:p>
            <w:pPr>
              <w:pStyle w:val="TableParagraph"/>
              <w:spacing w:line="240" w:lineRule="auto" w:before="64"/>
              <w:ind w:left="215" w:right="0"/>
              <w:jc w:val="left"/>
              <w:rPr>
                <w:rFonts w:ascii="华文细黑" w:hAnsi="华文细黑" w:cs="华文细黑" w:eastAsia="华文细黑" w:hint="default"/>
                <w:sz w:val="16"/>
                <w:szCs w:val="16"/>
              </w:rPr>
            </w:pPr>
            <w:r>
              <w:rPr>
                <w:rFonts w:ascii="华文细黑"/>
                <w:sz w:val="16"/>
              </w:rPr>
              <w:t>,571.96</w:t>
            </w: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15" w:right="0"/>
              <w:jc w:val="left"/>
              <w:rPr>
                <w:rFonts w:ascii="华文细黑" w:hAnsi="华文细黑" w:cs="华文细黑" w:eastAsia="华文细黑" w:hint="default"/>
                <w:sz w:val="16"/>
                <w:szCs w:val="16"/>
              </w:rPr>
            </w:pPr>
            <w:r>
              <w:rPr>
                <w:rFonts w:ascii="华文细黑"/>
                <w:sz w:val="16"/>
              </w:rPr>
              <w:t>15,613,0</w:t>
            </w:r>
          </w:p>
          <w:p>
            <w:pPr>
              <w:pStyle w:val="TableParagraph"/>
              <w:spacing w:line="240" w:lineRule="auto" w:before="64"/>
              <w:ind w:left="337" w:right="0"/>
              <w:jc w:val="left"/>
              <w:rPr>
                <w:rFonts w:ascii="华文细黑" w:hAnsi="华文细黑" w:cs="华文细黑" w:eastAsia="华文细黑" w:hint="default"/>
                <w:sz w:val="16"/>
                <w:szCs w:val="16"/>
              </w:rPr>
            </w:pPr>
            <w:r>
              <w:rPr>
                <w:rFonts w:ascii="华文细黑"/>
                <w:sz w:val="16"/>
              </w:rPr>
              <w:t>82.63</w:t>
            </w:r>
          </w:p>
        </w:tc>
        <w:tc>
          <w:tcPr>
            <w:tcW w:w="84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15" w:right="0"/>
              <w:jc w:val="left"/>
              <w:rPr>
                <w:rFonts w:ascii="华文细黑" w:hAnsi="华文细黑" w:cs="华文细黑" w:eastAsia="华文细黑" w:hint="default"/>
                <w:sz w:val="16"/>
                <w:szCs w:val="16"/>
              </w:rPr>
            </w:pPr>
            <w:r>
              <w:rPr>
                <w:rFonts w:ascii="华文细黑"/>
                <w:sz w:val="16"/>
              </w:rPr>
              <w:t>14,732,8</w:t>
            </w:r>
          </w:p>
          <w:p>
            <w:pPr>
              <w:pStyle w:val="TableParagraph"/>
              <w:spacing w:line="240" w:lineRule="auto" w:before="64"/>
              <w:ind w:left="337" w:right="0"/>
              <w:jc w:val="left"/>
              <w:rPr>
                <w:rFonts w:ascii="华文细黑" w:hAnsi="华文细黑" w:cs="华文细黑" w:eastAsia="华文细黑" w:hint="default"/>
                <w:sz w:val="16"/>
                <w:szCs w:val="16"/>
              </w:rPr>
            </w:pPr>
            <w:r>
              <w:rPr>
                <w:rFonts w:ascii="华文细黑"/>
                <w:sz w:val="16"/>
              </w:rPr>
              <w:t>77.61</w:t>
            </w:r>
          </w:p>
        </w:tc>
        <w:tc>
          <w:tcPr>
            <w:tcW w:w="9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75" w:right="0"/>
              <w:jc w:val="left"/>
              <w:rPr>
                <w:rFonts w:ascii="华文细黑" w:hAnsi="华文细黑" w:cs="华文细黑" w:eastAsia="华文细黑" w:hint="default"/>
                <w:sz w:val="16"/>
                <w:szCs w:val="16"/>
              </w:rPr>
            </w:pPr>
            <w:r>
              <w:rPr>
                <w:rFonts w:ascii="华文细黑"/>
                <w:sz w:val="16"/>
              </w:rPr>
              <w:t>193,711,4</w:t>
            </w:r>
          </w:p>
          <w:p>
            <w:pPr>
              <w:pStyle w:val="TableParagraph"/>
              <w:spacing w:line="240" w:lineRule="auto" w:before="64"/>
              <w:ind w:left="485" w:right="0"/>
              <w:jc w:val="left"/>
              <w:rPr>
                <w:rFonts w:ascii="华文细黑" w:hAnsi="华文细黑" w:cs="华文细黑" w:eastAsia="华文细黑" w:hint="default"/>
                <w:sz w:val="16"/>
                <w:szCs w:val="16"/>
              </w:rPr>
            </w:pPr>
            <w:r>
              <w:rPr>
                <w:rFonts w:ascii="华文细黑"/>
                <w:sz w:val="16"/>
              </w:rPr>
              <w:t>32.97</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15" w:right="0"/>
              <w:jc w:val="left"/>
              <w:rPr>
                <w:rFonts w:ascii="华文细黑" w:hAnsi="华文细黑" w:cs="华文细黑" w:eastAsia="华文细黑" w:hint="default"/>
                <w:sz w:val="16"/>
                <w:szCs w:val="16"/>
              </w:rPr>
            </w:pPr>
            <w:r>
              <w:rPr>
                <w:rFonts w:ascii="华文细黑"/>
                <w:sz w:val="16"/>
              </w:rPr>
              <w:t>26,672,5</w:t>
            </w:r>
          </w:p>
          <w:p>
            <w:pPr>
              <w:pStyle w:val="TableParagraph"/>
              <w:spacing w:line="240" w:lineRule="auto" w:before="64"/>
              <w:ind w:left="337" w:right="0"/>
              <w:jc w:val="left"/>
              <w:rPr>
                <w:rFonts w:ascii="华文细黑" w:hAnsi="华文细黑" w:cs="华文细黑" w:eastAsia="华文细黑" w:hint="default"/>
                <w:sz w:val="16"/>
                <w:szCs w:val="16"/>
              </w:rPr>
            </w:pPr>
            <w:r>
              <w:rPr>
                <w:rFonts w:ascii="华文细黑"/>
                <w:sz w:val="16"/>
              </w:rPr>
              <w:t>82.79</w:t>
            </w:r>
          </w:p>
        </w:tc>
        <w:tc>
          <w:tcPr>
            <w:tcW w:w="9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65" w:right="0"/>
              <w:jc w:val="left"/>
              <w:rPr>
                <w:rFonts w:ascii="华文细黑" w:hAnsi="华文细黑" w:cs="华文细黑" w:eastAsia="华文细黑" w:hint="default"/>
                <w:sz w:val="16"/>
                <w:szCs w:val="16"/>
              </w:rPr>
            </w:pPr>
            <w:r>
              <w:rPr>
                <w:rFonts w:ascii="华文细黑"/>
                <w:sz w:val="16"/>
              </w:rPr>
              <w:t>142,061,2</w:t>
            </w:r>
          </w:p>
          <w:p>
            <w:pPr>
              <w:pStyle w:val="TableParagraph"/>
              <w:spacing w:line="240" w:lineRule="auto" w:before="64"/>
              <w:ind w:left="476" w:right="0"/>
              <w:jc w:val="left"/>
              <w:rPr>
                <w:rFonts w:ascii="华文细黑" w:hAnsi="华文细黑" w:cs="华文细黑" w:eastAsia="华文细黑" w:hint="default"/>
                <w:sz w:val="16"/>
                <w:szCs w:val="16"/>
              </w:rPr>
            </w:pPr>
            <w:r>
              <w:rPr>
                <w:rFonts w:ascii="华文细黑"/>
                <w:sz w:val="16"/>
              </w:rPr>
              <w:t>61.12</w:t>
            </w:r>
          </w:p>
        </w:tc>
      </w:tr>
      <w:tr>
        <w:trPr>
          <w:trHeight w:val="670" w:hRule="exact"/>
        </w:trPr>
        <w:tc>
          <w:tcPr>
            <w:tcW w:w="18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
              <w:ind w:right="0"/>
              <w:jc w:val="left"/>
              <w:rPr>
                <w:rFonts w:ascii="华文细黑" w:hAnsi="华文细黑" w:cs="华文细黑" w:eastAsia="华文细黑" w:hint="default"/>
                <w:sz w:val="13"/>
                <w:szCs w:val="13"/>
              </w:rPr>
            </w:pPr>
          </w:p>
          <w:p>
            <w:pPr>
              <w:pStyle w:val="TableParagraph"/>
              <w:spacing w:line="240" w:lineRule="auto"/>
              <w:ind w:left="104"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（一）综合收益总额</w:t>
            </w:r>
          </w:p>
        </w:tc>
        <w:tc>
          <w:tcPr>
            <w:tcW w:w="991"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18" w:right="0"/>
              <w:jc w:val="left"/>
              <w:rPr>
                <w:rFonts w:ascii="华文细黑" w:hAnsi="华文细黑" w:cs="华文细黑" w:eastAsia="华文细黑" w:hint="default"/>
                <w:sz w:val="16"/>
                <w:szCs w:val="16"/>
              </w:rPr>
            </w:pPr>
            <w:r>
              <w:rPr>
                <w:rFonts w:ascii="华文细黑"/>
                <w:sz w:val="16"/>
              </w:rPr>
              <w:t>-108,860</w:t>
            </w:r>
          </w:p>
          <w:p>
            <w:pPr>
              <w:pStyle w:val="TableParagraph"/>
              <w:spacing w:line="240" w:lineRule="auto" w:before="64"/>
              <w:ind w:left="215" w:right="0"/>
              <w:jc w:val="left"/>
              <w:rPr>
                <w:rFonts w:ascii="华文细黑" w:hAnsi="华文细黑" w:cs="华文细黑" w:eastAsia="华文细黑" w:hint="default"/>
                <w:sz w:val="16"/>
                <w:szCs w:val="16"/>
              </w:rPr>
            </w:pPr>
            <w:r>
              <w:rPr>
                <w:rFonts w:ascii="华文细黑"/>
                <w:sz w:val="16"/>
              </w:rPr>
              <w:t>,571.96</w:t>
            </w: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75" w:right="0"/>
              <w:jc w:val="left"/>
              <w:rPr>
                <w:rFonts w:ascii="华文细黑" w:hAnsi="华文细黑" w:cs="华文细黑" w:eastAsia="华文细黑" w:hint="default"/>
                <w:sz w:val="16"/>
                <w:szCs w:val="16"/>
              </w:rPr>
            </w:pPr>
            <w:r>
              <w:rPr>
                <w:rFonts w:ascii="华文细黑"/>
                <w:sz w:val="16"/>
              </w:rPr>
              <w:t>378,967,6</w:t>
            </w:r>
          </w:p>
          <w:p>
            <w:pPr>
              <w:pStyle w:val="TableParagraph"/>
              <w:spacing w:line="240" w:lineRule="auto" w:before="64"/>
              <w:ind w:left="485" w:right="0"/>
              <w:jc w:val="left"/>
              <w:rPr>
                <w:rFonts w:ascii="华文细黑" w:hAnsi="华文细黑" w:cs="华文细黑" w:eastAsia="华文细黑" w:hint="default"/>
                <w:sz w:val="16"/>
                <w:szCs w:val="16"/>
              </w:rPr>
            </w:pPr>
            <w:r>
              <w:rPr>
                <w:rFonts w:ascii="华文细黑"/>
                <w:sz w:val="16"/>
              </w:rPr>
              <w:t>19.06</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15" w:right="0"/>
              <w:jc w:val="left"/>
              <w:rPr>
                <w:rFonts w:ascii="华文细黑" w:hAnsi="华文细黑" w:cs="华文细黑" w:eastAsia="华文细黑" w:hint="default"/>
                <w:sz w:val="16"/>
                <w:szCs w:val="16"/>
              </w:rPr>
            </w:pPr>
            <w:r>
              <w:rPr>
                <w:rFonts w:ascii="华文细黑"/>
                <w:sz w:val="16"/>
              </w:rPr>
              <w:t>19,501,9</w:t>
            </w:r>
          </w:p>
          <w:p>
            <w:pPr>
              <w:pStyle w:val="TableParagraph"/>
              <w:spacing w:line="240" w:lineRule="auto" w:before="64"/>
              <w:ind w:left="337" w:right="0"/>
              <w:jc w:val="left"/>
              <w:rPr>
                <w:rFonts w:ascii="华文细黑" w:hAnsi="华文细黑" w:cs="华文细黑" w:eastAsia="华文细黑" w:hint="default"/>
                <w:sz w:val="16"/>
                <w:szCs w:val="16"/>
              </w:rPr>
            </w:pPr>
            <w:r>
              <w:rPr>
                <w:rFonts w:ascii="华文细黑"/>
                <w:sz w:val="16"/>
              </w:rPr>
              <w:t>39.87</w:t>
            </w:r>
          </w:p>
        </w:tc>
        <w:tc>
          <w:tcPr>
            <w:tcW w:w="9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65" w:right="0"/>
              <w:jc w:val="left"/>
              <w:rPr>
                <w:rFonts w:ascii="华文细黑" w:hAnsi="华文细黑" w:cs="华文细黑" w:eastAsia="华文细黑" w:hint="default"/>
                <w:sz w:val="16"/>
                <w:szCs w:val="16"/>
              </w:rPr>
            </w:pPr>
            <w:r>
              <w:rPr>
                <w:rFonts w:ascii="华文细黑"/>
                <w:sz w:val="16"/>
              </w:rPr>
              <w:t>289,608,9</w:t>
            </w:r>
          </w:p>
          <w:p>
            <w:pPr>
              <w:pStyle w:val="TableParagraph"/>
              <w:spacing w:line="240" w:lineRule="auto" w:before="64"/>
              <w:ind w:left="476" w:right="0"/>
              <w:jc w:val="left"/>
              <w:rPr>
                <w:rFonts w:ascii="华文细黑" w:hAnsi="华文细黑" w:cs="华文细黑" w:eastAsia="华文细黑" w:hint="default"/>
                <w:sz w:val="16"/>
                <w:szCs w:val="16"/>
              </w:rPr>
            </w:pPr>
            <w:r>
              <w:rPr>
                <w:rFonts w:ascii="华文细黑"/>
                <w:sz w:val="16"/>
              </w:rPr>
              <w:t>86.97</w:t>
            </w:r>
          </w:p>
        </w:tc>
      </w:tr>
    </w:tbl>
    <w:p>
      <w:pPr>
        <w:spacing w:after="0" w:line="240" w:lineRule="auto"/>
        <w:jc w:val="left"/>
        <w:rPr>
          <w:rFonts w:ascii="华文细黑" w:hAnsi="华文细黑" w:cs="华文细黑" w:eastAsia="华文细黑" w:hint="default"/>
          <w:sz w:val="16"/>
          <w:szCs w:val="16"/>
        </w:rPr>
        <w:sectPr>
          <w:footerReference w:type="default" r:id="rId28"/>
          <w:pgSz w:w="11910" w:h="16840"/>
          <w:pgMar w:footer="1019" w:header="917" w:top="1100" w:bottom="1200" w:left="340" w:right="0"/>
          <w:pgNumType w:start="101"/>
        </w:sectPr>
      </w:pPr>
    </w:p>
    <w:p>
      <w:pPr>
        <w:spacing w:line="240" w:lineRule="auto" w:before="11"/>
        <w:rPr>
          <w:rFonts w:ascii="Times New Roman" w:hAnsi="Times New Roman" w:cs="Times New Roman" w:eastAsia="Times New Roman" w:hint="default"/>
          <w:sz w:val="28"/>
          <w:szCs w:val="28"/>
        </w:rPr>
      </w:pPr>
    </w:p>
    <w:tbl>
      <w:tblPr>
        <w:tblW w:w="0" w:type="auto"/>
        <w:jc w:val="left"/>
        <w:tblInd w:w="102" w:type="dxa"/>
        <w:tblLayout w:type="fixed"/>
        <w:tblCellMar>
          <w:top w:w="0" w:type="dxa"/>
          <w:left w:w="0" w:type="dxa"/>
          <w:bottom w:w="0" w:type="dxa"/>
          <w:right w:w="0" w:type="dxa"/>
        </w:tblCellMar>
        <w:tblLook w:val="01E0"/>
      </w:tblPr>
      <w:tblGrid>
        <w:gridCol w:w="1842"/>
        <w:gridCol w:w="992"/>
        <w:gridCol w:w="428"/>
        <w:gridCol w:w="282"/>
        <w:gridCol w:w="426"/>
        <w:gridCol w:w="993"/>
        <w:gridCol w:w="427"/>
        <w:gridCol w:w="860"/>
        <w:gridCol w:w="416"/>
        <w:gridCol w:w="850"/>
        <w:gridCol w:w="849"/>
        <w:gridCol w:w="997"/>
        <w:gridCol w:w="850"/>
        <w:gridCol w:w="988"/>
      </w:tblGrid>
      <w:tr>
        <w:trPr>
          <w:trHeight w:val="670" w:hRule="exact"/>
        </w:trPr>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09" w:lineRule="auto" w:before="46"/>
              <w:ind w:left="103" w:right="128"/>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（二）所有者投入和减</w:t>
            </w:r>
            <w:r>
              <w:rPr>
                <w:rFonts w:ascii="华文细黑" w:hAnsi="华文细黑" w:cs="华文细黑" w:eastAsia="华文细黑" w:hint="default"/>
                <w:w w:val="99"/>
                <w:sz w:val="16"/>
                <w:szCs w:val="16"/>
              </w:rPr>
              <w:t> </w:t>
            </w:r>
            <w:r>
              <w:rPr>
                <w:rFonts w:ascii="华文细黑" w:hAnsi="华文细黑" w:cs="华文细黑" w:eastAsia="华文细黑" w:hint="default"/>
                <w:sz w:val="16"/>
                <w:szCs w:val="16"/>
              </w:rPr>
              <w:t>少资本</w:t>
            </w:r>
          </w:p>
        </w:tc>
        <w:tc>
          <w:tcPr>
            <w:tcW w:w="992"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right="100"/>
              <w:jc w:val="right"/>
              <w:rPr>
                <w:rFonts w:ascii="华文细黑" w:hAnsi="华文细黑" w:cs="华文细黑" w:eastAsia="华文细黑" w:hint="default"/>
                <w:sz w:val="16"/>
                <w:szCs w:val="16"/>
              </w:rPr>
            </w:pPr>
            <w:r>
              <w:rPr>
                <w:rFonts w:ascii="华文细黑"/>
                <w:w w:val="95"/>
                <w:sz w:val="16"/>
              </w:rPr>
              <w:t>191,857.0</w:t>
            </w:r>
            <w:r>
              <w:rPr>
                <w:rFonts w:ascii="华文细黑"/>
                <w:sz w:val="16"/>
              </w:rPr>
            </w:r>
          </w:p>
          <w:p>
            <w:pPr>
              <w:pStyle w:val="TableParagraph"/>
              <w:spacing w:line="240" w:lineRule="auto" w:before="64"/>
              <w:ind w:right="101"/>
              <w:jc w:val="right"/>
              <w:rPr>
                <w:rFonts w:ascii="华文细黑" w:hAnsi="华文细黑" w:cs="华文细黑" w:eastAsia="华文细黑" w:hint="default"/>
                <w:sz w:val="16"/>
                <w:szCs w:val="16"/>
              </w:rPr>
            </w:pPr>
            <w:r>
              <w:rPr>
                <w:rFonts w:ascii="华文细黑"/>
                <w:w w:val="99"/>
                <w:sz w:val="16"/>
              </w:rPr>
              <w:t>8</w:t>
            </w:r>
            <w:r>
              <w:rPr>
                <w:rFonts w:ascii="华文细黑"/>
                <w:sz w:val="16"/>
              </w:rPr>
            </w: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15" w:right="0"/>
              <w:jc w:val="left"/>
              <w:rPr>
                <w:rFonts w:ascii="华文细黑" w:hAnsi="华文细黑" w:cs="华文细黑" w:eastAsia="华文细黑" w:hint="default"/>
                <w:sz w:val="16"/>
                <w:szCs w:val="16"/>
              </w:rPr>
            </w:pPr>
            <w:r>
              <w:rPr>
                <w:rFonts w:ascii="华文细黑"/>
                <w:sz w:val="16"/>
              </w:rPr>
              <w:t>8,370,64</w:t>
            </w:r>
          </w:p>
          <w:p>
            <w:pPr>
              <w:pStyle w:val="TableParagraph"/>
              <w:spacing w:line="240" w:lineRule="auto" w:before="64"/>
              <w:ind w:left="424" w:right="0"/>
              <w:jc w:val="left"/>
              <w:rPr>
                <w:rFonts w:ascii="华文细黑" w:hAnsi="华文细黑" w:cs="华文细黑" w:eastAsia="华文细黑" w:hint="default"/>
                <w:sz w:val="16"/>
                <w:szCs w:val="16"/>
              </w:rPr>
            </w:pPr>
            <w:r>
              <w:rPr>
                <w:rFonts w:ascii="华文细黑"/>
                <w:sz w:val="16"/>
              </w:rPr>
              <w:t>2.92</w:t>
            </w:r>
          </w:p>
        </w:tc>
        <w:tc>
          <w:tcPr>
            <w:tcW w:w="9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right="99"/>
              <w:jc w:val="right"/>
              <w:rPr>
                <w:rFonts w:ascii="华文细黑" w:hAnsi="华文细黑" w:cs="华文细黑" w:eastAsia="华文细黑" w:hint="default"/>
                <w:sz w:val="16"/>
                <w:szCs w:val="16"/>
              </w:rPr>
            </w:pPr>
            <w:r>
              <w:rPr>
                <w:rFonts w:ascii="华文细黑"/>
                <w:w w:val="95"/>
                <w:sz w:val="16"/>
              </w:rPr>
              <w:t>8,562,500.</w:t>
            </w:r>
            <w:r>
              <w:rPr>
                <w:rFonts w:ascii="华文细黑"/>
                <w:sz w:val="16"/>
              </w:rPr>
            </w:r>
          </w:p>
          <w:p>
            <w:pPr>
              <w:pStyle w:val="TableParagraph"/>
              <w:spacing w:line="240" w:lineRule="auto" w:before="64"/>
              <w:ind w:right="101"/>
              <w:jc w:val="right"/>
              <w:rPr>
                <w:rFonts w:ascii="华文细黑" w:hAnsi="华文细黑" w:cs="华文细黑" w:eastAsia="华文细黑" w:hint="default"/>
                <w:sz w:val="16"/>
                <w:szCs w:val="16"/>
              </w:rPr>
            </w:pPr>
            <w:r>
              <w:rPr>
                <w:rFonts w:ascii="华文细黑"/>
                <w:w w:val="95"/>
                <w:sz w:val="16"/>
              </w:rPr>
              <w:t>00</w:t>
            </w:r>
            <w:r>
              <w:rPr>
                <w:rFonts w:ascii="华文细黑"/>
                <w:sz w:val="16"/>
              </w:rPr>
            </w:r>
          </w:p>
        </w:tc>
      </w:tr>
      <w:tr>
        <w:trPr>
          <w:trHeight w:val="671" w:hRule="exact"/>
        </w:trPr>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华文细黑" w:hAnsi="华文细黑" w:cs="华文细黑" w:eastAsia="华文细黑" w:hint="default"/>
                <w:sz w:val="16"/>
                <w:szCs w:val="16"/>
              </w:rPr>
            </w:pPr>
            <w:r>
              <w:rPr>
                <w:rFonts w:ascii="华文细黑" w:hAnsi="华文细黑" w:cs="华文细黑" w:eastAsia="华文细黑" w:hint="default"/>
                <w:w w:val="99"/>
                <w:sz w:val="16"/>
                <w:szCs w:val="16"/>
              </w:rPr>
              <w:t>1</w:t>
            </w:r>
            <w:r>
              <w:rPr>
                <w:rFonts w:ascii="华文细黑" w:hAnsi="华文细黑" w:cs="华文细黑" w:eastAsia="华文细黑" w:hint="default"/>
                <w:spacing w:val="-63"/>
                <w:w w:val="99"/>
                <w:sz w:val="16"/>
                <w:szCs w:val="16"/>
              </w:rPr>
              <w:t>．</w:t>
            </w:r>
            <w:r>
              <w:rPr>
                <w:rFonts w:ascii="华文细黑" w:hAnsi="华文细黑" w:cs="华文细黑" w:eastAsia="华文细黑" w:hint="default"/>
                <w:w w:val="99"/>
                <w:sz w:val="16"/>
                <w:szCs w:val="16"/>
              </w:rPr>
              <w:t>所有者</w:t>
            </w:r>
            <w:r>
              <w:rPr>
                <w:rFonts w:ascii="华文细黑" w:hAnsi="华文细黑" w:cs="华文细黑" w:eastAsia="华文细黑" w:hint="default"/>
                <w:spacing w:val="1"/>
                <w:w w:val="99"/>
                <w:sz w:val="16"/>
                <w:szCs w:val="16"/>
              </w:rPr>
              <w:t>投</w:t>
            </w:r>
            <w:r>
              <w:rPr>
                <w:rFonts w:ascii="华文细黑" w:hAnsi="华文细黑" w:cs="华文细黑" w:eastAsia="华文细黑" w:hint="default"/>
                <w:w w:val="99"/>
                <w:sz w:val="16"/>
                <w:szCs w:val="16"/>
              </w:rPr>
              <w:t>入</w:t>
            </w:r>
            <w:r>
              <w:rPr>
                <w:rFonts w:ascii="华文细黑" w:hAnsi="华文细黑" w:cs="华文细黑" w:eastAsia="华文细黑" w:hint="default"/>
                <w:spacing w:val="1"/>
                <w:w w:val="99"/>
                <w:sz w:val="16"/>
                <w:szCs w:val="16"/>
              </w:rPr>
              <w:t>的</w:t>
            </w:r>
            <w:r>
              <w:rPr>
                <w:rFonts w:ascii="华文细黑" w:hAnsi="华文细黑" w:cs="华文细黑" w:eastAsia="华文细黑" w:hint="default"/>
                <w:w w:val="99"/>
                <w:sz w:val="16"/>
                <w:szCs w:val="16"/>
              </w:rPr>
              <w:t>普通股</w:t>
            </w:r>
            <w:r>
              <w:rPr>
                <w:rFonts w:ascii="华文细黑" w:hAnsi="华文细黑" w:cs="华文细黑" w:eastAsia="华文细黑" w:hint="default"/>
                <w:sz w:val="16"/>
                <w:szCs w:val="16"/>
              </w:rPr>
            </w:r>
          </w:p>
        </w:tc>
        <w:tc>
          <w:tcPr>
            <w:tcW w:w="992"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15" w:right="0"/>
              <w:jc w:val="left"/>
              <w:rPr>
                <w:rFonts w:ascii="华文细黑" w:hAnsi="华文细黑" w:cs="华文细黑" w:eastAsia="华文细黑" w:hint="default"/>
                <w:sz w:val="16"/>
                <w:szCs w:val="16"/>
              </w:rPr>
            </w:pPr>
            <w:r>
              <w:rPr>
                <w:rFonts w:ascii="华文细黑"/>
                <w:sz w:val="16"/>
              </w:rPr>
              <w:t>6,882,50</w:t>
            </w:r>
          </w:p>
          <w:p>
            <w:pPr>
              <w:pStyle w:val="TableParagraph"/>
              <w:spacing w:line="240" w:lineRule="auto" w:before="64"/>
              <w:ind w:left="424" w:right="0"/>
              <w:jc w:val="left"/>
              <w:rPr>
                <w:rFonts w:ascii="华文细黑" w:hAnsi="华文细黑" w:cs="华文细黑" w:eastAsia="华文细黑" w:hint="default"/>
                <w:sz w:val="16"/>
                <w:szCs w:val="16"/>
              </w:rPr>
            </w:pPr>
            <w:r>
              <w:rPr>
                <w:rFonts w:ascii="华文细黑"/>
                <w:sz w:val="16"/>
              </w:rPr>
              <w:t>0.00</w:t>
            </w:r>
          </w:p>
        </w:tc>
        <w:tc>
          <w:tcPr>
            <w:tcW w:w="9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right="99"/>
              <w:jc w:val="right"/>
              <w:rPr>
                <w:rFonts w:ascii="华文细黑" w:hAnsi="华文细黑" w:cs="华文细黑" w:eastAsia="华文细黑" w:hint="default"/>
                <w:sz w:val="16"/>
                <w:szCs w:val="16"/>
              </w:rPr>
            </w:pPr>
            <w:r>
              <w:rPr>
                <w:rFonts w:ascii="华文细黑"/>
                <w:w w:val="95"/>
                <w:sz w:val="16"/>
              </w:rPr>
              <w:t>6,882,500.</w:t>
            </w:r>
            <w:r>
              <w:rPr>
                <w:rFonts w:ascii="华文细黑"/>
                <w:sz w:val="16"/>
              </w:rPr>
            </w:r>
          </w:p>
          <w:p>
            <w:pPr>
              <w:pStyle w:val="TableParagraph"/>
              <w:spacing w:line="240" w:lineRule="auto" w:before="64"/>
              <w:ind w:right="101"/>
              <w:jc w:val="right"/>
              <w:rPr>
                <w:rFonts w:ascii="华文细黑" w:hAnsi="华文细黑" w:cs="华文细黑" w:eastAsia="华文细黑" w:hint="default"/>
                <w:sz w:val="16"/>
                <w:szCs w:val="16"/>
              </w:rPr>
            </w:pPr>
            <w:r>
              <w:rPr>
                <w:rFonts w:ascii="华文细黑"/>
                <w:w w:val="95"/>
                <w:sz w:val="16"/>
              </w:rPr>
              <w:t>00</w:t>
            </w:r>
            <w:r>
              <w:rPr>
                <w:rFonts w:ascii="华文细黑"/>
                <w:sz w:val="16"/>
              </w:rPr>
            </w:r>
          </w:p>
        </w:tc>
      </w:tr>
      <w:tr>
        <w:trPr>
          <w:trHeight w:val="670" w:hRule="exact"/>
        </w:trPr>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09" w:lineRule="auto" w:before="46"/>
              <w:ind w:left="103" w:right="102"/>
              <w:jc w:val="left"/>
              <w:rPr>
                <w:rFonts w:ascii="华文细黑" w:hAnsi="华文细黑" w:cs="华文细黑" w:eastAsia="华文细黑" w:hint="default"/>
                <w:sz w:val="16"/>
                <w:szCs w:val="16"/>
              </w:rPr>
            </w:pPr>
            <w:r>
              <w:rPr>
                <w:rFonts w:ascii="华文细黑" w:hAnsi="华文细黑" w:cs="华文细黑" w:eastAsia="华文细黑" w:hint="default"/>
                <w:spacing w:val="-6"/>
                <w:w w:val="99"/>
                <w:sz w:val="16"/>
                <w:szCs w:val="16"/>
              </w:rPr>
              <w:t>2</w:t>
            </w:r>
            <w:r>
              <w:rPr>
                <w:rFonts w:ascii="华文细黑" w:hAnsi="华文细黑" w:cs="华文细黑" w:eastAsia="华文细黑" w:hint="default"/>
                <w:spacing w:val="-6"/>
                <w:w w:val="99"/>
                <w:sz w:val="16"/>
                <w:szCs w:val="16"/>
              </w:rPr>
              <w:t>．其他权益工具持有者</w:t>
            </w:r>
            <w:r>
              <w:rPr>
                <w:rFonts w:ascii="华文细黑" w:hAnsi="华文细黑" w:cs="华文细黑" w:eastAsia="华文细黑" w:hint="default"/>
                <w:spacing w:val="-35"/>
                <w:w w:val="99"/>
                <w:sz w:val="16"/>
                <w:szCs w:val="16"/>
              </w:rPr>
              <w:t> </w:t>
            </w:r>
            <w:r>
              <w:rPr>
                <w:rFonts w:ascii="华文细黑" w:hAnsi="华文细黑" w:cs="华文细黑" w:eastAsia="华文细黑" w:hint="default"/>
                <w:spacing w:val="-35"/>
                <w:w w:val="99"/>
                <w:sz w:val="16"/>
                <w:szCs w:val="16"/>
              </w:rPr>
            </w:r>
            <w:r>
              <w:rPr>
                <w:rFonts w:ascii="华文细黑" w:hAnsi="华文细黑" w:cs="华文细黑" w:eastAsia="华文细黑" w:hint="default"/>
                <w:sz w:val="16"/>
                <w:szCs w:val="16"/>
              </w:rPr>
              <w:t>投入资本</w:t>
            </w:r>
          </w:p>
        </w:tc>
        <w:tc>
          <w:tcPr>
            <w:tcW w:w="992"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670" w:hRule="exact"/>
        </w:trPr>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09" w:lineRule="auto" w:before="46"/>
              <w:ind w:left="103" w:right="102"/>
              <w:jc w:val="left"/>
              <w:rPr>
                <w:rFonts w:ascii="华文细黑" w:hAnsi="华文细黑" w:cs="华文细黑" w:eastAsia="华文细黑" w:hint="default"/>
                <w:sz w:val="16"/>
                <w:szCs w:val="16"/>
              </w:rPr>
            </w:pPr>
            <w:r>
              <w:rPr>
                <w:rFonts w:ascii="华文细黑" w:hAnsi="华文细黑" w:cs="华文细黑" w:eastAsia="华文细黑" w:hint="default"/>
                <w:spacing w:val="-6"/>
                <w:w w:val="99"/>
                <w:sz w:val="16"/>
                <w:szCs w:val="16"/>
              </w:rPr>
              <w:t>3</w:t>
            </w:r>
            <w:r>
              <w:rPr>
                <w:rFonts w:ascii="华文细黑" w:hAnsi="华文细黑" w:cs="华文细黑" w:eastAsia="华文细黑" w:hint="default"/>
                <w:spacing w:val="-6"/>
                <w:w w:val="99"/>
                <w:sz w:val="16"/>
                <w:szCs w:val="16"/>
              </w:rPr>
              <w:t>．股份支付计入所有者</w:t>
            </w:r>
            <w:r>
              <w:rPr>
                <w:rFonts w:ascii="华文细黑" w:hAnsi="华文细黑" w:cs="华文细黑" w:eastAsia="华文细黑" w:hint="default"/>
                <w:spacing w:val="-35"/>
                <w:w w:val="99"/>
                <w:sz w:val="16"/>
                <w:szCs w:val="16"/>
              </w:rPr>
              <w:t> </w:t>
            </w:r>
            <w:r>
              <w:rPr>
                <w:rFonts w:ascii="华文细黑" w:hAnsi="华文细黑" w:cs="华文细黑" w:eastAsia="华文细黑" w:hint="default"/>
                <w:spacing w:val="-35"/>
                <w:w w:val="99"/>
                <w:sz w:val="16"/>
                <w:szCs w:val="16"/>
              </w:rPr>
            </w:r>
            <w:r>
              <w:rPr>
                <w:rFonts w:ascii="华文细黑" w:hAnsi="华文细黑" w:cs="华文细黑" w:eastAsia="华文细黑" w:hint="default"/>
                <w:sz w:val="16"/>
                <w:szCs w:val="16"/>
              </w:rPr>
              <w:t>权益的金额</w:t>
            </w:r>
          </w:p>
        </w:tc>
        <w:tc>
          <w:tcPr>
            <w:tcW w:w="992"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671" w:hRule="exact"/>
        </w:trPr>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4</w:t>
            </w:r>
            <w:r>
              <w:rPr>
                <w:rFonts w:ascii="华文细黑" w:hAnsi="华文细黑" w:cs="华文细黑" w:eastAsia="华文细黑" w:hint="default"/>
                <w:sz w:val="16"/>
                <w:szCs w:val="16"/>
              </w:rPr>
              <w:t>．其他</w:t>
            </w:r>
          </w:p>
        </w:tc>
        <w:tc>
          <w:tcPr>
            <w:tcW w:w="992"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right="100"/>
              <w:jc w:val="right"/>
              <w:rPr>
                <w:rFonts w:ascii="华文细黑" w:hAnsi="华文细黑" w:cs="华文细黑" w:eastAsia="华文细黑" w:hint="default"/>
                <w:sz w:val="16"/>
                <w:szCs w:val="16"/>
              </w:rPr>
            </w:pPr>
            <w:r>
              <w:rPr>
                <w:rFonts w:ascii="华文细黑"/>
                <w:w w:val="95"/>
                <w:sz w:val="16"/>
              </w:rPr>
              <w:t>191,857.0</w:t>
            </w:r>
            <w:r>
              <w:rPr>
                <w:rFonts w:ascii="华文细黑"/>
                <w:sz w:val="16"/>
              </w:rPr>
            </w:r>
          </w:p>
          <w:p>
            <w:pPr>
              <w:pStyle w:val="TableParagraph"/>
              <w:spacing w:line="240" w:lineRule="auto" w:before="64"/>
              <w:ind w:right="101"/>
              <w:jc w:val="right"/>
              <w:rPr>
                <w:rFonts w:ascii="华文细黑" w:hAnsi="华文细黑" w:cs="华文细黑" w:eastAsia="华文细黑" w:hint="default"/>
                <w:sz w:val="16"/>
                <w:szCs w:val="16"/>
              </w:rPr>
            </w:pPr>
            <w:r>
              <w:rPr>
                <w:rFonts w:ascii="华文细黑"/>
                <w:w w:val="99"/>
                <w:sz w:val="16"/>
              </w:rPr>
              <w:t>8</w:t>
            </w:r>
            <w:r>
              <w:rPr>
                <w:rFonts w:ascii="华文细黑"/>
                <w:sz w:val="16"/>
              </w:rPr>
            </w: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15" w:right="0"/>
              <w:jc w:val="left"/>
              <w:rPr>
                <w:rFonts w:ascii="华文细黑" w:hAnsi="华文细黑" w:cs="华文细黑" w:eastAsia="华文细黑" w:hint="default"/>
                <w:sz w:val="16"/>
                <w:szCs w:val="16"/>
              </w:rPr>
            </w:pPr>
            <w:r>
              <w:rPr>
                <w:rFonts w:ascii="华文细黑"/>
                <w:sz w:val="16"/>
              </w:rPr>
              <w:t>1,488,14</w:t>
            </w:r>
          </w:p>
          <w:p>
            <w:pPr>
              <w:pStyle w:val="TableParagraph"/>
              <w:spacing w:line="240" w:lineRule="auto" w:before="64"/>
              <w:ind w:left="424" w:right="0"/>
              <w:jc w:val="left"/>
              <w:rPr>
                <w:rFonts w:ascii="华文细黑" w:hAnsi="华文细黑" w:cs="华文细黑" w:eastAsia="华文细黑" w:hint="default"/>
                <w:sz w:val="16"/>
                <w:szCs w:val="16"/>
              </w:rPr>
            </w:pPr>
            <w:r>
              <w:rPr>
                <w:rFonts w:ascii="华文细黑"/>
                <w:sz w:val="16"/>
              </w:rPr>
              <w:t>2.92</w:t>
            </w:r>
          </w:p>
        </w:tc>
        <w:tc>
          <w:tcPr>
            <w:tcW w:w="9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right="99"/>
              <w:jc w:val="right"/>
              <w:rPr>
                <w:rFonts w:ascii="华文细黑" w:hAnsi="华文细黑" w:cs="华文细黑" w:eastAsia="华文细黑" w:hint="default"/>
                <w:sz w:val="16"/>
                <w:szCs w:val="16"/>
              </w:rPr>
            </w:pPr>
            <w:r>
              <w:rPr>
                <w:rFonts w:ascii="华文细黑"/>
                <w:w w:val="95"/>
                <w:sz w:val="16"/>
              </w:rPr>
              <w:t>1,680,000.</w:t>
            </w:r>
            <w:r>
              <w:rPr>
                <w:rFonts w:ascii="华文细黑"/>
                <w:sz w:val="16"/>
              </w:rPr>
            </w:r>
          </w:p>
          <w:p>
            <w:pPr>
              <w:pStyle w:val="TableParagraph"/>
              <w:spacing w:line="240" w:lineRule="auto" w:before="64"/>
              <w:ind w:right="101"/>
              <w:jc w:val="right"/>
              <w:rPr>
                <w:rFonts w:ascii="华文细黑" w:hAnsi="华文细黑" w:cs="华文细黑" w:eastAsia="华文细黑" w:hint="default"/>
                <w:sz w:val="16"/>
                <w:szCs w:val="16"/>
              </w:rPr>
            </w:pPr>
            <w:r>
              <w:rPr>
                <w:rFonts w:ascii="华文细黑"/>
                <w:w w:val="95"/>
                <w:sz w:val="16"/>
              </w:rPr>
              <w:t>00</w:t>
            </w:r>
            <w:r>
              <w:rPr>
                <w:rFonts w:ascii="华文细黑"/>
                <w:sz w:val="16"/>
              </w:rPr>
            </w:r>
          </w:p>
        </w:tc>
      </w:tr>
      <w:tr>
        <w:trPr>
          <w:trHeight w:val="670" w:hRule="exact"/>
        </w:trPr>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（三）利润分配</w:t>
            </w:r>
          </w:p>
        </w:tc>
        <w:tc>
          <w:tcPr>
            <w:tcW w:w="992"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15" w:right="0"/>
              <w:jc w:val="left"/>
              <w:rPr>
                <w:rFonts w:ascii="华文细黑" w:hAnsi="华文细黑" w:cs="华文细黑" w:eastAsia="华文细黑" w:hint="default"/>
                <w:sz w:val="16"/>
                <w:szCs w:val="16"/>
              </w:rPr>
            </w:pPr>
            <w:r>
              <w:rPr>
                <w:rFonts w:ascii="华文细黑"/>
                <w:sz w:val="16"/>
              </w:rPr>
              <w:t>15,613,0</w:t>
            </w:r>
          </w:p>
          <w:p>
            <w:pPr>
              <w:pStyle w:val="TableParagraph"/>
              <w:spacing w:line="240" w:lineRule="auto" w:before="64"/>
              <w:ind w:left="337" w:right="0"/>
              <w:jc w:val="left"/>
              <w:rPr>
                <w:rFonts w:ascii="华文细黑" w:hAnsi="华文细黑" w:cs="华文细黑" w:eastAsia="华文细黑" w:hint="default"/>
                <w:sz w:val="16"/>
                <w:szCs w:val="16"/>
              </w:rPr>
            </w:pPr>
            <w:r>
              <w:rPr>
                <w:rFonts w:ascii="华文细黑"/>
                <w:sz w:val="16"/>
              </w:rPr>
              <w:t>82.63</w:t>
            </w:r>
          </w:p>
        </w:tc>
        <w:tc>
          <w:tcPr>
            <w:tcW w:w="84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15" w:right="0"/>
              <w:jc w:val="left"/>
              <w:rPr>
                <w:rFonts w:ascii="华文细黑" w:hAnsi="华文细黑" w:cs="华文细黑" w:eastAsia="华文细黑" w:hint="default"/>
                <w:sz w:val="16"/>
                <w:szCs w:val="16"/>
              </w:rPr>
            </w:pPr>
            <w:r>
              <w:rPr>
                <w:rFonts w:ascii="华文细黑"/>
                <w:sz w:val="16"/>
              </w:rPr>
              <w:t>14,732,8</w:t>
            </w:r>
          </w:p>
          <w:p>
            <w:pPr>
              <w:pStyle w:val="TableParagraph"/>
              <w:spacing w:line="240" w:lineRule="auto" w:before="64"/>
              <w:ind w:left="337" w:right="0"/>
              <w:jc w:val="left"/>
              <w:rPr>
                <w:rFonts w:ascii="华文细黑" w:hAnsi="华文细黑" w:cs="华文细黑" w:eastAsia="华文细黑" w:hint="default"/>
                <w:sz w:val="16"/>
                <w:szCs w:val="16"/>
              </w:rPr>
            </w:pPr>
            <w:r>
              <w:rPr>
                <w:rFonts w:ascii="华文细黑"/>
                <w:sz w:val="16"/>
              </w:rPr>
              <w:t>77.61</w:t>
            </w:r>
          </w:p>
        </w:tc>
        <w:tc>
          <w:tcPr>
            <w:tcW w:w="9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2" w:right="0"/>
              <w:jc w:val="left"/>
              <w:rPr>
                <w:rFonts w:ascii="华文细黑" w:hAnsi="华文细黑" w:cs="华文细黑" w:eastAsia="华文细黑" w:hint="default"/>
                <w:sz w:val="16"/>
                <w:szCs w:val="16"/>
              </w:rPr>
            </w:pPr>
            <w:r>
              <w:rPr>
                <w:rFonts w:ascii="华文细黑"/>
                <w:sz w:val="16"/>
              </w:rPr>
              <w:t>-185,256,1</w:t>
            </w:r>
          </w:p>
          <w:p>
            <w:pPr>
              <w:pStyle w:val="TableParagraph"/>
              <w:spacing w:line="240" w:lineRule="auto" w:before="64"/>
              <w:ind w:left="485" w:right="0"/>
              <w:jc w:val="left"/>
              <w:rPr>
                <w:rFonts w:ascii="华文细黑" w:hAnsi="华文细黑" w:cs="华文细黑" w:eastAsia="华文细黑" w:hint="default"/>
                <w:sz w:val="16"/>
                <w:szCs w:val="16"/>
              </w:rPr>
            </w:pPr>
            <w:r>
              <w:rPr>
                <w:rFonts w:ascii="华文细黑"/>
                <w:sz w:val="16"/>
              </w:rPr>
              <w:t>86.09</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48" w:right="0"/>
              <w:jc w:val="center"/>
              <w:rPr>
                <w:rFonts w:ascii="华文细黑" w:hAnsi="华文细黑" w:cs="华文细黑" w:eastAsia="华文细黑" w:hint="default"/>
                <w:sz w:val="16"/>
                <w:szCs w:val="16"/>
              </w:rPr>
            </w:pPr>
            <w:r>
              <w:rPr>
                <w:rFonts w:ascii="华文细黑"/>
                <w:sz w:val="16"/>
              </w:rPr>
              <w:t>-1,200,0</w:t>
            </w:r>
          </w:p>
          <w:p>
            <w:pPr>
              <w:pStyle w:val="TableParagraph"/>
              <w:spacing w:line="240" w:lineRule="auto" w:before="64"/>
              <w:ind w:left="234" w:right="0"/>
              <w:jc w:val="center"/>
              <w:rPr>
                <w:rFonts w:ascii="华文细黑" w:hAnsi="华文细黑" w:cs="华文细黑" w:eastAsia="华文细黑" w:hint="default"/>
                <w:sz w:val="16"/>
                <w:szCs w:val="16"/>
              </w:rPr>
            </w:pPr>
            <w:r>
              <w:rPr>
                <w:rFonts w:ascii="华文细黑"/>
                <w:sz w:val="16"/>
              </w:rPr>
              <w:t>00.00</w:t>
            </w:r>
          </w:p>
        </w:tc>
        <w:tc>
          <w:tcPr>
            <w:tcW w:w="9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12" w:right="0"/>
              <w:jc w:val="left"/>
              <w:rPr>
                <w:rFonts w:ascii="华文细黑" w:hAnsi="华文细黑" w:cs="华文细黑" w:eastAsia="华文细黑" w:hint="default"/>
                <w:sz w:val="16"/>
                <w:szCs w:val="16"/>
              </w:rPr>
            </w:pPr>
            <w:r>
              <w:rPr>
                <w:rFonts w:ascii="华文细黑"/>
                <w:sz w:val="16"/>
              </w:rPr>
              <w:t>-156,110,2</w:t>
            </w:r>
          </w:p>
          <w:p>
            <w:pPr>
              <w:pStyle w:val="TableParagraph"/>
              <w:spacing w:line="240" w:lineRule="auto" w:before="64"/>
              <w:ind w:left="476" w:right="0"/>
              <w:jc w:val="left"/>
              <w:rPr>
                <w:rFonts w:ascii="华文细黑" w:hAnsi="华文细黑" w:cs="华文细黑" w:eastAsia="华文细黑" w:hint="default"/>
                <w:sz w:val="16"/>
                <w:szCs w:val="16"/>
              </w:rPr>
            </w:pPr>
            <w:r>
              <w:rPr>
                <w:rFonts w:ascii="华文细黑"/>
                <w:sz w:val="16"/>
              </w:rPr>
              <w:t>25.85</w:t>
            </w:r>
          </w:p>
        </w:tc>
      </w:tr>
      <w:tr>
        <w:trPr>
          <w:trHeight w:val="670" w:hRule="exact"/>
        </w:trPr>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1</w:t>
            </w:r>
            <w:r>
              <w:rPr>
                <w:rFonts w:ascii="华文细黑" w:hAnsi="华文细黑" w:cs="华文细黑" w:eastAsia="华文细黑" w:hint="default"/>
                <w:sz w:val="16"/>
                <w:szCs w:val="16"/>
              </w:rPr>
              <w:t>．提取盈余公积</w:t>
            </w:r>
          </w:p>
        </w:tc>
        <w:tc>
          <w:tcPr>
            <w:tcW w:w="992"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15" w:right="0"/>
              <w:jc w:val="left"/>
              <w:rPr>
                <w:rFonts w:ascii="华文细黑" w:hAnsi="华文细黑" w:cs="华文细黑" w:eastAsia="华文细黑" w:hint="default"/>
                <w:sz w:val="16"/>
                <w:szCs w:val="16"/>
              </w:rPr>
            </w:pPr>
            <w:r>
              <w:rPr>
                <w:rFonts w:ascii="华文细黑"/>
                <w:sz w:val="16"/>
              </w:rPr>
              <w:t>15,613,0</w:t>
            </w:r>
          </w:p>
          <w:p>
            <w:pPr>
              <w:pStyle w:val="TableParagraph"/>
              <w:spacing w:line="240" w:lineRule="auto" w:before="64"/>
              <w:ind w:left="337" w:right="0"/>
              <w:jc w:val="left"/>
              <w:rPr>
                <w:rFonts w:ascii="华文细黑" w:hAnsi="华文细黑" w:cs="华文细黑" w:eastAsia="华文细黑" w:hint="default"/>
                <w:sz w:val="16"/>
                <w:szCs w:val="16"/>
              </w:rPr>
            </w:pPr>
            <w:r>
              <w:rPr>
                <w:rFonts w:ascii="华文细黑"/>
                <w:sz w:val="16"/>
              </w:rPr>
              <w:t>82.63</w:t>
            </w: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2" w:right="0"/>
              <w:jc w:val="left"/>
              <w:rPr>
                <w:rFonts w:ascii="华文细黑" w:hAnsi="华文细黑" w:cs="华文细黑" w:eastAsia="华文细黑" w:hint="default"/>
                <w:sz w:val="16"/>
                <w:szCs w:val="16"/>
              </w:rPr>
            </w:pPr>
            <w:r>
              <w:rPr>
                <w:rFonts w:ascii="华文细黑"/>
                <w:sz w:val="16"/>
              </w:rPr>
              <w:t>-15,613,08</w:t>
            </w:r>
          </w:p>
          <w:p>
            <w:pPr>
              <w:pStyle w:val="TableParagraph"/>
              <w:spacing w:line="240" w:lineRule="auto" w:before="64"/>
              <w:ind w:left="573" w:right="0"/>
              <w:jc w:val="left"/>
              <w:rPr>
                <w:rFonts w:ascii="华文细黑" w:hAnsi="华文细黑" w:cs="华文细黑" w:eastAsia="华文细黑" w:hint="default"/>
                <w:sz w:val="16"/>
                <w:szCs w:val="16"/>
              </w:rPr>
            </w:pPr>
            <w:r>
              <w:rPr>
                <w:rFonts w:ascii="华文细黑"/>
                <w:sz w:val="16"/>
              </w:rPr>
              <w:t>2.63</w:t>
            </w:r>
          </w:p>
        </w:tc>
        <w:tc>
          <w:tcPr>
            <w:tcW w:w="850"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671" w:hRule="exact"/>
        </w:trPr>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w:t>
            </w:r>
            <w:r>
              <w:rPr>
                <w:rFonts w:ascii="华文细黑" w:hAnsi="华文细黑" w:cs="华文细黑" w:eastAsia="华文细黑" w:hint="default"/>
                <w:sz w:val="16"/>
                <w:szCs w:val="16"/>
              </w:rPr>
              <w:t>．提取一般风险准备</w:t>
            </w:r>
          </w:p>
        </w:tc>
        <w:tc>
          <w:tcPr>
            <w:tcW w:w="992"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15" w:right="0"/>
              <w:jc w:val="left"/>
              <w:rPr>
                <w:rFonts w:ascii="华文细黑" w:hAnsi="华文细黑" w:cs="华文细黑" w:eastAsia="华文细黑" w:hint="default"/>
                <w:sz w:val="16"/>
                <w:szCs w:val="16"/>
              </w:rPr>
            </w:pPr>
            <w:r>
              <w:rPr>
                <w:rFonts w:ascii="华文细黑"/>
                <w:sz w:val="16"/>
              </w:rPr>
              <w:t>14,732,8</w:t>
            </w:r>
          </w:p>
          <w:p>
            <w:pPr>
              <w:pStyle w:val="TableParagraph"/>
              <w:spacing w:line="240" w:lineRule="auto" w:before="64"/>
              <w:ind w:left="337" w:right="0"/>
              <w:jc w:val="left"/>
              <w:rPr>
                <w:rFonts w:ascii="华文细黑" w:hAnsi="华文细黑" w:cs="华文细黑" w:eastAsia="华文细黑" w:hint="default"/>
                <w:sz w:val="16"/>
                <w:szCs w:val="16"/>
              </w:rPr>
            </w:pPr>
            <w:r>
              <w:rPr>
                <w:rFonts w:ascii="华文细黑"/>
                <w:sz w:val="16"/>
              </w:rPr>
              <w:t>77.61</w:t>
            </w:r>
          </w:p>
        </w:tc>
        <w:tc>
          <w:tcPr>
            <w:tcW w:w="9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22" w:right="0"/>
              <w:jc w:val="left"/>
              <w:rPr>
                <w:rFonts w:ascii="华文细黑" w:hAnsi="华文细黑" w:cs="华文细黑" w:eastAsia="华文细黑" w:hint="default"/>
                <w:sz w:val="16"/>
                <w:szCs w:val="16"/>
              </w:rPr>
            </w:pPr>
            <w:r>
              <w:rPr>
                <w:rFonts w:ascii="华文细黑"/>
                <w:sz w:val="16"/>
              </w:rPr>
              <w:t>-14,732,87</w:t>
            </w:r>
          </w:p>
          <w:p>
            <w:pPr>
              <w:pStyle w:val="TableParagraph"/>
              <w:spacing w:line="240" w:lineRule="auto" w:before="64"/>
              <w:ind w:left="573" w:right="0"/>
              <w:jc w:val="left"/>
              <w:rPr>
                <w:rFonts w:ascii="华文细黑" w:hAnsi="华文细黑" w:cs="华文细黑" w:eastAsia="华文细黑" w:hint="default"/>
                <w:sz w:val="16"/>
                <w:szCs w:val="16"/>
              </w:rPr>
            </w:pPr>
            <w:r>
              <w:rPr>
                <w:rFonts w:ascii="华文细黑"/>
                <w:sz w:val="16"/>
              </w:rPr>
              <w:t>7.61</w:t>
            </w:r>
          </w:p>
        </w:tc>
        <w:tc>
          <w:tcPr>
            <w:tcW w:w="850"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670" w:hRule="exact"/>
        </w:trPr>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09" w:lineRule="auto" w:before="46"/>
              <w:ind w:left="103" w:right="39"/>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3</w:t>
            </w:r>
            <w:r>
              <w:rPr>
                <w:rFonts w:ascii="华文细黑" w:hAnsi="华文细黑" w:cs="华文细黑" w:eastAsia="华文细黑" w:hint="default"/>
                <w:sz w:val="16"/>
                <w:szCs w:val="16"/>
              </w:rPr>
              <w:t>．对所有者（或股东）</w:t>
            </w:r>
            <w:r>
              <w:rPr>
                <w:rFonts w:ascii="华文细黑" w:hAnsi="华文细黑" w:cs="华文细黑" w:eastAsia="华文细黑" w:hint="default"/>
                <w:w w:val="99"/>
                <w:sz w:val="16"/>
                <w:szCs w:val="16"/>
              </w:rPr>
              <w:t> </w:t>
            </w:r>
            <w:r>
              <w:rPr>
                <w:rFonts w:ascii="华文细黑" w:hAnsi="华文细黑" w:cs="华文细黑" w:eastAsia="华文细黑" w:hint="default"/>
                <w:sz w:val="16"/>
                <w:szCs w:val="16"/>
              </w:rPr>
              <w:t>的分配</w:t>
            </w:r>
          </w:p>
        </w:tc>
        <w:tc>
          <w:tcPr>
            <w:tcW w:w="992"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2" w:right="0"/>
              <w:jc w:val="left"/>
              <w:rPr>
                <w:rFonts w:ascii="华文细黑" w:hAnsi="华文细黑" w:cs="华文细黑" w:eastAsia="华文细黑" w:hint="default"/>
                <w:sz w:val="16"/>
                <w:szCs w:val="16"/>
              </w:rPr>
            </w:pPr>
            <w:r>
              <w:rPr>
                <w:rFonts w:ascii="华文细黑"/>
                <w:sz w:val="16"/>
              </w:rPr>
              <w:t>-154,910,2</w:t>
            </w:r>
          </w:p>
          <w:p>
            <w:pPr>
              <w:pStyle w:val="TableParagraph"/>
              <w:spacing w:line="240" w:lineRule="auto" w:before="64"/>
              <w:ind w:left="485" w:right="0"/>
              <w:jc w:val="left"/>
              <w:rPr>
                <w:rFonts w:ascii="华文细黑" w:hAnsi="华文细黑" w:cs="华文细黑" w:eastAsia="华文细黑" w:hint="default"/>
                <w:sz w:val="16"/>
                <w:szCs w:val="16"/>
              </w:rPr>
            </w:pPr>
            <w:r>
              <w:rPr>
                <w:rFonts w:ascii="华文细黑"/>
                <w:sz w:val="16"/>
              </w:rPr>
              <w:t>25.85</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48" w:right="0"/>
              <w:jc w:val="center"/>
              <w:rPr>
                <w:rFonts w:ascii="华文细黑" w:hAnsi="华文细黑" w:cs="华文细黑" w:eastAsia="华文细黑" w:hint="default"/>
                <w:sz w:val="16"/>
                <w:szCs w:val="16"/>
              </w:rPr>
            </w:pPr>
            <w:r>
              <w:rPr>
                <w:rFonts w:ascii="华文细黑"/>
                <w:sz w:val="16"/>
              </w:rPr>
              <w:t>-1,200,0</w:t>
            </w:r>
          </w:p>
          <w:p>
            <w:pPr>
              <w:pStyle w:val="TableParagraph"/>
              <w:spacing w:line="240" w:lineRule="auto" w:before="64"/>
              <w:ind w:left="234" w:right="0"/>
              <w:jc w:val="center"/>
              <w:rPr>
                <w:rFonts w:ascii="华文细黑" w:hAnsi="华文细黑" w:cs="华文细黑" w:eastAsia="华文细黑" w:hint="default"/>
                <w:sz w:val="16"/>
                <w:szCs w:val="16"/>
              </w:rPr>
            </w:pPr>
            <w:r>
              <w:rPr>
                <w:rFonts w:ascii="华文细黑"/>
                <w:sz w:val="16"/>
              </w:rPr>
              <w:t>00.00</w:t>
            </w:r>
          </w:p>
        </w:tc>
        <w:tc>
          <w:tcPr>
            <w:tcW w:w="9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12" w:right="0"/>
              <w:jc w:val="left"/>
              <w:rPr>
                <w:rFonts w:ascii="华文细黑" w:hAnsi="华文细黑" w:cs="华文细黑" w:eastAsia="华文细黑" w:hint="default"/>
                <w:sz w:val="16"/>
                <w:szCs w:val="16"/>
              </w:rPr>
            </w:pPr>
            <w:r>
              <w:rPr>
                <w:rFonts w:ascii="华文细黑"/>
                <w:sz w:val="16"/>
              </w:rPr>
              <w:t>-156,110,2</w:t>
            </w:r>
          </w:p>
          <w:p>
            <w:pPr>
              <w:pStyle w:val="TableParagraph"/>
              <w:spacing w:line="240" w:lineRule="auto" w:before="64"/>
              <w:ind w:left="476" w:right="0"/>
              <w:jc w:val="left"/>
              <w:rPr>
                <w:rFonts w:ascii="华文细黑" w:hAnsi="华文细黑" w:cs="华文细黑" w:eastAsia="华文细黑" w:hint="default"/>
                <w:sz w:val="16"/>
                <w:szCs w:val="16"/>
              </w:rPr>
            </w:pPr>
            <w:r>
              <w:rPr>
                <w:rFonts w:ascii="华文细黑"/>
                <w:sz w:val="16"/>
              </w:rPr>
              <w:t>25.85</w:t>
            </w:r>
          </w:p>
        </w:tc>
      </w:tr>
      <w:tr>
        <w:trPr>
          <w:trHeight w:val="380" w:hRule="exact"/>
        </w:trPr>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6"/>
              <w:ind w:left="103"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4</w:t>
            </w:r>
            <w:r>
              <w:rPr>
                <w:rFonts w:ascii="华文细黑" w:hAnsi="华文细黑" w:cs="华文细黑" w:eastAsia="华文细黑" w:hint="default"/>
                <w:sz w:val="16"/>
                <w:szCs w:val="16"/>
              </w:rPr>
              <w:t>．其他</w:t>
            </w:r>
          </w:p>
        </w:tc>
        <w:tc>
          <w:tcPr>
            <w:tcW w:w="992"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670" w:hRule="exact"/>
        </w:trPr>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09" w:lineRule="auto" w:before="46"/>
              <w:ind w:left="103" w:right="128"/>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（四）所有者权益内部</w:t>
            </w:r>
            <w:r>
              <w:rPr>
                <w:rFonts w:ascii="华文细黑" w:hAnsi="华文细黑" w:cs="华文细黑" w:eastAsia="华文细黑" w:hint="default"/>
                <w:w w:val="99"/>
                <w:sz w:val="16"/>
                <w:szCs w:val="16"/>
              </w:rPr>
              <w:t> </w:t>
            </w:r>
            <w:r>
              <w:rPr>
                <w:rFonts w:ascii="华文细黑" w:hAnsi="华文细黑" w:cs="华文细黑" w:eastAsia="华文细黑" w:hint="default"/>
                <w:sz w:val="16"/>
                <w:szCs w:val="16"/>
              </w:rPr>
              <w:t>结转</w:t>
            </w:r>
          </w:p>
        </w:tc>
        <w:tc>
          <w:tcPr>
            <w:tcW w:w="992"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670" w:hRule="exact"/>
        </w:trPr>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6"/>
              <w:ind w:left="103"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1</w:t>
            </w:r>
            <w:r>
              <w:rPr>
                <w:rFonts w:ascii="华文细黑" w:hAnsi="华文细黑" w:cs="华文细黑" w:eastAsia="华文细黑" w:hint="default"/>
                <w:sz w:val="16"/>
                <w:szCs w:val="16"/>
              </w:rPr>
              <w:t>．资本公积转增资本</w:t>
            </w:r>
          </w:p>
          <w:p>
            <w:pPr>
              <w:pStyle w:val="TableParagraph"/>
              <w:spacing w:line="240" w:lineRule="auto" w:before="64"/>
              <w:ind w:left="103"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（或股本）</w:t>
            </w:r>
          </w:p>
        </w:tc>
        <w:tc>
          <w:tcPr>
            <w:tcW w:w="992"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671" w:hRule="exact"/>
        </w:trPr>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7"/>
              <w:ind w:left="103"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w:t>
            </w:r>
            <w:r>
              <w:rPr>
                <w:rFonts w:ascii="华文细黑" w:hAnsi="华文细黑" w:cs="华文细黑" w:eastAsia="华文细黑" w:hint="default"/>
                <w:sz w:val="16"/>
                <w:szCs w:val="16"/>
              </w:rPr>
              <w:t>．盈余公积转增资本</w:t>
            </w:r>
          </w:p>
          <w:p>
            <w:pPr>
              <w:pStyle w:val="TableParagraph"/>
              <w:spacing w:line="240" w:lineRule="auto" w:before="64"/>
              <w:ind w:left="103"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（或股本）</w:t>
            </w:r>
          </w:p>
        </w:tc>
        <w:tc>
          <w:tcPr>
            <w:tcW w:w="992"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379" w:hRule="exact"/>
        </w:trPr>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6"/>
              <w:ind w:left="103"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3</w:t>
            </w:r>
            <w:r>
              <w:rPr>
                <w:rFonts w:ascii="华文细黑" w:hAnsi="华文细黑" w:cs="华文细黑" w:eastAsia="华文细黑" w:hint="default"/>
                <w:sz w:val="16"/>
                <w:szCs w:val="16"/>
              </w:rPr>
              <w:t>．盈余公积弥补亏损</w:t>
            </w:r>
          </w:p>
        </w:tc>
        <w:tc>
          <w:tcPr>
            <w:tcW w:w="992"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671" w:hRule="exact"/>
        </w:trPr>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09" w:lineRule="auto" w:before="47"/>
              <w:ind w:left="103" w:right="102"/>
              <w:jc w:val="left"/>
              <w:rPr>
                <w:rFonts w:ascii="华文细黑" w:hAnsi="华文细黑" w:cs="华文细黑" w:eastAsia="华文细黑" w:hint="default"/>
                <w:sz w:val="16"/>
                <w:szCs w:val="16"/>
              </w:rPr>
            </w:pPr>
            <w:r>
              <w:rPr>
                <w:rFonts w:ascii="华文细黑" w:hAnsi="华文细黑" w:cs="华文细黑" w:eastAsia="华文细黑" w:hint="default"/>
                <w:spacing w:val="-6"/>
                <w:w w:val="99"/>
                <w:sz w:val="16"/>
                <w:szCs w:val="16"/>
              </w:rPr>
              <w:t>4</w:t>
            </w:r>
            <w:r>
              <w:rPr>
                <w:rFonts w:ascii="华文细黑" w:hAnsi="华文细黑" w:cs="华文细黑" w:eastAsia="华文细黑" w:hint="default"/>
                <w:spacing w:val="-6"/>
                <w:w w:val="99"/>
                <w:sz w:val="16"/>
                <w:szCs w:val="16"/>
              </w:rPr>
              <w:t>．设定受益计划变动额</w:t>
            </w:r>
            <w:r>
              <w:rPr>
                <w:rFonts w:ascii="华文细黑" w:hAnsi="华文细黑" w:cs="华文细黑" w:eastAsia="华文细黑" w:hint="default"/>
                <w:spacing w:val="-35"/>
                <w:w w:val="99"/>
                <w:sz w:val="16"/>
                <w:szCs w:val="16"/>
              </w:rPr>
              <w:t> </w:t>
            </w:r>
            <w:r>
              <w:rPr>
                <w:rFonts w:ascii="华文细黑" w:hAnsi="华文细黑" w:cs="华文细黑" w:eastAsia="华文细黑" w:hint="default"/>
                <w:spacing w:val="-35"/>
                <w:w w:val="99"/>
                <w:sz w:val="16"/>
                <w:szCs w:val="16"/>
              </w:rPr>
            </w:r>
            <w:r>
              <w:rPr>
                <w:rFonts w:ascii="华文细黑" w:hAnsi="华文细黑" w:cs="华文细黑" w:eastAsia="华文细黑" w:hint="default"/>
                <w:sz w:val="16"/>
                <w:szCs w:val="16"/>
              </w:rPr>
              <w:t>结转留存收益</w:t>
            </w:r>
          </w:p>
        </w:tc>
        <w:tc>
          <w:tcPr>
            <w:tcW w:w="992"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379" w:hRule="exact"/>
        </w:trPr>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6"/>
              <w:ind w:left="103"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5</w:t>
            </w:r>
            <w:r>
              <w:rPr>
                <w:rFonts w:ascii="华文细黑" w:hAnsi="华文细黑" w:cs="华文细黑" w:eastAsia="华文细黑" w:hint="default"/>
                <w:sz w:val="16"/>
                <w:szCs w:val="16"/>
              </w:rPr>
              <w:t>．其他</w:t>
            </w:r>
          </w:p>
        </w:tc>
        <w:tc>
          <w:tcPr>
            <w:tcW w:w="992"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7"/>
              <w:ind w:left="103"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（五）专项储备</w:t>
            </w:r>
          </w:p>
        </w:tc>
        <w:tc>
          <w:tcPr>
            <w:tcW w:w="992"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6"/>
              <w:ind w:left="103"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1</w:t>
            </w:r>
            <w:r>
              <w:rPr>
                <w:rFonts w:ascii="华文细黑" w:hAnsi="华文细黑" w:cs="华文细黑" w:eastAsia="华文细黑" w:hint="default"/>
                <w:sz w:val="16"/>
                <w:szCs w:val="16"/>
              </w:rPr>
              <w:t>．本期提取</w:t>
            </w:r>
          </w:p>
        </w:tc>
        <w:tc>
          <w:tcPr>
            <w:tcW w:w="992"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379" w:hRule="exact"/>
        </w:trPr>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6"/>
              <w:ind w:left="103"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w:t>
            </w:r>
            <w:r>
              <w:rPr>
                <w:rFonts w:ascii="华文细黑" w:hAnsi="华文细黑" w:cs="华文细黑" w:eastAsia="华文细黑" w:hint="default"/>
                <w:sz w:val="16"/>
                <w:szCs w:val="16"/>
              </w:rPr>
              <w:t>．本期使用</w:t>
            </w:r>
          </w:p>
        </w:tc>
        <w:tc>
          <w:tcPr>
            <w:tcW w:w="992"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7"/>
              <w:ind w:left="103"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（六）其他</w:t>
            </w:r>
          </w:p>
        </w:tc>
        <w:tc>
          <w:tcPr>
            <w:tcW w:w="992" w:type="dxa"/>
            <w:tcBorders>
              <w:top w:val="single" w:sz="4" w:space="0" w:color="FFC000"/>
              <w:left w:val="single" w:sz="4" w:space="0" w:color="FFC000"/>
              <w:bottom w:val="single" w:sz="4" w:space="0" w:color="FFC000"/>
              <w:right w:val="single" w:sz="4" w:space="0" w:color="FFC000"/>
            </w:tcBorders>
          </w:tcPr>
          <w:p>
            <w:pP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7"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988" w:type="dxa"/>
            <w:tcBorders>
              <w:top w:val="single" w:sz="4" w:space="0" w:color="FFC000"/>
              <w:left w:val="single" w:sz="4" w:space="0" w:color="FFC000"/>
              <w:bottom w:val="single" w:sz="4" w:space="0" w:color="FFC000"/>
              <w:right w:val="single" w:sz="4" w:space="0" w:color="FFC000"/>
            </w:tcBorders>
          </w:tcPr>
          <w:p>
            <w:pPr/>
          </w:p>
        </w:tc>
      </w:tr>
      <w:tr>
        <w:trPr>
          <w:trHeight w:val="671" w:hRule="exact"/>
        </w:trPr>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四、本期期末余额</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5" w:right="0"/>
              <w:jc w:val="left"/>
              <w:rPr>
                <w:rFonts w:ascii="华文细黑" w:hAnsi="华文细黑" w:cs="华文细黑" w:eastAsia="华文细黑" w:hint="default"/>
                <w:sz w:val="16"/>
                <w:szCs w:val="16"/>
              </w:rPr>
            </w:pPr>
            <w:r>
              <w:rPr>
                <w:rFonts w:ascii="华文细黑"/>
                <w:sz w:val="16"/>
              </w:rPr>
              <w:t>1,032,734,</w:t>
            </w:r>
          </w:p>
          <w:p>
            <w:pPr>
              <w:pStyle w:val="TableParagraph"/>
              <w:spacing w:line="240" w:lineRule="auto" w:before="64"/>
              <w:ind w:left="391" w:right="0"/>
              <w:jc w:val="left"/>
              <w:rPr>
                <w:rFonts w:ascii="华文细黑" w:hAnsi="华文细黑" w:cs="华文细黑" w:eastAsia="华文细黑" w:hint="default"/>
                <w:sz w:val="16"/>
                <w:szCs w:val="16"/>
              </w:rPr>
            </w:pPr>
            <w:r>
              <w:rPr>
                <w:rFonts w:ascii="华文细黑"/>
                <w:sz w:val="16"/>
              </w:rPr>
              <w:t>839.00</w:t>
            </w:r>
          </w:p>
        </w:tc>
        <w:tc>
          <w:tcPr>
            <w:tcW w:w="428" w:type="dxa"/>
            <w:tcBorders>
              <w:top w:val="single" w:sz="4" w:space="0" w:color="FFC000"/>
              <w:left w:val="single" w:sz="4" w:space="0" w:color="FFC000"/>
              <w:bottom w:val="single" w:sz="4" w:space="0" w:color="FFC000"/>
              <w:right w:val="single" w:sz="4" w:space="0" w:color="FFC000"/>
            </w:tcBorders>
          </w:tcPr>
          <w:p>
            <w:pPr/>
          </w:p>
        </w:tc>
        <w:tc>
          <w:tcPr>
            <w:tcW w:w="282"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9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5" w:right="0"/>
              <w:jc w:val="left"/>
              <w:rPr>
                <w:rFonts w:ascii="华文细黑" w:hAnsi="华文细黑" w:cs="华文细黑" w:eastAsia="华文细黑" w:hint="default"/>
                <w:sz w:val="16"/>
                <w:szCs w:val="16"/>
              </w:rPr>
            </w:pPr>
            <w:r>
              <w:rPr>
                <w:rFonts w:ascii="华文细黑"/>
                <w:sz w:val="16"/>
              </w:rPr>
              <w:t>1,828,369,</w:t>
            </w:r>
          </w:p>
          <w:p>
            <w:pPr>
              <w:pStyle w:val="TableParagraph"/>
              <w:spacing w:line="240" w:lineRule="auto" w:before="64"/>
              <w:ind w:left="392" w:right="0"/>
              <w:jc w:val="left"/>
              <w:rPr>
                <w:rFonts w:ascii="华文细黑" w:hAnsi="华文细黑" w:cs="华文细黑" w:eastAsia="华文细黑" w:hint="default"/>
                <w:sz w:val="16"/>
                <w:szCs w:val="16"/>
              </w:rPr>
            </w:pPr>
            <w:r>
              <w:rPr>
                <w:rFonts w:ascii="华文细黑"/>
                <w:sz w:val="16"/>
              </w:rPr>
              <w:t>695.69</w:t>
            </w:r>
          </w:p>
        </w:tc>
        <w:tc>
          <w:tcPr>
            <w:tcW w:w="427" w:type="dxa"/>
            <w:tcBorders>
              <w:top w:val="single" w:sz="4" w:space="0" w:color="FFC000"/>
              <w:left w:val="single" w:sz="4" w:space="0" w:color="FFC000"/>
              <w:bottom w:val="single" w:sz="4" w:space="0" w:color="FFC000"/>
              <w:right w:val="single" w:sz="4" w:space="0" w:color="FFC000"/>
            </w:tcBorders>
          </w:tcPr>
          <w:p>
            <w:pPr/>
          </w:p>
        </w:tc>
        <w:tc>
          <w:tcPr>
            <w:tcW w:w="8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25" w:right="0"/>
              <w:jc w:val="center"/>
              <w:rPr>
                <w:rFonts w:ascii="华文细黑" w:hAnsi="华文细黑" w:cs="华文细黑" w:eastAsia="华文细黑" w:hint="default"/>
                <w:sz w:val="16"/>
                <w:szCs w:val="16"/>
              </w:rPr>
            </w:pPr>
            <w:r>
              <w:rPr>
                <w:rFonts w:ascii="华文细黑"/>
                <w:sz w:val="16"/>
              </w:rPr>
              <w:t>167,752,</w:t>
            </w:r>
          </w:p>
          <w:p>
            <w:pPr>
              <w:pStyle w:val="TableParagraph"/>
              <w:spacing w:line="240" w:lineRule="auto" w:before="64"/>
              <w:ind w:left="158" w:right="0"/>
              <w:jc w:val="center"/>
              <w:rPr>
                <w:rFonts w:ascii="华文细黑" w:hAnsi="华文细黑" w:cs="华文细黑" w:eastAsia="华文细黑" w:hint="default"/>
                <w:sz w:val="16"/>
                <w:szCs w:val="16"/>
              </w:rPr>
            </w:pPr>
            <w:r>
              <w:rPr>
                <w:rFonts w:ascii="华文细黑"/>
                <w:sz w:val="16"/>
              </w:rPr>
              <w:t>408.95</w:t>
            </w:r>
          </w:p>
        </w:tc>
        <w:tc>
          <w:tcPr>
            <w:tcW w:w="416"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 w:right="0"/>
              <w:jc w:val="center"/>
              <w:rPr>
                <w:rFonts w:ascii="华文细黑" w:hAnsi="华文细黑" w:cs="华文细黑" w:eastAsia="华文细黑" w:hint="default"/>
                <w:sz w:val="16"/>
                <w:szCs w:val="16"/>
              </w:rPr>
            </w:pPr>
            <w:r>
              <w:rPr>
                <w:rFonts w:ascii="华文细黑"/>
                <w:sz w:val="16"/>
              </w:rPr>
              <w:t>246,843,</w:t>
            </w:r>
          </w:p>
          <w:p>
            <w:pPr>
              <w:pStyle w:val="TableParagraph"/>
              <w:spacing w:line="240" w:lineRule="auto" w:before="64"/>
              <w:ind w:left="145" w:right="0"/>
              <w:jc w:val="center"/>
              <w:rPr>
                <w:rFonts w:ascii="华文细黑" w:hAnsi="华文细黑" w:cs="华文细黑" w:eastAsia="华文细黑" w:hint="default"/>
                <w:sz w:val="16"/>
                <w:szCs w:val="16"/>
              </w:rPr>
            </w:pPr>
            <w:r>
              <w:rPr>
                <w:rFonts w:ascii="华文细黑"/>
                <w:sz w:val="16"/>
              </w:rPr>
              <w:t>122.20</w:t>
            </w:r>
          </w:p>
        </w:tc>
        <w:tc>
          <w:tcPr>
            <w:tcW w:w="84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15" w:right="0"/>
              <w:jc w:val="left"/>
              <w:rPr>
                <w:rFonts w:ascii="华文细黑" w:hAnsi="华文细黑" w:cs="华文细黑" w:eastAsia="华文细黑" w:hint="default"/>
                <w:sz w:val="16"/>
                <w:szCs w:val="16"/>
              </w:rPr>
            </w:pPr>
            <w:r>
              <w:rPr>
                <w:rFonts w:ascii="华文细黑"/>
                <w:sz w:val="16"/>
              </w:rPr>
              <w:t>14,732,8</w:t>
            </w:r>
          </w:p>
          <w:p>
            <w:pPr>
              <w:pStyle w:val="TableParagraph"/>
              <w:spacing w:line="240" w:lineRule="auto" w:before="64"/>
              <w:ind w:left="337" w:right="0"/>
              <w:jc w:val="left"/>
              <w:rPr>
                <w:rFonts w:ascii="华文细黑" w:hAnsi="华文细黑" w:cs="华文细黑" w:eastAsia="华文细黑" w:hint="default"/>
                <w:sz w:val="16"/>
                <w:szCs w:val="16"/>
              </w:rPr>
            </w:pPr>
            <w:r>
              <w:rPr>
                <w:rFonts w:ascii="华文细黑"/>
                <w:sz w:val="16"/>
              </w:rPr>
              <w:t>77.61</w:t>
            </w:r>
          </w:p>
        </w:tc>
        <w:tc>
          <w:tcPr>
            <w:tcW w:w="9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30" w:right="0"/>
              <w:jc w:val="left"/>
              <w:rPr>
                <w:rFonts w:ascii="华文细黑" w:hAnsi="华文细黑" w:cs="华文细黑" w:eastAsia="华文细黑" w:hint="default"/>
                <w:sz w:val="16"/>
                <w:szCs w:val="16"/>
              </w:rPr>
            </w:pPr>
            <w:r>
              <w:rPr>
                <w:rFonts w:ascii="华文细黑"/>
                <w:sz w:val="16"/>
              </w:rPr>
              <w:t>2,095,944,</w:t>
            </w:r>
          </w:p>
          <w:p>
            <w:pPr>
              <w:pStyle w:val="TableParagraph"/>
              <w:spacing w:line="240" w:lineRule="auto" w:before="64"/>
              <w:ind w:left="397" w:right="0"/>
              <w:jc w:val="left"/>
              <w:rPr>
                <w:rFonts w:ascii="华文细黑" w:hAnsi="华文细黑" w:cs="华文细黑" w:eastAsia="华文细黑" w:hint="default"/>
                <w:sz w:val="16"/>
                <w:szCs w:val="16"/>
              </w:rPr>
            </w:pPr>
            <w:r>
              <w:rPr>
                <w:rFonts w:ascii="华文细黑"/>
                <w:sz w:val="16"/>
              </w:rPr>
              <w:t>239.39</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 w:right="0"/>
              <w:jc w:val="center"/>
              <w:rPr>
                <w:rFonts w:ascii="华文细黑" w:hAnsi="华文细黑" w:cs="华文细黑" w:eastAsia="华文细黑" w:hint="default"/>
                <w:sz w:val="16"/>
                <w:szCs w:val="16"/>
              </w:rPr>
            </w:pPr>
            <w:r>
              <w:rPr>
                <w:rFonts w:ascii="华文细黑"/>
                <w:sz w:val="16"/>
              </w:rPr>
              <w:t>161,035,</w:t>
            </w:r>
          </w:p>
          <w:p>
            <w:pPr>
              <w:pStyle w:val="TableParagraph"/>
              <w:spacing w:line="240" w:lineRule="auto" w:before="64"/>
              <w:ind w:left="145" w:right="0"/>
              <w:jc w:val="center"/>
              <w:rPr>
                <w:rFonts w:ascii="华文细黑" w:hAnsi="华文细黑" w:cs="华文细黑" w:eastAsia="华文细黑" w:hint="default"/>
                <w:sz w:val="16"/>
                <w:szCs w:val="16"/>
              </w:rPr>
            </w:pPr>
            <w:r>
              <w:rPr>
                <w:rFonts w:ascii="华文细黑"/>
                <w:sz w:val="16"/>
              </w:rPr>
              <w:t>401.09</w:t>
            </w:r>
          </w:p>
        </w:tc>
        <w:tc>
          <w:tcPr>
            <w:tcW w:w="98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1" w:right="0"/>
              <w:jc w:val="left"/>
              <w:rPr>
                <w:rFonts w:ascii="华文细黑" w:hAnsi="华文细黑" w:cs="华文细黑" w:eastAsia="华文细黑" w:hint="default"/>
                <w:sz w:val="16"/>
                <w:szCs w:val="16"/>
              </w:rPr>
            </w:pPr>
            <w:r>
              <w:rPr>
                <w:rFonts w:ascii="华文细黑"/>
                <w:sz w:val="16"/>
              </w:rPr>
              <w:t>5,547,412,</w:t>
            </w:r>
          </w:p>
          <w:p>
            <w:pPr>
              <w:pStyle w:val="TableParagraph"/>
              <w:spacing w:line="240" w:lineRule="auto" w:before="64"/>
              <w:ind w:left="387" w:right="0"/>
              <w:jc w:val="left"/>
              <w:rPr>
                <w:rFonts w:ascii="华文细黑" w:hAnsi="华文细黑" w:cs="华文细黑" w:eastAsia="华文细黑" w:hint="default"/>
                <w:sz w:val="16"/>
                <w:szCs w:val="16"/>
              </w:rPr>
            </w:pPr>
            <w:r>
              <w:rPr>
                <w:rFonts w:ascii="华文细黑"/>
                <w:sz w:val="16"/>
              </w:rPr>
              <w:t>583.93</w:t>
            </w:r>
          </w:p>
        </w:tc>
      </w:tr>
    </w:tbl>
    <w:p>
      <w:pPr>
        <w:spacing w:after="0" w:line="240" w:lineRule="auto"/>
        <w:jc w:val="left"/>
        <w:rPr>
          <w:rFonts w:ascii="华文细黑" w:hAnsi="华文细黑" w:cs="华文细黑" w:eastAsia="华文细黑" w:hint="default"/>
          <w:sz w:val="16"/>
          <w:szCs w:val="16"/>
        </w:rPr>
        <w:sectPr>
          <w:pgSz w:w="11910" w:h="16840"/>
          <w:pgMar w:header="917" w:footer="1019" w:top="1100" w:bottom="1200" w:left="34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7"/>
          <w:szCs w:val="17"/>
        </w:rPr>
      </w:pPr>
    </w:p>
    <w:p>
      <w:pPr>
        <w:pStyle w:val="Heading5"/>
        <w:spacing w:line="240" w:lineRule="auto"/>
        <w:ind w:left="220" w:right="6664"/>
        <w:jc w:val="left"/>
        <w:rPr>
          <w:b w:val="0"/>
          <w:bCs w:val="0"/>
        </w:rPr>
      </w:pPr>
      <w:bookmarkStart w:name="8、母公司所有者权益变动表" w:id="219"/>
      <w:bookmarkEnd w:id="219"/>
      <w:r>
        <w:rPr>
          <w:b w:val="0"/>
          <w:bCs w:val="0"/>
        </w:rPr>
      </w:r>
      <w:r>
        <w:rPr>
          <w:rFonts w:ascii="华文细黑" w:hAnsi="华文细黑" w:cs="华文细黑" w:eastAsia="华文细黑" w:hint="default"/>
        </w:rPr>
        <w:t>8</w:t>
      </w:r>
      <w:r>
        <w:rPr/>
        <w:t>、母公司所有者权益变动表</w:t>
      </w:r>
      <w:r>
        <w:rPr>
          <w:b w:val="0"/>
          <w:bCs w:val="0"/>
        </w:rPr>
      </w:r>
    </w:p>
    <w:p>
      <w:pPr>
        <w:spacing w:line="240" w:lineRule="auto" w:before="0"/>
        <w:rPr>
          <w:rFonts w:ascii="华文细黑" w:hAnsi="华文细黑" w:cs="华文细黑" w:eastAsia="华文细黑" w:hint="default"/>
          <w:b/>
          <w:bCs/>
          <w:sz w:val="20"/>
          <w:szCs w:val="20"/>
        </w:rPr>
      </w:pPr>
    </w:p>
    <w:p>
      <w:pPr>
        <w:spacing w:line="240" w:lineRule="auto" w:before="11"/>
        <w:rPr>
          <w:rFonts w:ascii="华文细黑" w:hAnsi="华文细黑" w:cs="华文细黑" w:eastAsia="华文细黑" w:hint="default"/>
          <w:b/>
          <w:bCs/>
          <w:sz w:val="13"/>
          <w:szCs w:val="13"/>
        </w:rPr>
      </w:pPr>
    </w:p>
    <w:tbl>
      <w:tblPr>
        <w:tblW w:w="0" w:type="auto"/>
        <w:jc w:val="left"/>
        <w:tblInd w:w="107" w:type="dxa"/>
        <w:tblLayout w:type="fixed"/>
        <w:tblCellMar>
          <w:top w:w="0" w:type="dxa"/>
          <w:left w:w="0" w:type="dxa"/>
          <w:bottom w:w="0" w:type="dxa"/>
          <w:right w:w="0" w:type="dxa"/>
        </w:tblCellMar>
        <w:tblLook w:val="01E0"/>
      </w:tblPr>
      <w:tblGrid>
        <w:gridCol w:w="1242"/>
        <w:gridCol w:w="994"/>
        <w:gridCol w:w="566"/>
        <w:gridCol w:w="425"/>
        <w:gridCol w:w="425"/>
        <w:gridCol w:w="994"/>
        <w:gridCol w:w="566"/>
        <w:gridCol w:w="710"/>
        <w:gridCol w:w="425"/>
        <w:gridCol w:w="849"/>
        <w:gridCol w:w="992"/>
        <w:gridCol w:w="1055"/>
      </w:tblGrid>
      <w:tr>
        <w:trPr>
          <w:trHeight w:val="380" w:hRule="exact"/>
        </w:trPr>
        <w:tc>
          <w:tcPr>
            <w:tcW w:w="124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20"/>
                <w:szCs w:val="20"/>
              </w:rPr>
            </w:pPr>
          </w:p>
          <w:p>
            <w:pPr>
              <w:pStyle w:val="TableParagraph"/>
              <w:spacing w:line="240" w:lineRule="auto" w:before="4"/>
              <w:ind w:right="0"/>
              <w:jc w:val="left"/>
              <w:rPr>
                <w:rFonts w:ascii="华文细黑" w:hAnsi="华文细黑" w:cs="华文细黑" w:eastAsia="华文细黑" w:hint="default"/>
                <w:b/>
                <w:bCs/>
                <w:sz w:val="28"/>
                <w:szCs w:val="28"/>
              </w:rPr>
            </w:pPr>
          </w:p>
          <w:p>
            <w:pPr>
              <w:pStyle w:val="TableParagraph"/>
              <w:spacing w:line="240" w:lineRule="auto"/>
              <w:ind w:left="1" w:right="0"/>
              <w:jc w:val="center"/>
              <w:rPr>
                <w:rFonts w:ascii="华文细黑" w:hAnsi="华文细黑" w:cs="华文细黑" w:eastAsia="华文细黑" w:hint="default"/>
                <w:sz w:val="20"/>
                <w:szCs w:val="20"/>
              </w:rPr>
            </w:pPr>
            <w:r>
              <w:rPr>
                <w:rFonts w:ascii="华文细黑" w:hAnsi="华文细黑" w:cs="华文细黑" w:eastAsia="华文细黑" w:hint="default"/>
                <w:sz w:val="20"/>
                <w:szCs w:val="20"/>
              </w:rPr>
              <w:t>项目</w:t>
            </w:r>
          </w:p>
        </w:tc>
        <w:tc>
          <w:tcPr>
            <w:tcW w:w="8001" w:type="dxa"/>
            <w:gridSpan w:val="11"/>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right="1"/>
              <w:jc w:val="center"/>
              <w:rPr>
                <w:rFonts w:ascii="华文细黑" w:hAnsi="华文细黑" w:cs="华文细黑" w:eastAsia="华文细黑" w:hint="default"/>
                <w:sz w:val="20"/>
                <w:szCs w:val="20"/>
              </w:rPr>
            </w:pPr>
            <w:r>
              <w:rPr>
                <w:rFonts w:ascii="华文细黑" w:hAnsi="华文细黑" w:cs="华文细黑" w:eastAsia="华文细黑" w:hint="default"/>
                <w:sz w:val="20"/>
                <w:szCs w:val="20"/>
              </w:rPr>
              <w:t>2018</w:t>
            </w:r>
            <w:r>
              <w:rPr>
                <w:rFonts w:ascii="华文细黑" w:hAnsi="华文细黑" w:cs="华文细黑" w:eastAsia="华文细黑" w:hint="default"/>
                <w:spacing w:val="-5"/>
                <w:sz w:val="20"/>
                <w:szCs w:val="20"/>
              </w:rPr>
              <w:t> </w:t>
            </w:r>
            <w:r>
              <w:rPr>
                <w:rFonts w:ascii="华文细黑" w:hAnsi="华文细黑" w:cs="华文细黑" w:eastAsia="华文细黑" w:hint="default"/>
                <w:sz w:val="20"/>
                <w:szCs w:val="20"/>
              </w:rPr>
              <w:t>年度</w:t>
            </w:r>
          </w:p>
        </w:tc>
      </w:tr>
      <w:tr>
        <w:trPr>
          <w:trHeight w:val="381" w:hRule="exact"/>
        </w:trPr>
        <w:tc>
          <w:tcPr>
            <w:tcW w:w="1242" w:type="dxa"/>
            <w:vMerge/>
            <w:tcBorders>
              <w:left w:val="single" w:sz="4" w:space="0" w:color="FFC000"/>
              <w:right w:val="single" w:sz="4" w:space="0" w:color="FFC000"/>
            </w:tcBorders>
            <w:shd w:val="clear" w:color="auto" w:fill="FFF8E6"/>
          </w:tcPr>
          <w:p>
            <w:pPr/>
          </w:p>
        </w:tc>
        <w:tc>
          <w:tcPr>
            <w:tcW w:w="994"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20"/>
                <w:szCs w:val="20"/>
              </w:rPr>
            </w:pPr>
          </w:p>
          <w:p>
            <w:pPr>
              <w:pStyle w:val="TableParagraph"/>
              <w:spacing w:line="240" w:lineRule="auto" w:before="12"/>
              <w:ind w:right="0"/>
              <w:jc w:val="left"/>
              <w:rPr>
                <w:rFonts w:ascii="华文细黑" w:hAnsi="华文细黑" w:cs="华文细黑" w:eastAsia="华文细黑" w:hint="default"/>
                <w:b/>
                <w:bCs/>
                <w:sz w:val="14"/>
                <w:szCs w:val="14"/>
              </w:rPr>
            </w:pPr>
          </w:p>
          <w:p>
            <w:pPr>
              <w:pStyle w:val="TableParagraph"/>
              <w:spacing w:line="240" w:lineRule="auto"/>
              <w:ind w:left="291"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股本</w:t>
            </w:r>
          </w:p>
        </w:tc>
        <w:tc>
          <w:tcPr>
            <w:tcW w:w="1416" w:type="dxa"/>
            <w:gridSpan w:val="3"/>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其他权益工具</w:t>
            </w:r>
          </w:p>
        </w:tc>
        <w:tc>
          <w:tcPr>
            <w:tcW w:w="994"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9"/>
              <w:ind w:right="0"/>
              <w:jc w:val="left"/>
              <w:rPr>
                <w:rFonts w:ascii="华文细黑" w:hAnsi="华文细黑" w:cs="华文细黑" w:eastAsia="华文细黑" w:hint="default"/>
                <w:b/>
                <w:bCs/>
                <w:sz w:val="24"/>
                <w:szCs w:val="24"/>
              </w:rPr>
            </w:pPr>
          </w:p>
          <w:p>
            <w:pPr>
              <w:pStyle w:val="TableParagraph"/>
              <w:spacing w:line="247" w:lineRule="auto"/>
              <w:ind w:left="391" w:right="188" w:hanging="20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资本公</w:t>
            </w:r>
            <w:r>
              <w:rPr>
                <w:rFonts w:ascii="华文细黑" w:hAnsi="华文细黑" w:cs="华文细黑" w:eastAsia="华文细黑" w:hint="default"/>
                <w:w w:val="100"/>
                <w:sz w:val="20"/>
                <w:szCs w:val="20"/>
              </w:rPr>
              <w:t> </w:t>
            </w:r>
            <w:r>
              <w:rPr>
                <w:rFonts w:ascii="华文细黑" w:hAnsi="华文细黑" w:cs="华文细黑" w:eastAsia="华文细黑" w:hint="default"/>
                <w:sz w:val="20"/>
                <w:szCs w:val="20"/>
              </w:rPr>
              <w:t>积</w:t>
            </w:r>
          </w:p>
        </w:tc>
        <w:tc>
          <w:tcPr>
            <w:tcW w:w="566" w:type="dxa"/>
            <w:vMerge w:val="restart"/>
            <w:tcBorders>
              <w:top w:val="single" w:sz="4" w:space="0" w:color="FFC000"/>
              <w:left w:val="single" w:sz="4" w:space="0" w:color="FFC000"/>
              <w:right w:val="single" w:sz="4" w:space="0" w:color="FFC000"/>
            </w:tcBorders>
            <w:shd w:val="clear" w:color="auto" w:fill="FFF8E6"/>
          </w:tcPr>
          <w:p>
            <w:pPr>
              <w:pStyle w:val="TableParagraph"/>
              <w:spacing w:line="247" w:lineRule="auto" w:before="57"/>
              <w:ind w:left="178" w:right="50" w:hanging="76"/>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减：</w:t>
            </w:r>
            <w:r>
              <w:rPr>
                <w:rFonts w:ascii="华文细黑" w:hAnsi="华文细黑" w:cs="华文细黑" w:eastAsia="华文细黑" w:hint="default"/>
                <w:w w:val="100"/>
                <w:sz w:val="20"/>
                <w:szCs w:val="20"/>
              </w:rPr>
              <w:t> </w:t>
            </w:r>
            <w:r>
              <w:rPr>
                <w:rFonts w:ascii="华文细黑" w:hAnsi="华文细黑" w:cs="华文细黑" w:eastAsia="华文细黑" w:hint="default"/>
                <w:sz w:val="20"/>
                <w:szCs w:val="20"/>
              </w:rPr>
              <w:t>库</w:t>
            </w:r>
            <w:r>
              <w:rPr>
                <w:rFonts w:ascii="华文细黑" w:hAnsi="华文细黑" w:cs="华文细黑" w:eastAsia="华文细黑" w:hint="default"/>
                <w:w w:val="100"/>
                <w:sz w:val="20"/>
                <w:szCs w:val="20"/>
              </w:rPr>
              <w:t> </w:t>
            </w:r>
            <w:r>
              <w:rPr>
                <w:rFonts w:ascii="华文细黑" w:hAnsi="华文细黑" w:cs="华文细黑" w:eastAsia="华文细黑" w:hint="default"/>
                <w:sz w:val="20"/>
                <w:szCs w:val="20"/>
              </w:rPr>
              <w:t>存</w:t>
            </w:r>
            <w:r>
              <w:rPr>
                <w:rFonts w:ascii="华文细黑" w:hAnsi="华文细黑" w:cs="华文细黑" w:eastAsia="华文细黑" w:hint="default"/>
                <w:w w:val="100"/>
                <w:sz w:val="20"/>
                <w:szCs w:val="20"/>
              </w:rPr>
              <w:t> </w:t>
            </w:r>
            <w:r>
              <w:rPr>
                <w:rFonts w:ascii="华文细黑" w:hAnsi="华文细黑" w:cs="华文细黑" w:eastAsia="华文细黑" w:hint="default"/>
                <w:sz w:val="20"/>
                <w:szCs w:val="20"/>
              </w:rPr>
              <w:t>股</w:t>
            </w:r>
          </w:p>
        </w:tc>
        <w:tc>
          <w:tcPr>
            <w:tcW w:w="71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5"/>
              <w:ind w:right="0"/>
              <w:jc w:val="left"/>
              <w:rPr>
                <w:rFonts w:ascii="华文细黑" w:hAnsi="华文细黑" w:cs="华文细黑" w:eastAsia="华文细黑" w:hint="default"/>
                <w:b/>
                <w:bCs/>
                <w:sz w:val="14"/>
                <w:szCs w:val="14"/>
              </w:rPr>
            </w:pPr>
          </w:p>
          <w:p>
            <w:pPr>
              <w:pStyle w:val="TableParagraph"/>
              <w:spacing w:line="247" w:lineRule="auto"/>
              <w:ind w:left="149" w:right="149"/>
              <w:jc w:val="both"/>
              <w:rPr>
                <w:rFonts w:ascii="华文细黑" w:hAnsi="华文细黑" w:cs="华文细黑" w:eastAsia="华文细黑" w:hint="default"/>
                <w:sz w:val="20"/>
                <w:szCs w:val="20"/>
              </w:rPr>
            </w:pPr>
            <w:r>
              <w:rPr>
                <w:rFonts w:ascii="华文细黑" w:hAnsi="华文细黑" w:cs="华文细黑" w:eastAsia="华文细黑" w:hint="default"/>
                <w:sz w:val="20"/>
                <w:szCs w:val="20"/>
              </w:rPr>
              <w:t>其他</w:t>
            </w:r>
            <w:r>
              <w:rPr>
                <w:rFonts w:ascii="华文细黑" w:hAnsi="华文细黑" w:cs="华文细黑" w:eastAsia="华文细黑" w:hint="default"/>
                <w:w w:val="100"/>
                <w:sz w:val="20"/>
                <w:szCs w:val="20"/>
              </w:rPr>
              <w:t> </w:t>
            </w:r>
            <w:r>
              <w:rPr>
                <w:rFonts w:ascii="华文细黑" w:hAnsi="华文细黑" w:cs="华文细黑" w:eastAsia="华文细黑" w:hint="default"/>
                <w:sz w:val="20"/>
                <w:szCs w:val="20"/>
              </w:rPr>
              <w:t>综合</w:t>
            </w:r>
            <w:r>
              <w:rPr>
                <w:rFonts w:ascii="华文细黑" w:hAnsi="华文细黑" w:cs="华文细黑" w:eastAsia="华文细黑" w:hint="default"/>
                <w:w w:val="100"/>
                <w:sz w:val="20"/>
                <w:szCs w:val="20"/>
              </w:rPr>
              <w:t> </w:t>
            </w:r>
            <w:r>
              <w:rPr>
                <w:rFonts w:ascii="华文细黑" w:hAnsi="华文细黑" w:cs="华文细黑" w:eastAsia="华文细黑" w:hint="default"/>
                <w:sz w:val="20"/>
                <w:szCs w:val="20"/>
              </w:rPr>
              <w:t>收益</w:t>
            </w:r>
          </w:p>
        </w:tc>
        <w:tc>
          <w:tcPr>
            <w:tcW w:w="425" w:type="dxa"/>
            <w:vMerge w:val="restart"/>
            <w:tcBorders>
              <w:top w:val="single" w:sz="4" w:space="0" w:color="FFC000"/>
              <w:left w:val="single" w:sz="4" w:space="0" w:color="FFC000"/>
              <w:right w:val="single" w:sz="4" w:space="0" w:color="FFC000"/>
            </w:tcBorders>
            <w:shd w:val="clear" w:color="auto" w:fill="FFF8E6"/>
          </w:tcPr>
          <w:p>
            <w:pPr>
              <w:pStyle w:val="TableParagraph"/>
              <w:spacing w:line="247" w:lineRule="auto" w:before="57"/>
              <w:ind w:left="106" w:right="107"/>
              <w:jc w:val="both"/>
              <w:rPr>
                <w:rFonts w:ascii="华文细黑" w:hAnsi="华文细黑" w:cs="华文细黑" w:eastAsia="华文细黑" w:hint="default"/>
                <w:sz w:val="20"/>
                <w:szCs w:val="20"/>
              </w:rPr>
            </w:pPr>
            <w:r>
              <w:rPr>
                <w:rFonts w:ascii="华文细黑" w:hAnsi="华文细黑" w:cs="华文细黑" w:eastAsia="华文细黑" w:hint="default"/>
                <w:sz w:val="20"/>
                <w:szCs w:val="20"/>
              </w:rPr>
              <w:t>专</w:t>
            </w:r>
            <w:r>
              <w:rPr>
                <w:rFonts w:ascii="华文细黑" w:hAnsi="华文细黑" w:cs="华文细黑" w:eastAsia="华文细黑" w:hint="default"/>
                <w:w w:val="100"/>
                <w:sz w:val="20"/>
                <w:szCs w:val="20"/>
              </w:rPr>
              <w:t> </w:t>
            </w:r>
            <w:r>
              <w:rPr>
                <w:rFonts w:ascii="华文细黑" w:hAnsi="华文细黑" w:cs="华文细黑" w:eastAsia="华文细黑" w:hint="default"/>
                <w:sz w:val="20"/>
                <w:szCs w:val="20"/>
              </w:rPr>
              <w:t>项</w:t>
            </w:r>
            <w:r>
              <w:rPr>
                <w:rFonts w:ascii="华文细黑" w:hAnsi="华文细黑" w:cs="华文细黑" w:eastAsia="华文细黑" w:hint="default"/>
                <w:w w:val="100"/>
                <w:sz w:val="20"/>
                <w:szCs w:val="20"/>
              </w:rPr>
              <w:t> </w:t>
            </w:r>
            <w:r>
              <w:rPr>
                <w:rFonts w:ascii="华文细黑" w:hAnsi="华文细黑" w:cs="华文细黑" w:eastAsia="华文细黑" w:hint="default"/>
                <w:sz w:val="20"/>
                <w:szCs w:val="20"/>
              </w:rPr>
              <w:t>储</w:t>
            </w:r>
            <w:r>
              <w:rPr>
                <w:rFonts w:ascii="华文细黑" w:hAnsi="华文细黑" w:cs="华文细黑" w:eastAsia="华文细黑" w:hint="default"/>
                <w:w w:val="100"/>
                <w:sz w:val="20"/>
                <w:szCs w:val="20"/>
              </w:rPr>
              <w:t> </w:t>
            </w:r>
            <w:r>
              <w:rPr>
                <w:rFonts w:ascii="华文细黑" w:hAnsi="华文细黑" w:cs="华文细黑" w:eastAsia="华文细黑" w:hint="default"/>
                <w:sz w:val="20"/>
                <w:szCs w:val="20"/>
              </w:rPr>
              <w:t>备</w:t>
            </w:r>
          </w:p>
        </w:tc>
        <w:tc>
          <w:tcPr>
            <w:tcW w:w="84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9"/>
              <w:ind w:right="0"/>
              <w:jc w:val="left"/>
              <w:rPr>
                <w:rFonts w:ascii="华文细黑" w:hAnsi="华文细黑" w:cs="华文细黑" w:eastAsia="华文细黑" w:hint="default"/>
                <w:b/>
                <w:bCs/>
                <w:sz w:val="24"/>
                <w:szCs w:val="24"/>
              </w:rPr>
            </w:pPr>
          </w:p>
          <w:p>
            <w:pPr>
              <w:pStyle w:val="TableParagraph"/>
              <w:spacing w:line="247" w:lineRule="auto"/>
              <w:ind w:left="319" w:right="117" w:hanging="201"/>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盈余公</w:t>
            </w:r>
            <w:r>
              <w:rPr>
                <w:rFonts w:ascii="华文细黑" w:hAnsi="华文细黑" w:cs="华文细黑" w:eastAsia="华文细黑" w:hint="default"/>
                <w:w w:val="100"/>
                <w:sz w:val="20"/>
                <w:szCs w:val="20"/>
              </w:rPr>
              <w:t> </w:t>
            </w:r>
            <w:r>
              <w:rPr>
                <w:rFonts w:ascii="华文细黑" w:hAnsi="华文细黑" w:cs="华文细黑" w:eastAsia="华文细黑" w:hint="default"/>
                <w:sz w:val="20"/>
                <w:szCs w:val="20"/>
              </w:rPr>
              <w:t>积</w:t>
            </w:r>
          </w:p>
        </w:tc>
        <w:tc>
          <w:tcPr>
            <w:tcW w:w="99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9"/>
              <w:ind w:right="0"/>
              <w:jc w:val="left"/>
              <w:rPr>
                <w:rFonts w:ascii="华文细黑" w:hAnsi="华文细黑" w:cs="华文细黑" w:eastAsia="华文细黑" w:hint="default"/>
                <w:b/>
                <w:bCs/>
                <w:sz w:val="24"/>
                <w:szCs w:val="24"/>
              </w:rPr>
            </w:pPr>
          </w:p>
          <w:p>
            <w:pPr>
              <w:pStyle w:val="TableParagraph"/>
              <w:spacing w:line="247" w:lineRule="auto"/>
              <w:ind w:left="291" w:right="187" w:hanging="10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未分配</w:t>
            </w:r>
            <w:r>
              <w:rPr>
                <w:rFonts w:ascii="华文细黑" w:hAnsi="华文细黑" w:cs="华文细黑" w:eastAsia="华文细黑" w:hint="default"/>
                <w:w w:val="100"/>
                <w:sz w:val="20"/>
                <w:szCs w:val="20"/>
              </w:rPr>
              <w:t> </w:t>
            </w:r>
            <w:r>
              <w:rPr>
                <w:rFonts w:ascii="华文细黑" w:hAnsi="华文细黑" w:cs="华文细黑" w:eastAsia="华文细黑" w:hint="default"/>
                <w:sz w:val="20"/>
                <w:szCs w:val="20"/>
              </w:rPr>
              <w:t>利润</w:t>
            </w:r>
          </w:p>
        </w:tc>
        <w:tc>
          <w:tcPr>
            <w:tcW w:w="1055"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9"/>
              <w:ind w:right="0"/>
              <w:jc w:val="left"/>
              <w:rPr>
                <w:rFonts w:ascii="华文细黑" w:hAnsi="华文细黑" w:cs="华文细黑" w:eastAsia="华文细黑" w:hint="default"/>
                <w:b/>
                <w:bCs/>
                <w:sz w:val="24"/>
                <w:szCs w:val="24"/>
              </w:rPr>
            </w:pPr>
          </w:p>
          <w:p>
            <w:pPr>
              <w:pStyle w:val="TableParagraph"/>
              <w:spacing w:line="247" w:lineRule="auto"/>
              <w:ind w:left="221" w:right="120" w:hanging="101"/>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所有者权</w:t>
            </w:r>
            <w:r>
              <w:rPr>
                <w:rFonts w:ascii="华文细黑" w:hAnsi="华文细黑" w:cs="华文细黑" w:eastAsia="华文细黑" w:hint="default"/>
                <w:w w:val="100"/>
                <w:sz w:val="20"/>
                <w:szCs w:val="20"/>
              </w:rPr>
              <w:t> </w:t>
            </w:r>
            <w:r>
              <w:rPr>
                <w:rFonts w:ascii="华文细黑" w:hAnsi="华文细黑" w:cs="华文细黑" w:eastAsia="华文细黑" w:hint="default"/>
                <w:sz w:val="20"/>
                <w:szCs w:val="20"/>
              </w:rPr>
              <w:t>益合计</w:t>
            </w:r>
          </w:p>
        </w:tc>
      </w:tr>
      <w:tr>
        <w:trPr>
          <w:trHeight w:val="960" w:hRule="exact"/>
        </w:trPr>
        <w:tc>
          <w:tcPr>
            <w:tcW w:w="1242" w:type="dxa"/>
            <w:vMerge/>
            <w:tcBorders>
              <w:left w:val="single" w:sz="4" w:space="0" w:color="FFC000"/>
              <w:bottom w:val="single" w:sz="4" w:space="0" w:color="FFC000"/>
              <w:right w:val="single" w:sz="4" w:space="0" w:color="FFC000"/>
            </w:tcBorders>
            <w:shd w:val="clear" w:color="auto" w:fill="FFF8E6"/>
          </w:tcPr>
          <w:p>
            <w:pPr/>
          </w:p>
        </w:tc>
        <w:tc>
          <w:tcPr>
            <w:tcW w:w="994" w:type="dxa"/>
            <w:vMerge/>
            <w:tcBorders>
              <w:left w:val="single" w:sz="4" w:space="0" w:color="FFC000"/>
              <w:bottom w:val="single" w:sz="4" w:space="0" w:color="FFC000"/>
              <w:right w:val="single" w:sz="4" w:space="0" w:color="FFC000"/>
            </w:tcBorders>
            <w:shd w:val="clear" w:color="auto" w:fill="FFF8E6"/>
          </w:tcPr>
          <w:p>
            <w:pPr/>
          </w:p>
        </w:tc>
        <w:tc>
          <w:tcPr>
            <w:tcW w:w="56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88" w:right="186"/>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优 先 股</w:t>
            </w:r>
          </w:p>
        </w:tc>
        <w:tc>
          <w:tcPr>
            <w:tcW w:w="42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17" w:right="115"/>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永 续 债</w:t>
            </w:r>
          </w:p>
        </w:tc>
        <w:tc>
          <w:tcPr>
            <w:tcW w:w="42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
              <w:ind w:right="0"/>
              <w:jc w:val="left"/>
              <w:rPr>
                <w:rFonts w:ascii="华文细黑" w:hAnsi="华文细黑" w:cs="华文细黑" w:eastAsia="华文细黑" w:hint="default"/>
                <w:b/>
                <w:bCs/>
                <w:sz w:val="12"/>
                <w:szCs w:val="12"/>
              </w:rPr>
            </w:pPr>
          </w:p>
          <w:p>
            <w:pPr>
              <w:pStyle w:val="TableParagraph"/>
              <w:spacing w:line="273" w:lineRule="auto"/>
              <w:ind w:left="117" w:right="11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 他</w:t>
            </w:r>
          </w:p>
        </w:tc>
        <w:tc>
          <w:tcPr>
            <w:tcW w:w="994" w:type="dxa"/>
            <w:vMerge/>
            <w:tcBorders>
              <w:left w:val="single" w:sz="4" w:space="0" w:color="FFC000"/>
              <w:bottom w:val="single" w:sz="4" w:space="0" w:color="FFC000"/>
              <w:right w:val="single" w:sz="4" w:space="0" w:color="FFC000"/>
            </w:tcBorders>
            <w:shd w:val="clear" w:color="auto" w:fill="FFF8E6"/>
          </w:tcPr>
          <w:p>
            <w:pPr/>
          </w:p>
        </w:tc>
        <w:tc>
          <w:tcPr>
            <w:tcW w:w="566" w:type="dxa"/>
            <w:vMerge/>
            <w:tcBorders>
              <w:left w:val="single" w:sz="4" w:space="0" w:color="FFC000"/>
              <w:bottom w:val="single" w:sz="4" w:space="0" w:color="FFC000"/>
              <w:right w:val="single" w:sz="4" w:space="0" w:color="FFC000"/>
            </w:tcBorders>
            <w:shd w:val="clear" w:color="auto" w:fill="FFF8E6"/>
          </w:tcPr>
          <w:p>
            <w:pPr/>
          </w:p>
        </w:tc>
        <w:tc>
          <w:tcPr>
            <w:tcW w:w="710" w:type="dxa"/>
            <w:vMerge/>
            <w:tcBorders>
              <w:left w:val="single" w:sz="4" w:space="0" w:color="FFC000"/>
              <w:bottom w:val="single" w:sz="4" w:space="0" w:color="FFC000"/>
              <w:right w:val="single" w:sz="4" w:space="0" w:color="FFC000"/>
            </w:tcBorders>
            <w:shd w:val="clear" w:color="auto" w:fill="FFF8E6"/>
          </w:tcPr>
          <w:p>
            <w:pPr/>
          </w:p>
        </w:tc>
        <w:tc>
          <w:tcPr>
            <w:tcW w:w="425" w:type="dxa"/>
            <w:vMerge/>
            <w:tcBorders>
              <w:left w:val="single" w:sz="4" w:space="0" w:color="FFC000"/>
              <w:bottom w:val="single" w:sz="4" w:space="0" w:color="FFC000"/>
              <w:right w:val="single" w:sz="4" w:space="0" w:color="FFC000"/>
            </w:tcBorders>
            <w:shd w:val="clear" w:color="auto" w:fill="FFF8E6"/>
          </w:tcPr>
          <w:p>
            <w:pPr/>
          </w:p>
        </w:tc>
        <w:tc>
          <w:tcPr>
            <w:tcW w:w="849" w:type="dxa"/>
            <w:vMerge/>
            <w:tcBorders>
              <w:left w:val="single" w:sz="4" w:space="0" w:color="FFC000"/>
              <w:bottom w:val="single" w:sz="4" w:space="0" w:color="FFC000"/>
              <w:right w:val="single" w:sz="4" w:space="0" w:color="FFC000"/>
            </w:tcBorders>
            <w:shd w:val="clear" w:color="auto" w:fill="FFF8E6"/>
          </w:tcPr>
          <w:p>
            <w:pPr/>
          </w:p>
        </w:tc>
        <w:tc>
          <w:tcPr>
            <w:tcW w:w="992" w:type="dxa"/>
            <w:vMerge/>
            <w:tcBorders>
              <w:left w:val="single" w:sz="4" w:space="0" w:color="FFC000"/>
              <w:bottom w:val="single" w:sz="4" w:space="0" w:color="FFC000"/>
              <w:right w:val="single" w:sz="4" w:space="0" w:color="FFC000"/>
            </w:tcBorders>
            <w:shd w:val="clear" w:color="auto" w:fill="FFF8E6"/>
          </w:tcPr>
          <w:p>
            <w:pPr/>
          </w:p>
        </w:tc>
        <w:tc>
          <w:tcPr>
            <w:tcW w:w="1055" w:type="dxa"/>
            <w:vMerge/>
            <w:tcBorders>
              <w:left w:val="single" w:sz="4" w:space="0" w:color="FFC000"/>
              <w:bottom w:val="single" w:sz="4" w:space="0" w:color="FFC000"/>
              <w:right w:val="single" w:sz="4" w:space="0" w:color="FFC000"/>
            </w:tcBorders>
            <w:shd w:val="clear" w:color="auto" w:fill="FFF8E6"/>
          </w:tcPr>
          <w:p>
            <w:pPr/>
          </w:p>
        </w:tc>
      </w:tr>
      <w:tr>
        <w:trPr>
          <w:trHeight w:val="670"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一、上年期末</w:t>
            </w:r>
            <w:r>
              <w:rPr>
                <w:rFonts w:ascii="华文细黑" w:hAnsi="华文细黑" w:cs="华文细黑" w:eastAsia="华文细黑" w:hint="default"/>
                <w:sz w:val="18"/>
                <w:szCs w:val="18"/>
              </w:rPr>
              <w:t> 余额</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7" w:right="0"/>
              <w:jc w:val="left"/>
              <w:rPr>
                <w:rFonts w:ascii="华文细黑" w:hAnsi="华文细黑" w:cs="华文细黑" w:eastAsia="华文细黑" w:hint="default"/>
                <w:sz w:val="16"/>
                <w:szCs w:val="16"/>
              </w:rPr>
            </w:pPr>
            <w:r>
              <w:rPr>
                <w:rFonts w:ascii="华文细黑"/>
                <w:sz w:val="16"/>
              </w:rPr>
              <w:t>1,032,734,</w:t>
            </w:r>
          </w:p>
          <w:p>
            <w:pPr>
              <w:pStyle w:val="TableParagraph"/>
              <w:spacing w:line="240" w:lineRule="auto" w:before="64"/>
              <w:ind w:left="393" w:right="0"/>
              <w:jc w:val="left"/>
              <w:rPr>
                <w:rFonts w:ascii="华文细黑" w:hAnsi="华文细黑" w:cs="华文细黑" w:eastAsia="华文细黑" w:hint="default"/>
                <w:sz w:val="16"/>
                <w:szCs w:val="16"/>
              </w:rPr>
            </w:pPr>
            <w:r>
              <w:rPr>
                <w:rFonts w:ascii="华文细黑"/>
                <w:sz w:val="16"/>
              </w:rPr>
              <w:t>839.00</w:t>
            </w: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7" w:right="0"/>
              <w:jc w:val="left"/>
              <w:rPr>
                <w:rFonts w:ascii="华文细黑" w:hAnsi="华文细黑" w:cs="华文细黑" w:eastAsia="华文细黑" w:hint="default"/>
                <w:sz w:val="16"/>
                <w:szCs w:val="16"/>
              </w:rPr>
            </w:pPr>
            <w:r>
              <w:rPr>
                <w:rFonts w:ascii="华文细黑"/>
                <w:sz w:val="16"/>
              </w:rPr>
              <w:t>1,915,869,</w:t>
            </w:r>
          </w:p>
          <w:p>
            <w:pPr>
              <w:pStyle w:val="TableParagraph"/>
              <w:spacing w:line="240" w:lineRule="auto" w:before="64"/>
              <w:ind w:left="393" w:right="0"/>
              <w:jc w:val="left"/>
              <w:rPr>
                <w:rFonts w:ascii="华文细黑" w:hAnsi="华文细黑" w:cs="华文细黑" w:eastAsia="华文细黑" w:hint="default"/>
                <w:sz w:val="16"/>
                <w:szCs w:val="16"/>
              </w:rPr>
            </w:pPr>
            <w:r>
              <w:rPr>
                <w:rFonts w:ascii="华文细黑"/>
                <w:sz w:val="16"/>
              </w:rPr>
              <w:t>719.80</w:t>
            </w:r>
          </w:p>
        </w:tc>
        <w:tc>
          <w:tcPr>
            <w:tcW w:w="566" w:type="dxa"/>
            <w:tcBorders>
              <w:top w:val="single" w:sz="4" w:space="0" w:color="FFC000"/>
              <w:left w:val="single" w:sz="4" w:space="0" w:color="FFC000"/>
              <w:bottom w:val="single" w:sz="4" w:space="0" w:color="FFC000"/>
              <w:right w:val="single" w:sz="4" w:space="0" w:color="FFC000"/>
            </w:tcBorders>
          </w:tcPr>
          <w:p>
            <w:pPr/>
          </w:p>
        </w:tc>
        <w:tc>
          <w:tcPr>
            <w:tcW w:w="71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3" w:right="0"/>
              <w:jc w:val="center"/>
              <w:rPr>
                <w:rFonts w:ascii="华文细黑" w:hAnsi="华文细黑" w:cs="华文细黑" w:eastAsia="华文细黑" w:hint="default"/>
                <w:sz w:val="16"/>
                <w:szCs w:val="16"/>
              </w:rPr>
            </w:pPr>
            <w:r>
              <w:rPr>
                <w:rFonts w:ascii="华文细黑"/>
                <w:sz w:val="16"/>
              </w:rPr>
              <w:t>246,843,</w:t>
            </w:r>
          </w:p>
          <w:p>
            <w:pPr>
              <w:pStyle w:val="TableParagraph"/>
              <w:spacing w:line="240" w:lineRule="auto" w:before="64"/>
              <w:ind w:left="146" w:right="0"/>
              <w:jc w:val="center"/>
              <w:rPr>
                <w:rFonts w:ascii="华文细黑" w:hAnsi="华文细黑" w:cs="华文细黑" w:eastAsia="华文细黑" w:hint="default"/>
                <w:sz w:val="16"/>
                <w:szCs w:val="16"/>
              </w:rPr>
            </w:pPr>
            <w:r>
              <w:rPr>
                <w:rFonts w:ascii="华文细黑"/>
                <w:sz w:val="16"/>
              </w:rPr>
              <w:t>122.20</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7" w:right="0"/>
              <w:jc w:val="left"/>
              <w:rPr>
                <w:rFonts w:ascii="华文细黑" w:hAnsi="华文细黑" w:cs="华文细黑" w:eastAsia="华文细黑" w:hint="default"/>
                <w:sz w:val="16"/>
                <w:szCs w:val="16"/>
              </w:rPr>
            </w:pPr>
            <w:r>
              <w:rPr>
                <w:rFonts w:ascii="华文细黑"/>
                <w:sz w:val="16"/>
              </w:rPr>
              <w:t>1,288,001,</w:t>
            </w:r>
          </w:p>
          <w:p>
            <w:pPr>
              <w:pStyle w:val="TableParagraph"/>
              <w:spacing w:line="240" w:lineRule="auto" w:before="64"/>
              <w:ind w:left="393" w:right="0"/>
              <w:jc w:val="left"/>
              <w:rPr>
                <w:rFonts w:ascii="华文细黑" w:hAnsi="华文细黑" w:cs="华文细黑" w:eastAsia="华文细黑" w:hint="default"/>
                <w:sz w:val="16"/>
                <w:szCs w:val="16"/>
              </w:rPr>
            </w:pPr>
            <w:r>
              <w:rPr>
                <w:rFonts w:ascii="华文细黑"/>
                <w:sz w:val="16"/>
              </w:rPr>
              <w:t>575.05</w:t>
            </w:r>
          </w:p>
        </w:tc>
        <w:tc>
          <w:tcPr>
            <w:tcW w:w="10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87" w:right="0"/>
              <w:jc w:val="left"/>
              <w:rPr>
                <w:rFonts w:ascii="华文细黑" w:hAnsi="华文细黑" w:cs="华文细黑" w:eastAsia="华文细黑" w:hint="default"/>
                <w:sz w:val="16"/>
                <w:szCs w:val="16"/>
              </w:rPr>
            </w:pPr>
            <w:r>
              <w:rPr>
                <w:rFonts w:ascii="华文细黑"/>
                <w:sz w:val="16"/>
              </w:rPr>
              <w:t>4,483,449,</w:t>
            </w:r>
          </w:p>
          <w:p>
            <w:pPr>
              <w:pStyle w:val="TableParagraph"/>
              <w:spacing w:line="240" w:lineRule="auto" w:before="64"/>
              <w:ind w:left="453" w:right="0"/>
              <w:jc w:val="left"/>
              <w:rPr>
                <w:rFonts w:ascii="华文细黑" w:hAnsi="华文细黑" w:cs="华文细黑" w:eastAsia="华文细黑" w:hint="default"/>
                <w:sz w:val="16"/>
                <w:szCs w:val="16"/>
              </w:rPr>
            </w:pPr>
            <w:r>
              <w:rPr>
                <w:rFonts w:ascii="华文细黑"/>
                <w:sz w:val="16"/>
              </w:rPr>
              <w:t>256.05</w:t>
            </w:r>
          </w:p>
        </w:tc>
      </w:tr>
      <w:tr>
        <w:trPr>
          <w:trHeight w:val="670"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加：会计政策</w:t>
            </w:r>
            <w:r>
              <w:rPr>
                <w:rFonts w:ascii="华文细黑" w:hAnsi="华文细黑" w:cs="华文细黑" w:eastAsia="华文细黑" w:hint="default"/>
                <w:sz w:val="18"/>
                <w:szCs w:val="18"/>
              </w:rPr>
              <w:t> 变更</w:t>
            </w: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71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1055" w:type="dxa"/>
            <w:tcBorders>
              <w:top w:val="single" w:sz="4" w:space="0" w:color="FFC000"/>
              <w:left w:val="single" w:sz="4" w:space="0" w:color="FFC000"/>
              <w:bottom w:val="single" w:sz="4" w:space="0" w:color="FFC000"/>
              <w:right w:val="single" w:sz="4" w:space="0" w:color="FFC000"/>
            </w:tcBorders>
          </w:tcPr>
          <w:p>
            <w:pPr/>
          </w:p>
        </w:tc>
      </w:tr>
      <w:tr>
        <w:trPr>
          <w:trHeight w:val="671"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03" w:right="22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前期差错更 正</w:t>
            </w: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71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1055" w:type="dxa"/>
            <w:tcBorders>
              <w:top w:val="single" w:sz="4" w:space="0" w:color="FFC000"/>
              <w:left w:val="single" w:sz="4" w:space="0" w:color="FFC000"/>
              <w:bottom w:val="single" w:sz="4" w:space="0" w:color="FFC000"/>
              <w:right w:val="single" w:sz="4" w:space="0" w:color="FFC000"/>
            </w:tcBorders>
          </w:tcPr>
          <w:p>
            <w:pPr/>
          </w:p>
        </w:tc>
      </w:tr>
      <w:tr>
        <w:trPr>
          <w:trHeight w:val="379"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71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1055" w:type="dxa"/>
            <w:tcBorders>
              <w:top w:val="single" w:sz="4" w:space="0" w:color="FFC000"/>
              <w:left w:val="single" w:sz="4" w:space="0" w:color="FFC000"/>
              <w:bottom w:val="single" w:sz="4" w:space="0" w:color="FFC000"/>
              <w:right w:val="single" w:sz="4" w:space="0" w:color="FFC000"/>
            </w:tcBorders>
          </w:tcPr>
          <w:p>
            <w:pPr/>
          </w:p>
        </w:tc>
      </w:tr>
      <w:tr>
        <w:trPr>
          <w:trHeight w:val="671"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二、本年期初</w:t>
            </w:r>
            <w:r>
              <w:rPr>
                <w:rFonts w:ascii="华文细黑" w:hAnsi="华文细黑" w:cs="华文细黑" w:eastAsia="华文细黑" w:hint="default"/>
                <w:sz w:val="18"/>
                <w:szCs w:val="18"/>
              </w:rPr>
              <w:t> 余额</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27" w:right="0"/>
              <w:jc w:val="left"/>
              <w:rPr>
                <w:rFonts w:ascii="华文细黑" w:hAnsi="华文细黑" w:cs="华文细黑" w:eastAsia="华文细黑" w:hint="default"/>
                <w:sz w:val="16"/>
                <w:szCs w:val="16"/>
              </w:rPr>
            </w:pPr>
            <w:r>
              <w:rPr>
                <w:rFonts w:ascii="华文细黑"/>
                <w:sz w:val="16"/>
              </w:rPr>
              <w:t>1,032,734,</w:t>
            </w:r>
          </w:p>
          <w:p>
            <w:pPr>
              <w:pStyle w:val="TableParagraph"/>
              <w:spacing w:line="240" w:lineRule="auto" w:before="64"/>
              <w:ind w:left="393" w:right="0"/>
              <w:jc w:val="left"/>
              <w:rPr>
                <w:rFonts w:ascii="华文细黑" w:hAnsi="华文细黑" w:cs="华文细黑" w:eastAsia="华文细黑" w:hint="default"/>
                <w:sz w:val="16"/>
                <w:szCs w:val="16"/>
              </w:rPr>
            </w:pPr>
            <w:r>
              <w:rPr>
                <w:rFonts w:ascii="华文细黑"/>
                <w:sz w:val="16"/>
              </w:rPr>
              <w:t>839.00</w:t>
            </w: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27" w:right="0"/>
              <w:jc w:val="left"/>
              <w:rPr>
                <w:rFonts w:ascii="华文细黑" w:hAnsi="华文细黑" w:cs="华文细黑" w:eastAsia="华文细黑" w:hint="default"/>
                <w:sz w:val="16"/>
                <w:szCs w:val="16"/>
              </w:rPr>
            </w:pPr>
            <w:r>
              <w:rPr>
                <w:rFonts w:ascii="华文细黑"/>
                <w:sz w:val="16"/>
              </w:rPr>
              <w:t>1,915,869,</w:t>
            </w:r>
          </w:p>
          <w:p>
            <w:pPr>
              <w:pStyle w:val="TableParagraph"/>
              <w:spacing w:line="240" w:lineRule="auto" w:before="64"/>
              <w:ind w:left="393" w:right="0"/>
              <w:jc w:val="left"/>
              <w:rPr>
                <w:rFonts w:ascii="华文细黑" w:hAnsi="华文细黑" w:cs="华文细黑" w:eastAsia="华文细黑" w:hint="default"/>
                <w:sz w:val="16"/>
                <w:szCs w:val="16"/>
              </w:rPr>
            </w:pPr>
            <w:r>
              <w:rPr>
                <w:rFonts w:ascii="华文细黑"/>
                <w:sz w:val="16"/>
              </w:rPr>
              <w:t>719.80</w:t>
            </w:r>
          </w:p>
        </w:tc>
        <w:tc>
          <w:tcPr>
            <w:tcW w:w="566" w:type="dxa"/>
            <w:tcBorders>
              <w:top w:val="single" w:sz="4" w:space="0" w:color="FFC000"/>
              <w:left w:val="single" w:sz="4" w:space="0" w:color="FFC000"/>
              <w:bottom w:val="single" w:sz="4" w:space="0" w:color="FFC000"/>
              <w:right w:val="single" w:sz="4" w:space="0" w:color="FFC000"/>
            </w:tcBorders>
          </w:tcPr>
          <w:p>
            <w:pPr/>
          </w:p>
        </w:tc>
        <w:tc>
          <w:tcPr>
            <w:tcW w:w="71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3" w:right="0"/>
              <w:jc w:val="center"/>
              <w:rPr>
                <w:rFonts w:ascii="华文细黑" w:hAnsi="华文细黑" w:cs="华文细黑" w:eastAsia="华文细黑" w:hint="default"/>
                <w:sz w:val="16"/>
                <w:szCs w:val="16"/>
              </w:rPr>
            </w:pPr>
            <w:r>
              <w:rPr>
                <w:rFonts w:ascii="华文细黑"/>
                <w:sz w:val="16"/>
              </w:rPr>
              <w:t>246,843,</w:t>
            </w:r>
          </w:p>
          <w:p>
            <w:pPr>
              <w:pStyle w:val="TableParagraph"/>
              <w:spacing w:line="240" w:lineRule="auto" w:before="64"/>
              <w:ind w:left="146" w:right="0"/>
              <w:jc w:val="center"/>
              <w:rPr>
                <w:rFonts w:ascii="华文细黑" w:hAnsi="华文细黑" w:cs="华文细黑" w:eastAsia="华文细黑" w:hint="default"/>
                <w:sz w:val="16"/>
                <w:szCs w:val="16"/>
              </w:rPr>
            </w:pPr>
            <w:r>
              <w:rPr>
                <w:rFonts w:ascii="华文细黑"/>
                <w:sz w:val="16"/>
              </w:rPr>
              <w:t>122.20</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27" w:right="0"/>
              <w:jc w:val="left"/>
              <w:rPr>
                <w:rFonts w:ascii="华文细黑" w:hAnsi="华文细黑" w:cs="华文细黑" w:eastAsia="华文细黑" w:hint="default"/>
                <w:sz w:val="16"/>
                <w:szCs w:val="16"/>
              </w:rPr>
            </w:pPr>
            <w:r>
              <w:rPr>
                <w:rFonts w:ascii="华文细黑"/>
                <w:sz w:val="16"/>
              </w:rPr>
              <w:t>1,288,001,</w:t>
            </w:r>
          </w:p>
          <w:p>
            <w:pPr>
              <w:pStyle w:val="TableParagraph"/>
              <w:spacing w:line="240" w:lineRule="auto" w:before="64"/>
              <w:ind w:left="393" w:right="0"/>
              <w:jc w:val="left"/>
              <w:rPr>
                <w:rFonts w:ascii="华文细黑" w:hAnsi="华文细黑" w:cs="华文细黑" w:eastAsia="华文细黑" w:hint="default"/>
                <w:sz w:val="16"/>
                <w:szCs w:val="16"/>
              </w:rPr>
            </w:pPr>
            <w:r>
              <w:rPr>
                <w:rFonts w:ascii="华文细黑"/>
                <w:sz w:val="16"/>
              </w:rPr>
              <w:t>575.05</w:t>
            </w:r>
          </w:p>
        </w:tc>
        <w:tc>
          <w:tcPr>
            <w:tcW w:w="10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87" w:right="0"/>
              <w:jc w:val="left"/>
              <w:rPr>
                <w:rFonts w:ascii="华文细黑" w:hAnsi="华文细黑" w:cs="华文细黑" w:eastAsia="华文细黑" w:hint="default"/>
                <w:sz w:val="16"/>
                <w:szCs w:val="16"/>
              </w:rPr>
            </w:pPr>
            <w:r>
              <w:rPr>
                <w:rFonts w:ascii="华文细黑"/>
                <w:sz w:val="16"/>
              </w:rPr>
              <w:t>4,483,449,</w:t>
            </w:r>
          </w:p>
          <w:p>
            <w:pPr>
              <w:pStyle w:val="TableParagraph"/>
              <w:spacing w:line="240" w:lineRule="auto" w:before="64"/>
              <w:ind w:left="453" w:right="0"/>
              <w:jc w:val="left"/>
              <w:rPr>
                <w:rFonts w:ascii="华文细黑" w:hAnsi="华文细黑" w:cs="华文细黑" w:eastAsia="华文细黑" w:hint="default"/>
                <w:sz w:val="16"/>
                <w:szCs w:val="16"/>
              </w:rPr>
            </w:pPr>
            <w:r>
              <w:rPr>
                <w:rFonts w:ascii="华文细黑"/>
                <w:sz w:val="16"/>
              </w:rPr>
              <w:t>256.05</w:t>
            </w:r>
          </w:p>
        </w:tc>
      </w:tr>
      <w:tr>
        <w:trPr>
          <w:trHeight w:val="1249"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both"/>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三、本期增减</w:t>
            </w:r>
            <w:r>
              <w:rPr>
                <w:rFonts w:ascii="华文细黑" w:hAnsi="华文细黑" w:cs="华文细黑" w:eastAsia="华文细黑" w:hint="default"/>
                <w:sz w:val="18"/>
                <w:szCs w:val="18"/>
              </w:rPr>
              <w:t> </w:t>
            </w:r>
            <w:r>
              <w:rPr>
                <w:rFonts w:ascii="华文细黑" w:hAnsi="华文细黑" w:cs="华文细黑" w:eastAsia="华文细黑" w:hint="default"/>
                <w:spacing w:val="-9"/>
                <w:sz w:val="18"/>
                <w:szCs w:val="18"/>
              </w:rPr>
              <w:t>变动金额（减</w:t>
            </w:r>
            <w:r>
              <w:rPr>
                <w:rFonts w:ascii="华文细黑" w:hAnsi="华文细黑" w:cs="华文细黑" w:eastAsia="华文细黑" w:hint="default"/>
                <w:sz w:val="18"/>
                <w:szCs w:val="18"/>
              </w:rPr>
              <w:t> </w:t>
            </w:r>
            <w:r>
              <w:rPr>
                <w:rFonts w:ascii="华文细黑" w:hAnsi="华文细黑" w:cs="华文细黑" w:eastAsia="华文细黑" w:hint="default"/>
                <w:spacing w:val="-10"/>
                <w:sz w:val="18"/>
                <w:szCs w:val="18"/>
              </w:rPr>
              <w:t>少以“－”号</w:t>
            </w:r>
            <w:r>
              <w:rPr>
                <w:rFonts w:ascii="华文细黑" w:hAnsi="华文细黑" w:cs="华文细黑" w:eastAsia="华文细黑" w:hint="default"/>
                <w:spacing w:val="-40"/>
                <w:sz w:val="18"/>
                <w:szCs w:val="18"/>
              </w:rPr>
              <w:t> </w:t>
            </w:r>
            <w:r>
              <w:rPr>
                <w:rFonts w:ascii="华文细黑" w:hAnsi="华文细黑" w:cs="华文细黑" w:eastAsia="华文细黑" w:hint="default"/>
                <w:spacing w:val="-40"/>
                <w:sz w:val="18"/>
                <w:szCs w:val="18"/>
              </w:rPr>
            </w:r>
            <w:r>
              <w:rPr>
                <w:rFonts w:ascii="华文细黑" w:hAnsi="华文细黑" w:cs="华文细黑" w:eastAsia="华文细黑" w:hint="default"/>
                <w:sz w:val="18"/>
                <w:szCs w:val="18"/>
              </w:rPr>
              <w:t>填列）</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0"/>
              <w:jc w:val="left"/>
              <w:rPr>
                <w:rFonts w:ascii="华文细黑" w:hAnsi="华文细黑" w:cs="华文细黑" w:eastAsia="华文细黑" w:hint="default"/>
                <w:b/>
                <w:bCs/>
                <w:sz w:val="23"/>
                <w:szCs w:val="23"/>
              </w:rPr>
            </w:pPr>
          </w:p>
          <w:p>
            <w:pPr>
              <w:pStyle w:val="TableParagraph"/>
              <w:spacing w:line="240" w:lineRule="auto"/>
              <w:ind w:left="171" w:right="0"/>
              <w:jc w:val="left"/>
              <w:rPr>
                <w:rFonts w:ascii="华文细黑" w:hAnsi="华文细黑" w:cs="华文细黑" w:eastAsia="华文细黑" w:hint="default"/>
                <w:sz w:val="16"/>
                <w:szCs w:val="16"/>
              </w:rPr>
            </w:pPr>
            <w:r>
              <w:rPr>
                <w:rFonts w:ascii="华文细黑"/>
                <w:sz w:val="16"/>
              </w:rPr>
              <w:t>206,546,9</w:t>
            </w:r>
          </w:p>
          <w:p>
            <w:pPr>
              <w:pStyle w:val="TableParagraph"/>
              <w:spacing w:line="240" w:lineRule="auto" w:before="64"/>
              <w:ind w:left="482" w:right="0"/>
              <w:jc w:val="left"/>
              <w:rPr>
                <w:rFonts w:ascii="华文细黑" w:hAnsi="华文细黑" w:cs="华文细黑" w:eastAsia="华文细黑" w:hint="default"/>
                <w:sz w:val="16"/>
                <w:szCs w:val="16"/>
              </w:rPr>
            </w:pPr>
            <w:r>
              <w:rPr>
                <w:rFonts w:ascii="华文细黑"/>
                <w:sz w:val="16"/>
              </w:rPr>
              <w:t>67.00</w:t>
            </w: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0"/>
              <w:jc w:val="left"/>
              <w:rPr>
                <w:rFonts w:ascii="华文细黑" w:hAnsi="华文细黑" w:cs="华文细黑" w:eastAsia="华文细黑" w:hint="default"/>
                <w:b/>
                <w:bCs/>
                <w:sz w:val="23"/>
                <w:szCs w:val="23"/>
              </w:rPr>
            </w:pPr>
          </w:p>
          <w:p>
            <w:pPr>
              <w:pStyle w:val="TableParagraph"/>
              <w:spacing w:line="240" w:lineRule="auto"/>
              <w:ind w:left="118" w:right="0"/>
              <w:jc w:val="left"/>
              <w:rPr>
                <w:rFonts w:ascii="华文细黑" w:hAnsi="华文细黑" w:cs="华文细黑" w:eastAsia="华文细黑" w:hint="default"/>
                <w:sz w:val="16"/>
                <w:szCs w:val="16"/>
              </w:rPr>
            </w:pPr>
            <w:r>
              <w:rPr>
                <w:rFonts w:ascii="华文细黑"/>
                <w:sz w:val="16"/>
              </w:rPr>
              <w:t>-206,546,9</w:t>
            </w:r>
          </w:p>
          <w:p>
            <w:pPr>
              <w:pStyle w:val="TableParagraph"/>
              <w:spacing w:line="240" w:lineRule="auto" w:before="64"/>
              <w:ind w:left="482" w:right="0"/>
              <w:jc w:val="left"/>
              <w:rPr>
                <w:rFonts w:ascii="华文细黑" w:hAnsi="华文细黑" w:cs="华文细黑" w:eastAsia="华文细黑" w:hint="default"/>
                <w:sz w:val="16"/>
                <w:szCs w:val="16"/>
              </w:rPr>
            </w:pPr>
            <w:r>
              <w:rPr>
                <w:rFonts w:ascii="华文细黑"/>
                <w:sz w:val="16"/>
              </w:rPr>
              <w:t>67.00</w:t>
            </w:r>
          </w:p>
        </w:tc>
        <w:tc>
          <w:tcPr>
            <w:tcW w:w="566" w:type="dxa"/>
            <w:tcBorders>
              <w:top w:val="single" w:sz="4" w:space="0" w:color="FFC000"/>
              <w:left w:val="single" w:sz="4" w:space="0" w:color="FFC000"/>
              <w:bottom w:val="single" w:sz="4" w:space="0" w:color="FFC000"/>
              <w:right w:val="single" w:sz="4" w:space="0" w:color="FFC000"/>
            </w:tcBorders>
          </w:tcPr>
          <w:p>
            <w:pPr/>
          </w:p>
        </w:tc>
        <w:tc>
          <w:tcPr>
            <w:tcW w:w="71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0"/>
              <w:jc w:val="left"/>
              <w:rPr>
                <w:rFonts w:ascii="华文细黑" w:hAnsi="华文细黑" w:cs="华文细黑" w:eastAsia="华文细黑" w:hint="default"/>
                <w:b/>
                <w:bCs/>
                <w:sz w:val="23"/>
                <w:szCs w:val="23"/>
              </w:rPr>
            </w:pPr>
          </w:p>
          <w:p>
            <w:pPr>
              <w:pStyle w:val="TableParagraph"/>
              <w:spacing w:line="240" w:lineRule="auto"/>
              <w:ind w:left="115" w:right="0"/>
              <w:jc w:val="left"/>
              <w:rPr>
                <w:rFonts w:ascii="华文细黑" w:hAnsi="华文细黑" w:cs="华文细黑" w:eastAsia="华文细黑" w:hint="default"/>
                <w:sz w:val="16"/>
                <w:szCs w:val="16"/>
              </w:rPr>
            </w:pPr>
            <w:r>
              <w:rPr>
                <w:rFonts w:ascii="华文细黑"/>
                <w:sz w:val="16"/>
              </w:rPr>
              <w:t>17,881,0</w:t>
            </w:r>
          </w:p>
          <w:p>
            <w:pPr>
              <w:pStyle w:val="TableParagraph"/>
              <w:spacing w:line="240" w:lineRule="auto" w:before="64"/>
              <w:ind w:left="337" w:right="0"/>
              <w:jc w:val="left"/>
              <w:rPr>
                <w:rFonts w:ascii="华文细黑" w:hAnsi="华文细黑" w:cs="华文细黑" w:eastAsia="华文细黑" w:hint="default"/>
                <w:sz w:val="16"/>
                <w:szCs w:val="16"/>
              </w:rPr>
            </w:pPr>
            <w:r>
              <w:rPr>
                <w:rFonts w:ascii="华文细黑"/>
                <w:sz w:val="16"/>
              </w:rPr>
              <w:t>62.23</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0"/>
              <w:jc w:val="left"/>
              <w:rPr>
                <w:rFonts w:ascii="华文细黑" w:hAnsi="华文细黑" w:cs="华文细黑" w:eastAsia="华文细黑" w:hint="default"/>
                <w:b/>
                <w:bCs/>
                <w:sz w:val="23"/>
                <w:szCs w:val="23"/>
              </w:rPr>
            </w:pPr>
          </w:p>
          <w:p>
            <w:pPr>
              <w:pStyle w:val="TableParagraph"/>
              <w:spacing w:line="240" w:lineRule="auto"/>
              <w:ind w:left="118" w:right="0"/>
              <w:jc w:val="left"/>
              <w:rPr>
                <w:rFonts w:ascii="华文细黑" w:hAnsi="华文细黑" w:cs="华文细黑" w:eastAsia="华文细黑" w:hint="default"/>
                <w:sz w:val="16"/>
                <w:szCs w:val="16"/>
              </w:rPr>
            </w:pPr>
            <w:r>
              <w:rPr>
                <w:rFonts w:ascii="华文细黑"/>
                <w:sz w:val="16"/>
              </w:rPr>
              <w:t>-45,617,40</w:t>
            </w:r>
          </w:p>
          <w:p>
            <w:pPr>
              <w:pStyle w:val="TableParagraph"/>
              <w:spacing w:line="240" w:lineRule="auto" w:before="64"/>
              <w:ind w:left="569" w:right="0"/>
              <w:jc w:val="left"/>
              <w:rPr>
                <w:rFonts w:ascii="华文细黑" w:hAnsi="华文细黑" w:cs="华文细黑" w:eastAsia="华文细黑" w:hint="default"/>
                <w:sz w:val="16"/>
                <w:szCs w:val="16"/>
              </w:rPr>
            </w:pPr>
            <w:r>
              <w:rPr>
                <w:rFonts w:ascii="华文细黑"/>
                <w:sz w:val="16"/>
              </w:rPr>
              <w:t>7.72</w:t>
            </w:r>
          </w:p>
        </w:tc>
        <w:tc>
          <w:tcPr>
            <w:tcW w:w="10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
              <w:ind w:right="0"/>
              <w:jc w:val="left"/>
              <w:rPr>
                <w:rFonts w:ascii="华文细黑" w:hAnsi="华文细黑" w:cs="华文细黑" w:eastAsia="华文细黑" w:hint="default"/>
                <w:b/>
                <w:bCs/>
                <w:sz w:val="23"/>
                <w:szCs w:val="23"/>
              </w:rPr>
            </w:pPr>
          </w:p>
          <w:p>
            <w:pPr>
              <w:pStyle w:val="TableParagraph"/>
              <w:spacing w:line="240" w:lineRule="auto"/>
              <w:ind w:left="178" w:right="0"/>
              <w:jc w:val="left"/>
              <w:rPr>
                <w:rFonts w:ascii="华文细黑" w:hAnsi="华文细黑" w:cs="华文细黑" w:eastAsia="华文细黑" w:hint="default"/>
                <w:sz w:val="16"/>
                <w:szCs w:val="16"/>
              </w:rPr>
            </w:pPr>
            <w:r>
              <w:rPr>
                <w:rFonts w:ascii="华文细黑"/>
                <w:sz w:val="16"/>
              </w:rPr>
              <w:t>-27,736,34</w:t>
            </w:r>
          </w:p>
          <w:p>
            <w:pPr>
              <w:pStyle w:val="TableParagraph"/>
              <w:spacing w:line="240" w:lineRule="auto" w:before="64"/>
              <w:ind w:left="629" w:right="0"/>
              <w:jc w:val="left"/>
              <w:rPr>
                <w:rFonts w:ascii="华文细黑" w:hAnsi="华文细黑" w:cs="华文细黑" w:eastAsia="华文细黑" w:hint="default"/>
                <w:sz w:val="16"/>
                <w:szCs w:val="16"/>
              </w:rPr>
            </w:pPr>
            <w:r>
              <w:rPr>
                <w:rFonts w:ascii="华文细黑"/>
                <w:sz w:val="16"/>
              </w:rPr>
              <w:t>5.49</w:t>
            </w:r>
          </w:p>
        </w:tc>
      </w:tr>
      <w:tr>
        <w:trPr>
          <w:trHeight w:val="671"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1"/>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（一）综合收</w:t>
            </w:r>
            <w:r>
              <w:rPr>
                <w:rFonts w:ascii="华文细黑" w:hAnsi="华文细黑" w:cs="华文细黑" w:eastAsia="华文细黑" w:hint="default"/>
                <w:sz w:val="18"/>
                <w:szCs w:val="18"/>
              </w:rPr>
              <w:t> 益总额</w:t>
            </w: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71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71" w:right="0"/>
              <w:jc w:val="left"/>
              <w:rPr>
                <w:rFonts w:ascii="华文细黑" w:hAnsi="华文细黑" w:cs="华文细黑" w:eastAsia="华文细黑" w:hint="default"/>
                <w:sz w:val="16"/>
                <w:szCs w:val="16"/>
              </w:rPr>
            </w:pPr>
            <w:r>
              <w:rPr>
                <w:rFonts w:ascii="华文细黑"/>
                <w:sz w:val="16"/>
              </w:rPr>
              <w:t>178,810,6</w:t>
            </w:r>
          </w:p>
          <w:p>
            <w:pPr>
              <w:pStyle w:val="TableParagraph"/>
              <w:spacing w:line="240" w:lineRule="auto" w:before="64"/>
              <w:ind w:left="482" w:right="0"/>
              <w:jc w:val="left"/>
              <w:rPr>
                <w:rFonts w:ascii="华文细黑" w:hAnsi="华文细黑" w:cs="华文细黑" w:eastAsia="华文细黑" w:hint="default"/>
                <w:sz w:val="16"/>
                <w:szCs w:val="16"/>
              </w:rPr>
            </w:pPr>
            <w:r>
              <w:rPr>
                <w:rFonts w:ascii="华文细黑"/>
                <w:sz w:val="16"/>
              </w:rPr>
              <w:t>22.31</w:t>
            </w:r>
          </w:p>
        </w:tc>
        <w:tc>
          <w:tcPr>
            <w:tcW w:w="10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42" w:right="0"/>
              <w:jc w:val="left"/>
              <w:rPr>
                <w:rFonts w:ascii="华文细黑" w:hAnsi="华文细黑" w:cs="华文细黑" w:eastAsia="华文细黑" w:hint="default"/>
                <w:sz w:val="16"/>
                <w:szCs w:val="16"/>
              </w:rPr>
            </w:pPr>
            <w:r>
              <w:rPr>
                <w:rFonts w:ascii="华文细黑"/>
                <w:sz w:val="16"/>
              </w:rPr>
              <w:t>178,810,62</w:t>
            </w:r>
          </w:p>
          <w:p>
            <w:pPr>
              <w:pStyle w:val="TableParagraph"/>
              <w:spacing w:line="240" w:lineRule="auto" w:before="64"/>
              <w:ind w:left="629" w:right="0"/>
              <w:jc w:val="left"/>
              <w:rPr>
                <w:rFonts w:ascii="华文细黑" w:hAnsi="华文细黑" w:cs="华文细黑" w:eastAsia="华文细黑" w:hint="default"/>
                <w:sz w:val="16"/>
                <w:szCs w:val="16"/>
              </w:rPr>
            </w:pPr>
            <w:r>
              <w:rPr>
                <w:rFonts w:ascii="华文细黑"/>
                <w:sz w:val="16"/>
              </w:rPr>
              <w:t>2.31</w:t>
            </w:r>
          </w:p>
        </w:tc>
      </w:tr>
      <w:tr>
        <w:trPr>
          <w:trHeight w:val="960"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（二）所有者</w:t>
            </w:r>
            <w:r>
              <w:rPr>
                <w:rFonts w:ascii="华文细黑" w:hAnsi="华文细黑" w:cs="华文细黑" w:eastAsia="华文细黑" w:hint="default"/>
                <w:sz w:val="18"/>
                <w:szCs w:val="18"/>
              </w:rPr>
              <w:t> 投入和减少 资本</w:t>
            </w: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71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1055" w:type="dxa"/>
            <w:tcBorders>
              <w:top w:val="single" w:sz="4" w:space="0" w:color="FFC000"/>
              <w:left w:val="single" w:sz="4" w:space="0" w:color="FFC000"/>
              <w:bottom w:val="single" w:sz="4" w:space="0" w:color="FFC000"/>
              <w:right w:val="single" w:sz="4" w:space="0" w:color="FFC000"/>
            </w:tcBorders>
          </w:tcPr>
          <w:p>
            <w:pPr/>
          </w:p>
        </w:tc>
      </w:tr>
      <w:tr>
        <w:trPr>
          <w:trHeight w:val="670"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2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．所有者投 入的普通股</w:t>
            </w: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71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1055" w:type="dxa"/>
            <w:tcBorders>
              <w:top w:val="single" w:sz="4" w:space="0" w:color="FFC000"/>
              <w:left w:val="single" w:sz="4" w:space="0" w:color="FFC000"/>
              <w:bottom w:val="single" w:sz="4" w:space="0" w:color="FFC000"/>
              <w:right w:val="single" w:sz="4" w:space="0" w:color="FFC000"/>
            </w:tcBorders>
          </w:tcPr>
          <w:p>
            <w:pPr/>
          </w:p>
        </w:tc>
      </w:tr>
      <w:tr>
        <w:trPr>
          <w:trHeight w:val="960"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2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．其他权益 工具持有者 投入资本</w:t>
            </w: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71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1055" w:type="dxa"/>
            <w:tcBorders>
              <w:top w:val="single" w:sz="4" w:space="0" w:color="FFC000"/>
              <w:left w:val="single" w:sz="4" w:space="0" w:color="FFC000"/>
              <w:bottom w:val="single" w:sz="4" w:space="0" w:color="FFC000"/>
              <w:right w:val="single" w:sz="4" w:space="0" w:color="FFC000"/>
            </w:tcBorders>
          </w:tcPr>
          <w:p>
            <w:pPr/>
          </w:p>
        </w:tc>
      </w:tr>
      <w:tr>
        <w:trPr>
          <w:trHeight w:val="960"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2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w:t>
            </w:r>
            <w:r>
              <w:rPr>
                <w:rFonts w:ascii="华文细黑" w:hAnsi="华文细黑" w:cs="华文细黑" w:eastAsia="华文细黑" w:hint="default"/>
                <w:sz w:val="18"/>
                <w:szCs w:val="18"/>
              </w:rPr>
              <w:t>．股份支付 计入所有者 权益的金额</w:t>
            </w: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71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1055"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4</w:t>
            </w:r>
            <w:r>
              <w:rPr>
                <w:rFonts w:ascii="华文细黑" w:hAnsi="华文细黑" w:cs="华文细黑" w:eastAsia="华文细黑" w:hint="default"/>
                <w:sz w:val="18"/>
                <w:szCs w:val="18"/>
              </w:rPr>
              <w:t>．其他</w:t>
            </w: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71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
        </w:tc>
        <w:tc>
          <w:tcPr>
            <w:tcW w:w="1055" w:type="dxa"/>
            <w:tcBorders>
              <w:top w:val="single" w:sz="4" w:space="0" w:color="FFC000"/>
              <w:left w:val="single" w:sz="4" w:space="0" w:color="FFC000"/>
              <w:bottom w:val="single" w:sz="4" w:space="0" w:color="FFC000"/>
              <w:right w:val="single" w:sz="4" w:space="0" w:color="FFC000"/>
            </w:tcBorders>
          </w:tcPr>
          <w:p>
            <w:pPr/>
          </w:p>
        </w:tc>
      </w:tr>
      <w:tr>
        <w:trPr>
          <w:trHeight w:val="670"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（三）利润分</w:t>
            </w:r>
            <w:r>
              <w:rPr>
                <w:rFonts w:ascii="华文细黑" w:hAnsi="华文细黑" w:cs="华文细黑" w:eastAsia="华文细黑" w:hint="default"/>
                <w:sz w:val="18"/>
                <w:szCs w:val="18"/>
              </w:rPr>
              <w:t> 配</w:t>
            </w: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71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15" w:right="0"/>
              <w:jc w:val="left"/>
              <w:rPr>
                <w:rFonts w:ascii="华文细黑" w:hAnsi="华文细黑" w:cs="华文细黑" w:eastAsia="华文细黑" w:hint="default"/>
                <w:sz w:val="16"/>
                <w:szCs w:val="16"/>
              </w:rPr>
            </w:pPr>
            <w:r>
              <w:rPr>
                <w:rFonts w:ascii="华文细黑"/>
                <w:sz w:val="16"/>
              </w:rPr>
              <w:t>17,881,0</w:t>
            </w:r>
          </w:p>
          <w:p>
            <w:pPr>
              <w:pStyle w:val="TableParagraph"/>
              <w:spacing w:line="240" w:lineRule="auto" w:before="64"/>
              <w:ind w:left="337" w:right="0"/>
              <w:jc w:val="left"/>
              <w:rPr>
                <w:rFonts w:ascii="华文细黑" w:hAnsi="华文细黑" w:cs="华文细黑" w:eastAsia="华文细黑" w:hint="default"/>
                <w:sz w:val="16"/>
                <w:szCs w:val="16"/>
              </w:rPr>
            </w:pPr>
            <w:r>
              <w:rPr>
                <w:rFonts w:ascii="华文细黑"/>
                <w:sz w:val="16"/>
              </w:rPr>
              <w:t>62.23</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18" w:right="0"/>
              <w:jc w:val="left"/>
              <w:rPr>
                <w:rFonts w:ascii="华文细黑" w:hAnsi="华文细黑" w:cs="华文细黑" w:eastAsia="华文细黑" w:hint="default"/>
                <w:sz w:val="16"/>
                <w:szCs w:val="16"/>
              </w:rPr>
            </w:pPr>
            <w:r>
              <w:rPr>
                <w:rFonts w:ascii="华文细黑"/>
                <w:sz w:val="16"/>
              </w:rPr>
              <w:t>-224,428,0</w:t>
            </w:r>
          </w:p>
          <w:p>
            <w:pPr>
              <w:pStyle w:val="TableParagraph"/>
              <w:spacing w:line="240" w:lineRule="auto" w:before="64"/>
              <w:ind w:left="482" w:right="0"/>
              <w:jc w:val="left"/>
              <w:rPr>
                <w:rFonts w:ascii="华文细黑" w:hAnsi="华文细黑" w:cs="华文细黑" w:eastAsia="华文细黑" w:hint="default"/>
                <w:sz w:val="16"/>
                <w:szCs w:val="16"/>
              </w:rPr>
            </w:pPr>
            <w:r>
              <w:rPr>
                <w:rFonts w:ascii="华文细黑"/>
                <w:sz w:val="16"/>
              </w:rPr>
              <w:t>30.03</w:t>
            </w:r>
          </w:p>
        </w:tc>
        <w:tc>
          <w:tcPr>
            <w:tcW w:w="10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78" w:right="0"/>
              <w:jc w:val="left"/>
              <w:rPr>
                <w:rFonts w:ascii="华文细黑" w:hAnsi="华文细黑" w:cs="华文细黑" w:eastAsia="华文细黑" w:hint="default"/>
                <w:sz w:val="16"/>
                <w:szCs w:val="16"/>
              </w:rPr>
            </w:pPr>
            <w:r>
              <w:rPr>
                <w:rFonts w:ascii="华文细黑"/>
                <w:sz w:val="16"/>
              </w:rPr>
              <w:t>-206,546,9</w:t>
            </w:r>
          </w:p>
          <w:p>
            <w:pPr>
              <w:pStyle w:val="TableParagraph"/>
              <w:spacing w:line="240" w:lineRule="auto" w:before="64"/>
              <w:ind w:left="542" w:right="0"/>
              <w:jc w:val="left"/>
              <w:rPr>
                <w:rFonts w:ascii="华文细黑" w:hAnsi="华文细黑" w:cs="华文细黑" w:eastAsia="华文细黑" w:hint="default"/>
                <w:sz w:val="16"/>
                <w:szCs w:val="16"/>
              </w:rPr>
            </w:pPr>
            <w:r>
              <w:rPr>
                <w:rFonts w:ascii="华文细黑"/>
                <w:sz w:val="16"/>
              </w:rPr>
              <w:t>67.80</w:t>
            </w:r>
          </w:p>
        </w:tc>
      </w:tr>
      <w:tr>
        <w:trPr>
          <w:trHeight w:val="670"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2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．提取盈余 公积</w:t>
            </w: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71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15" w:right="0"/>
              <w:jc w:val="left"/>
              <w:rPr>
                <w:rFonts w:ascii="华文细黑" w:hAnsi="华文细黑" w:cs="华文细黑" w:eastAsia="华文细黑" w:hint="default"/>
                <w:sz w:val="16"/>
                <w:szCs w:val="16"/>
              </w:rPr>
            </w:pPr>
            <w:r>
              <w:rPr>
                <w:rFonts w:ascii="华文细黑"/>
                <w:sz w:val="16"/>
              </w:rPr>
              <w:t>17,881,0</w:t>
            </w:r>
          </w:p>
          <w:p>
            <w:pPr>
              <w:pStyle w:val="TableParagraph"/>
              <w:spacing w:line="240" w:lineRule="auto" w:before="65"/>
              <w:ind w:left="337" w:right="0"/>
              <w:jc w:val="left"/>
              <w:rPr>
                <w:rFonts w:ascii="华文细黑" w:hAnsi="华文细黑" w:cs="华文细黑" w:eastAsia="华文细黑" w:hint="default"/>
                <w:sz w:val="16"/>
                <w:szCs w:val="16"/>
              </w:rPr>
            </w:pPr>
            <w:r>
              <w:rPr>
                <w:rFonts w:ascii="华文细黑"/>
                <w:sz w:val="16"/>
              </w:rPr>
              <w:t>62.23</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18" w:right="0"/>
              <w:jc w:val="left"/>
              <w:rPr>
                <w:rFonts w:ascii="华文细黑" w:hAnsi="华文细黑" w:cs="华文细黑" w:eastAsia="华文细黑" w:hint="default"/>
                <w:sz w:val="16"/>
                <w:szCs w:val="16"/>
              </w:rPr>
            </w:pPr>
            <w:r>
              <w:rPr>
                <w:rFonts w:ascii="华文细黑"/>
                <w:sz w:val="16"/>
              </w:rPr>
              <w:t>-17,881,06</w:t>
            </w:r>
          </w:p>
          <w:p>
            <w:pPr>
              <w:pStyle w:val="TableParagraph"/>
              <w:spacing w:line="240" w:lineRule="auto" w:before="65"/>
              <w:ind w:left="569" w:right="0"/>
              <w:jc w:val="left"/>
              <w:rPr>
                <w:rFonts w:ascii="华文细黑" w:hAnsi="华文细黑" w:cs="华文细黑" w:eastAsia="华文细黑" w:hint="default"/>
                <w:sz w:val="16"/>
                <w:szCs w:val="16"/>
              </w:rPr>
            </w:pPr>
            <w:r>
              <w:rPr>
                <w:rFonts w:ascii="华文细黑"/>
                <w:sz w:val="16"/>
              </w:rPr>
              <w:t>2.23</w:t>
            </w:r>
          </w:p>
        </w:tc>
        <w:tc>
          <w:tcPr>
            <w:tcW w:w="1055" w:type="dxa"/>
            <w:tcBorders>
              <w:top w:val="single" w:sz="4" w:space="0" w:color="FFC000"/>
              <w:left w:val="single" w:sz="4" w:space="0" w:color="FFC000"/>
              <w:bottom w:val="single" w:sz="4" w:space="0" w:color="FFC000"/>
              <w:right w:val="single" w:sz="4" w:space="0" w:color="FFC000"/>
            </w:tcBorders>
          </w:tcPr>
          <w:p>
            <w:pPr/>
          </w:p>
        </w:tc>
      </w:tr>
      <w:tr>
        <w:trPr>
          <w:trHeight w:val="961"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．对所有者</w:t>
            </w:r>
          </w:p>
          <w:p>
            <w:pPr>
              <w:pStyle w:val="TableParagraph"/>
              <w:spacing w:line="273" w:lineRule="auto" w:before="35"/>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（或股东）的</w:t>
            </w:r>
            <w:r>
              <w:rPr>
                <w:rFonts w:ascii="华文细黑" w:hAnsi="华文细黑" w:cs="华文细黑" w:eastAsia="华文细黑" w:hint="default"/>
                <w:sz w:val="18"/>
                <w:szCs w:val="18"/>
              </w:rPr>
              <w:t> 分配</w:t>
            </w: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71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849" w:type="dxa"/>
            <w:tcBorders>
              <w:top w:val="single" w:sz="4" w:space="0" w:color="FFC000"/>
              <w:left w:val="single" w:sz="4" w:space="0" w:color="FFC000"/>
              <w:bottom w:val="single" w:sz="4" w:space="0" w:color="FFC000"/>
              <w:right w:val="single" w:sz="4" w:space="0" w:color="FFC000"/>
            </w:tcBorders>
          </w:tcPr>
          <w:p>
            <w:pP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b/>
                <w:bCs/>
                <w:sz w:val="13"/>
                <w:szCs w:val="13"/>
              </w:rPr>
            </w:pPr>
          </w:p>
          <w:p>
            <w:pPr>
              <w:pStyle w:val="TableParagraph"/>
              <w:spacing w:line="240" w:lineRule="auto"/>
              <w:ind w:left="118" w:right="0"/>
              <w:jc w:val="left"/>
              <w:rPr>
                <w:rFonts w:ascii="华文细黑" w:hAnsi="华文细黑" w:cs="华文细黑" w:eastAsia="华文细黑" w:hint="default"/>
                <w:sz w:val="16"/>
                <w:szCs w:val="16"/>
              </w:rPr>
            </w:pPr>
            <w:r>
              <w:rPr>
                <w:rFonts w:ascii="华文细黑"/>
                <w:sz w:val="16"/>
              </w:rPr>
              <w:t>-206,546,9</w:t>
            </w:r>
          </w:p>
          <w:p>
            <w:pPr>
              <w:pStyle w:val="TableParagraph"/>
              <w:spacing w:line="240" w:lineRule="auto" w:before="64"/>
              <w:ind w:left="482" w:right="0"/>
              <w:jc w:val="left"/>
              <w:rPr>
                <w:rFonts w:ascii="华文细黑" w:hAnsi="华文细黑" w:cs="华文细黑" w:eastAsia="华文细黑" w:hint="default"/>
                <w:sz w:val="16"/>
                <w:szCs w:val="16"/>
              </w:rPr>
            </w:pPr>
            <w:r>
              <w:rPr>
                <w:rFonts w:ascii="华文细黑"/>
                <w:sz w:val="16"/>
              </w:rPr>
              <w:t>67.80</w:t>
            </w:r>
          </w:p>
        </w:tc>
        <w:tc>
          <w:tcPr>
            <w:tcW w:w="10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b/>
                <w:bCs/>
                <w:sz w:val="13"/>
                <w:szCs w:val="13"/>
              </w:rPr>
            </w:pPr>
          </w:p>
          <w:p>
            <w:pPr>
              <w:pStyle w:val="TableParagraph"/>
              <w:spacing w:line="240" w:lineRule="auto"/>
              <w:ind w:left="178" w:right="0"/>
              <w:jc w:val="left"/>
              <w:rPr>
                <w:rFonts w:ascii="华文细黑" w:hAnsi="华文细黑" w:cs="华文细黑" w:eastAsia="华文细黑" w:hint="default"/>
                <w:sz w:val="16"/>
                <w:szCs w:val="16"/>
              </w:rPr>
            </w:pPr>
            <w:r>
              <w:rPr>
                <w:rFonts w:ascii="华文细黑"/>
                <w:sz w:val="16"/>
              </w:rPr>
              <w:t>-206,546,9</w:t>
            </w:r>
          </w:p>
          <w:p>
            <w:pPr>
              <w:pStyle w:val="TableParagraph"/>
              <w:spacing w:line="240" w:lineRule="auto" w:before="64"/>
              <w:ind w:left="542" w:right="0"/>
              <w:jc w:val="left"/>
              <w:rPr>
                <w:rFonts w:ascii="华文细黑" w:hAnsi="华文细黑" w:cs="华文细黑" w:eastAsia="华文细黑" w:hint="default"/>
                <w:sz w:val="16"/>
                <w:szCs w:val="16"/>
              </w:rPr>
            </w:pPr>
            <w:r>
              <w:rPr>
                <w:rFonts w:ascii="华文细黑"/>
                <w:sz w:val="16"/>
              </w:rPr>
              <w:t>67.80</w:t>
            </w:r>
          </w:p>
        </w:tc>
      </w:tr>
    </w:tbl>
    <w:p>
      <w:pPr>
        <w:spacing w:after="0" w:line="240" w:lineRule="auto"/>
        <w:jc w:val="left"/>
        <w:rPr>
          <w:rFonts w:ascii="华文细黑" w:hAnsi="华文细黑" w:cs="华文细黑" w:eastAsia="华文细黑" w:hint="default"/>
          <w:sz w:val="16"/>
          <w:szCs w:val="16"/>
        </w:rPr>
        <w:sectPr>
          <w:pgSz w:w="11910" w:h="16840"/>
          <w:pgMar w:header="917" w:footer="1019" w:top="1100" w:bottom="1200" w:left="1220" w:right="0"/>
        </w:sectPr>
      </w:pPr>
    </w:p>
    <w:p>
      <w:pPr>
        <w:spacing w:line="240" w:lineRule="auto" w:before="8"/>
        <w:rPr>
          <w:rFonts w:ascii="华文细黑" w:hAnsi="华文细黑" w:cs="华文细黑" w:eastAsia="华文细黑" w:hint="default"/>
          <w:b/>
          <w:bCs/>
          <w:sz w:val="23"/>
          <w:szCs w:val="23"/>
        </w:rPr>
      </w:pPr>
    </w:p>
    <w:tbl>
      <w:tblPr>
        <w:tblW w:w="0" w:type="auto"/>
        <w:jc w:val="left"/>
        <w:tblInd w:w="247" w:type="dxa"/>
        <w:tblLayout w:type="fixed"/>
        <w:tblCellMar>
          <w:top w:w="0" w:type="dxa"/>
          <w:left w:w="0" w:type="dxa"/>
          <w:bottom w:w="0" w:type="dxa"/>
          <w:right w:w="0" w:type="dxa"/>
        </w:tblCellMar>
        <w:tblLook w:val="01E0"/>
      </w:tblPr>
      <w:tblGrid>
        <w:gridCol w:w="1242"/>
        <w:gridCol w:w="994"/>
        <w:gridCol w:w="566"/>
        <w:gridCol w:w="425"/>
        <w:gridCol w:w="425"/>
        <w:gridCol w:w="108"/>
        <w:gridCol w:w="778"/>
        <w:gridCol w:w="108"/>
        <w:gridCol w:w="108"/>
        <w:gridCol w:w="350"/>
        <w:gridCol w:w="108"/>
        <w:gridCol w:w="108"/>
        <w:gridCol w:w="494"/>
        <w:gridCol w:w="108"/>
        <w:gridCol w:w="108"/>
        <w:gridCol w:w="209"/>
        <w:gridCol w:w="108"/>
        <w:gridCol w:w="108"/>
        <w:gridCol w:w="633"/>
        <w:gridCol w:w="108"/>
        <w:gridCol w:w="108"/>
        <w:gridCol w:w="776"/>
        <w:gridCol w:w="108"/>
        <w:gridCol w:w="108"/>
        <w:gridCol w:w="947"/>
      </w:tblGrid>
      <w:tr>
        <w:trPr>
          <w:trHeight w:val="376" w:hRule="exact"/>
        </w:trPr>
        <w:tc>
          <w:tcPr>
            <w:tcW w:w="124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4"/>
              <w:ind w:right="0"/>
              <w:jc w:val="left"/>
              <w:rPr>
                <w:rFonts w:ascii="华文细黑" w:hAnsi="华文细黑" w:cs="华文细黑" w:eastAsia="华文细黑" w:hint="default"/>
                <w:b/>
                <w:bCs/>
                <w:sz w:val="14"/>
                <w:szCs w:val="14"/>
              </w:rPr>
            </w:pPr>
          </w:p>
          <w:p>
            <w:pPr>
              <w:pStyle w:val="TableParagraph"/>
              <w:spacing w:line="240" w:lineRule="auto"/>
              <w:ind w:left="1" w:right="0"/>
              <w:jc w:val="center"/>
              <w:rPr>
                <w:rFonts w:ascii="华文细黑" w:hAnsi="华文细黑" w:cs="华文细黑" w:eastAsia="华文细黑" w:hint="default"/>
                <w:sz w:val="20"/>
                <w:szCs w:val="20"/>
              </w:rPr>
            </w:pPr>
            <w:r>
              <w:rPr>
                <w:rFonts w:ascii="华文细黑" w:hAnsi="华文细黑" w:cs="华文细黑" w:eastAsia="华文细黑" w:hint="default"/>
                <w:sz w:val="20"/>
                <w:szCs w:val="20"/>
              </w:rPr>
              <w:t>项目</w:t>
            </w:r>
          </w:p>
        </w:tc>
        <w:tc>
          <w:tcPr>
            <w:tcW w:w="8001" w:type="dxa"/>
            <w:gridSpan w:val="24"/>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right="1"/>
              <w:jc w:val="center"/>
              <w:rPr>
                <w:rFonts w:ascii="华文细黑" w:hAnsi="华文细黑" w:cs="华文细黑" w:eastAsia="华文细黑" w:hint="default"/>
                <w:sz w:val="20"/>
                <w:szCs w:val="20"/>
              </w:rPr>
            </w:pPr>
            <w:r>
              <w:rPr>
                <w:rFonts w:ascii="华文细黑" w:hAnsi="华文细黑" w:cs="华文细黑" w:eastAsia="华文细黑" w:hint="default"/>
                <w:sz w:val="20"/>
                <w:szCs w:val="20"/>
              </w:rPr>
              <w:t>2018</w:t>
            </w:r>
            <w:r>
              <w:rPr>
                <w:rFonts w:ascii="华文细黑" w:hAnsi="华文细黑" w:cs="华文细黑" w:eastAsia="华文细黑" w:hint="default"/>
                <w:spacing w:val="-5"/>
                <w:sz w:val="20"/>
                <w:szCs w:val="20"/>
              </w:rPr>
              <w:t> </w:t>
            </w:r>
            <w:r>
              <w:rPr>
                <w:rFonts w:ascii="华文细黑" w:hAnsi="华文细黑" w:cs="华文细黑" w:eastAsia="华文细黑" w:hint="default"/>
                <w:sz w:val="20"/>
                <w:szCs w:val="20"/>
              </w:rPr>
              <w:t>年度</w:t>
            </w:r>
          </w:p>
        </w:tc>
      </w:tr>
      <w:tr>
        <w:trPr>
          <w:trHeight w:val="384" w:hRule="exact"/>
        </w:trPr>
        <w:tc>
          <w:tcPr>
            <w:tcW w:w="1242" w:type="dxa"/>
            <w:vMerge/>
            <w:tcBorders>
              <w:left w:val="single" w:sz="4" w:space="0" w:color="FFC000"/>
              <w:bottom w:val="single" w:sz="4" w:space="0" w:color="FFC000"/>
              <w:right w:val="single" w:sz="4" w:space="0" w:color="FFC000"/>
            </w:tcBorders>
            <w:shd w:val="clear" w:color="auto" w:fill="FFF8E6"/>
          </w:tcPr>
          <w:p>
            <w:pPr/>
          </w:p>
        </w:tc>
        <w:tc>
          <w:tcPr>
            <w:tcW w:w="99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6"/>
              <w:ind w:left="291"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股本</w:t>
            </w:r>
          </w:p>
        </w:tc>
        <w:tc>
          <w:tcPr>
            <w:tcW w:w="1416" w:type="dxa"/>
            <w:gridSpan w:val="3"/>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6"/>
              <w:ind w:left="103"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其他权益工具</w:t>
            </w:r>
          </w:p>
        </w:tc>
        <w:tc>
          <w:tcPr>
            <w:tcW w:w="108" w:type="dxa"/>
            <w:tcBorders>
              <w:top w:val="single" w:sz="4" w:space="0" w:color="FFC000"/>
              <w:left w:val="single" w:sz="4" w:space="0" w:color="FFC000"/>
              <w:bottom w:val="single" w:sz="4" w:space="0" w:color="FFC000"/>
              <w:right w:val="nil" w:sz="6" w:space="0" w:color="auto"/>
            </w:tcBorders>
            <w:shd w:val="clear" w:color="auto" w:fill="FFF8E6"/>
          </w:tcPr>
          <w:p>
            <w:pPr/>
          </w:p>
        </w:tc>
        <w:tc>
          <w:tcPr>
            <w:tcW w:w="778" w:type="dxa"/>
            <w:tcBorders>
              <w:top w:val="single" w:sz="4" w:space="0" w:color="FFC000"/>
              <w:left w:val="nil" w:sz="6" w:space="0" w:color="auto"/>
              <w:bottom w:val="single" w:sz="4" w:space="0" w:color="FFC000"/>
              <w:right w:val="nil" w:sz="6" w:space="0" w:color="auto"/>
            </w:tcBorders>
            <w:shd w:val="clear" w:color="auto" w:fill="FFF8E6"/>
          </w:tcPr>
          <w:p>
            <w:pPr>
              <w:pStyle w:val="TableParagraph"/>
              <w:spacing w:line="240" w:lineRule="auto" w:before="16"/>
              <w:ind w:left="88"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资本公</w:t>
            </w:r>
          </w:p>
        </w:tc>
        <w:tc>
          <w:tcPr>
            <w:tcW w:w="108" w:type="dxa"/>
            <w:tcBorders>
              <w:top w:val="single" w:sz="4" w:space="0" w:color="FFC000"/>
              <w:left w:val="nil" w:sz="6" w:space="0" w:color="auto"/>
              <w:bottom w:val="single" w:sz="4" w:space="0" w:color="FFC000"/>
              <w:right w:val="single" w:sz="4" w:space="0" w:color="FFC000"/>
            </w:tcBorders>
            <w:shd w:val="clear" w:color="auto" w:fill="FFF8E6"/>
          </w:tcPr>
          <w:p>
            <w:pPr/>
          </w:p>
        </w:tc>
        <w:tc>
          <w:tcPr>
            <w:tcW w:w="108" w:type="dxa"/>
            <w:tcBorders>
              <w:top w:val="single" w:sz="4" w:space="0" w:color="FFC000"/>
              <w:left w:val="single" w:sz="4" w:space="0" w:color="FFC000"/>
              <w:bottom w:val="single" w:sz="4" w:space="0" w:color="FFC000"/>
              <w:right w:val="nil" w:sz="6" w:space="0" w:color="auto"/>
            </w:tcBorders>
            <w:shd w:val="clear" w:color="auto" w:fill="FFF8E6"/>
          </w:tcPr>
          <w:p>
            <w:pPr/>
          </w:p>
        </w:tc>
        <w:tc>
          <w:tcPr>
            <w:tcW w:w="350" w:type="dxa"/>
            <w:tcBorders>
              <w:top w:val="single" w:sz="4" w:space="0" w:color="FFC000"/>
              <w:left w:val="nil" w:sz="6" w:space="0" w:color="auto"/>
              <w:bottom w:val="single" w:sz="20" w:space="0" w:color="FFF8E6"/>
              <w:right w:val="nil" w:sz="6" w:space="0" w:color="auto"/>
            </w:tcBorders>
          </w:tcPr>
          <w:p>
            <w:pPr>
              <w:pStyle w:val="TableParagraph"/>
              <w:spacing w:line="240" w:lineRule="auto" w:before="16"/>
              <w:ind w:right="0"/>
              <w:jc w:val="left"/>
              <w:rPr>
                <w:rFonts w:ascii="华文细黑" w:hAnsi="华文细黑" w:cs="华文细黑" w:eastAsia="华文细黑" w:hint="default"/>
                <w:sz w:val="20"/>
                <w:szCs w:val="20"/>
              </w:rPr>
            </w:pPr>
            <w:r>
              <w:rPr>
                <w:rFonts w:ascii="华文细黑" w:hAnsi="华文细黑" w:cs="华文细黑" w:eastAsia="华文细黑" w:hint="default"/>
                <w:w w:val="100"/>
                <w:sz w:val="20"/>
                <w:szCs w:val="20"/>
              </w:rPr>
            </w:r>
            <w:r>
              <w:rPr>
                <w:rFonts w:ascii="华文细黑" w:hAnsi="华文细黑" w:cs="华文细黑" w:eastAsia="华文细黑" w:hint="default"/>
                <w:w w:val="100"/>
                <w:sz w:val="20"/>
                <w:szCs w:val="20"/>
                <w:shd w:fill="FFF8E6" w:color="auto" w:val="clear"/>
              </w:rPr>
              <w:t>减</w:t>
            </w:r>
            <w:r>
              <w:rPr>
                <w:rFonts w:ascii="华文细黑" w:hAnsi="华文细黑" w:cs="华文细黑" w:eastAsia="华文细黑" w:hint="default"/>
                <w:w w:val="100"/>
                <w:sz w:val="20"/>
                <w:szCs w:val="20"/>
              </w:rPr>
            </w:r>
          </w:p>
        </w:tc>
        <w:tc>
          <w:tcPr>
            <w:tcW w:w="108" w:type="dxa"/>
            <w:tcBorders>
              <w:top w:val="single" w:sz="4" w:space="0" w:color="FFC000"/>
              <w:left w:val="nil" w:sz="6" w:space="0" w:color="auto"/>
              <w:bottom w:val="single" w:sz="4" w:space="0" w:color="FFC000"/>
              <w:right w:val="single" w:sz="4" w:space="0" w:color="FFC000"/>
            </w:tcBorders>
            <w:shd w:val="clear" w:color="auto" w:fill="FFF8E6"/>
          </w:tcPr>
          <w:p>
            <w:pPr>
              <w:pStyle w:val="TableParagraph"/>
              <w:spacing w:line="240" w:lineRule="auto" w:before="16"/>
              <w:ind w:left="-150" w:right="0"/>
              <w:jc w:val="left"/>
              <w:rPr>
                <w:rFonts w:ascii="华文细黑" w:hAnsi="华文细黑" w:cs="华文细黑" w:eastAsia="华文细黑" w:hint="default"/>
                <w:sz w:val="20"/>
                <w:szCs w:val="20"/>
              </w:rPr>
            </w:pPr>
            <w:r>
              <w:rPr>
                <w:rFonts w:ascii="华文细黑" w:hAnsi="华文细黑" w:cs="华文细黑" w:eastAsia="华文细黑" w:hint="default"/>
                <w:w w:val="100"/>
                <w:sz w:val="20"/>
                <w:szCs w:val="20"/>
              </w:rPr>
            </w:r>
            <w:r>
              <w:rPr>
                <w:rFonts w:ascii="华文细黑" w:hAnsi="华文细黑" w:cs="华文细黑" w:eastAsia="华文细黑" w:hint="default"/>
                <w:w w:val="100"/>
                <w:sz w:val="20"/>
                <w:szCs w:val="20"/>
                <w:shd w:fill="FFF8E6" w:color="auto" w:val="clear"/>
              </w:rPr>
              <w:t>：</w:t>
            </w:r>
            <w:r>
              <w:rPr>
                <w:rFonts w:ascii="华文细黑" w:hAnsi="华文细黑" w:cs="华文细黑" w:eastAsia="华文细黑" w:hint="default"/>
                <w:w w:val="100"/>
                <w:sz w:val="20"/>
                <w:szCs w:val="20"/>
              </w:rPr>
            </w:r>
          </w:p>
        </w:tc>
        <w:tc>
          <w:tcPr>
            <w:tcW w:w="108" w:type="dxa"/>
            <w:tcBorders>
              <w:top w:val="single" w:sz="4" w:space="0" w:color="FFC000"/>
              <w:left w:val="single" w:sz="4" w:space="0" w:color="FFC000"/>
              <w:bottom w:val="single" w:sz="4" w:space="0" w:color="FFC000"/>
              <w:right w:val="nil" w:sz="6" w:space="0" w:color="auto"/>
            </w:tcBorders>
            <w:shd w:val="clear" w:color="auto" w:fill="FFF8E6"/>
          </w:tcPr>
          <w:p>
            <w:pPr/>
          </w:p>
        </w:tc>
        <w:tc>
          <w:tcPr>
            <w:tcW w:w="494" w:type="dxa"/>
            <w:tcBorders>
              <w:top w:val="single" w:sz="4" w:space="0" w:color="FFC000"/>
              <w:left w:val="nil" w:sz="6" w:space="0" w:color="auto"/>
              <w:bottom w:val="single" w:sz="20" w:space="0" w:color="FFF8E6"/>
              <w:right w:val="nil" w:sz="6" w:space="0" w:color="auto"/>
            </w:tcBorders>
          </w:tcPr>
          <w:p>
            <w:pPr>
              <w:pStyle w:val="TableParagraph"/>
              <w:tabs>
                <w:tab w:pos="494" w:val="left" w:leader="none"/>
              </w:tabs>
              <w:spacing w:line="240" w:lineRule="auto" w:before="16"/>
              <w:ind w:right="-1"/>
              <w:jc w:val="left"/>
              <w:rPr>
                <w:rFonts w:ascii="华文细黑" w:hAnsi="华文细黑" w:cs="华文细黑" w:eastAsia="华文细黑" w:hint="default"/>
                <w:sz w:val="20"/>
                <w:szCs w:val="20"/>
              </w:rPr>
            </w:pP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spacing w:val="-4"/>
                <w:w w:val="100"/>
                <w:sz w:val="20"/>
                <w:szCs w:val="20"/>
                <w:shd w:fill="FFF8E6" w:color="auto" w:val="clear"/>
              </w:rPr>
              <w:t> </w:t>
            </w:r>
            <w:r>
              <w:rPr>
                <w:rFonts w:ascii="华文细黑" w:hAnsi="华文细黑" w:cs="华文细黑" w:eastAsia="华文细黑" w:hint="default"/>
                <w:sz w:val="20"/>
                <w:szCs w:val="20"/>
                <w:shd w:fill="FFF8E6" w:color="auto" w:val="clear"/>
              </w:rPr>
              <w:t>其他</w:t>
              <w:tab/>
            </w:r>
            <w:r>
              <w:rPr>
                <w:rFonts w:ascii="华文细黑" w:hAnsi="华文细黑" w:cs="华文细黑" w:eastAsia="华文细黑" w:hint="default"/>
                <w:sz w:val="20"/>
                <w:szCs w:val="20"/>
              </w:rPr>
            </w:r>
          </w:p>
        </w:tc>
        <w:tc>
          <w:tcPr>
            <w:tcW w:w="108" w:type="dxa"/>
            <w:tcBorders>
              <w:top w:val="single" w:sz="4" w:space="0" w:color="FFC000"/>
              <w:left w:val="nil" w:sz="6" w:space="0" w:color="auto"/>
              <w:bottom w:val="single" w:sz="4" w:space="0" w:color="FFC000"/>
              <w:right w:val="single" w:sz="4" w:space="0" w:color="FFC000"/>
            </w:tcBorders>
            <w:shd w:val="clear" w:color="auto" w:fill="FFF8E6"/>
          </w:tcPr>
          <w:p>
            <w:pPr/>
          </w:p>
        </w:tc>
        <w:tc>
          <w:tcPr>
            <w:tcW w:w="108" w:type="dxa"/>
            <w:tcBorders>
              <w:top w:val="single" w:sz="4" w:space="0" w:color="FFC000"/>
              <w:left w:val="single" w:sz="4" w:space="0" w:color="FFC000"/>
              <w:bottom w:val="single" w:sz="4" w:space="0" w:color="FFC000"/>
              <w:right w:val="nil" w:sz="6" w:space="0" w:color="auto"/>
            </w:tcBorders>
            <w:shd w:val="clear" w:color="auto" w:fill="FFF8E6"/>
          </w:tcPr>
          <w:p>
            <w:pPr/>
          </w:p>
        </w:tc>
        <w:tc>
          <w:tcPr>
            <w:tcW w:w="209" w:type="dxa"/>
            <w:tcBorders>
              <w:top w:val="single" w:sz="4" w:space="0" w:color="FFC000"/>
              <w:left w:val="nil" w:sz="6" w:space="0" w:color="auto"/>
              <w:bottom w:val="single" w:sz="20" w:space="0" w:color="FFF8E6"/>
              <w:right w:val="nil" w:sz="6" w:space="0" w:color="auto"/>
            </w:tcBorders>
          </w:tcPr>
          <w:p>
            <w:pPr>
              <w:pStyle w:val="TableParagraph"/>
              <w:spacing w:line="240" w:lineRule="auto" w:before="16"/>
              <w:ind w:left="-1" w:right="0"/>
              <w:jc w:val="left"/>
              <w:rPr>
                <w:rFonts w:ascii="华文细黑" w:hAnsi="华文细黑" w:cs="华文细黑" w:eastAsia="华文细黑" w:hint="default"/>
                <w:sz w:val="20"/>
                <w:szCs w:val="20"/>
              </w:rPr>
            </w:pP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spacing w:val="-47"/>
                <w:w w:val="100"/>
                <w:sz w:val="20"/>
                <w:szCs w:val="20"/>
                <w:shd w:fill="FFF8E6" w:color="auto" w:val="clear"/>
              </w:rPr>
              <w:t> </w:t>
            </w:r>
            <w:r>
              <w:rPr>
                <w:rFonts w:ascii="华文细黑" w:hAnsi="华文细黑" w:cs="华文细黑" w:eastAsia="华文细黑" w:hint="default"/>
                <w:spacing w:val="3"/>
                <w:sz w:val="20"/>
                <w:szCs w:val="20"/>
                <w:shd w:fill="FFF8E6" w:color="auto" w:val="clear"/>
              </w:rPr>
              <w:t>专</w:t>
            </w:r>
            <w:r>
              <w:rPr>
                <w:rFonts w:ascii="华文细黑" w:hAnsi="华文细黑" w:cs="华文细黑" w:eastAsia="华文细黑" w:hint="default"/>
                <w:spacing w:val="3"/>
                <w:sz w:val="20"/>
                <w:szCs w:val="20"/>
              </w:rPr>
            </w:r>
            <w:r>
              <w:rPr>
                <w:rFonts w:ascii="华文细黑" w:hAnsi="华文细黑" w:cs="华文细黑" w:eastAsia="华文细黑" w:hint="default"/>
                <w:sz w:val="20"/>
                <w:szCs w:val="20"/>
              </w:rPr>
            </w:r>
          </w:p>
        </w:tc>
        <w:tc>
          <w:tcPr>
            <w:tcW w:w="108" w:type="dxa"/>
            <w:tcBorders>
              <w:top w:val="single" w:sz="4" w:space="0" w:color="FFC000"/>
              <w:left w:val="nil" w:sz="6" w:space="0" w:color="auto"/>
              <w:bottom w:val="single" w:sz="4" w:space="0" w:color="FFC000"/>
              <w:right w:val="single" w:sz="4" w:space="0" w:color="FFC000"/>
            </w:tcBorders>
            <w:shd w:val="clear" w:color="auto" w:fill="FFF8E6"/>
          </w:tcPr>
          <w:p>
            <w:pPr/>
          </w:p>
        </w:tc>
        <w:tc>
          <w:tcPr>
            <w:tcW w:w="108" w:type="dxa"/>
            <w:tcBorders>
              <w:top w:val="single" w:sz="4" w:space="0" w:color="FFC000"/>
              <w:left w:val="single" w:sz="4" w:space="0" w:color="FFC000"/>
              <w:bottom w:val="single" w:sz="4" w:space="0" w:color="FFC000"/>
              <w:right w:val="nil" w:sz="6" w:space="0" w:color="auto"/>
            </w:tcBorders>
            <w:shd w:val="clear" w:color="auto" w:fill="FFF8E6"/>
          </w:tcPr>
          <w:p>
            <w:pPr/>
          </w:p>
        </w:tc>
        <w:tc>
          <w:tcPr>
            <w:tcW w:w="633" w:type="dxa"/>
            <w:tcBorders>
              <w:top w:val="single" w:sz="4" w:space="0" w:color="FFC000"/>
              <w:left w:val="nil" w:sz="6" w:space="0" w:color="auto"/>
              <w:bottom w:val="single" w:sz="20" w:space="0" w:color="FFF8E6"/>
              <w:right w:val="nil" w:sz="6" w:space="0" w:color="auto"/>
            </w:tcBorders>
          </w:tcPr>
          <w:p>
            <w:pPr>
              <w:pStyle w:val="TableParagraph"/>
              <w:spacing w:line="240" w:lineRule="auto" w:before="16"/>
              <w:ind w:left="-1" w:right="0"/>
              <w:jc w:val="left"/>
              <w:rPr>
                <w:rFonts w:ascii="华文细黑" w:hAnsi="华文细黑" w:cs="华文细黑" w:eastAsia="华文细黑" w:hint="default"/>
                <w:sz w:val="20"/>
                <w:szCs w:val="20"/>
              </w:rPr>
            </w:pP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spacing w:val="-35"/>
                <w:w w:val="100"/>
                <w:sz w:val="20"/>
                <w:szCs w:val="20"/>
                <w:shd w:fill="FFF8E6" w:color="auto" w:val="clear"/>
              </w:rPr>
              <w:t> </w:t>
            </w:r>
            <w:r>
              <w:rPr>
                <w:rFonts w:ascii="华文细黑" w:hAnsi="华文细黑" w:cs="华文细黑" w:eastAsia="华文细黑" w:hint="default"/>
                <w:spacing w:val="5"/>
                <w:sz w:val="20"/>
                <w:szCs w:val="20"/>
                <w:shd w:fill="FFF8E6" w:color="auto" w:val="clear"/>
              </w:rPr>
              <w:t>盈余公</w:t>
            </w:r>
            <w:r>
              <w:rPr>
                <w:rFonts w:ascii="华文细黑" w:hAnsi="华文细黑" w:cs="华文细黑" w:eastAsia="华文细黑" w:hint="default"/>
                <w:spacing w:val="5"/>
                <w:sz w:val="20"/>
                <w:szCs w:val="20"/>
              </w:rPr>
            </w:r>
            <w:r>
              <w:rPr>
                <w:rFonts w:ascii="华文细黑" w:hAnsi="华文细黑" w:cs="华文细黑" w:eastAsia="华文细黑" w:hint="default"/>
                <w:sz w:val="20"/>
                <w:szCs w:val="20"/>
              </w:rPr>
            </w:r>
          </w:p>
        </w:tc>
        <w:tc>
          <w:tcPr>
            <w:tcW w:w="108" w:type="dxa"/>
            <w:tcBorders>
              <w:top w:val="single" w:sz="4" w:space="0" w:color="FFC000"/>
              <w:left w:val="nil" w:sz="6" w:space="0" w:color="auto"/>
              <w:bottom w:val="single" w:sz="4" w:space="0" w:color="FFC000"/>
              <w:right w:val="single" w:sz="4" w:space="0" w:color="FFC000"/>
            </w:tcBorders>
            <w:shd w:val="clear" w:color="auto" w:fill="FFF8E6"/>
          </w:tcPr>
          <w:p>
            <w:pPr/>
          </w:p>
        </w:tc>
        <w:tc>
          <w:tcPr>
            <w:tcW w:w="108" w:type="dxa"/>
            <w:tcBorders>
              <w:top w:val="single" w:sz="4" w:space="0" w:color="FFC000"/>
              <w:left w:val="single" w:sz="4" w:space="0" w:color="FFC000"/>
              <w:bottom w:val="single" w:sz="4" w:space="0" w:color="FFC000"/>
              <w:right w:val="nil" w:sz="6" w:space="0" w:color="auto"/>
            </w:tcBorders>
            <w:shd w:val="clear" w:color="auto" w:fill="FFF8E6"/>
          </w:tcPr>
          <w:p>
            <w:pPr/>
          </w:p>
        </w:tc>
        <w:tc>
          <w:tcPr>
            <w:tcW w:w="776" w:type="dxa"/>
            <w:tcBorders>
              <w:top w:val="single" w:sz="4" w:space="0" w:color="FFC000"/>
              <w:left w:val="nil" w:sz="6" w:space="0" w:color="auto"/>
              <w:bottom w:val="single" w:sz="4" w:space="0" w:color="FFC000"/>
              <w:right w:val="nil" w:sz="6" w:space="0" w:color="auto"/>
            </w:tcBorders>
            <w:shd w:val="clear" w:color="auto" w:fill="FFF8E6"/>
          </w:tcPr>
          <w:p>
            <w:pPr>
              <w:pStyle w:val="TableParagraph"/>
              <w:spacing w:line="240" w:lineRule="auto" w:before="16"/>
              <w:ind w:left="88" w:right="0"/>
              <w:jc w:val="left"/>
              <w:rPr>
                <w:rFonts w:ascii="华文细黑" w:hAnsi="华文细黑" w:cs="华文细黑" w:eastAsia="华文细黑" w:hint="default"/>
                <w:sz w:val="20"/>
                <w:szCs w:val="20"/>
              </w:rPr>
            </w:pPr>
            <w:r>
              <w:rPr>
                <w:rFonts w:ascii="华文细黑" w:hAnsi="华文细黑" w:cs="华文细黑" w:eastAsia="华文细黑" w:hint="default"/>
                <w:sz w:val="20"/>
                <w:szCs w:val="20"/>
              </w:rPr>
              <w:t>未分配</w:t>
            </w:r>
          </w:p>
        </w:tc>
        <w:tc>
          <w:tcPr>
            <w:tcW w:w="108" w:type="dxa"/>
            <w:tcBorders>
              <w:top w:val="single" w:sz="4" w:space="0" w:color="FFC000"/>
              <w:left w:val="nil" w:sz="6" w:space="0" w:color="auto"/>
              <w:bottom w:val="single" w:sz="4" w:space="0" w:color="FFC000"/>
              <w:right w:val="single" w:sz="4" w:space="0" w:color="FFC000"/>
            </w:tcBorders>
            <w:shd w:val="clear" w:color="auto" w:fill="FFF8E6"/>
          </w:tcPr>
          <w:p>
            <w:pPr/>
          </w:p>
        </w:tc>
        <w:tc>
          <w:tcPr>
            <w:tcW w:w="108" w:type="dxa"/>
            <w:tcBorders>
              <w:top w:val="single" w:sz="4" w:space="0" w:color="FFC000"/>
              <w:left w:val="single" w:sz="4" w:space="0" w:color="FFC000"/>
              <w:bottom w:val="single" w:sz="4" w:space="0" w:color="FFC000"/>
              <w:right w:val="nil" w:sz="6" w:space="0" w:color="auto"/>
            </w:tcBorders>
            <w:shd w:val="clear" w:color="auto" w:fill="FFF8E6"/>
          </w:tcPr>
          <w:p>
            <w:pPr/>
          </w:p>
        </w:tc>
        <w:tc>
          <w:tcPr>
            <w:tcW w:w="947" w:type="dxa"/>
            <w:tcBorders>
              <w:top w:val="single" w:sz="4" w:space="0" w:color="FFC000"/>
              <w:left w:val="nil" w:sz="6" w:space="0" w:color="auto"/>
              <w:bottom w:val="single" w:sz="20" w:space="0" w:color="FFF8E6"/>
              <w:right w:val="single" w:sz="45" w:space="0" w:color="FFF8E6"/>
            </w:tcBorders>
          </w:tcPr>
          <w:p>
            <w:pPr>
              <w:pStyle w:val="TableParagraph"/>
              <w:tabs>
                <w:tab w:pos="838" w:val="left" w:leader="none"/>
              </w:tabs>
              <w:spacing w:line="240" w:lineRule="auto" w:before="16"/>
              <w:ind w:right="0"/>
              <w:jc w:val="left"/>
              <w:rPr>
                <w:rFonts w:ascii="华文细黑" w:hAnsi="华文细黑" w:cs="华文细黑" w:eastAsia="华文细黑" w:hint="default"/>
                <w:sz w:val="20"/>
                <w:szCs w:val="20"/>
              </w:rPr>
            </w:pP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spacing w:val="-33"/>
                <w:w w:val="100"/>
                <w:sz w:val="20"/>
                <w:szCs w:val="20"/>
                <w:shd w:fill="FFF8E6" w:color="auto" w:val="clear"/>
              </w:rPr>
              <w:t> </w:t>
            </w:r>
            <w:r>
              <w:rPr>
                <w:rFonts w:ascii="华文细黑" w:hAnsi="华文细黑" w:cs="华文细黑" w:eastAsia="华文细黑" w:hint="default"/>
                <w:sz w:val="20"/>
                <w:szCs w:val="20"/>
                <w:shd w:fill="FFF8E6" w:color="auto" w:val="clear"/>
              </w:rPr>
              <w:t>所有者权</w:t>
              <w:tab/>
            </w:r>
            <w:r>
              <w:rPr>
                <w:rFonts w:ascii="华文细黑" w:hAnsi="华文细黑" w:cs="华文细黑" w:eastAsia="华文细黑" w:hint="default"/>
                <w:sz w:val="20"/>
                <w:szCs w:val="20"/>
              </w:rPr>
            </w:r>
          </w:p>
        </w:tc>
      </w:tr>
      <w:tr>
        <w:trPr>
          <w:trHeight w:val="380"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w:t>
            </w:r>
            <w:r>
              <w:rPr>
                <w:rFonts w:ascii="华文细黑" w:hAnsi="华文细黑" w:cs="华文细黑" w:eastAsia="华文细黑" w:hint="default"/>
                <w:sz w:val="18"/>
                <w:szCs w:val="18"/>
              </w:rPr>
              <w:t>．其他</w:t>
            </w: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gridSpan w:val="3"/>
            <w:tcBorders>
              <w:top w:val="single" w:sz="20" w:space="0" w:color="FFF8E6"/>
              <w:left w:val="single" w:sz="4" w:space="0" w:color="FFC000"/>
              <w:bottom w:val="single" w:sz="4" w:space="0" w:color="FFC000"/>
              <w:right w:val="single" w:sz="4" w:space="0" w:color="FFC000"/>
            </w:tcBorders>
          </w:tcPr>
          <w:p>
            <w:pPr/>
          </w:p>
        </w:tc>
        <w:tc>
          <w:tcPr>
            <w:tcW w:w="566" w:type="dxa"/>
            <w:gridSpan w:val="3"/>
            <w:tcBorders>
              <w:top w:val="single" w:sz="20" w:space="0" w:color="FFF8E6"/>
              <w:left w:val="single" w:sz="4" w:space="0" w:color="FFC000"/>
              <w:bottom w:val="single" w:sz="4" w:space="0" w:color="FFC000"/>
              <w:right w:val="single" w:sz="4" w:space="0" w:color="FFC000"/>
            </w:tcBorders>
          </w:tcPr>
          <w:p>
            <w:pPr/>
          </w:p>
        </w:tc>
        <w:tc>
          <w:tcPr>
            <w:tcW w:w="710" w:type="dxa"/>
            <w:gridSpan w:val="3"/>
            <w:tcBorders>
              <w:top w:val="single" w:sz="20" w:space="0" w:color="FFF8E6"/>
              <w:left w:val="single" w:sz="4" w:space="0" w:color="FFC000"/>
              <w:bottom w:val="single" w:sz="4" w:space="0" w:color="FFC000"/>
              <w:right w:val="single" w:sz="4" w:space="0" w:color="FFC000"/>
            </w:tcBorders>
          </w:tcPr>
          <w:p>
            <w:pPr/>
          </w:p>
        </w:tc>
        <w:tc>
          <w:tcPr>
            <w:tcW w:w="425" w:type="dxa"/>
            <w:gridSpan w:val="3"/>
            <w:tcBorders>
              <w:top w:val="single" w:sz="20" w:space="0" w:color="FFF8E6"/>
              <w:left w:val="single" w:sz="4" w:space="0" w:color="FFC000"/>
              <w:bottom w:val="single" w:sz="4" w:space="0" w:color="FFC000"/>
              <w:right w:val="single" w:sz="4" w:space="0" w:color="FFC000"/>
            </w:tcBorders>
          </w:tcPr>
          <w:p>
            <w:pPr/>
          </w:p>
        </w:tc>
        <w:tc>
          <w:tcPr>
            <w:tcW w:w="849" w:type="dxa"/>
            <w:gridSpan w:val="3"/>
            <w:tcBorders>
              <w:top w:val="single" w:sz="20" w:space="0" w:color="FFF8E6"/>
              <w:left w:val="single" w:sz="4" w:space="0" w:color="FFC000"/>
              <w:bottom w:val="single" w:sz="4" w:space="0" w:color="FFC000"/>
              <w:right w:val="single" w:sz="4" w:space="0" w:color="FFC000"/>
            </w:tcBorders>
          </w:tcPr>
          <w:p>
            <w:pPr/>
          </w:p>
        </w:tc>
        <w:tc>
          <w:tcPr>
            <w:tcW w:w="992" w:type="dxa"/>
            <w:gridSpan w:val="3"/>
            <w:tcBorders>
              <w:top w:val="single" w:sz="20" w:space="0" w:color="FFF8E6"/>
              <w:left w:val="single" w:sz="4" w:space="0" w:color="FFC000"/>
              <w:bottom w:val="single" w:sz="4" w:space="0" w:color="FFC000"/>
              <w:right w:val="single" w:sz="4" w:space="0" w:color="FFC000"/>
            </w:tcBorders>
          </w:tcPr>
          <w:p>
            <w:pPr/>
          </w:p>
        </w:tc>
        <w:tc>
          <w:tcPr>
            <w:tcW w:w="1055" w:type="dxa"/>
            <w:gridSpan w:val="2"/>
            <w:tcBorders>
              <w:top w:val="single" w:sz="20" w:space="0" w:color="FFF8E6"/>
              <w:left w:val="single" w:sz="4" w:space="0" w:color="FFC000"/>
              <w:bottom w:val="single" w:sz="4" w:space="0" w:color="FFC000"/>
              <w:right w:val="single" w:sz="4" w:space="0" w:color="FFC000"/>
            </w:tcBorders>
          </w:tcPr>
          <w:p>
            <w:pPr/>
          </w:p>
        </w:tc>
      </w:tr>
      <w:tr>
        <w:trPr>
          <w:trHeight w:val="960"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（四）所有者</w:t>
            </w:r>
            <w:r>
              <w:rPr>
                <w:rFonts w:ascii="华文细黑" w:hAnsi="华文细黑" w:cs="华文细黑" w:eastAsia="华文细黑" w:hint="default"/>
                <w:sz w:val="18"/>
                <w:szCs w:val="18"/>
              </w:rPr>
              <w:t> 权益内部结 转</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华文细黑" w:hAnsi="华文细黑" w:cs="华文细黑" w:eastAsia="华文细黑" w:hint="default"/>
                <w:b/>
                <w:bCs/>
                <w:sz w:val="13"/>
                <w:szCs w:val="13"/>
              </w:rPr>
            </w:pPr>
          </w:p>
          <w:p>
            <w:pPr>
              <w:pStyle w:val="TableParagraph"/>
              <w:spacing w:line="240" w:lineRule="auto"/>
              <w:ind w:left="171" w:right="0"/>
              <w:jc w:val="left"/>
              <w:rPr>
                <w:rFonts w:ascii="华文细黑" w:hAnsi="华文细黑" w:cs="华文细黑" w:eastAsia="华文细黑" w:hint="default"/>
                <w:sz w:val="16"/>
                <w:szCs w:val="16"/>
              </w:rPr>
            </w:pPr>
            <w:r>
              <w:rPr>
                <w:rFonts w:ascii="华文细黑"/>
                <w:sz w:val="16"/>
              </w:rPr>
              <w:t>206,546,9</w:t>
            </w:r>
          </w:p>
          <w:p>
            <w:pPr>
              <w:pStyle w:val="TableParagraph"/>
              <w:spacing w:line="240" w:lineRule="auto" w:before="64"/>
              <w:ind w:left="482" w:right="0"/>
              <w:jc w:val="left"/>
              <w:rPr>
                <w:rFonts w:ascii="华文细黑" w:hAnsi="华文细黑" w:cs="华文细黑" w:eastAsia="华文细黑" w:hint="default"/>
                <w:sz w:val="16"/>
                <w:szCs w:val="16"/>
              </w:rPr>
            </w:pPr>
            <w:r>
              <w:rPr>
                <w:rFonts w:ascii="华文细黑"/>
                <w:sz w:val="16"/>
              </w:rPr>
              <w:t>67.00</w:t>
            </w: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华文细黑" w:hAnsi="华文细黑" w:cs="华文细黑" w:eastAsia="华文细黑" w:hint="default"/>
                <w:b/>
                <w:bCs/>
                <w:sz w:val="13"/>
                <w:szCs w:val="13"/>
              </w:rPr>
            </w:pPr>
          </w:p>
          <w:p>
            <w:pPr>
              <w:pStyle w:val="TableParagraph"/>
              <w:spacing w:line="240" w:lineRule="auto"/>
              <w:ind w:left="118" w:right="0"/>
              <w:jc w:val="left"/>
              <w:rPr>
                <w:rFonts w:ascii="华文细黑" w:hAnsi="华文细黑" w:cs="华文细黑" w:eastAsia="华文细黑" w:hint="default"/>
                <w:sz w:val="16"/>
                <w:szCs w:val="16"/>
              </w:rPr>
            </w:pPr>
            <w:r>
              <w:rPr>
                <w:rFonts w:ascii="华文细黑"/>
                <w:sz w:val="16"/>
              </w:rPr>
              <w:t>-206,546,9</w:t>
            </w:r>
          </w:p>
          <w:p>
            <w:pPr>
              <w:pStyle w:val="TableParagraph"/>
              <w:spacing w:line="240" w:lineRule="auto" w:before="64"/>
              <w:ind w:left="482" w:right="0"/>
              <w:jc w:val="left"/>
              <w:rPr>
                <w:rFonts w:ascii="华文细黑" w:hAnsi="华文细黑" w:cs="华文细黑" w:eastAsia="华文细黑" w:hint="default"/>
                <w:sz w:val="16"/>
                <w:szCs w:val="16"/>
              </w:rPr>
            </w:pPr>
            <w:r>
              <w:rPr>
                <w:rFonts w:ascii="华文细黑"/>
                <w:sz w:val="16"/>
              </w:rPr>
              <w:t>67.00</w:t>
            </w:r>
          </w:p>
        </w:tc>
        <w:tc>
          <w:tcPr>
            <w:tcW w:w="566" w:type="dxa"/>
            <w:gridSpan w:val="3"/>
            <w:tcBorders>
              <w:top w:val="single" w:sz="4" w:space="0" w:color="FFC000"/>
              <w:left w:val="single" w:sz="4" w:space="0" w:color="FFC000"/>
              <w:bottom w:val="single" w:sz="4" w:space="0" w:color="FFC000"/>
              <w:right w:val="single" w:sz="4" w:space="0" w:color="FFC000"/>
            </w:tcBorders>
          </w:tcPr>
          <w:p>
            <w:pPr/>
          </w:p>
        </w:tc>
        <w:tc>
          <w:tcPr>
            <w:tcW w:w="710" w:type="dxa"/>
            <w:gridSpan w:val="3"/>
            <w:tcBorders>
              <w:top w:val="single" w:sz="4" w:space="0" w:color="FFC000"/>
              <w:left w:val="single" w:sz="4" w:space="0" w:color="FFC000"/>
              <w:bottom w:val="single" w:sz="4" w:space="0" w:color="FFC000"/>
              <w:right w:val="single" w:sz="4" w:space="0" w:color="FFC000"/>
            </w:tcBorders>
          </w:tcPr>
          <w:p>
            <w:pPr/>
          </w:p>
        </w:tc>
        <w:tc>
          <w:tcPr>
            <w:tcW w:w="425" w:type="dxa"/>
            <w:gridSpan w:val="3"/>
            <w:tcBorders>
              <w:top w:val="single" w:sz="4" w:space="0" w:color="FFC000"/>
              <w:left w:val="single" w:sz="4" w:space="0" w:color="FFC000"/>
              <w:bottom w:val="single" w:sz="4" w:space="0" w:color="FFC000"/>
              <w:right w:val="single" w:sz="4" w:space="0" w:color="FFC000"/>
            </w:tcBorders>
          </w:tcPr>
          <w:p>
            <w:pPr/>
          </w:p>
        </w:tc>
        <w:tc>
          <w:tcPr>
            <w:tcW w:w="849" w:type="dxa"/>
            <w:gridSpan w:val="3"/>
            <w:tcBorders>
              <w:top w:val="single" w:sz="4" w:space="0" w:color="FFC000"/>
              <w:left w:val="single" w:sz="4" w:space="0" w:color="FFC000"/>
              <w:bottom w:val="single" w:sz="4" w:space="0" w:color="FFC000"/>
              <w:right w:val="single" w:sz="4" w:space="0" w:color="FFC000"/>
            </w:tcBorders>
          </w:tcPr>
          <w:p>
            <w:pPr/>
          </w:p>
        </w:tc>
        <w:tc>
          <w:tcPr>
            <w:tcW w:w="992" w:type="dxa"/>
            <w:gridSpan w:val="3"/>
            <w:tcBorders>
              <w:top w:val="single" w:sz="4" w:space="0" w:color="FFC000"/>
              <w:left w:val="single" w:sz="4" w:space="0" w:color="FFC000"/>
              <w:bottom w:val="single" w:sz="4" w:space="0" w:color="FFC000"/>
              <w:right w:val="single" w:sz="4" w:space="0" w:color="FFC000"/>
            </w:tcBorders>
          </w:tcPr>
          <w:p>
            <w:pPr/>
          </w:p>
        </w:tc>
        <w:tc>
          <w:tcPr>
            <w:tcW w:w="1055" w:type="dxa"/>
            <w:gridSpan w:val="2"/>
            <w:tcBorders>
              <w:top w:val="single" w:sz="4" w:space="0" w:color="FFC000"/>
              <w:left w:val="single" w:sz="4" w:space="0" w:color="FFC000"/>
              <w:bottom w:val="single" w:sz="4" w:space="0" w:color="FFC000"/>
              <w:right w:val="single" w:sz="4" w:space="0" w:color="FFC000"/>
            </w:tcBorders>
          </w:tcPr>
          <w:p>
            <w:pPr/>
          </w:p>
        </w:tc>
      </w:tr>
      <w:tr>
        <w:trPr>
          <w:trHeight w:val="960"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．资本公积 </w:t>
            </w:r>
            <w:r>
              <w:rPr>
                <w:rFonts w:ascii="华文细黑" w:hAnsi="华文细黑" w:cs="华文细黑" w:eastAsia="华文细黑" w:hint="default"/>
                <w:spacing w:val="-9"/>
                <w:sz w:val="18"/>
                <w:szCs w:val="18"/>
              </w:rPr>
              <w:t>转增资本（或</w:t>
            </w:r>
            <w:r>
              <w:rPr>
                <w:rFonts w:ascii="华文细黑" w:hAnsi="华文细黑" w:cs="华文细黑" w:eastAsia="华文细黑" w:hint="default"/>
                <w:sz w:val="18"/>
                <w:szCs w:val="18"/>
              </w:rPr>
              <w:t> 股本）</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华文细黑" w:hAnsi="华文细黑" w:cs="华文细黑" w:eastAsia="华文细黑" w:hint="default"/>
                <w:b/>
                <w:bCs/>
                <w:sz w:val="13"/>
                <w:szCs w:val="13"/>
              </w:rPr>
            </w:pPr>
          </w:p>
          <w:p>
            <w:pPr>
              <w:pStyle w:val="TableParagraph"/>
              <w:spacing w:line="240" w:lineRule="auto"/>
              <w:ind w:left="171" w:right="0"/>
              <w:jc w:val="left"/>
              <w:rPr>
                <w:rFonts w:ascii="华文细黑" w:hAnsi="华文细黑" w:cs="华文细黑" w:eastAsia="华文细黑" w:hint="default"/>
                <w:sz w:val="16"/>
                <w:szCs w:val="16"/>
              </w:rPr>
            </w:pPr>
            <w:r>
              <w:rPr>
                <w:rFonts w:ascii="华文细黑"/>
                <w:sz w:val="16"/>
              </w:rPr>
              <w:t>206,546,9</w:t>
            </w:r>
          </w:p>
          <w:p>
            <w:pPr>
              <w:pStyle w:val="TableParagraph"/>
              <w:spacing w:line="240" w:lineRule="auto" w:before="64"/>
              <w:ind w:left="482" w:right="0"/>
              <w:jc w:val="left"/>
              <w:rPr>
                <w:rFonts w:ascii="华文细黑" w:hAnsi="华文细黑" w:cs="华文细黑" w:eastAsia="华文细黑" w:hint="default"/>
                <w:sz w:val="16"/>
                <w:szCs w:val="16"/>
              </w:rPr>
            </w:pPr>
            <w:r>
              <w:rPr>
                <w:rFonts w:ascii="华文细黑"/>
                <w:sz w:val="16"/>
              </w:rPr>
              <w:t>67.00</w:t>
            </w: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华文细黑" w:hAnsi="华文细黑" w:cs="华文细黑" w:eastAsia="华文细黑" w:hint="default"/>
                <w:b/>
                <w:bCs/>
                <w:sz w:val="13"/>
                <w:szCs w:val="13"/>
              </w:rPr>
            </w:pPr>
          </w:p>
          <w:p>
            <w:pPr>
              <w:pStyle w:val="TableParagraph"/>
              <w:spacing w:line="240" w:lineRule="auto"/>
              <w:ind w:left="118" w:right="0"/>
              <w:jc w:val="left"/>
              <w:rPr>
                <w:rFonts w:ascii="华文细黑" w:hAnsi="华文细黑" w:cs="华文细黑" w:eastAsia="华文细黑" w:hint="default"/>
                <w:sz w:val="16"/>
                <w:szCs w:val="16"/>
              </w:rPr>
            </w:pPr>
            <w:r>
              <w:rPr>
                <w:rFonts w:ascii="华文细黑"/>
                <w:sz w:val="16"/>
              </w:rPr>
              <w:t>-206,546,9</w:t>
            </w:r>
          </w:p>
          <w:p>
            <w:pPr>
              <w:pStyle w:val="TableParagraph"/>
              <w:spacing w:line="240" w:lineRule="auto" w:before="64"/>
              <w:ind w:left="482" w:right="0"/>
              <w:jc w:val="left"/>
              <w:rPr>
                <w:rFonts w:ascii="华文细黑" w:hAnsi="华文细黑" w:cs="华文细黑" w:eastAsia="华文细黑" w:hint="default"/>
                <w:sz w:val="16"/>
                <w:szCs w:val="16"/>
              </w:rPr>
            </w:pPr>
            <w:r>
              <w:rPr>
                <w:rFonts w:ascii="华文细黑"/>
                <w:sz w:val="16"/>
              </w:rPr>
              <w:t>67.00</w:t>
            </w:r>
          </w:p>
        </w:tc>
        <w:tc>
          <w:tcPr>
            <w:tcW w:w="566" w:type="dxa"/>
            <w:gridSpan w:val="3"/>
            <w:tcBorders>
              <w:top w:val="single" w:sz="4" w:space="0" w:color="FFC000"/>
              <w:left w:val="single" w:sz="4" w:space="0" w:color="FFC000"/>
              <w:bottom w:val="single" w:sz="4" w:space="0" w:color="FFC000"/>
              <w:right w:val="single" w:sz="4" w:space="0" w:color="FFC000"/>
            </w:tcBorders>
          </w:tcPr>
          <w:p>
            <w:pPr/>
          </w:p>
        </w:tc>
        <w:tc>
          <w:tcPr>
            <w:tcW w:w="710" w:type="dxa"/>
            <w:gridSpan w:val="3"/>
            <w:tcBorders>
              <w:top w:val="single" w:sz="4" w:space="0" w:color="FFC000"/>
              <w:left w:val="single" w:sz="4" w:space="0" w:color="FFC000"/>
              <w:bottom w:val="single" w:sz="4" w:space="0" w:color="FFC000"/>
              <w:right w:val="single" w:sz="4" w:space="0" w:color="FFC000"/>
            </w:tcBorders>
          </w:tcPr>
          <w:p>
            <w:pPr/>
          </w:p>
        </w:tc>
        <w:tc>
          <w:tcPr>
            <w:tcW w:w="425" w:type="dxa"/>
            <w:gridSpan w:val="3"/>
            <w:tcBorders>
              <w:top w:val="single" w:sz="4" w:space="0" w:color="FFC000"/>
              <w:left w:val="single" w:sz="4" w:space="0" w:color="FFC000"/>
              <w:bottom w:val="single" w:sz="4" w:space="0" w:color="FFC000"/>
              <w:right w:val="single" w:sz="4" w:space="0" w:color="FFC000"/>
            </w:tcBorders>
          </w:tcPr>
          <w:p>
            <w:pPr/>
          </w:p>
        </w:tc>
        <w:tc>
          <w:tcPr>
            <w:tcW w:w="849" w:type="dxa"/>
            <w:gridSpan w:val="3"/>
            <w:tcBorders>
              <w:top w:val="single" w:sz="4" w:space="0" w:color="FFC000"/>
              <w:left w:val="single" w:sz="4" w:space="0" w:color="FFC000"/>
              <w:bottom w:val="single" w:sz="4" w:space="0" w:color="FFC000"/>
              <w:right w:val="single" w:sz="4" w:space="0" w:color="FFC000"/>
            </w:tcBorders>
          </w:tcPr>
          <w:p>
            <w:pPr/>
          </w:p>
        </w:tc>
        <w:tc>
          <w:tcPr>
            <w:tcW w:w="992" w:type="dxa"/>
            <w:gridSpan w:val="3"/>
            <w:tcBorders>
              <w:top w:val="single" w:sz="4" w:space="0" w:color="FFC000"/>
              <w:left w:val="single" w:sz="4" w:space="0" w:color="FFC000"/>
              <w:bottom w:val="single" w:sz="4" w:space="0" w:color="FFC000"/>
              <w:right w:val="single" w:sz="4" w:space="0" w:color="FFC000"/>
            </w:tcBorders>
          </w:tcPr>
          <w:p>
            <w:pPr/>
          </w:p>
        </w:tc>
        <w:tc>
          <w:tcPr>
            <w:tcW w:w="1055" w:type="dxa"/>
            <w:gridSpan w:val="2"/>
            <w:tcBorders>
              <w:top w:val="single" w:sz="4" w:space="0" w:color="FFC000"/>
              <w:left w:val="single" w:sz="4" w:space="0" w:color="FFC000"/>
              <w:bottom w:val="single" w:sz="4" w:space="0" w:color="FFC000"/>
              <w:right w:val="single" w:sz="4" w:space="0" w:color="FFC000"/>
            </w:tcBorders>
          </w:tcPr>
          <w:p>
            <w:pPr/>
          </w:p>
        </w:tc>
      </w:tr>
      <w:tr>
        <w:trPr>
          <w:trHeight w:val="960"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．盈余公积 </w:t>
            </w:r>
            <w:r>
              <w:rPr>
                <w:rFonts w:ascii="华文细黑" w:hAnsi="华文细黑" w:cs="华文细黑" w:eastAsia="华文细黑" w:hint="default"/>
                <w:spacing w:val="-9"/>
                <w:sz w:val="18"/>
                <w:szCs w:val="18"/>
              </w:rPr>
              <w:t>转增资本（或</w:t>
            </w:r>
            <w:r>
              <w:rPr>
                <w:rFonts w:ascii="华文细黑" w:hAnsi="华文细黑" w:cs="华文细黑" w:eastAsia="华文细黑" w:hint="default"/>
                <w:sz w:val="18"/>
                <w:szCs w:val="18"/>
              </w:rPr>
              <w:t> 股本）</w:t>
            </w: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gridSpan w:val="3"/>
            <w:tcBorders>
              <w:top w:val="single" w:sz="4" w:space="0" w:color="FFC000"/>
              <w:left w:val="single" w:sz="4" w:space="0" w:color="FFC000"/>
              <w:bottom w:val="single" w:sz="4" w:space="0" w:color="FFC000"/>
              <w:right w:val="single" w:sz="4" w:space="0" w:color="FFC000"/>
            </w:tcBorders>
          </w:tcPr>
          <w:p>
            <w:pPr/>
          </w:p>
        </w:tc>
        <w:tc>
          <w:tcPr>
            <w:tcW w:w="566" w:type="dxa"/>
            <w:gridSpan w:val="3"/>
            <w:tcBorders>
              <w:top w:val="single" w:sz="4" w:space="0" w:color="FFC000"/>
              <w:left w:val="single" w:sz="4" w:space="0" w:color="FFC000"/>
              <w:bottom w:val="single" w:sz="4" w:space="0" w:color="FFC000"/>
              <w:right w:val="single" w:sz="4" w:space="0" w:color="FFC000"/>
            </w:tcBorders>
          </w:tcPr>
          <w:p>
            <w:pPr/>
          </w:p>
        </w:tc>
        <w:tc>
          <w:tcPr>
            <w:tcW w:w="710" w:type="dxa"/>
            <w:gridSpan w:val="3"/>
            <w:tcBorders>
              <w:top w:val="single" w:sz="4" w:space="0" w:color="FFC000"/>
              <w:left w:val="single" w:sz="4" w:space="0" w:color="FFC000"/>
              <w:bottom w:val="single" w:sz="4" w:space="0" w:color="FFC000"/>
              <w:right w:val="single" w:sz="4" w:space="0" w:color="FFC000"/>
            </w:tcBorders>
          </w:tcPr>
          <w:p>
            <w:pPr/>
          </w:p>
        </w:tc>
        <w:tc>
          <w:tcPr>
            <w:tcW w:w="425" w:type="dxa"/>
            <w:gridSpan w:val="3"/>
            <w:tcBorders>
              <w:top w:val="single" w:sz="4" w:space="0" w:color="FFC000"/>
              <w:left w:val="single" w:sz="4" w:space="0" w:color="FFC000"/>
              <w:bottom w:val="single" w:sz="4" w:space="0" w:color="FFC000"/>
              <w:right w:val="single" w:sz="4" w:space="0" w:color="FFC000"/>
            </w:tcBorders>
          </w:tcPr>
          <w:p>
            <w:pPr/>
          </w:p>
        </w:tc>
        <w:tc>
          <w:tcPr>
            <w:tcW w:w="849" w:type="dxa"/>
            <w:gridSpan w:val="3"/>
            <w:tcBorders>
              <w:top w:val="single" w:sz="4" w:space="0" w:color="FFC000"/>
              <w:left w:val="single" w:sz="4" w:space="0" w:color="FFC000"/>
              <w:bottom w:val="single" w:sz="4" w:space="0" w:color="FFC000"/>
              <w:right w:val="single" w:sz="4" w:space="0" w:color="FFC000"/>
            </w:tcBorders>
          </w:tcPr>
          <w:p>
            <w:pPr/>
          </w:p>
        </w:tc>
        <w:tc>
          <w:tcPr>
            <w:tcW w:w="992" w:type="dxa"/>
            <w:gridSpan w:val="3"/>
            <w:tcBorders>
              <w:top w:val="single" w:sz="4" w:space="0" w:color="FFC000"/>
              <w:left w:val="single" w:sz="4" w:space="0" w:color="FFC000"/>
              <w:bottom w:val="single" w:sz="4" w:space="0" w:color="FFC000"/>
              <w:right w:val="single" w:sz="4" w:space="0" w:color="FFC000"/>
            </w:tcBorders>
          </w:tcPr>
          <w:p>
            <w:pPr/>
          </w:p>
        </w:tc>
        <w:tc>
          <w:tcPr>
            <w:tcW w:w="1055" w:type="dxa"/>
            <w:gridSpan w:val="2"/>
            <w:tcBorders>
              <w:top w:val="single" w:sz="4" w:space="0" w:color="FFC000"/>
              <w:left w:val="single" w:sz="4" w:space="0" w:color="FFC000"/>
              <w:bottom w:val="single" w:sz="4" w:space="0" w:color="FFC000"/>
              <w:right w:val="single" w:sz="4" w:space="0" w:color="FFC000"/>
            </w:tcBorders>
          </w:tcPr>
          <w:p>
            <w:pPr/>
          </w:p>
        </w:tc>
      </w:tr>
      <w:tr>
        <w:trPr>
          <w:trHeight w:val="670"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2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w:t>
            </w:r>
            <w:r>
              <w:rPr>
                <w:rFonts w:ascii="华文细黑" w:hAnsi="华文细黑" w:cs="华文细黑" w:eastAsia="华文细黑" w:hint="default"/>
                <w:sz w:val="18"/>
                <w:szCs w:val="18"/>
              </w:rPr>
              <w:t>．盈余公积 弥补亏损</w:t>
            </w: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gridSpan w:val="3"/>
            <w:tcBorders>
              <w:top w:val="single" w:sz="4" w:space="0" w:color="FFC000"/>
              <w:left w:val="single" w:sz="4" w:space="0" w:color="FFC000"/>
              <w:bottom w:val="single" w:sz="4" w:space="0" w:color="FFC000"/>
              <w:right w:val="single" w:sz="4" w:space="0" w:color="FFC000"/>
            </w:tcBorders>
          </w:tcPr>
          <w:p>
            <w:pPr/>
          </w:p>
        </w:tc>
        <w:tc>
          <w:tcPr>
            <w:tcW w:w="566" w:type="dxa"/>
            <w:gridSpan w:val="3"/>
            <w:tcBorders>
              <w:top w:val="single" w:sz="4" w:space="0" w:color="FFC000"/>
              <w:left w:val="single" w:sz="4" w:space="0" w:color="FFC000"/>
              <w:bottom w:val="single" w:sz="4" w:space="0" w:color="FFC000"/>
              <w:right w:val="single" w:sz="4" w:space="0" w:color="FFC000"/>
            </w:tcBorders>
          </w:tcPr>
          <w:p>
            <w:pPr/>
          </w:p>
        </w:tc>
        <w:tc>
          <w:tcPr>
            <w:tcW w:w="710" w:type="dxa"/>
            <w:gridSpan w:val="3"/>
            <w:tcBorders>
              <w:top w:val="single" w:sz="4" w:space="0" w:color="FFC000"/>
              <w:left w:val="single" w:sz="4" w:space="0" w:color="FFC000"/>
              <w:bottom w:val="single" w:sz="4" w:space="0" w:color="FFC000"/>
              <w:right w:val="single" w:sz="4" w:space="0" w:color="FFC000"/>
            </w:tcBorders>
          </w:tcPr>
          <w:p>
            <w:pPr/>
          </w:p>
        </w:tc>
        <w:tc>
          <w:tcPr>
            <w:tcW w:w="425" w:type="dxa"/>
            <w:gridSpan w:val="3"/>
            <w:tcBorders>
              <w:top w:val="single" w:sz="4" w:space="0" w:color="FFC000"/>
              <w:left w:val="single" w:sz="4" w:space="0" w:color="FFC000"/>
              <w:bottom w:val="single" w:sz="4" w:space="0" w:color="FFC000"/>
              <w:right w:val="single" w:sz="4" w:space="0" w:color="FFC000"/>
            </w:tcBorders>
          </w:tcPr>
          <w:p>
            <w:pPr/>
          </w:p>
        </w:tc>
        <w:tc>
          <w:tcPr>
            <w:tcW w:w="849" w:type="dxa"/>
            <w:gridSpan w:val="3"/>
            <w:tcBorders>
              <w:top w:val="single" w:sz="4" w:space="0" w:color="FFC000"/>
              <w:left w:val="single" w:sz="4" w:space="0" w:color="FFC000"/>
              <w:bottom w:val="single" w:sz="4" w:space="0" w:color="FFC000"/>
              <w:right w:val="single" w:sz="4" w:space="0" w:color="FFC000"/>
            </w:tcBorders>
          </w:tcPr>
          <w:p>
            <w:pPr/>
          </w:p>
        </w:tc>
        <w:tc>
          <w:tcPr>
            <w:tcW w:w="992" w:type="dxa"/>
            <w:gridSpan w:val="3"/>
            <w:tcBorders>
              <w:top w:val="single" w:sz="4" w:space="0" w:color="FFC000"/>
              <w:left w:val="single" w:sz="4" w:space="0" w:color="FFC000"/>
              <w:bottom w:val="single" w:sz="4" w:space="0" w:color="FFC000"/>
              <w:right w:val="single" w:sz="4" w:space="0" w:color="FFC000"/>
            </w:tcBorders>
          </w:tcPr>
          <w:p>
            <w:pPr/>
          </w:p>
        </w:tc>
        <w:tc>
          <w:tcPr>
            <w:tcW w:w="1055" w:type="dxa"/>
            <w:gridSpan w:val="2"/>
            <w:tcBorders>
              <w:top w:val="single" w:sz="4" w:space="0" w:color="FFC000"/>
              <w:left w:val="single" w:sz="4" w:space="0" w:color="FFC000"/>
              <w:bottom w:val="single" w:sz="4" w:space="0" w:color="FFC000"/>
              <w:right w:val="single" w:sz="4" w:space="0" w:color="FFC000"/>
            </w:tcBorders>
          </w:tcPr>
          <w:p>
            <w:pPr/>
          </w:p>
        </w:tc>
      </w:tr>
      <w:tr>
        <w:trPr>
          <w:trHeight w:val="1250"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03" w:right="12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4</w:t>
            </w:r>
            <w:r>
              <w:rPr>
                <w:rFonts w:ascii="华文细黑" w:hAnsi="华文细黑" w:cs="华文细黑" w:eastAsia="华文细黑" w:hint="default"/>
                <w:sz w:val="18"/>
                <w:szCs w:val="18"/>
              </w:rPr>
              <w:t>．设定受益 计划变动额 结转留存收 益</w:t>
            </w: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gridSpan w:val="3"/>
            <w:tcBorders>
              <w:top w:val="single" w:sz="4" w:space="0" w:color="FFC000"/>
              <w:left w:val="single" w:sz="4" w:space="0" w:color="FFC000"/>
              <w:bottom w:val="single" w:sz="4" w:space="0" w:color="FFC000"/>
              <w:right w:val="single" w:sz="4" w:space="0" w:color="FFC000"/>
            </w:tcBorders>
          </w:tcPr>
          <w:p>
            <w:pPr/>
          </w:p>
        </w:tc>
        <w:tc>
          <w:tcPr>
            <w:tcW w:w="566" w:type="dxa"/>
            <w:gridSpan w:val="3"/>
            <w:tcBorders>
              <w:top w:val="single" w:sz="4" w:space="0" w:color="FFC000"/>
              <w:left w:val="single" w:sz="4" w:space="0" w:color="FFC000"/>
              <w:bottom w:val="single" w:sz="4" w:space="0" w:color="FFC000"/>
              <w:right w:val="single" w:sz="4" w:space="0" w:color="FFC000"/>
            </w:tcBorders>
          </w:tcPr>
          <w:p>
            <w:pPr/>
          </w:p>
        </w:tc>
        <w:tc>
          <w:tcPr>
            <w:tcW w:w="710" w:type="dxa"/>
            <w:gridSpan w:val="3"/>
            <w:tcBorders>
              <w:top w:val="single" w:sz="4" w:space="0" w:color="FFC000"/>
              <w:left w:val="single" w:sz="4" w:space="0" w:color="FFC000"/>
              <w:bottom w:val="single" w:sz="4" w:space="0" w:color="FFC000"/>
              <w:right w:val="single" w:sz="4" w:space="0" w:color="FFC000"/>
            </w:tcBorders>
          </w:tcPr>
          <w:p>
            <w:pPr/>
          </w:p>
        </w:tc>
        <w:tc>
          <w:tcPr>
            <w:tcW w:w="425" w:type="dxa"/>
            <w:gridSpan w:val="3"/>
            <w:tcBorders>
              <w:top w:val="single" w:sz="4" w:space="0" w:color="FFC000"/>
              <w:left w:val="single" w:sz="4" w:space="0" w:color="FFC000"/>
              <w:bottom w:val="single" w:sz="4" w:space="0" w:color="FFC000"/>
              <w:right w:val="single" w:sz="4" w:space="0" w:color="FFC000"/>
            </w:tcBorders>
          </w:tcPr>
          <w:p>
            <w:pPr/>
          </w:p>
        </w:tc>
        <w:tc>
          <w:tcPr>
            <w:tcW w:w="849" w:type="dxa"/>
            <w:gridSpan w:val="3"/>
            <w:tcBorders>
              <w:top w:val="single" w:sz="4" w:space="0" w:color="FFC000"/>
              <w:left w:val="single" w:sz="4" w:space="0" w:color="FFC000"/>
              <w:bottom w:val="single" w:sz="4" w:space="0" w:color="FFC000"/>
              <w:right w:val="single" w:sz="4" w:space="0" w:color="FFC000"/>
            </w:tcBorders>
          </w:tcPr>
          <w:p>
            <w:pPr/>
          </w:p>
        </w:tc>
        <w:tc>
          <w:tcPr>
            <w:tcW w:w="992" w:type="dxa"/>
            <w:gridSpan w:val="3"/>
            <w:tcBorders>
              <w:top w:val="single" w:sz="4" w:space="0" w:color="FFC000"/>
              <w:left w:val="single" w:sz="4" w:space="0" w:color="FFC000"/>
              <w:bottom w:val="single" w:sz="4" w:space="0" w:color="FFC000"/>
              <w:right w:val="single" w:sz="4" w:space="0" w:color="FFC000"/>
            </w:tcBorders>
          </w:tcPr>
          <w:p>
            <w:pPr/>
          </w:p>
        </w:tc>
        <w:tc>
          <w:tcPr>
            <w:tcW w:w="1055" w:type="dxa"/>
            <w:gridSpan w:val="2"/>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5</w:t>
            </w:r>
            <w:r>
              <w:rPr>
                <w:rFonts w:ascii="华文细黑" w:hAnsi="华文细黑" w:cs="华文细黑" w:eastAsia="华文细黑" w:hint="default"/>
                <w:sz w:val="18"/>
                <w:szCs w:val="18"/>
              </w:rPr>
              <w:t>．其他</w:t>
            </w: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gridSpan w:val="3"/>
            <w:tcBorders>
              <w:top w:val="single" w:sz="4" w:space="0" w:color="FFC000"/>
              <w:left w:val="single" w:sz="4" w:space="0" w:color="FFC000"/>
              <w:bottom w:val="single" w:sz="4" w:space="0" w:color="FFC000"/>
              <w:right w:val="single" w:sz="4" w:space="0" w:color="FFC000"/>
            </w:tcBorders>
          </w:tcPr>
          <w:p>
            <w:pPr/>
          </w:p>
        </w:tc>
        <w:tc>
          <w:tcPr>
            <w:tcW w:w="566" w:type="dxa"/>
            <w:gridSpan w:val="3"/>
            <w:tcBorders>
              <w:top w:val="single" w:sz="4" w:space="0" w:color="FFC000"/>
              <w:left w:val="single" w:sz="4" w:space="0" w:color="FFC000"/>
              <w:bottom w:val="single" w:sz="4" w:space="0" w:color="FFC000"/>
              <w:right w:val="single" w:sz="4" w:space="0" w:color="FFC000"/>
            </w:tcBorders>
          </w:tcPr>
          <w:p>
            <w:pPr/>
          </w:p>
        </w:tc>
        <w:tc>
          <w:tcPr>
            <w:tcW w:w="710" w:type="dxa"/>
            <w:gridSpan w:val="3"/>
            <w:tcBorders>
              <w:top w:val="single" w:sz="4" w:space="0" w:color="FFC000"/>
              <w:left w:val="single" w:sz="4" w:space="0" w:color="FFC000"/>
              <w:bottom w:val="single" w:sz="4" w:space="0" w:color="FFC000"/>
              <w:right w:val="single" w:sz="4" w:space="0" w:color="FFC000"/>
            </w:tcBorders>
          </w:tcPr>
          <w:p>
            <w:pPr/>
          </w:p>
        </w:tc>
        <w:tc>
          <w:tcPr>
            <w:tcW w:w="425" w:type="dxa"/>
            <w:gridSpan w:val="3"/>
            <w:tcBorders>
              <w:top w:val="single" w:sz="4" w:space="0" w:color="FFC000"/>
              <w:left w:val="single" w:sz="4" w:space="0" w:color="FFC000"/>
              <w:bottom w:val="single" w:sz="4" w:space="0" w:color="FFC000"/>
              <w:right w:val="single" w:sz="4" w:space="0" w:color="FFC000"/>
            </w:tcBorders>
          </w:tcPr>
          <w:p>
            <w:pPr/>
          </w:p>
        </w:tc>
        <w:tc>
          <w:tcPr>
            <w:tcW w:w="849" w:type="dxa"/>
            <w:gridSpan w:val="3"/>
            <w:tcBorders>
              <w:top w:val="single" w:sz="4" w:space="0" w:color="FFC000"/>
              <w:left w:val="single" w:sz="4" w:space="0" w:color="FFC000"/>
              <w:bottom w:val="single" w:sz="4" w:space="0" w:color="FFC000"/>
              <w:right w:val="single" w:sz="4" w:space="0" w:color="FFC000"/>
            </w:tcBorders>
          </w:tcPr>
          <w:p>
            <w:pPr/>
          </w:p>
        </w:tc>
        <w:tc>
          <w:tcPr>
            <w:tcW w:w="992" w:type="dxa"/>
            <w:gridSpan w:val="3"/>
            <w:tcBorders>
              <w:top w:val="single" w:sz="4" w:space="0" w:color="FFC000"/>
              <w:left w:val="single" w:sz="4" w:space="0" w:color="FFC000"/>
              <w:bottom w:val="single" w:sz="4" w:space="0" w:color="FFC000"/>
              <w:right w:val="single" w:sz="4" w:space="0" w:color="FFC000"/>
            </w:tcBorders>
          </w:tcPr>
          <w:p>
            <w:pPr/>
          </w:p>
        </w:tc>
        <w:tc>
          <w:tcPr>
            <w:tcW w:w="1055" w:type="dxa"/>
            <w:gridSpan w:val="2"/>
            <w:tcBorders>
              <w:top w:val="single" w:sz="4" w:space="0" w:color="FFC000"/>
              <w:left w:val="single" w:sz="4" w:space="0" w:color="FFC000"/>
              <w:bottom w:val="single" w:sz="4" w:space="0" w:color="FFC000"/>
              <w:right w:val="single" w:sz="4" w:space="0" w:color="FFC000"/>
            </w:tcBorders>
          </w:tcPr>
          <w:p>
            <w:pPr/>
          </w:p>
        </w:tc>
      </w:tr>
      <w:tr>
        <w:trPr>
          <w:trHeight w:val="670"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（五）专项储</w:t>
            </w:r>
            <w:r>
              <w:rPr>
                <w:rFonts w:ascii="华文细黑" w:hAnsi="华文细黑" w:cs="华文细黑" w:eastAsia="华文细黑" w:hint="default"/>
                <w:sz w:val="18"/>
                <w:szCs w:val="18"/>
              </w:rPr>
              <w:t> 备</w:t>
            </w: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gridSpan w:val="3"/>
            <w:tcBorders>
              <w:top w:val="single" w:sz="4" w:space="0" w:color="FFC000"/>
              <w:left w:val="single" w:sz="4" w:space="0" w:color="FFC000"/>
              <w:bottom w:val="single" w:sz="4" w:space="0" w:color="FFC000"/>
              <w:right w:val="single" w:sz="4" w:space="0" w:color="FFC000"/>
            </w:tcBorders>
          </w:tcPr>
          <w:p>
            <w:pPr/>
          </w:p>
        </w:tc>
        <w:tc>
          <w:tcPr>
            <w:tcW w:w="566" w:type="dxa"/>
            <w:gridSpan w:val="3"/>
            <w:tcBorders>
              <w:top w:val="single" w:sz="4" w:space="0" w:color="FFC000"/>
              <w:left w:val="single" w:sz="4" w:space="0" w:color="FFC000"/>
              <w:bottom w:val="single" w:sz="4" w:space="0" w:color="FFC000"/>
              <w:right w:val="single" w:sz="4" w:space="0" w:color="FFC000"/>
            </w:tcBorders>
          </w:tcPr>
          <w:p>
            <w:pPr/>
          </w:p>
        </w:tc>
        <w:tc>
          <w:tcPr>
            <w:tcW w:w="710" w:type="dxa"/>
            <w:gridSpan w:val="3"/>
            <w:tcBorders>
              <w:top w:val="single" w:sz="4" w:space="0" w:color="FFC000"/>
              <w:left w:val="single" w:sz="4" w:space="0" w:color="FFC000"/>
              <w:bottom w:val="single" w:sz="4" w:space="0" w:color="FFC000"/>
              <w:right w:val="single" w:sz="4" w:space="0" w:color="FFC000"/>
            </w:tcBorders>
          </w:tcPr>
          <w:p>
            <w:pPr/>
          </w:p>
        </w:tc>
        <w:tc>
          <w:tcPr>
            <w:tcW w:w="425" w:type="dxa"/>
            <w:gridSpan w:val="3"/>
            <w:tcBorders>
              <w:top w:val="single" w:sz="4" w:space="0" w:color="FFC000"/>
              <w:left w:val="single" w:sz="4" w:space="0" w:color="FFC000"/>
              <w:bottom w:val="single" w:sz="4" w:space="0" w:color="FFC000"/>
              <w:right w:val="single" w:sz="4" w:space="0" w:color="FFC000"/>
            </w:tcBorders>
          </w:tcPr>
          <w:p>
            <w:pPr/>
          </w:p>
        </w:tc>
        <w:tc>
          <w:tcPr>
            <w:tcW w:w="849" w:type="dxa"/>
            <w:gridSpan w:val="3"/>
            <w:tcBorders>
              <w:top w:val="single" w:sz="4" w:space="0" w:color="FFC000"/>
              <w:left w:val="single" w:sz="4" w:space="0" w:color="FFC000"/>
              <w:bottom w:val="single" w:sz="4" w:space="0" w:color="FFC000"/>
              <w:right w:val="single" w:sz="4" w:space="0" w:color="FFC000"/>
            </w:tcBorders>
          </w:tcPr>
          <w:p>
            <w:pPr/>
          </w:p>
        </w:tc>
        <w:tc>
          <w:tcPr>
            <w:tcW w:w="992" w:type="dxa"/>
            <w:gridSpan w:val="3"/>
            <w:tcBorders>
              <w:top w:val="single" w:sz="4" w:space="0" w:color="FFC000"/>
              <w:left w:val="single" w:sz="4" w:space="0" w:color="FFC000"/>
              <w:bottom w:val="single" w:sz="4" w:space="0" w:color="FFC000"/>
              <w:right w:val="single" w:sz="4" w:space="0" w:color="FFC000"/>
            </w:tcBorders>
          </w:tcPr>
          <w:p>
            <w:pPr/>
          </w:p>
        </w:tc>
        <w:tc>
          <w:tcPr>
            <w:tcW w:w="1055" w:type="dxa"/>
            <w:gridSpan w:val="2"/>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．本期提取</w:t>
            </w: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gridSpan w:val="3"/>
            <w:tcBorders>
              <w:top w:val="single" w:sz="4" w:space="0" w:color="FFC000"/>
              <w:left w:val="single" w:sz="4" w:space="0" w:color="FFC000"/>
              <w:bottom w:val="single" w:sz="4" w:space="0" w:color="FFC000"/>
              <w:right w:val="single" w:sz="4" w:space="0" w:color="FFC000"/>
            </w:tcBorders>
          </w:tcPr>
          <w:p>
            <w:pPr/>
          </w:p>
        </w:tc>
        <w:tc>
          <w:tcPr>
            <w:tcW w:w="566" w:type="dxa"/>
            <w:gridSpan w:val="3"/>
            <w:tcBorders>
              <w:top w:val="single" w:sz="4" w:space="0" w:color="FFC000"/>
              <w:left w:val="single" w:sz="4" w:space="0" w:color="FFC000"/>
              <w:bottom w:val="single" w:sz="4" w:space="0" w:color="FFC000"/>
              <w:right w:val="single" w:sz="4" w:space="0" w:color="FFC000"/>
            </w:tcBorders>
          </w:tcPr>
          <w:p>
            <w:pPr/>
          </w:p>
        </w:tc>
        <w:tc>
          <w:tcPr>
            <w:tcW w:w="710" w:type="dxa"/>
            <w:gridSpan w:val="3"/>
            <w:tcBorders>
              <w:top w:val="single" w:sz="4" w:space="0" w:color="FFC000"/>
              <w:left w:val="single" w:sz="4" w:space="0" w:color="FFC000"/>
              <w:bottom w:val="single" w:sz="4" w:space="0" w:color="FFC000"/>
              <w:right w:val="single" w:sz="4" w:space="0" w:color="FFC000"/>
            </w:tcBorders>
          </w:tcPr>
          <w:p>
            <w:pPr/>
          </w:p>
        </w:tc>
        <w:tc>
          <w:tcPr>
            <w:tcW w:w="425" w:type="dxa"/>
            <w:gridSpan w:val="3"/>
            <w:tcBorders>
              <w:top w:val="single" w:sz="4" w:space="0" w:color="FFC000"/>
              <w:left w:val="single" w:sz="4" w:space="0" w:color="FFC000"/>
              <w:bottom w:val="single" w:sz="4" w:space="0" w:color="FFC000"/>
              <w:right w:val="single" w:sz="4" w:space="0" w:color="FFC000"/>
            </w:tcBorders>
          </w:tcPr>
          <w:p>
            <w:pPr/>
          </w:p>
        </w:tc>
        <w:tc>
          <w:tcPr>
            <w:tcW w:w="849" w:type="dxa"/>
            <w:gridSpan w:val="3"/>
            <w:tcBorders>
              <w:top w:val="single" w:sz="4" w:space="0" w:color="FFC000"/>
              <w:left w:val="single" w:sz="4" w:space="0" w:color="FFC000"/>
              <w:bottom w:val="single" w:sz="4" w:space="0" w:color="FFC000"/>
              <w:right w:val="single" w:sz="4" w:space="0" w:color="FFC000"/>
            </w:tcBorders>
          </w:tcPr>
          <w:p>
            <w:pPr/>
          </w:p>
        </w:tc>
        <w:tc>
          <w:tcPr>
            <w:tcW w:w="992" w:type="dxa"/>
            <w:gridSpan w:val="3"/>
            <w:tcBorders>
              <w:top w:val="single" w:sz="4" w:space="0" w:color="FFC000"/>
              <w:left w:val="single" w:sz="4" w:space="0" w:color="FFC000"/>
              <w:bottom w:val="single" w:sz="4" w:space="0" w:color="FFC000"/>
              <w:right w:val="single" w:sz="4" w:space="0" w:color="FFC000"/>
            </w:tcBorders>
          </w:tcPr>
          <w:p>
            <w:pPr/>
          </w:p>
        </w:tc>
        <w:tc>
          <w:tcPr>
            <w:tcW w:w="1055" w:type="dxa"/>
            <w:gridSpan w:val="2"/>
            <w:tcBorders>
              <w:top w:val="single" w:sz="4" w:space="0" w:color="FFC000"/>
              <w:left w:val="single" w:sz="4" w:space="0" w:color="FFC000"/>
              <w:bottom w:val="single" w:sz="4" w:space="0" w:color="FFC000"/>
              <w:right w:val="single" w:sz="4" w:space="0" w:color="FFC000"/>
            </w:tcBorders>
          </w:tcPr>
          <w:p>
            <w:pPr/>
          </w:p>
        </w:tc>
      </w:tr>
      <w:tr>
        <w:trPr>
          <w:trHeight w:val="379"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．本期使用</w:t>
            </w: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gridSpan w:val="3"/>
            <w:tcBorders>
              <w:top w:val="single" w:sz="4" w:space="0" w:color="FFC000"/>
              <w:left w:val="single" w:sz="4" w:space="0" w:color="FFC000"/>
              <w:bottom w:val="single" w:sz="4" w:space="0" w:color="FFC000"/>
              <w:right w:val="single" w:sz="4" w:space="0" w:color="FFC000"/>
            </w:tcBorders>
          </w:tcPr>
          <w:p>
            <w:pPr/>
          </w:p>
        </w:tc>
        <w:tc>
          <w:tcPr>
            <w:tcW w:w="566" w:type="dxa"/>
            <w:gridSpan w:val="3"/>
            <w:tcBorders>
              <w:top w:val="single" w:sz="4" w:space="0" w:color="FFC000"/>
              <w:left w:val="single" w:sz="4" w:space="0" w:color="FFC000"/>
              <w:bottom w:val="single" w:sz="4" w:space="0" w:color="FFC000"/>
              <w:right w:val="single" w:sz="4" w:space="0" w:color="FFC000"/>
            </w:tcBorders>
          </w:tcPr>
          <w:p>
            <w:pPr/>
          </w:p>
        </w:tc>
        <w:tc>
          <w:tcPr>
            <w:tcW w:w="710" w:type="dxa"/>
            <w:gridSpan w:val="3"/>
            <w:tcBorders>
              <w:top w:val="single" w:sz="4" w:space="0" w:color="FFC000"/>
              <w:left w:val="single" w:sz="4" w:space="0" w:color="FFC000"/>
              <w:bottom w:val="single" w:sz="4" w:space="0" w:color="FFC000"/>
              <w:right w:val="single" w:sz="4" w:space="0" w:color="FFC000"/>
            </w:tcBorders>
          </w:tcPr>
          <w:p>
            <w:pPr/>
          </w:p>
        </w:tc>
        <w:tc>
          <w:tcPr>
            <w:tcW w:w="425" w:type="dxa"/>
            <w:gridSpan w:val="3"/>
            <w:tcBorders>
              <w:top w:val="single" w:sz="4" w:space="0" w:color="FFC000"/>
              <w:left w:val="single" w:sz="4" w:space="0" w:color="FFC000"/>
              <w:bottom w:val="single" w:sz="4" w:space="0" w:color="FFC000"/>
              <w:right w:val="single" w:sz="4" w:space="0" w:color="FFC000"/>
            </w:tcBorders>
          </w:tcPr>
          <w:p>
            <w:pPr/>
          </w:p>
        </w:tc>
        <w:tc>
          <w:tcPr>
            <w:tcW w:w="849" w:type="dxa"/>
            <w:gridSpan w:val="3"/>
            <w:tcBorders>
              <w:top w:val="single" w:sz="4" w:space="0" w:color="FFC000"/>
              <w:left w:val="single" w:sz="4" w:space="0" w:color="FFC000"/>
              <w:bottom w:val="single" w:sz="4" w:space="0" w:color="FFC000"/>
              <w:right w:val="single" w:sz="4" w:space="0" w:color="FFC000"/>
            </w:tcBorders>
          </w:tcPr>
          <w:p>
            <w:pPr/>
          </w:p>
        </w:tc>
        <w:tc>
          <w:tcPr>
            <w:tcW w:w="992" w:type="dxa"/>
            <w:gridSpan w:val="3"/>
            <w:tcBorders>
              <w:top w:val="single" w:sz="4" w:space="0" w:color="FFC000"/>
              <w:left w:val="single" w:sz="4" w:space="0" w:color="FFC000"/>
              <w:bottom w:val="single" w:sz="4" w:space="0" w:color="FFC000"/>
              <w:right w:val="single" w:sz="4" w:space="0" w:color="FFC000"/>
            </w:tcBorders>
          </w:tcPr>
          <w:p>
            <w:pPr/>
          </w:p>
        </w:tc>
        <w:tc>
          <w:tcPr>
            <w:tcW w:w="1055" w:type="dxa"/>
            <w:gridSpan w:val="2"/>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（六）其他</w:t>
            </w:r>
          </w:p>
        </w:tc>
        <w:tc>
          <w:tcPr>
            <w:tcW w:w="994" w:type="dxa"/>
            <w:tcBorders>
              <w:top w:val="single" w:sz="4" w:space="0" w:color="FFC000"/>
              <w:left w:val="single" w:sz="4" w:space="0" w:color="FFC000"/>
              <w:bottom w:val="single" w:sz="4" w:space="0" w:color="FFC000"/>
              <w:right w:val="single" w:sz="4" w:space="0" w:color="FFC000"/>
            </w:tcBorders>
          </w:tcPr>
          <w:p>
            <w:pP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gridSpan w:val="3"/>
            <w:tcBorders>
              <w:top w:val="single" w:sz="4" w:space="0" w:color="FFC000"/>
              <w:left w:val="single" w:sz="4" w:space="0" w:color="FFC000"/>
              <w:bottom w:val="single" w:sz="4" w:space="0" w:color="FFC000"/>
              <w:right w:val="single" w:sz="4" w:space="0" w:color="FFC000"/>
            </w:tcBorders>
          </w:tcPr>
          <w:p>
            <w:pPr/>
          </w:p>
        </w:tc>
        <w:tc>
          <w:tcPr>
            <w:tcW w:w="566" w:type="dxa"/>
            <w:gridSpan w:val="3"/>
            <w:tcBorders>
              <w:top w:val="single" w:sz="4" w:space="0" w:color="FFC000"/>
              <w:left w:val="single" w:sz="4" w:space="0" w:color="FFC000"/>
              <w:bottom w:val="single" w:sz="4" w:space="0" w:color="FFC000"/>
              <w:right w:val="single" w:sz="4" w:space="0" w:color="FFC000"/>
            </w:tcBorders>
          </w:tcPr>
          <w:p>
            <w:pPr/>
          </w:p>
        </w:tc>
        <w:tc>
          <w:tcPr>
            <w:tcW w:w="710" w:type="dxa"/>
            <w:gridSpan w:val="3"/>
            <w:tcBorders>
              <w:top w:val="single" w:sz="4" w:space="0" w:color="FFC000"/>
              <w:left w:val="single" w:sz="4" w:space="0" w:color="FFC000"/>
              <w:bottom w:val="single" w:sz="4" w:space="0" w:color="FFC000"/>
              <w:right w:val="single" w:sz="4" w:space="0" w:color="FFC000"/>
            </w:tcBorders>
          </w:tcPr>
          <w:p>
            <w:pPr/>
          </w:p>
        </w:tc>
        <w:tc>
          <w:tcPr>
            <w:tcW w:w="425" w:type="dxa"/>
            <w:gridSpan w:val="3"/>
            <w:tcBorders>
              <w:top w:val="single" w:sz="4" w:space="0" w:color="FFC000"/>
              <w:left w:val="single" w:sz="4" w:space="0" w:color="FFC000"/>
              <w:bottom w:val="single" w:sz="4" w:space="0" w:color="FFC000"/>
              <w:right w:val="single" w:sz="4" w:space="0" w:color="FFC000"/>
            </w:tcBorders>
          </w:tcPr>
          <w:p>
            <w:pPr/>
          </w:p>
        </w:tc>
        <w:tc>
          <w:tcPr>
            <w:tcW w:w="849" w:type="dxa"/>
            <w:gridSpan w:val="3"/>
            <w:tcBorders>
              <w:top w:val="single" w:sz="4" w:space="0" w:color="FFC000"/>
              <w:left w:val="single" w:sz="4" w:space="0" w:color="FFC000"/>
              <w:bottom w:val="single" w:sz="4" w:space="0" w:color="FFC000"/>
              <w:right w:val="single" w:sz="4" w:space="0" w:color="FFC000"/>
            </w:tcBorders>
          </w:tcPr>
          <w:p>
            <w:pPr/>
          </w:p>
        </w:tc>
        <w:tc>
          <w:tcPr>
            <w:tcW w:w="992" w:type="dxa"/>
            <w:gridSpan w:val="3"/>
            <w:tcBorders>
              <w:top w:val="single" w:sz="4" w:space="0" w:color="FFC000"/>
              <w:left w:val="single" w:sz="4" w:space="0" w:color="FFC000"/>
              <w:bottom w:val="single" w:sz="4" w:space="0" w:color="FFC000"/>
              <w:right w:val="single" w:sz="4" w:space="0" w:color="FFC000"/>
            </w:tcBorders>
          </w:tcPr>
          <w:p>
            <w:pPr/>
          </w:p>
        </w:tc>
        <w:tc>
          <w:tcPr>
            <w:tcW w:w="1055" w:type="dxa"/>
            <w:gridSpan w:val="2"/>
            <w:tcBorders>
              <w:top w:val="single" w:sz="4" w:space="0" w:color="FFC000"/>
              <w:left w:val="single" w:sz="4" w:space="0" w:color="FFC000"/>
              <w:bottom w:val="single" w:sz="4" w:space="0" w:color="FFC000"/>
              <w:right w:val="single" w:sz="4" w:space="0" w:color="FFC000"/>
            </w:tcBorders>
          </w:tcPr>
          <w:p>
            <w:pPr/>
          </w:p>
        </w:tc>
      </w:tr>
      <w:tr>
        <w:trPr>
          <w:trHeight w:val="671" w:hRule="exact"/>
        </w:trPr>
        <w:tc>
          <w:tcPr>
            <w:tcW w:w="12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四、本期期末</w:t>
            </w:r>
            <w:r>
              <w:rPr>
                <w:rFonts w:ascii="华文细黑" w:hAnsi="华文细黑" w:cs="华文细黑" w:eastAsia="华文细黑" w:hint="default"/>
                <w:sz w:val="18"/>
                <w:szCs w:val="18"/>
              </w:rPr>
              <w:t> 余额</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7" w:right="0"/>
              <w:jc w:val="left"/>
              <w:rPr>
                <w:rFonts w:ascii="华文细黑" w:hAnsi="华文细黑" w:cs="华文细黑" w:eastAsia="华文细黑" w:hint="default"/>
                <w:sz w:val="16"/>
                <w:szCs w:val="16"/>
              </w:rPr>
            </w:pPr>
            <w:r>
              <w:rPr>
                <w:rFonts w:ascii="华文细黑"/>
                <w:sz w:val="16"/>
              </w:rPr>
              <w:t>1,239,281,</w:t>
            </w:r>
          </w:p>
          <w:p>
            <w:pPr>
              <w:pStyle w:val="TableParagraph"/>
              <w:spacing w:line="240" w:lineRule="auto" w:before="64"/>
              <w:ind w:left="393" w:right="0"/>
              <w:jc w:val="left"/>
              <w:rPr>
                <w:rFonts w:ascii="华文细黑" w:hAnsi="华文细黑" w:cs="华文细黑" w:eastAsia="华文细黑" w:hint="default"/>
                <w:sz w:val="16"/>
                <w:szCs w:val="16"/>
              </w:rPr>
            </w:pPr>
            <w:r>
              <w:rPr>
                <w:rFonts w:ascii="华文细黑"/>
                <w:sz w:val="16"/>
              </w:rPr>
              <w:t>806.00</w:t>
            </w:r>
          </w:p>
        </w:tc>
        <w:tc>
          <w:tcPr>
            <w:tcW w:w="566"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994"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7" w:right="0"/>
              <w:jc w:val="left"/>
              <w:rPr>
                <w:rFonts w:ascii="华文细黑" w:hAnsi="华文细黑" w:cs="华文细黑" w:eastAsia="华文细黑" w:hint="default"/>
                <w:sz w:val="16"/>
                <w:szCs w:val="16"/>
              </w:rPr>
            </w:pPr>
            <w:r>
              <w:rPr>
                <w:rFonts w:ascii="华文细黑"/>
                <w:sz w:val="16"/>
              </w:rPr>
              <w:t>1,709,322,</w:t>
            </w:r>
          </w:p>
          <w:p>
            <w:pPr>
              <w:pStyle w:val="TableParagraph"/>
              <w:spacing w:line="240" w:lineRule="auto" w:before="64"/>
              <w:ind w:left="393" w:right="0"/>
              <w:jc w:val="left"/>
              <w:rPr>
                <w:rFonts w:ascii="华文细黑" w:hAnsi="华文细黑" w:cs="华文细黑" w:eastAsia="华文细黑" w:hint="default"/>
                <w:sz w:val="16"/>
                <w:szCs w:val="16"/>
              </w:rPr>
            </w:pPr>
            <w:r>
              <w:rPr>
                <w:rFonts w:ascii="华文细黑"/>
                <w:sz w:val="16"/>
              </w:rPr>
              <w:t>752.80</w:t>
            </w:r>
          </w:p>
        </w:tc>
        <w:tc>
          <w:tcPr>
            <w:tcW w:w="566" w:type="dxa"/>
            <w:gridSpan w:val="3"/>
            <w:tcBorders>
              <w:top w:val="single" w:sz="4" w:space="0" w:color="FFC000"/>
              <w:left w:val="single" w:sz="4" w:space="0" w:color="FFC000"/>
              <w:bottom w:val="single" w:sz="4" w:space="0" w:color="FFC000"/>
              <w:right w:val="single" w:sz="4" w:space="0" w:color="FFC000"/>
            </w:tcBorders>
          </w:tcPr>
          <w:p>
            <w:pPr/>
          </w:p>
        </w:tc>
        <w:tc>
          <w:tcPr>
            <w:tcW w:w="710" w:type="dxa"/>
            <w:gridSpan w:val="3"/>
            <w:tcBorders>
              <w:top w:val="single" w:sz="4" w:space="0" w:color="FFC000"/>
              <w:left w:val="single" w:sz="4" w:space="0" w:color="FFC000"/>
              <w:bottom w:val="single" w:sz="4" w:space="0" w:color="FFC000"/>
              <w:right w:val="single" w:sz="4" w:space="0" w:color="FFC000"/>
            </w:tcBorders>
          </w:tcPr>
          <w:p>
            <w:pPr/>
          </w:p>
        </w:tc>
        <w:tc>
          <w:tcPr>
            <w:tcW w:w="425" w:type="dxa"/>
            <w:gridSpan w:val="3"/>
            <w:tcBorders>
              <w:top w:val="single" w:sz="4" w:space="0" w:color="FFC000"/>
              <w:left w:val="single" w:sz="4" w:space="0" w:color="FFC000"/>
              <w:bottom w:val="single" w:sz="4" w:space="0" w:color="FFC000"/>
              <w:right w:val="single" w:sz="4" w:space="0" w:color="FFC000"/>
            </w:tcBorders>
          </w:tcPr>
          <w:p>
            <w:pPr/>
          </w:p>
        </w:tc>
        <w:tc>
          <w:tcPr>
            <w:tcW w:w="849"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3" w:right="0"/>
              <w:jc w:val="center"/>
              <w:rPr>
                <w:rFonts w:ascii="华文细黑" w:hAnsi="华文细黑" w:cs="华文细黑" w:eastAsia="华文细黑" w:hint="default"/>
                <w:sz w:val="16"/>
                <w:szCs w:val="16"/>
              </w:rPr>
            </w:pPr>
            <w:r>
              <w:rPr>
                <w:rFonts w:ascii="华文细黑"/>
                <w:sz w:val="16"/>
              </w:rPr>
              <w:t>264,724,</w:t>
            </w:r>
          </w:p>
          <w:p>
            <w:pPr>
              <w:pStyle w:val="TableParagraph"/>
              <w:spacing w:line="240" w:lineRule="auto" w:before="64"/>
              <w:ind w:left="146" w:right="0"/>
              <w:jc w:val="center"/>
              <w:rPr>
                <w:rFonts w:ascii="华文细黑" w:hAnsi="华文细黑" w:cs="华文细黑" w:eastAsia="华文细黑" w:hint="default"/>
                <w:sz w:val="16"/>
                <w:szCs w:val="16"/>
              </w:rPr>
            </w:pPr>
            <w:r>
              <w:rPr>
                <w:rFonts w:ascii="华文细黑"/>
                <w:sz w:val="16"/>
              </w:rPr>
              <w:t>184.43</w:t>
            </w:r>
          </w:p>
        </w:tc>
        <w:tc>
          <w:tcPr>
            <w:tcW w:w="992" w:type="dxa"/>
            <w:gridSpan w:val="3"/>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7" w:right="0"/>
              <w:jc w:val="left"/>
              <w:rPr>
                <w:rFonts w:ascii="华文细黑" w:hAnsi="华文细黑" w:cs="华文细黑" w:eastAsia="华文细黑" w:hint="default"/>
                <w:sz w:val="16"/>
                <w:szCs w:val="16"/>
              </w:rPr>
            </w:pPr>
            <w:r>
              <w:rPr>
                <w:rFonts w:ascii="华文细黑"/>
                <w:sz w:val="16"/>
              </w:rPr>
              <w:t>1,242,384,</w:t>
            </w:r>
          </w:p>
          <w:p>
            <w:pPr>
              <w:pStyle w:val="TableParagraph"/>
              <w:spacing w:line="240" w:lineRule="auto" w:before="64"/>
              <w:ind w:left="393" w:right="0"/>
              <w:jc w:val="left"/>
              <w:rPr>
                <w:rFonts w:ascii="华文细黑" w:hAnsi="华文细黑" w:cs="华文细黑" w:eastAsia="华文细黑" w:hint="default"/>
                <w:sz w:val="16"/>
                <w:szCs w:val="16"/>
              </w:rPr>
            </w:pPr>
            <w:r>
              <w:rPr>
                <w:rFonts w:ascii="华文细黑"/>
                <w:sz w:val="16"/>
              </w:rPr>
              <w:t>167.33</w:t>
            </w:r>
          </w:p>
        </w:tc>
        <w:tc>
          <w:tcPr>
            <w:tcW w:w="1055" w:type="dxa"/>
            <w:gridSpan w:val="2"/>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87" w:right="0"/>
              <w:jc w:val="left"/>
              <w:rPr>
                <w:rFonts w:ascii="华文细黑" w:hAnsi="华文细黑" w:cs="华文细黑" w:eastAsia="华文细黑" w:hint="default"/>
                <w:sz w:val="16"/>
                <w:szCs w:val="16"/>
              </w:rPr>
            </w:pPr>
            <w:r>
              <w:rPr>
                <w:rFonts w:ascii="华文细黑"/>
                <w:sz w:val="16"/>
              </w:rPr>
              <w:t>4,455,712,</w:t>
            </w:r>
          </w:p>
          <w:p>
            <w:pPr>
              <w:pStyle w:val="TableParagraph"/>
              <w:spacing w:line="240" w:lineRule="auto" w:before="64"/>
              <w:ind w:left="453" w:right="0"/>
              <w:jc w:val="left"/>
              <w:rPr>
                <w:rFonts w:ascii="华文细黑" w:hAnsi="华文细黑" w:cs="华文细黑" w:eastAsia="华文细黑" w:hint="default"/>
                <w:sz w:val="16"/>
                <w:szCs w:val="16"/>
              </w:rPr>
            </w:pPr>
            <w:r>
              <w:rPr>
                <w:rFonts w:ascii="华文细黑"/>
                <w:sz w:val="16"/>
              </w:rPr>
              <w:t>910.56</w:t>
            </w:r>
          </w:p>
        </w:tc>
      </w:tr>
    </w:tbl>
    <w:p>
      <w:pPr>
        <w:spacing w:line="240" w:lineRule="auto" w:before="13"/>
        <w:rPr>
          <w:rFonts w:ascii="华文细黑" w:hAnsi="华文细黑" w:cs="华文细黑" w:eastAsia="华文细黑" w:hint="default"/>
          <w:b/>
          <w:bCs/>
          <w:sz w:val="6"/>
          <w:szCs w:val="6"/>
        </w:rPr>
      </w:pPr>
    </w:p>
    <w:p>
      <w:pPr>
        <w:pStyle w:val="BodyText"/>
        <w:spacing w:line="240" w:lineRule="auto" w:before="10"/>
        <w:ind w:left="362" w:right="0"/>
        <w:jc w:val="left"/>
      </w:pPr>
      <w:r>
        <w:rPr/>
        <w:t>（续）</w:t>
      </w:r>
    </w:p>
    <w:p>
      <w:pPr>
        <w:spacing w:line="240" w:lineRule="auto" w:before="0"/>
        <w:rPr>
          <w:rFonts w:ascii="华文细黑" w:hAnsi="华文细黑" w:cs="华文细黑" w:eastAsia="华文细黑" w:hint="default"/>
          <w:sz w:val="20"/>
          <w:szCs w:val="20"/>
        </w:rPr>
      </w:pPr>
    </w:p>
    <w:p>
      <w:pPr>
        <w:spacing w:line="240" w:lineRule="auto" w:before="3"/>
        <w:rPr>
          <w:rFonts w:ascii="华文细黑" w:hAnsi="华文细黑" w:cs="华文细黑" w:eastAsia="华文细黑" w:hint="default"/>
          <w:sz w:val="29"/>
          <w:szCs w:val="29"/>
        </w:rPr>
      </w:pPr>
    </w:p>
    <w:tbl>
      <w:tblPr>
        <w:tblW w:w="0" w:type="auto"/>
        <w:jc w:val="left"/>
        <w:tblInd w:w="116" w:type="dxa"/>
        <w:tblLayout w:type="fixed"/>
        <w:tblCellMar>
          <w:top w:w="0" w:type="dxa"/>
          <w:left w:w="0" w:type="dxa"/>
          <w:bottom w:w="0" w:type="dxa"/>
          <w:right w:w="0" w:type="dxa"/>
        </w:tblCellMar>
        <w:tblLook w:val="01E0"/>
      </w:tblPr>
      <w:tblGrid>
        <w:gridCol w:w="1798"/>
        <w:gridCol w:w="990"/>
        <w:gridCol w:w="425"/>
        <w:gridCol w:w="431"/>
        <w:gridCol w:w="279"/>
        <w:gridCol w:w="1002"/>
        <w:gridCol w:w="559"/>
        <w:gridCol w:w="713"/>
        <w:gridCol w:w="426"/>
        <w:gridCol w:w="852"/>
        <w:gridCol w:w="990"/>
        <w:gridCol w:w="1040"/>
      </w:tblGrid>
      <w:tr>
        <w:trPr>
          <w:trHeight w:val="380" w:hRule="exact"/>
        </w:trPr>
        <w:tc>
          <w:tcPr>
            <w:tcW w:w="179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8"/>
              <w:ind w:right="0"/>
              <w:jc w:val="left"/>
              <w:rPr>
                <w:rFonts w:ascii="华文细黑" w:hAnsi="华文细黑" w:cs="华文细黑" w:eastAsia="华文细黑" w:hint="default"/>
                <w:sz w:val="13"/>
                <w:szCs w:val="13"/>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项目</w:t>
            </w:r>
          </w:p>
        </w:tc>
        <w:tc>
          <w:tcPr>
            <w:tcW w:w="7707" w:type="dxa"/>
            <w:gridSpan w:val="11"/>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0"/>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2017</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年度</w:t>
            </w:r>
          </w:p>
        </w:tc>
      </w:tr>
      <w:tr>
        <w:trPr>
          <w:trHeight w:val="380" w:hRule="exact"/>
        </w:trPr>
        <w:tc>
          <w:tcPr>
            <w:tcW w:w="1798" w:type="dxa"/>
            <w:vMerge/>
            <w:tcBorders>
              <w:left w:val="single" w:sz="4" w:space="0" w:color="FFC000"/>
              <w:right w:val="single" w:sz="4" w:space="0" w:color="FFC000"/>
            </w:tcBorders>
            <w:shd w:val="clear" w:color="auto" w:fill="FFF8E6"/>
          </w:tcPr>
          <w:p>
            <w:pPr/>
          </w:p>
        </w:tc>
        <w:tc>
          <w:tcPr>
            <w:tcW w:w="99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
              <w:ind w:right="0"/>
              <w:jc w:val="left"/>
              <w:rPr>
                <w:rFonts w:ascii="华文细黑" w:hAnsi="华文细黑" w:cs="华文细黑" w:eastAsia="华文细黑" w:hint="default"/>
                <w:sz w:val="18"/>
                <w:szCs w:val="18"/>
              </w:rPr>
            </w:pPr>
          </w:p>
          <w:p>
            <w:pPr>
              <w:pStyle w:val="TableParagraph"/>
              <w:spacing w:line="240" w:lineRule="auto"/>
              <w:ind w:left="30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股本</w:t>
            </w:r>
          </w:p>
        </w:tc>
        <w:tc>
          <w:tcPr>
            <w:tcW w:w="1134" w:type="dxa"/>
            <w:gridSpan w:val="3"/>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4"/>
              <w:ind w:left="111" w:right="0"/>
              <w:jc w:val="left"/>
              <w:rPr>
                <w:rFonts w:ascii="华文细黑" w:hAnsi="华文细黑" w:cs="华文细黑" w:eastAsia="华文细黑" w:hint="default"/>
                <w:sz w:val="15"/>
                <w:szCs w:val="15"/>
              </w:rPr>
            </w:pPr>
            <w:r>
              <w:rPr>
                <w:rFonts w:ascii="华文细黑" w:hAnsi="华文细黑" w:cs="华文细黑" w:eastAsia="华文细黑" w:hint="default"/>
                <w:sz w:val="15"/>
                <w:szCs w:val="15"/>
              </w:rPr>
              <w:t>其他权益工具</w:t>
            </w:r>
          </w:p>
        </w:tc>
        <w:tc>
          <w:tcPr>
            <w:tcW w:w="100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
              <w:ind w:right="0"/>
              <w:jc w:val="left"/>
              <w:rPr>
                <w:rFonts w:ascii="华文细黑" w:hAnsi="华文细黑" w:cs="华文细黑" w:eastAsia="华文细黑" w:hint="default"/>
                <w:sz w:val="18"/>
                <w:szCs w:val="18"/>
              </w:rPr>
            </w:pPr>
          </w:p>
          <w:p>
            <w:pPr>
              <w:pStyle w:val="TableParagraph"/>
              <w:spacing w:line="240" w:lineRule="auto"/>
              <w:ind w:left="13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资本公积</w:t>
            </w:r>
          </w:p>
        </w:tc>
        <w:tc>
          <w:tcPr>
            <w:tcW w:w="559" w:type="dxa"/>
            <w:vMerge w:val="restart"/>
            <w:tcBorders>
              <w:top w:val="single" w:sz="4" w:space="0" w:color="FFC000"/>
              <w:left w:val="single" w:sz="4" w:space="0" w:color="FFC000"/>
              <w:right w:val="single" w:sz="4" w:space="0" w:color="FFC000"/>
            </w:tcBorders>
            <w:shd w:val="clear" w:color="auto" w:fill="FFF8E6"/>
          </w:tcPr>
          <w:p>
            <w:pPr>
              <w:pStyle w:val="TableParagraph"/>
              <w:spacing w:line="273" w:lineRule="auto" w:before="75"/>
              <w:ind w:left="184" w:right="84" w:hanging="8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减： 库 存 股</w:t>
            </w:r>
          </w:p>
        </w:tc>
        <w:tc>
          <w:tcPr>
            <w:tcW w:w="713"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73" w:lineRule="auto"/>
              <w:ind w:left="171" w:right="16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其他 综合 收益</w:t>
            </w:r>
          </w:p>
        </w:tc>
        <w:tc>
          <w:tcPr>
            <w:tcW w:w="426" w:type="dxa"/>
            <w:vMerge w:val="restart"/>
            <w:tcBorders>
              <w:top w:val="single" w:sz="4" w:space="0" w:color="FFC000"/>
              <w:left w:val="single" w:sz="4" w:space="0" w:color="FFC000"/>
              <w:right w:val="single" w:sz="4" w:space="0" w:color="FFC000"/>
            </w:tcBorders>
            <w:shd w:val="clear" w:color="auto" w:fill="FFF8E6"/>
          </w:tcPr>
          <w:p>
            <w:pPr>
              <w:pStyle w:val="TableParagraph"/>
              <w:spacing w:line="273" w:lineRule="auto" w:before="75"/>
              <w:ind w:left="117" w:right="116"/>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专 项 储 备</w:t>
            </w:r>
          </w:p>
        </w:tc>
        <w:tc>
          <w:tcPr>
            <w:tcW w:w="85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2"/>
              <w:ind w:right="0"/>
              <w:jc w:val="left"/>
              <w:rPr>
                <w:rFonts w:ascii="华文细黑" w:hAnsi="华文细黑" w:cs="华文细黑" w:eastAsia="华文细黑" w:hint="default"/>
                <w:sz w:val="25"/>
                <w:szCs w:val="25"/>
              </w:rPr>
            </w:pPr>
          </w:p>
          <w:p>
            <w:pPr>
              <w:pStyle w:val="TableParagraph"/>
              <w:spacing w:line="273" w:lineRule="auto"/>
              <w:ind w:left="331" w:right="149" w:hanging="18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盈余公 积</w:t>
            </w:r>
          </w:p>
        </w:tc>
        <w:tc>
          <w:tcPr>
            <w:tcW w:w="99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2"/>
              <w:ind w:right="0"/>
              <w:jc w:val="left"/>
              <w:rPr>
                <w:rFonts w:ascii="华文细黑" w:hAnsi="华文细黑" w:cs="华文细黑" w:eastAsia="华文细黑" w:hint="default"/>
                <w:sz w:val="25"/>
                <w:szCs w:val="25"/>
              </w:rPr>
            </w:pPr>
          </w:p>
          <w:p>
            <w:pPr>
              <w:pStyle w:val="TableParagraph"/>
              <w:spacing w:line="273" w:lineRule="auto"/>
              <w:ind w:left="399" w:right="128" w:hanging="27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未分配利 润</w:t>
            </w:r>
          </w:p>
        </w:tc>
        <w:tc>
          <w:tcPr>
            <w:tcW w:w="104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2"/>
              <w:ind w:right="0"/>
              <w:jc w:val="left"/>
              <w:rPr>
                <w:rFonts w:ascii="华文细黑" w:hAnsi="华文细黑" w:cs="华文细黑" w:eastAsia="华文细黑" w:hint="default"/>
                <w:sz w:val="25"/>
                <w:szCs w:val="25"/>
              </w:rPr>
            </w:pPr>
          </w:p>
          <w:p>
            <w:pPr>
              <w:pStyle w:val="TableParagraph"/>
              <w:spacing w:line="273" w:lineRule="auto"/>
              <w:ind w:left="244" w:right="155" w:hanging="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所有者权 益合计</w:t>
            </w:r>
          </w:p>
        </w:tc>
      </w:tr>
      <w:tr>
        <w:trPr>
          <w:trHeight w:val="960" w:hRule="exact"/>
        </w:trPr>
        <w:tc>
          <w:tcPr>
            <w:tcW w:w="1798" w:type="dxa"/>
            <w:vMerge/>
            <w:tcBorders>
              <w:left w:val="single" w:sz="4" w:space="0" w:color="FFC000"/>
              <w:bottom w:val="single" w:sz="4" w:space="0" w:color="FFC000"/>
              <w:right w:val="single" w:sz="4" w:space="0" w:color="FFC000"/>
            </w:tcBorders>
            <w:shd w:val="clear" w:color="auto" w:fill="FFF8E6"/>
          </w:tcPr>
          <w:p>
            <w:pPr/>
          </w:p>
        </w:tc>
        <w:tc>
          <w:tcPr>
            <w:tcW w:w="990" w:type="dxa"/>
            <w:vMerge/>
            <w:tcBorders>
              <w:left w:val="single" w:sz="4" w:space="0" w:color="FFC000"/>
              <w:bottom w:val="single" w:sz="4" w:space="0" w:color="FFC000"/>
              <w:right w:val="single" w:sz="4" w:space="0" w:color="FFC000"/>
            </w:tcBorders>
            <w:shd w:val="clear" w:color="auto" w:fill="FFF8E6"/>
          </w:tcPr>
          <w:p>
            <w:pPr/>
          </w:p>
        </w:tc>
        <w:tc>
          <w:tcPr>
            <w:tcW w:w="42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16" w:right="116"/>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优 先 股</w:t>
            </w:r>
          </w:p>
        </w:tc>
        <w:tc>
          <w:tcPr>
            <w:tcW w:w="4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18" w:right="12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永 续 债</w:t>
            </w:r>
          </w:p>
        </w:tc>
        <w:tc>
          <w:tcPr>
            <w:tcW w:w="27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
              <w:ind w:right="0"/>
              <w:jc w:val="left"/>
              <w:rPr>
                <w:rFonts w:ascii="华文细黑" w:hAnsi="华文细黑" w:cs="华文细黑" w:eastAsia="华文细黑" w:hint="default"/>
                <w:sz w:val="12"/>
                <w:szCs w:val="12"/>
              </w:rPr>
            </w:pPr>
          </w:p>
          <w:p>
            <w:pPr>
              <w:pStyle w:val="TableParagraph"/>
              <w:spacing w:line="273" w:lineRule="auto"/>
              <w:ind w:left="103" w:right="-15"/>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 他</w:t>
            </w:r>
          </w:p>
        </w:tc>
        <w:tc>
          <w:tcPr>
            <w:tcW w:w="1002" w:type="dxa"/>
            <w:vMerge/>
            <w:tcBorders>
              <w:left w:val="single" w:sz="4" w:space="0" w:color="FFC000"/>
              <w:bottom w:val="single" w:sz="4" w:space="0" w:color="FFC000"/>
              <w:right w:val="single" w:sz="4" w:space="0" w:color="FFC000"/>
            </w:tcBorders>
            <w:shd w:val="clear" w:color="auto" w:fill="FFF8E6"/>
          </w:tcPr>
          <w:p>
            <w:pPr/>
          </w:p>
        </w:tc>
        <w:tc>
          <w:tcPr>
            <w:tcW w:w="559" w:type="dxa"/>
            <w:vMerge/>
            <w:tcBorders>
              <w:left w:val="single" w:sz="4" w:space="0" w:color="FFC000"/>
              <w:bottom w:val="single" w:sz="4" w:space="0" w:color="FFC000"/>
              <w:right w:val="single" w:sz="4" w:space="0" w:color="FFC000"/>
            </w:tcBorders>
            <w:shd w:val="clear" w:color="auto" w:fill="FFF8E6"/>
          </w:tcPr>
          <w:p>
            <w:pPr/>
          </w:p>
        </w:tc>
        <w:tc>
          <w:tcPr>
            <w:tcW w:w="713" w:type="dxa"/>
            <w:vMerge/>
            <w:tcBorders>
              <w:left w:val="single" w:sz="4" w:space="0" w:color="FFC000"/>
              <w:bottom w:val="single" w:sz="4" w:space="0" w:color="FFC000"/>
              <w:right w:val="single" w:sz="4" w:space="0" w:color="FFC000"/>
            </w:tcBorders>
            <w:shd w:val="clear" w:color="auto" w:fill="FFF8E6"/>
          </w:tcPr>
          <w:p>
            <w:pPr/>
          </w:p>
        </w:tc>
        <w:tc>
          <w:tcPr>
            <w:tcW w:w="426" w:type="dxa"/>
            <w:vMerge/>
            <w:tcBorders>
              <w:left w:val="single" w:sz="4" w:space="0" w:color="FFC000"/>
              <w:bottom w:val="single" w:sz="4" w:space="0" w:color="FFC000"/>
              <w:right w:val="single" w:sz="4" w:space="0" w:color="FFC000"/>
            </w:tcBorders>
            <w:shd w:val="clear" w:color="auto" w:fill="FFF8E6"/>
          </w:tcPr>
          <w:p>
            <w:pPr/>
          </w:p>
        </w:tc>
        <w:tc>
          <w:tcPr>
            <w:tcW w:w="852" w:type="dxa"/>
            <w:vMerge/>
            <w:tcBorders>
              <w:left w:val="single" w:sz="4" w:space="0" w:color="FFC000"/>
              <w:bottom w:val="single" w:sz="4" w:space="0" w:color="FFC000"/>
              <w:right w:val="single" w:sz="4" w:space="0" w:color="FFC000"/>
            </w:tcBorders>
            <w:shd w:val="clear" w:color="auto" w:fill="FFF8E6"/>
          </w:tcPr>
          <w:p>
            <w:pPr/>
          </w:p>
        </w:tc>
        <w:tc>
          <w:tcPr>
            <w:tcW w:w="990" w:type="dxa"/>
            <w:vMerge/>
            <w:tcBorders>
              <w:left w:val="single" w:sz="4" w:space="0" w:color="FFC000"/>
              <w:bottom w:val="single" w:sz="4" w:space="0" w:color="FFC000"/>
              <w:right w:val="single" w:sz="4" w:space="0" w:color="FFC000"/>
            </w:tcBorders>
            <w:shd w:val="clear" w:color="auto" w:fill="FFF8E6"/>
          </w:tcPr>
          <w:p>
            <w:pPr/>
          </w:p>
        </w:tc>
        <w:tc>
          <w:tcPr>
            <w:tcW w:w="1040" w:type="dxa"/>
            <w:vMerge/>
            <w:tcBorders>
              <w:left w:val="single" w:sz="4" w:space="0" w:color="FFC000"/>
              <w:bottom w:val="single" w:sz="4" w:space="0" w:color="FFC000"/>
              <w:right w:val="single" w:sz="4" w:space="0" w:color="FFC000"/>
            </w:tcBorders>
            <w:shd w:val="clear" w:color="auto" w:fill="FFF8E6"/>
          </w:tcPr>
          <w:p>
            <w:pPr/>
          </w:p>
        </w:tc>
      </w:tr>
      <w:tr>
        <w:trPr>
          <w:trHeight w:val="670"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
              <w:ind w:right="0"/>
              <w:jc w:val="left"/>
              <w:rPr>
                <w:rFonts w:ascii="华文细黑" w:hAnsi="华文细黑" w:cs="华文细黑" w:eastAsia="华文细黑" w:hint="default"/>
                <w:sz w:val="12"/>
                <w:szCs w:val="12"/>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一、上年期末余额</w:t>
            </w:r>
          </w:p>
        </w:tc>
        <w:tc>
          <w:tcPr>
            <w:tcW w:w="9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3" w:right="0"/>
              <w:jc w:val="left"/>
              <w:rPr>
                <w:rFonts w:ascii="华文细黑" w:hAnsi="华文细黑" w:cs="华文细黑" w:eastAsia="华文细黑" w:hint="default"/>
                <w:sz w:val="16"/>
                <w:szCs w:val="16"/>
              </w:rPr>
            </w:pPr>
            <w:r>
              <w:rPr>
                <w:rFonts w:ascii="华文细黑"/>
                <w:sz w:val="16"/>
              </w:rPr>
              <w:t>1,032,734,</w:t>
            </w:r>
          </w:p>
          <w:p>
            <w:pPr>
              <w:pStyle w:val="TableParagraph"/>
              <w:spacing w:line="240" w:lineRule="auto" w:before="64"/>
              <w:ind w:left="390" w:right="0"/>
              <w:jc w:val="left"/>
              <w:rPr>
                <w:rFonts w:ascii="华文细黑" w:hAnsi="华文细黑" w:cs="华文细黑" w:eastAsia="华文细黑" w:hint="default"/>
                <w:sz w:val="16"/>
                <w:szCs w:val="16"/>
              </w:rPr>
            </w:pPr>
            <w:r>
              <w:rPr>
                <w:rFonts w:ascii="华文细黑"/>
                <w:sz w:val="16"/>
              </w:rPr>
              <w:t>839.00</w:t>
            </w: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35" w:right="0"/>
              <w:jc w:val="left"/>
              <w:rPr>
                <w:rFonts w:ascii="华文细黑" w:hAnsi="华文细黑" w:cs="华文细黑" w:eastAsia="华文细黑" w:hint="default"/>
                <w:sz w:val="16"/>
                <w:szCs w:val="16"/>
              </w:rPr>
            </w:pPr>
            <w:r>
              <w:rPr>
                <w:rFonts w:ascii="华文细黑"/>
                <w:sz w:val="16"/>
              </w:rPr>
              <w:t>1,915,869,</w:t>
            </w:r>
          </w:p>
          <w:p>
            <w:pPr>
              <w:pStyle w:val="TableParagraph"/>
              <w:spacing w:line="240" w:lineRule="auto" w:before="64"/>
              <w:ind w:left="401" w:right="0"/>
              <w:jc w:val="left"/>
              <w:rPr>
                <w:rFonts w:ascii="华文细黑" w:hAnsi="华文细黑" w:cs="华文细黑" w:eastAsia="华文细黑" w:hint="default"/>
                <w:sz w:val="16"/>
                <w:szCs w:val="16"/>
              </w:rPr>
            </w:pPr>
            <w:r>
              <w:rPr>
                <w:rFonts w:ascii="华文细黑"/>
                <w:sz w:val="16"/>
              </w:rPr>
              <w:t>719.80</w:t>
            </w: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6" w:right="0"/>
              <w:jc w:val="center"/>
              <w:rPr>
                <w:rFonts w:ascii="华文细黑" w:hAnsi="华文细黑" w:cs="华文细黑" w:eastAsia="华文细黑" w:hint="default"/>
                <w:sz w:val="16"/>
                <w:szCs w:val="16"/>
              </w:rPr>
            </w:pPr>
            <w:r>
              <w:rPr>
                <w:rFonts w:ascii="华文细黑"/>
                <w:sz w:val="16"/>
              </w:rPr>
              <w:t>231,230,</w:t>
            </w:r>
          </w:p>
          <w:p>
            <w:pPr>
              <w:pStyle w:val="TableParagraph"/>
              <w:spacing w:line="240" w:lineRule="auto" w:before="64"/>
              <w:ind w:left="149" w:right="0"/>
              <w:jc w:val="center"/>
              <w:rPr>
                <w:rFonts w:ascii="华文细黑" w:hAnsi="华文细黑" w:cs="华文细黑" w:eastAsia="华文细黑" w:hint="default"/>
                <w:sz w:val="16"/>
                <w:szCs w:val="16"/>
              </w:rPr>
            </w:pPr>
            <w:r>
              <w:rPr>
                <w:rFonts w:ascii="华文细黑"/>
                <w:sz w:val="16"/>
              </w:rPr>
              <w:t>039.57</w:t>
            </w:r>
          </w:p>
        </w:tc>
        <w:tc>
          <w:tcPr>
            <w:tcW w:w="9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3" w:right="0"/>
              <w:jc w:val="left"/>
              <w:rPr>
                <w:rFonts w:ascii="华文细黑" w:hAnsi="华文细黑" w:cs="华文细黑" w:eastAsia="华文细黑" w:hint="default"/>
                <w:sz w:val="16"/>
                <w:szCs w:val="16"/>
              </w:rPr>
            </w:pPr>
            <w:r>
              <w:rPr>
                <w:rFonts w:ascii="华文细黑"/>
                <w:sz w:val="16"/>
              </w:rPr>
              <w:t>1,302,394,</w:t>
            </w:r>
          </w:p>
          <w:p>
            <w:pPr>
              <w:pStyle w:val="TableParagraph"/>
              <w:spacing w:line="240" w:lineRule="auto" w:before="64"/>
              <w:ind w:left="390" w:right="0"/>
              <w:jc w:val="left"/>
              <w:rPr>
                <w:rFonts w:ascii="华文细黑" w:hAnsi="华文细黑" w:cs="华文细黑" w:eastAsia="华文细黑" w:hint="default"/>
                <w:sz w:val="16"/>
                <w:szCs w:val="16"/>
              </w:rPr>
            </w:pPr>
            <w:r>
              <w:rPr>
                <w:rFonts w:ascii="华文细黑"/>
                <w:sz w:val="16"/>
              </w:rPr>
              <w:t>057.24</w:t>
            </w:r>
          </w:p>
        </w:tc>
        <w:tc>
          <w:tcPr>
            <w:tcW w:w="10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74" w:right="0"/>
              <w:jc w:val="left"/>
              <w:rPr>
                <w:rFonts w:ascii="华文细黑" w:hAnsi="华文细黑" w:cs="华文细黑" w:eastAsia="华文细黑" w:hint="default"/>
                <w:sz w:val="16"/>
                <w:szCs w:val="16"/>
              </w:rPr>
            </w:pPr>
            <w:r>
              <w:rPr>
                <w:rFonts w:ascii="华文细黑"/>
                <w:sz w:val="16"/>
              </w:rPr>
              <w:t>4,482,228,</w:t>
            </w:r>
          </w:p>
          <w:p>
            <w:pPr>
              <w:pStyle w:val="TableParagraph"/>
              <w:spacing w:line="240" w:lineRule="auto" w:before="64"/>
              <w:ind w:left="440" w:right="0"/>
              <w:jc w:val="left"/>
              <w:rPr>
                <w:rFonts w:ascii="华文细黑" w:hAnsi="华文细黑" w:cs="华文细黑" w:eastAsia="华文细黑" w:hint="default"/>
                <w:sz w:val="16"/>
                <w:szCs w:val="16"/>
              </w:rPr>
            </w:pPr>
            <w:r>
              <w:rPr>
                <w:rFonts w:ascii="华文细黑"/>
                <w:sz w:val="16"/>
              </w:rPr>
              <w:t>655.61</w:t>
            </w:r>
          </w:p>
        </w:tc>
      </w:tr>
      <w:tr>
        <w:trPr>
          <w:trHeight w:val="381"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加：会计政策变更</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990" w:type="dxa"/>
            <w:tcBorders>
              <w:top w:val="single" w:sz="4" w:space="0" w:color="FFC000"/>
              <w:left w:val="single" w:sz="4" w:space="0" w:color="FFC000"/>
              <w:bottom w:val="single" w:sz="4" w:space="0" w:color="FFC000"/>
              <w:right w:val="single" w:sz="4" w:space="0" w:color="FFC000"/>
            </w:tcBorders>
          </w:tcPr>
          <w:p>
            <w:pPr/>
          </w:p>
        </w:tc>
        <w:tc>
          <w:tcPr>
            <w:tcW w:w="1040" w:type="dxa"/>
            <w:tcBorders>
              <w:top w:val="single" w:sz="4" w:space="0" w:color="FFC000"/>
              <w:left w:val="single" w:sz="4" w:space="0" w:color="FFC000"/>
              <w:bottom w:val="single" w:sz="4" w:space="0" w:color="FFC000"/>
              <w:right w:val="single" w:sz="4" w:space="0" w:color="FFC000"/>
            </w:tcBorders>
          </w:tcPr>
          <w:p>
            <w:pPr/>
          </w:p>
        </w:tc>
      </w:tr>
      <w:tr>
        <w:trPr>
          <w:trHeight w:val="379"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前期差错更正</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990" w:type="dxa"/>
            <w:tcBorders>
              <w:top w:val="single" w:sz="4" w:space="0" w:color="FFC000"/>
              <w:left w:val="single" w:sz="4" w:space="0" w:color="FFC000"/>
              <w:bottom w:val="single" w:sz="4" w:space="0" w:color="FFC000"/>
              <w:right w:val="single" w:sz="4" w:space="0" w:color="FFC000"/>
            </w:tcBorders>
          </w:tcPr>
          <w:p>
            <w:pPr/>
          </w:p>
        </w:tc>
        <w:tc>
          <w:tcPr>
            <w:tcW w:w="1040"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990" w:type="dxa"/>
            <w:tcBorders>
              <w:top w:val="single" w:sz="4" w:space="0" w:color="FFC000"/>
              <w:left w:val="single" w:sz="4" w:space="0" w:color="FFC000"/>
              <w:bottom w:val="single" w:sz="4" w:space="0" w:color="FFC000"/>
              <w:right w:val="single" w:sz="4" w:space="0" w:color="FFC000"/>
            </w:tcBorders>
          </w:tcPr>
          <w:p>
            <w:pPr/>
          </w:p>
        </w:tc>
        <w:tc>
          <w:tcPr>
            <w:tcW w:w="1040" w:type="dxa"/>
            <w:tcBorders>
              <w:top w:val="single" w:sz="4" w:space="0" w:color="FFC000"/>
              <w:left w:val="single" w:sz="4" w:space="0" w:color="FFC000"/>
              <w:bottom w:val="single" w:sz="4" w:space="0" w:color="FFC000"/>
              <w:right w:val="single" w:sz="4" w:space="0" w:color="FFC000"/>
            </w:tcBorders>
          </w:tcPr>
          <w:p>
            <w:pPr/>
          </w:p>
        </w:tc>
      </w:tr>
    </w:tbl>
    <w:p>
      <w:pPr>
        <w:spacing w:after="0"/>
        <w:sectPr>
          <w:pgSz w:w="11910" w:h="16840"/>
          <w:pgMar w:header="917" w:footer="1019" w:top="1100" w:bottom="1200" w:left="108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16" w:type="dxa"/>
        <w:tblLayout w:type="fixed"/>
        <w:tblCellMar>
          <w:top w:w="0" w:type="dxa"/>
          <w:left w:w="0" w:type="dxa"/>
          <w:bottom w:w="0" w:type="dxa"/>
          <w:right w:w="0" w:type="dxa"/>
        </w:tblCellMar>
        <w:tblLook w:val="01E0"/>
      </w:tblPr>
      <w:tblGrid>
        <w:gridCol w:w="1798"/>
        <w:gridCol w:w="990"/>
        <w:gridCol w:w="425"/>
        <w:gridCol w:w="431"/>
        <w:gridCol w:w="279"/>
        <w:gridCol w:w="1002"/>
        <w:gridCol w:w="559"/>
        <w:gridCol w:w="713"/>
        <w:gridCol w:w="426"/>
        <w:gridCol w:w="852"/>
        <w:gridCol w:w="990"/>
        <w:gridCol w:w="1040"/>
      </w:tblGrid>
      <w:tr>
        <w:trPr>
          <w:trHeight w:val="670"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
              <w:ind w:right="0"/>
              <w:jc w:val="left"/>
              <w:rPr>
                <w:rFonts w:ascii="Times New Roman" w:hAnsi="Times New Roman" w:cs="Times New Roman" w:eastAsia="Times New Roman" w:hint="default"/>
                <w:sz w:val="15"/>
                <w:szCs w:val="15"/>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二、本年期初余额</w:t>
            </w:r>
          </w:p>
        </w:tc>
        <w:tc>
          <w:tcPr>
            <w:tcW w:w="9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3" w:right="0"/>
              <w:jc w:val="left"/>
              <w:rPr>
                <w:rFonts w:ascii="华文细黑" w:hAnsi="华文细黑" w:cs="华文细黑" w:eastAsia="华文细黑" w:hint="default"/>
                <w:sz w:val="16"/>
                <w:szCs w:val="16"/>
              </w:rPr>
            </w:pPr>
            <w:r>
              <w:rPr>
                <w:rFonts w:ascii="华文细黑"/>
                <w:sz w:val="16"/>
              </w:rPr>
              <w:t>1,032,734,</w:t>
            </w:r>
          </w:p>
          <w:p>
            <w:pPr>
              <w:pStyle w:val="TableParagraph"/>
              <w:spacing w:line="240" w:lineRule="auto" w:before="64"/>
              <w:ind w:left="390" w:right="0"/>
              <w:jc w:val="left"/>
              <w:rPr>
                <w:rFonts w:ascii="华文细黑" w:hAnsi="华文细黑" w:cs="华文细黑" w:eastAsia="华文细黑" w:hint="default"/>
                <w:sz w:val="16"/>
                <w:szCs w:val="16"/>
              </w:rPr>
            </w:pPr>
            <w:r>
              <w:rPr>
                <w:rFonts w:ascii="华文细黑"/>
                <w:sz w:val="16"/>
              </w:rPr>
              <w:t>839.00</w:t>
            </w: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35" w:right="0"/>
              <w:jc w:val="left"/>
              <w:rPr>
                <w:rFonts w:ascii="华文细黑" w:hAnsi="华文细黑" w:cs="华文细黑" w:eastAsia="华文细黑" w:hint="default"/>
                <w:sz w:val="16"/>
                <w:szCs w:val="16"/>
              </w:rPr>
            </w:pPr>
            <w:r>
              <w:rPr>
                <w:rFonts w:ascii="华文细黑"/>
                <w:sz w:val="16"/>
              </w:rPr>
              <w:t>1,915,869,</w:t>
            </w:r>
          </w:p>
          <w:p>
            <w:pPr>
              <w:pStyle w:val="TableParagraph"/>
              <w:spacing w:line="240" w:lineRule="auto" w:before="64"/>
              <w:ind w:left="401" w:right="0"/>
              <w:jc w:val="left"/>
              <w:rPr>
                <w:rFonts w:ascii="华文细黑" w:hAnsi="华文细黑" w:cs="华文细黑" w:eastAsia="华文细黑" w:hint="default"/>
                <w:sz w:val="16"/>
                <w:szCs w:val="16"/>
              </w:rPr>
            </w:pPr>
            <w:r>
              <w:rPr>
                <w:rFonts w:ascii="华文细黑"/>
                <w:sz w:val="16"/>
              </w:rPr>
              <w:t>719.80</w:t>
            </w: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6" w:right="0"/>
              <w:jc w:val="center"/>
              <w:rPr>
                <w:rFonts w:ascii="华文细黑" w:hAnsi="华文细黑" w:cs="华文细黑" w:eastAsia="华文细黑" w:hint="default"/>
                <w:sz w:val="16"/>
                <w:szCs w:val="16"/>
              </w:rPr>
            </w:pPr>
            <w:r>
              <w:rPr>
                <w:rFonts w:ascii="华文细黑"/>
                <w:sz w:val="16"/>
              </w:rPr>
              <w:t>231,230,</w:t>
            </w:r>
          </w:p>
          <w:p>
            <w:pPr>
              <w:pStyle w:val="TableParagraph"/>
              <w:spacing w:line="240" w:lineRule="auto" w:before="64"/>
              <w:ind w:left="149" w:right="0"/>
              <w:jc w:val="center"/>
              <w:rPr>
                <w:rFonts w:ascii="华文细黑" w:hAnsi="华文细黑" w:cs="华文细黑" w:eastAsia="华文细黑" w:hint="default"/>
                <w:sz w:val="16"/>
                <w:szCs w:val="16"/>
              </w:rPr>
            </w:pPr>
            <w:r>
              <w:rPr>
                <w:rFonts w:ascii="华文细黑"/>
                <w:sz w:val="16"/>
              </w:rPr>
              <w:t>039.57</w:t>
            </w:r>
          </w:p>
        </w:tc>
        <w:tc>
          <w:tcPr>
            <w:tcW w:w="9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23" w:right="0"/>
              <w:jc w:val="left"/>
              <w:rPr>
                <w:rFonts w:ascii="华文细黑" w:hAnsi="华文细黑" w:cs="华文细黑" w:eastAsia="华文细黑" w:hint="default"/>
                <w:sz w:val="16"/>
                <w:szCs w:val="16"/>
              </w:rPr>
            </w:pPr>
            <w:r>
              <w:rPr>
                <w:rFonts w:ascii="华文细黑"/>
                <w:sz w:val="16"/>
              </w:rPr>
              <w:t>1,302,394,</w:t>
            </w:r>
          </w:p>
          <w:p>
            <w:pPr>
              <w:pStyle w:val="TableParagraph"/>
              <w:spacing w:line="240" w:lineRule="auto" w:before="64"/>
              <w:ind w:left="390" w:right="0"/>
              <w:jc w:val="left"/>
              <w:rPr>
                <w:rFonts w:ascii="华文细黑" w:hAnsi="华文细黑" w:cs="华文细黑" w:eastAsia="华文细黑" w:hint="default"/>
                <w:sz w:val="16"/>
                <w:szCs w:val="16"/>
              </w:rPr>
            </w:pPr>
            <w:r>
              <w:rPr>
                <w:rFonts w:ascii="华文细黑"/>
                <w:sz w:val="16"/>
              </w:rPr>
              <w:t>057.24</w:t>
            </w:r>
          </w:p>
        </w:tc>
        <w:tc>
          <w:tcPr>
            <w:tcW w:w="10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74" w:right="0"/>
              <w:jc w:val="left"/>
              <w:rPr>
                <w:rFonts w:ascii="华文细黑" w:hAnsi="华文细黑" w:cs="华文细黑" w:eastAsia="华文细黑" w:hint="default"/>
                <w:sz w:val="16"/>
                <w:szCs w:val="16"/>
              </w:rPr>
            </w:pPr>
            <w:r>
              <w:rPr>
                <w:rFonts w:ascii="华文细黑"/>
                <w:sz w:val="16"/>
              </w:rPr>
              <w:t>4,482,228,</w:t>
            </w:r>
          </w:p>
          <w:p>
            <w:pPr>
              <w:pStyle w:val="TableParagraph"/>
              <w:spacing w:line="240" w:lineRule="auto" w:before="64"/>
              <w:ind w:left="440" w:right="0"/>
              <w:jc w:val="left"/>
              <w:rPr>
                <w:rFonts w:ascii="华文细黑" w:hAnsi="华文细黑" w:cs="华文细黑" w:eastAsia="华文细黑" w:hint="default"/>
                <w:sz w:val="16"/>
                <w:szCs w:val="16"/>
              </w:rPr>
            </w:pPr>
            <w:r>
              <w:rPr>
                <w:rFonts w:ascii="华文细黑"/>
                <w:sz w:val="16"/>
              </w:rPr>
              <w:t>655.61</w:t>
            </w:r>
          </w:p>
        </w:tc>
      </w:tr>
      <w:tr>
        <w:trPr>
          <w:trHeight w:val="960"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03" w:right="101"/>
              <w:jc w:val="both"/>
              <w:rPr>
                <w:rFonts w:ascii="华文细黑" w:hAnsi="华文细黑" w:cs="华文细黑" w:eastAsia="华文细黑" w:hint="default"/>
                <w:sz w:val="18"/>
                <w:szCs w:val="18"/>
              </w:rPr>
            </w:pPr>
            <w:r>
              <w:rPr>
                <w:rFonts w:ascii="华文细黑" w:hAnsi="华文细黑" w:cs="华文细黑" w:eastAsia="华文细黑" w:hint="default"/>
                <w:spacing w:val="-5"/>
                <w:sz w:val="18"/>
                <w:szCs w:val="18"/>
              </w:rPr>
              <w:t>三、本期增减变动金</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pacing w:val="-5"/>
                <w:sz w:val="18"/>
                <w:szCs w:val="18"/>
              </w:rPr>
              <w:t>额（减少以“－”号</w:t>
            </w:r>
            <w:r>
              <w:rPr>
                <w:rFonts w:ascii="华文细黑" w:hAnsi="华文细黑" w:cs="华文细黑" w:eastAsia="华文细黑" w:hint="default"/>
                <w:spacing w:val="-41"/>
                <w:sz w:val="18"/>
                <w:szCs w:val="18"/>
              </w:rPr>
              <w:t> </w:t>
            </w:r>
            <w:r>
              <w:rPr>
                <w:rFonts w:ascii="华文细黑" w:hAnsi="华文细黑" w:cs="华文细黑" w:eastAsia="华文细黑" w:hint="default"/>
                <w:spacing w:val="-41"/>
                <w:sz w:val="18"/>
                <w:szCs w:val="18"/>
              </w:rPr>
            </w:r>
            <w:r>
              <w:rPr>
                <w:rFonts w:ascii="华文细黑" w:hAnsi="华文细黑" w:cs="华文细黑" w:eastAsia="华文细黑" w:hint="default"/>
                <w:sz w:val="18"/>
                <w:szCs w:val="18"/>
              </w:rPr>
              <w:t>填列）</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118" w:right="0"/>
              <w:jc w:val="left"/>
              <w:rPr>
                <w:rFonts w:ascii="华文细黑" w:hAnsi="华文细黑" w:cs="华文细黑" w:eastAsia="华文细黑" w:hint="default"/>
                <w:sz w:val="16"/>
                <w:szCs w:val="16"/>
              </w:rPr>
            </w:pPr>
            <w:r>
              <w:rPr>
                <w:rFonts w:ascii="华文细黑"/>
                <w:sz w:val="16"/>
              </w:rPr>
              <w:t>15,613,0</w:t>
            </w:r>
          </w:p>
          <w:p>
            <w:pPr>
              <w:pStyle w:val="TableParagraph"/>
              <w:spacing w:line="240" w:lineRule="auto" w:before="64"/>
              <w:ind w:left="341" w:right="0"/>
              <w:jc w:val="left"/>
              <w:rPr>
                <w:rFonts w:ascii="华文细黑" w:hAnsi="华文细黑" w:cs="华文细黑" w:eastAsia="华文细黑" w:hint="default"/>
                <w:sz w:val="16"/>
                <w:szCs w:val="16"/>
              </w:rPr>
            </w:pPr>
            <w:r>
              <w:rPr>
                <w:rFonts w:ascii="华文细黑"/>
                <w:sz w:val="16"/>
              </w:rPr>
              <w:t>82.63</w:t>
            </w:r>
          </w:p>
        </w:tc>
        <w:tc>
          <w:tcPr>
            <w:tcW w:w="9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115" w:right="0"/>
              <w:jc w:val="left"/>
              <w:rPr>
                <w:rFonts w:ascii="华文细黑" w:hAnsi="华文细黑" w:cs="华文细黑" w:eastAsia="华文细黑" w:hint="default"/>
                <w:sz w:val="16"/>
                <w:szCs w:val="16"/>
              </w:rPr>
            </w:pPr>
            <w:r>
              <w:rPr>
                <w:rFonts w:ascii="华文细黑"/>
                <w:sz w:val="16"/>
              </w:rPr>
              <w:t>-14,392,48</w:t>
            </w:r>
          </w:p>
          <w:p>
            <w:pPr>
              <w:pStyle w:val="TableParagraph"/>
              <w:spacing w:line="240" w:lineRule="auto" w:before="64"/>
              <w:ind w:left="566" w:right="0"/>
              <w:jc w:val="left"/>
              <w:rPr>
                <w:rFonts w:ascii="华文细黑" w:hAnsi="华文细黑" w:cs="华文细黑" w:eastAsia="华文细黑" w:hint="default"/>
                <w:sz w:val="16"/>
                <w:szCs w:val="16"/>
              </w:rPr>
            </w:pPr>
            <w:r>
              <w:rPr>
                <w:rFonts w:ascii="华文细黑"/>
                <w:sz w:val="16"/>
              </w:rPr>
              <w:t>2.19</w:t>
            </w:r>
          </w:p>
        </w:tc>
        <w:tc>
          <w:tcPr>
            <w:tcW w:w="10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华文细黑" w:hAnsi="华文细黑" w:cs="华文细黑" w:eastAsia="华文细黑" w:hint="default"/>
                <w:sz w:val="16"/>
                <w:szCs w:val="16"/>
              </w:rPr>
            </w:pPr>
            <w:r>
              <w:rPr>
                <w:rFonts w:ascii="华文细黑"/>
                <w:w w:val="95"/>
                <w:sz w:val="16"/>
              </w:rPr>
              <w:t>1,220,600.</w:t>
            </w:r>
            <w:r>
              <w:rPr>
                <w:rFonts w:ascii="华文细黑"/>
                <w:sz w:val="16"/>
              </w:rPr>
            </w:r>
          </w:p>
          <w:p>
            <w:pPr>
              <w:pStyle w:val="TableParagraph"/>
              <w:spacing w:line="240" w:lineRule="auto" w:before="64"/>
              <w:ind w:right="101"/>
              <w:jc w:val="right"/>
              <w:rPr>
                <w:rFonts w:ascii="华文细黑" w:hAnsi="华文细黑" w:cs="华文细黑" w:eastAsia="华文细黑" w:hint="default"/>
                <w:sz w:val="16"/>
                <w:szCs w:val="16"/>
              </w:rPr>
            </w:pPr>
            <w:r>
              <w:rPr>
                <w:rFonts w:ascii="华文细黑"/>
                <w:w w:val="95"/>
                <w:sz w:val="16"/>
              </w:rPr>
              <w:t>44</w:t>
            </w:r>
            <w:r>
              <w:rPr>
                <w:rFonts w:ascii="华文细黑"/>
                <w:sz w:val="16"/>
              </w:rPr>
            </w:r>
          </w:p>
        </w:tc>
      </w:tr>
      <w:tr>
        <w:trPr>
          <w:trHeight w:val="671"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pacing w:val="-5"/>
                <w:sz w:val="18"/>
                <w:szCs w:val="18"/>
              </w:rPr>
              <w:t>（一）综合收益总额</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9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68" w:right="0"/>
              <w:jc w:val="left"/>
              <w:rPr>
                <w:rFonts w:ascii="华文细黑" w:hAnsi="华文细黑" w:cs="华文细黑" w:eastAsia="华文细黑" w:hint="default"/>
                <w:sz w:val="16"/>
                <w:szCs w:val="16"/>
              </w:rPr>
            </w:pPr>
            <w:r>
              <w:rPr>
                <w:rFonts w:ascii="华文细黑"/>
                <w:sz w:val="16"/>
              </w:rPr>
              <w:t>156,130,8</w:t>
            </w:r>
          </w:p>
          <w:p>
            <w:pPr>
              <w:pStyle w:val="TableParagraph"/>
              <w:spacing w:line="240" w:lineRule="auto" w:before="64"/>
              <w:ind w:left="478" w:right="0"/>
              <w:jc w:val="left"/>
              <w:rPr>
                <w:rFonts w:ascii="华文细黑" w:hAnsi="华文细黑" w:cs="华文细黑" w:eastAsia="华文细黑" w:hint="default"/>
                <w:sz w:val="16"/>
                <w:szCs w:val="16"/>
              </w:rPr>
            </w:pPr>
            <w:r>
              <w:rPr>
                <w:rFonts w:ascii="华文细黑"/>
                <w:sz w:val="16"/>
              </w:rPr>
              <w:t>26.29</w:t>
            </w:r>
          </w:p>
        </w:tc>
        <w:tc>
          <w:tcPr>
            <w:tcW w:w="10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29" w:right="0"/>
              <w:jc w:val="left"/>
              <w:rPr>
                <w:rFonts w:ascii="华文细黑" w:hAnsi="华文细黑" w:cs="华文细黑" w:eastAsia="华文细黑" w:hint="default"/>
                <w:sz w:val="16"/>
                <w:szCs w:val="16"/>
              </w:rPr>
            </w:pPr>
            <w:r>
              <w:rPr>
                <w:rFonts w:ascii="华文细黑"/>
                <w:sz w:val="16"/>
              </w:rPr>
              <w:t>156,130,82</w:t>
            </w:r>
          </w:p>
          <w:p>
            <w:pPr>
              <w:pStyle w:val="TableParagraph"/>
              <w:spacing w:line="240" w:lineRule="auto" w:before="64"/>
              <w:ind w:left="616" w:right="0"/>
              <w:jc w:val="left"/>
              <w:rPr>
                <w:rFonts w:ascii="华文细黑" w:hAnsi="华文细黑" w:cs="华文细黑" w:eastAsia="华文细黑" w:hint="default"/>
                <w:sz w:val="16"/>
                <w:szCs w:val="16"/>
              </w:rPr>
            </w:pPr>
            <w:r>
              <w:rPr>
                <w:rFonts w:ascii="华文细黑"/>
                <w:sz w:val="16"/>
              </w:rPr>
              <w:t>6.29</w:t>
            </w:r>
          </w:p>
        </w:tc>
      </w:tr>
      <w:tr>
        <w:trPr>
          <w:trHeight w:val="670"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5"/>
                <w:sz w:val="18"/>
                <w:szCs w:val="18"/>
              </w:rPr>
              <w:t>（二）所有者投入和</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减少资本</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990" w:type="dxa"/>
            <w:tcBorders>
              <w:top w:val="single" w:sz="4" w:space="0" w:color="FFC000"/>
              <w:left w:val="single" w:sz="4" w:space="0" w:color="FFC000"/>
              <w:bottom w:val="single" w:sz="4" w:space="0" w:color="FFC000"/>
              <w:right w:val="single" w:sz="4" w:space="0" w:color="FFC000"/>
            </w:tcBorders>
          </w:tcPr>
          <w:p>
            <w:pPr/>
          </w:p>
        </w:tc>
        <w:tc>
          <w:tcPr>
            <w:tcW w:w="1040" w:type="dxa"/>
            <w:tcBorders>
              <w:top w:val="single" w:sz="4" w:space="0" w:color="FFC000"/>
              <w:left w:val="single" w:sz="4" w:space="0" w:color="FFC000"/>
              <w:bottom w:val="single" w:sz="4" w:space="0" w:color="FFC000"/>
              <w:right w:val="single" w:sz="4" w:space="0" w:color="FFC000"/>
            </w:tcBorders>
          </w:tcPr>
          <w:p>
            <w:pPr/>
          </w:p>
        </w:tc>
      </w:tr>
      <w:tr>
        <w:trPr>
          <w:trHeight w:val="670"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4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．所有者投入的普 通股</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990" w:type="dxa"/>
            <w:tcBorders>
              <w:top w:val="single" w:sz="4" w:space="0" w:color="FFC000"/>
              <w:left w:val="single" w:sz="4" w:space="0" w:color="FFC000"/>
              <w:bottom w:val="single" w:sz="4" w:space="0" w:color="FFC000"/>
              <w:right w:val="single" w:sz="4" w:space="0" w:color="FFC000"/>
            </w:tcBorders>
          </w:tcPr>
          <w:p>
            <w:pPr/>
          </w:p>
        </w:tc>
        <w:tc>
          <w:tcPr>
            <w:tcW w:w="1040" w:type="dxa"/>
            <w:tcBorders>
              <w:top w:val="single" w:sz="4" w:space="0" w:color="FFC000"/>
              <w:left w:val="single" w:sz="4" w:space="0" w:color="FFC000"/>
              <w:bottom w:val="single" w:sz="4" w:space="0" w:color="FFC000"/>
              <w:right w:val="single" w:sz="4" w:space="0" w:color="FFC000"/>
            </w:tcBorders>
          </w:tcPr>
          <w:p>
            <w:pPr/>
          </w:p>
        </w:tc>
      </w:tr>
      <w:tr>
        <w:trPr>
          <w:trHeight w:val="671"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03" w:right="14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．其他权益工具持 有者投入资本</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990" w:type="dxa"/>
            <w:tcBorders>
              <w:top w:val="single" w:sz="4" w:space="0" w:color="FFC000"/>
              <w:left w:val="single" w:sz="4" w:space="0" w:color="FFC000"/>
              <w:bottom w:val="single" w:sz="4" w:space="0" w:color="FFC000"/>
              <w:right w:val="single" w:sz="4" w:space="0" w:color="FFC000"/>
            </w:tcBorders>
          </w:tcPr>
          <w:p>
            <w:pPr/>
          </w:p>
        </w:tc>
        <w:tc>
          <w:tcPr>
            <w:tcW w:w="1040" w:type="dxa"/>
            <w:tcBorders>
              <w:top w:val="single" w:sz="4" w:space="0" w:color="FFC000"/>
              <w:left w:val="single" w:sz="4" w:space="0" w:color="FFC000"/>
              <w:bottom w:val="single" w:sz="4" w:space="0" w:color="FFC000"/>
              <w:right w:val="single" w:sz="4" w:space="0" w:color="FFC000"/>
            </w:tcBorders>
          </w:tcPr>
          <w:p>
            <w:pPr/>
          </w:p>
        </w:tc>
      </w:tr>
      <w:tr>
        <w:trPr>
          <w:trHeight w:val="670"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4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w:t>
            </w:r>
            <w:r>
              <w:rPr>
                <w:rFonts w:ascii="华文细黑" w:hAnsi="华文细黑" w:cs="华文细黑" w:eastAsia="华文细黑" w:hint="default"/>
                <w:sz w:val="18"/>
                <w:szCs w:val="18"/>
              </w:rPr>
              <w:t>．股份支付计入所 有者权益的金额</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990" w:type="dxa"/>
            <w:tcBorders>
              <w:top w:val="single" w:sz="4" w:space="0" w:color="FFC000"/>
              <w:left w:val="single" w:sz="4" w:space="0" w:color="FFC000"/>
              <w:bottom w:val="single" w:sz="4" w:space="0" w:color="FFC000"/>
              <w:right w:val="single" w:sz="4" w:space="0" w:color="FFC000"/>
            </w:tcBorders>
          </w:tcPr>
          <w:p>
            <w:pPr/>
          </w:p>
        </w:tc>
        <w:tc>
          <w:tcPr>
            <w:tcW w:w="1040"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4</w:t>
            </w:r>
            <w:r>
              <w:rPr>
                <w:rFonts w:ascii="华文细黑" w:hAnsi="华文细黑" w:cs="华文细黑" w:eastAsia="华文细黑" w:hint="default"/>
                <w:sz w:val="18"/>
                <w:szCs w:val="18"/>
              </w:rPr>
              <w:t>．其他</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990" w:type="dxa"/>
            <w:tcBorders>
              <w:top w:val="single" w:sz="4" w:space="0" w:color="FFC000"/>
              <w:left w:val="single" w:sz="4" w:space="0" w:color="FFC000"/>
              <w:bottom w:val="single" w:sz="4" w:space="0" w:color="FFC000"/>
              <w:right w:val="single" w:sz="4" w:space="0" w:color="FFC000"/>
            </w:tcBorders>
          </w:tcPr>
          <w:p>
            <w:pPr/>
          </w:p>
        </w:tc>
        <w:tc>
          <w:tcPr>
            <w:tcW w:w="1040" w:type="dxa"/>
            <w:tcBorders>
              <w:top w:val="single" w:sz="4" w:space="0" w:color="FFC000"/>
              <w:left w:val="single" w:sz="4" w:space="0" w:color="FFC000"/>
              <w:bottom w:val="single" w:sz="4" w:space="0" w:color="FFC000"/>
              <w:right w:val="single" w:sz="4" w:space="0" w:color="FFC000"/>
            </w:tcBorders>
          </w:tcPr>
          <w:p>
            <w:pPr/>
          </w:p>
        </w:tc>
      </w:tr>
      <w:tr>
        <w:trPr>
          <w:trHeight w:val="670"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
              <w:ind w:right="0"/>
              <w:jc w:val="left"/>
              <w:rPr>
                <w:rFonts w:ascii="Times New Roman" w:hAnsi="Times New Roman" w:cs="Times New Roman" w:eastAsia="Times New Roman" w:hint="default"/>
                <w:sz w:val="15"/>
                <w:szCs w:val="15"/>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（三）利润分配</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18" w:right="0"/>
              <w:jc w:val="left"/>
              <w:rPr>
                <w:rFonts w:ascii="华文细黑" w:hAnsi="华文细黑" w:cs="华文细黑" w:eastAsia="华文细黑" w:hint="default"/>
                <w:sz w:val="16"/>
                <w:szCs w:val="16"/>
              </w:rPr>
            </w:pPr>
            <w:r>
              <w:rPr>
                <w:rFonts w:ascii="华文细黑"/>
                <w:sz w:val="16"/>
              </w:rPr>
              <w:t>15,613,0</w:t>
            </w:r>
          </w:p>
          <w:p>
            <w:pPr>
              <w:pStyle w:val="TableParagraph"/>
              <w:spacing w:line="240" w:lineRule="auto" w:before="64"/>
              <w:ind w:left="341" w:right="0"/>
              <w:jc w:val="left"/>
              <w:rPr>
                <w:rFonts w:ascii="华文细黑" w:hAnsi="华文细黑" w:cs="华文细黑" w:eastAsia="华文细黑" w:hint="default"/>
                <w:sz w:val="16"/>
                <w:szCs w:val="16"/>
              </w:rPr>
            </w:pPr>
            <w:r>
              <w:rPr>
                <w:rFonts w:ascii="华文细黑"/>
                <w:sz w:val="16"/>
              </w:rPr>
              <w:t>82.63</w:t>
            </w:r>
          </w:p>
        </w:tc>
        <w:tc>
          <w:tcPr>
            <w:tcW w:w="9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15" w:right="0"/>
              <w:jc w:val="left"/>
              <w:rPr>
                <w:rFonts w:ascii="华文细黑" w:hAnsi="华文细黑" w:cs="华文细黑" w:eastAsia="华文细黑" w:hint="default"/>
                <w:sz w:val="16"/>
                <w:szCs w:val="16"/>
              </w:rPr>
            </w:pPr>
            <w:r>
              <w:rPr>
                <w:rFonts w:ascii="华文细黑"/>
                <w:sz w:val="16"/>
              </w:rPr>
              <w:t>-170,523,3</w:t>
            </w:r>
          </w:p>
          <w:p>
            <w:pPr>
              <w:pStyle w:val="TableParagraph"/>
              <w:spacing w:line="240" w:lineRule="auto" w:before="64"/>
              <w:ind w:left="478" w:right="0"/>
              <w:jc w:val="left"/>
              <w:rPr>
                <w:rFonts w:ascii="华文细黑" w:hAnsi="华文细黑" w:cs="华文细黑" w:eastAsia="华文细黑" w:hint="default"/>
                <w:sz w:val="16"/>
                <w:szCs w:val="16"/>
              </w:rPr>
            </w:pPr>
            <w:r>
              <w:rPr>
                <w:rFonts w:ascii="华文细黑"/>
                <w:sz w:val="16"/>
              </w:rPr>
              <w:t>08.48</w:t>
            </w:r>
          </w:p>
        </w:tc>
        <w:tc>
          <w:tcPr>
            <w:tcW w:w="10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65" w:right="0"/>
              <w:jc w:val="left"/>
              <w:rPr>
                <w:rFonts w:ascii="华文细黑" w:hAnsi="华文细黑" w:cs="华文细黑" w:eastAsia="华文细黑" w:hint="default"/>
                <w:sz w:val="16"/>
                <w:szCs w:val="16"/>
              </w:rPr>
            </w:pPr>
            <w:r>
              <w:rPr>
                <w:rFonts w:ascii="华文细黑"/>
                <w:sz w:val="16"/>
              </w:rPr>
              <w:t>-154,910,2</w:t>
            </w:r>
          </w:p>
          <w:p>
            <w:pPr>
              <w:pStyle w:val="TableParagraph"/>
              <w:spacing w:line="240" w:lineRule="auto" w:before="64"/>
              <w:ind w:left="529" w:right="0"/>
              <w:jc w:val="left"/>
              <w:rPr>
                <w:rFonts w:ascii="华文细黑" w:hAnsi="华文细黑" w:cs="华文细黑" w:eastAsia="华文细黑" w:hint="default"/>
                <w:sz w:val="16"/>
                <w:szCs w:val="16"/>
              </w:rPr>
            </w:pPr>
            <w:r>
              <w:rPr>
                <w:rFonts w:ascii="华文细黑"/>
                <w:sz w:val="16"/>
              </w:rPr>
              <w:t>25.85</w:t>
            </w:r>
          </w:p>
        </w:tc>
      </w:tr>
      <w:tr>
        <w:trPr>
          <w:trHeight w:val="670"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
              <w:ind w:right="0"/>
              <w:jc w:val="left"/>
              <w:rPr>
                <w:rFonts w:ascii="Times New Roman" w:hAnsi="Times New Roman" w:cs="Times New Roman" w:eastAsia="Times New Roman" w:hint="default"/>
                <w:sz w:val="15"/>
                <w:szCs w:val="15"/>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．提取盈余公积</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18" w:right="0"/>
              <w:jc w:val="left"/>
              <w:rPr>
                <w:rFonts w:ascii="华文细黑" w:hAnsi="华文细黑" w:cs="华文细黑" w:eastAsia="华文细黑" w:hint="default"/>
                <w:sz w:val="16"/>
                <w:szCs w:val="16"/>
              </w:rPr>
            </w:pPr>
            <w:r>
              <w:rPr>
                <w:rFonts w:ascii="华文细黑"/>
                <w:sz w:val="16"/>
              </w:rPr>
              <w:t>15,613,0</w:t>
            </w:r>
          </w:p>
          <w:p>
            <w:pPr>
              <w:pStyle w:val="TableParagraph"/>
              <w:spacing w:line="240" w:lineRule="auto" w:before="64"/>
              <w:ind w:left="341" w:right="0"/>
              <w:jc w:val="left"/>
              <w:rPr>
                <w:rFonts w:ascii="华文细黑" w:hAnsi="华文细黑" w:cs="华文细黑" w:eastAsia="华文细黑" w:hint="default"/>
                <w:sz w:val="16"/>
                <w:szCs w:val="16"/>
              </w:rPr>
            </w:pPr>
            <w:r>
              <w:rPr>
                <w:rFonts w:ascii="华文细黑"/>
                <w:sz w:val="16"/>
              </w:rPr>
              <w:t>82.63</w:t>
            </w:r>
          </w:p>
        </w:tc>
        <w:tc>
          <w:tcPr>
            <w:tcW w:w="9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15" w:right="0"/>
              <w:jc w:val="left"/>
              <w:rPr>
                <w:rFonts w:ascii="华文细黑" w:hAnsi="华文细黑" w:cs="华文细黑" w:eastAsia="华文细黑" w:hint="default"/>
                <w:sz w:val="16"/>
                <w:szCs w:val="16"/>
              </w:rPr>
            </w:pPr>
            <w:r>
              <w:rPr>
                <w:rFonts w:ascii="华文细黑"/>
                <w:sz w:val="16"/>
              </w:rPr>
              <w:t>-15,613,08</w:t>
            </w:r>
          </w:p>
          <w:p>
            <w:pPr>
              <w:pStyle w:val="TableParagraph"/>
              <w:spacing w:line="240" w:lineRule="auto" w:before="64"/>
              <w:ind w:left="566" w:right="0"/>
              <w:jc w:val="left"/>
              <w:rPr>
                <w:rFonts w:ascii="华文细黑" w:hAnsi="华文细黑" w:cs="华文细黑" w:eastAsia="华文细黑" w:hint="default"/>
                <w:sz w:val="16"/>
                <w:szCs w:val="16"/>
              </w:rPr>
            </w:pPr>
            <w:r>
              <w:rPr>
                <w:rFonts w:ascii="华文细黑"/>
                <w:sz w:val="16"/>
              </w:rPr>
              <w:t>2.63</w:t>
            </w:r>
          </w:p>
        </w:tc>
        <w:tc>
          <w:tcPr>
            <w:tcW w:w="1040" w:type="dxa"/>
            <w:tcBorders>
              <w:top w:val="single" w:sz="4" w:space="0" w:color="FFC000"/>
              <w:left w:val="single" w:sz="4" w:space="0" w:color="FFC000"/>
              <w:bottom w:val="single" w:sz="4" w:space="0" w:color="FFC000"/>
              <w:right w:val="single" w:sz="4" w:space="0" w:color="FFC000"/>
            </w:tcBorders>
          </w:tcPr>
          <w:p>
            <w:pPr/>
          </w:p>
        </w:tc>
      </w:tr>
      <w:tr>
        <w:trPr>
          <w:trHeight w:val="671"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03" w:right="14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．对所有者（或股 东）的分配</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9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15" w:right="0"/>
              <w:jc w:val="left"/>
              <w:rPr>
                <w:rFonts w:ascii="华文细黑" w:hAnsi="华文细黑" w:cs="华文细黑" w:eastAsia="华文细黑" w:hint="default"/>
                <w:sz w:val="16"/>
                <w:szCs w:val="16"/>
              </w:rPr>
            </w:pPr>
            <w:r>
              <w:rPr>
                <w:rFonts w:ascii="华文细黑"/>
                <w:sz w:val="16"/>
              </w:rPr>
              <w:t>-154,910,2</w:t>
            </w:r>
          </w:p>
          <w:p>
            <w:pPr>
              <w:pStyle w:val="TableParagraph"/>
              <w:spacing w:line="240" w:lineRule="auto" w:before="65"/>
              <w:ind w:left="478" w:right="0"/>
              <w:jc w:val="left"/>
              <w:rPr>
                <w:rFonts w:ascii="华文细黑" w:hAnsi="华文细黑" w:cs="华文细黑" w:eastAsia="华文细黑" w:hint="default"/>
                <w:sz w:val="16"/>
                <w:szCs w:val="16"/>
              </w:rPr>
            </w:pPr>
            <w:r>
              <w:rPr>
                <w:rFonts w:ascii="华文细黑"/>
                <w:sz w:val="16"/>
              </w:rPr>
              <w:t>25.85</w:t>
            </w:r>
          </w:p>
        </w:tc>
        <w:tc>
          <w:tcPr>
            <w:tcW w:w="10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65" w:right="0"/>
              <w:jc w:val="left"/>
              <w:rPr>
                <w:rFonts w:ascii="华文细黑" w:hAnsi="华文细黑" w:cs="华文细黑" w:eastAsia="华文细黑" w:hint="default"/>
                <w:sz w:val="16"/>
                <w:szCs w:val="16"/>
              </w:rPr>
            </w:pPr>
            <w:r>
              <w:rPr>
                <w:rFonts w:ascii="华文细黑"/>
                <w:sz w:val="16"/>
              </w:rPr>
              <w:t>-154,910,2</w:t>
            </w:r>
          </w:p>
          <w:p>
            <w:pPr>
              <w:pStyle w:val="TableParagraph"/>
              <w:spacing w:line="240" w:lineRule="auto" w:before="65"/>
              <w:ind w:left="529" w:right="0"/>
              <w:jc w:val="left"/>
              <w:rPr>
                <w:rFonts w:ascii="华文细黑" w:hAnsi="华文细黑" w:cs="华文细黑" w:eastAsia="华文细黑" w:hint="default"/>
                <w:sz w:val="16"/>
                <w:szCs w:val="16"/>
              </w:rPr>
            </w:pPr>
            <w:r>
              <w:rPr>
                <w:rFonts w:ascii="华文细黑"/>
                <w:sz w:val="16"/>
              </w:rPr>
              <w:t>25.85</w:t>
            </w:r>
          </w:p>
        </w:tc>
      </w:tr>
      <w:tr>
        <w:trPr>
          <w:trHeight w:val="379"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w:t>
            </w:r>
            <w:r>
              <w:rPr>
                <w:rFonts w:ascii="华文细黑" w:hAnsi="华文细黑" w:cs="华文细黑" w:eastAsia="华文细黑" w:hint="default"/>
                <w:sz w:val="18"/>
                <w:szCs w:val="18"/>
              </w:rPr>
              <w:t>．其他</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990" w:type="dxa"/>
            <w:tcBorders>
              <w:top w:val="single" w:sz="4" w:space="0" w:color="FFC000"/>
              <w:left w:val="single" w:sz="4" w:space="0" w:color="FFC000"/>
              <w:bottom w:val="single" w:sz="4" w:space="0" w:color="FFC000"/>
              <w:right w:val="single" w:sz="4" w:space="0" w:color="FFC000"/>
            </w:tcBorders>
          </w:tcPr>
          <w:p>
            <w:pPr/>
          </w:p>
        </w:tc>
        <w:tc>
          <w:tcPr>
            <w:tcW w:w="1040" w:type="dxa"/>
            <w:tcBorders>
              <w:top w:val="single" w:sz="4" w:space="0" w:color="FFC000"/>
              <w:left w:val="single" w:sz="4" w:space="0" w:color="FFC000"/>
              <w:bottom w:val="single" w:sz="4" w:space="0" w:color="FFC000"/>
              <w:right w:val="single" w:sz="4" w:space="0" w:color="FFC000"/>
            </w:tcBorders>
          </w:tcPr>
          <w:p>
            <w:pPr/>
          </w:p>
        </w:tc>
      </w:tr>
      <w:tr>
        <w:trPr>
          <w:trHeight w:val="671"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5"/>
                <w:sz w:val="18"/>
                <w:szCs w:val="18"/>
              </w:rPr>
              <w:t>（四）所有者权益内</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部结转</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990" w:type="dxa"/>
            <w:tcBorders>
              <w:top w:val="single" w:sz="4" w:space="0" w:color="FFC000"/>
              <w:left w:val="single" w:sz="4" w:space="0" w:color="FFC000"/>
              <w:bottom w:val="single" w:sz="4" w:space="0" w:color="FFC000"/>
              <w:right w:val="single" w:sz="4" w:space="0" w:color="FFC000"/>
            </w:tcBorders>
          </w:tcPr>
          <w:p>
            <w:pPr/>
          </w:p>
        </w:tc>
        <w:tc>
          <w:tcPr>
            <w:tcW w:w="1040" w:type="dxa"/>
            <w:tcBorders>
              <w:top w:val="single" w:sz="4" w:space="0" w:color="FFC000"/>
              <w:left w:val="single" w:sz="4" w:space="0" w:color="FFC000"/>
              <w:bottom w:val="single" w:sz="4" w:space="0" w:color="FFC000"/>
              <w:right w:val="single" w:sz="4" w:space="0" w:color="FFC000"/>
            </w:tcBorders>
          </w:tcPr>
          <w:p>
            <w:pPr/>
          </w:p>
        </w:tc>
      </w:tr>
      <w:tr>
        <w:trPr>
          <w:trHeight w:val="670"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4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．资本公积转增资 本（或股本）</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990" w:type="dxa"/>
            <w:tcBorders>
              <w:top w:val="single" w:sz="4" w:space="0" w:color="FFC000"/>
              <w:left w:val="single" w:sz="4" w:space="0" w:color="FFC000"/>
              <w:bottom w:val="single" w:sz="4" w:space="0" w:color="FFC000"/>
              <w:right w:val="single" w:sz="4" w:space="0" w:color="FFC000"/>
            </w:tcBorders>
          </w:tcPr>
          <w:p>
            <w:pPr/>
          </w:p>
        </w:tc>
        <w:tc>
          <w:tcPr>
            <w:tcW w:w="1040" w:type="dxa"/>
            <w:tcBorders>
              <w:top w:val="single" w:sz="4" w:space="0" w:color="FFC000"/>
              <w:left w:val="single" w:sz="4" w:space="0" w:color="FFC000"/>
              <w:bottom w:val="single" w:sz="4" w:space="0" w:color="FFC000"/>
              <w:right w:val="single" w:sz="4" w:space="0" w:color="FFC000"/>
            </w:tcBorders>
          </w:tcPr>
          <w:p>
            <w:pPr/>
          </w:p>
        </w:tc>
      </w:tr>
      <w:tr>
        <w:trPr>
          <w:trHeight w:val="670"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4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．盈余公积转增资 本（或股本）</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990" w:type="dxa"/>
            <w:tcBorders>
              <w:top w:val="single" w:sz="4" w:space="0" w:color="FFC000"/>
              <w:left w:val="single" w:sz="4" w:space="0" w:color="FFC000"/>
              <w:bottom w:val="single" w:sz="4" w:space="0" w:color="FFC000"/>
              <w:right w:val="single" w:sz="4" w:space="0" w:color="FFC000"/>
            </w:tcBorders>
          </w:tcPr>
          <w:p>
            <w:pPr/>
          </w:p>
        </w:tc>
        <w:tc>
          <w:tcPr>
            <w:tcW w:w="1040" w:type="dxa"/>
            <w:tcBorders>
              <w:top w:val="single" w:sz="4" w:space="0" w:color="FFC000"/>
              <w:left w:val="single" w:sz="4" w:space="0" w:color="FFC000"/>
              <w:bottom w:val="single" w:sz="4" w:space="0" w:color="FFC000"/>
              <w:right w:val="single" w:sz="4" w:space="0" w:color="FFC000"/>
            </w:tcBorders>
          </w:tcPr>
          <w:p>
            <w:pPr/>
          </w:p>
        </w:tc>
      </w:tr>
      <w:tr>
        <w:trPr>
          <w:trHeight w:val="671"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03" w:right="14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w:t>
            </w:r>
            <w:r>
              <w:rPr>
                <w:rFonts w:ascii="华文细黑" w:hAnsi="华文细黑" w:cs="华文细黑" w:eastAsia="华文细黑" w:hint="default"/>
                <w:sz w:val="18"/>
                <w:szCs w:val="18"/>
              </w:rPr>
              <w:t>．盈余公积弥补亏 损</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990" w:type="dxa"/>
            <w:tcBorders>
              <w:top w:val="single" w:sz="4" w:space="0" w:color="FFC000"/>
              <w:left w:val="single" w:sz="4" w:space="0" w:color="FFC000"/>
              <w:bottom w:val="single" w:sz="4" w:space="0" w:color="FFC000"/>
              <w:right w:val="single" w:sz="4" w:space="0" w:color="FFC000"/>
            </w:tcBorders>
          </w:tcPr>
          <w:p>
            <w:pPr/>
          </w:p>
        </w:tc>
        <w:tc>
          <w:tcPr>
            <w:tcW w:w="1040" w:type="dxa"/>
            <w:tcBorders>
              <w:top w:val="single" w:sz="4" w:space="0" w:color="FFC000"/>
              <w:left w:val="single" w:sz="4" w:space="0" w:color="FFC000"/>
              <w:bottom w:val="single" w:sz="4" w:space="0" w:color="FFC000"/>
              <w:right w:val="single" w:sz="4" w:space="0" w:color="FFC000"/>
            </w:tcBorders>
          </w:tcPr>
          <w:p>
            <w:pPr/>
          </w:p>
        </w:tc>
      </w:tr>
      <w:tr>
        <w:trPr>
          <w:trHeight w:val="670"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4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4</w:t>
            </w:r>
            <w:r>
              <w:rPr>
                <w:rFonts w:ascii="华文细黑" w:hAnsi="华文细黑" w:cs="华文细黑" w:eastAsia="华文细黑" w:hint="default"/>
                <w:sz w:val="18"/>
                <w:szCs w:val="18"/>
              </w:rPr>
              <w:t>．设定受益计划变 动额结转留存收益</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990" w:type="dxa"/>
            <w:tcBorders>
              <w:top w:val="single" w:sz="4" w:space="0" w:color="FFC000"/>
              <w:left w:val="single" w:sz="4" w:space="0" w:color="FFC000"/>
              <w:bottom w:val="single" w:sz="4" w:space="0" w:color="FFC000"/>
              <w:right w:val="single" w:sz="4" w:space="0" w:color="FFC000"/>
            </w:tcBorders>
          </w:tcPr>
          <w:p>
            <w:pPr/>
          </w:p>
        </w:tc>
        <w:tc>
          <w:tcPr>
            <w:tcW w:w="1040"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5</w:t>
            </w:r>
            <w:r>
              <w:rPr>
                <w:rFonts w:ascii="华文细黑" w:hAnsi="华文细黑" w:cs="华文细黑" w:eastAsia="华文细黑" w:hint="default"/>
                <w:sz w:val="18"/>
                <w:szCs w:val="18"/>
              </w:rPr>
              <w:t>．其他</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990" w:type="dxa"/>
            <w:tcBorders>
              <w:top w:val="single" w:sz="4" w:space="0" w:color="FFC000"/>
              <w:left w:val="single" w:sz="4" w:space="0" w:color="FFC000"/>
              <w:bottom w:val="single" w:sz="4" w:space="0" w:color="FFC000"/>
              <w:right w:val="single" w:sz="4" w:space="0" w:color="FFC000"/>
            </w:tcBorders>
          </w:tcPr>
          <w:p>
            <w:pPr/>
          </w:p>
        </w:tc>
        <w:tc>
          <w:tcPr>
            <w:tcW w:w="1040" w:type="dxa"/>
            <w:tcBorders>
              <w:top w:val="single" w:sz="4" w:space="0" w:color="FFC000"/>
              <w:left w:val="single" w:sz="4" w:space="0" w:color="FFC000"/>
              <w:bottom w:val="single" w:sz="4" w:space="0" w:color="FFC000"/>
              <w:right w:val="single" w:sz="4" w:space="0" w:color="FFC000"/>
            </w:tcBorders>
          </w:tcPr>
          <w:p>
            <w:pPr/>
          </w:p>
        </w:tc>
      </w:tr>
      <w:tr>
        <w:trPr>
          <w:trHeight w:val="379"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（五）专项储备</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990" w:type="dxa"/>
            <w:tcBorders>
              <w:top w:val="single" w:sz="4" w:space="0" w:color="FFC000"/>
              <w:left w:val="single" w:sz="4" w:space="0" w:color="FFC000"/>
              <w:bottom w:val="single" w:sz="4" w:space="0" w:color="FFC000"/>
              <w:right w:val="single" w:sz="4" w:space="0" w:color="FFC000"/>
            </w:tcBorders>
          </w:tcPr>
          <w:p>
            <w:pPr/>
          </w:p>
        </w:tc>
        <w:tc>
          <w:tcPr>
            <w:tcW w:w="1040" w:type="dxa"/>
            <w:tcBorders>
              <w:top w:val="single" w:sz="4" w:space="0" w:color="FFC000"/>
              <w:left w:val="single" w:sz="4" w:space="0" w:color="FFC000"/>
              <w:bottom w:val="single" w:sz="4" w:space="0" w:color="FFC000"/>
              <w:right w:val="single" w:sz="4" w:space="0" w:color="FFC000"/>
            </w:tcBorders>
          </w:tcPr>
          <w:p>
            <w:pPr/>
          </w:p>
        </w:tc>
      </w:tr>
      <w:tr>
        <w:trPr>
          <w:trHeight w:val="380"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0"/>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．本期提取</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990" w:type="dxa"/>
            <w:tcBorders>
              <w:top w:val="single" w:sz="4" w:space="0" w:color="FFC000"/>
              <w:left w:val="single" w:sz="4" w:space="0" w:color="FFC000"/>
              <w:bottom w:val="single" w:sz="4" w:space="0" w:color="FFC000"/>
              <w:right w:val="single" w:sz="4" w:space="0" w:color="FFC000"/>
            </w:tcBorders>
          </w:tcPr>
          <w:p>
            <w:pPr/>
          </w:p>
        </w:tc>
        <w:tc>
          <w:tcPr>
            <w:tcW w:w="1040" w:type="dxa"/>
            <w:tcBorders>
              <w:top w:val="single" w:sz="4" w:space="0" w:color="FFC000"/>
              <w:left w:val="single" w:sz="4" w:space="0" w:color="FFC000"/>
              <w:bottom w:val="single" w:sz="4" w:space="0" w:color="FFC000"/>
              <w:right w:val="single" w:sz="4" w:space="0" w:color="FFC000"/>
            </w:tcBorders>
          </w:tcPr>
          <w:p>
            <w:pPr/>
          </w:p>
        </w:tc>
      </w:tr>
      <w:tr>
        <w:trPr>
          <w:trHeight w:val="381"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．本期使用</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990" w:type="dxa"/>
            <w:tcBorders>
              <w:top w:val="single" w:sz="4" w:space="0" w:color="FFC000"/>
              <w:left w:val="single" w:sz="4" w:space="0" w:color="FFC000"/>
              <w:bottom w:val="single" w:sz="4" w:space="0" w:color="FFC000"/>
              <w:right w:val="single" w:sz="4" w:space="0" w:color="FFC000"/>
            </w:tcBorders>
          </w:tcPr>
          <w:p>
            <w:pPr/>
          </w:p>
        </w:tc>
        <w:tc>
          <w:tcPr>
            <w:tcW w:w="1040" w:type="dxa"/>
            <w:tcBorders>
              <w:top w:val="single" w:sz="4" w:space="0" w:color="FFC000"/>
              <w:left w:val="single" w:sz="4" w:space="0" w:color="FFC000"/>
              <w:bottom w:val="single" w:sz="4" w:space="0" w:color="FFC000"/>
              <w:right w:val="single" w:sz="4" w:space="0" w:color="FFC000"/>
            </w:tcBorders>
          </w:tcPr>
          <w:p>
            <w:pPr/>
          </w:p>
        </w:tc>
      </w:tr>
      <w:tr>
        <w:trPr>
          <w:trHeight w:val="379"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（六）其他</w:t>
            </w:r>
          </w:p>
        </w:tc>
        <w:tc>
          <w:tcPr>
            <w:tcW w:w="990" w:type="dxa"/>
            <w:tcBorders>
              <w:top w:val="single" w:sz="4" w:space="0" w:color="FFC000"/>
              <w:left w:val="single" w:sz="4" w:space="0" w:color="FFC000"/>
              <w:bottom w:val="single" w:sz="4" w:space="0" w:color="FFC000"/>
              <w:right w:val="single" w:sz="4" w:space="0" w:color="FFC000"/>
            </w:tcBorders>
          </w:tcPr>
          <w:p>
            <w:pP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
        </w:tc>
        <w:tc>
          <w:tcPr>
            <w:tcW w:w="990" w:type="dxa"/>
            <w:tcBorders>
              <w:top w:val="single" w:sz="4" w:space="0" w:color="FFC000"/>
              <w:left w:val="single" w:sz="4" w:space="0" w:color="FFC000"/>
              <w:bottom w:val="single" w:sz="4" w:space="0" w:color="FFC000"/>
              <w:right w:val="single" w:sz="4" w:space="0" w:color="FFC000"/>
            </w:tcBorders>
          </w:tcPr>
          <w:p>
            <w:pPr/>
          </w:p>
        </w:tc>
        <w:tc>
          <w:tcPr>
            <w:tcW w:w="1040" w:type="dxa"/>
            <w:tcBorders>
              <w:top w:val="single" w:sz="4" w:space="0" w:color="FFC000"/>
              <w:left w:val="single" w:sz="4" w:space="0" w:color="FFC000"/>
              <w:bottom w:val="single" w:sz="4" w:space="0" w:color="FFC000"/>
              <w:right w:val="single" w:sz="4" w:space="0" w:color="FFC000"/>
            </w:tcBorders>
          </w:tcPr>
          <w:p>
            <w:pPr/>
          </w:p>
        </w:tc>
      </w:tr>
      <w:tr>
        <w:trPr>
          <w:trHeight w:val="671" w:hRule="exact"/>
        </w:trPr>
        <w:tc>
          <w:tcPr>
            <w:tcW w:w="17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四、本期期末余额</w:t>
            </w:r>
          </w:p>
        </w:tc>
        <w:tc>
          <w:tcPr>
            <w:tcW w:w="9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23" w:right="0"/>
              <w:jc w:val="left"/>
              <w:rPr>
                <w:rFonts w:ascii="华文细黑" w:hAnsi="华文细黑" w:cs="华文细黑" w:eastAsia="华文细黑" w:hint="default"/>
                <w:sz w:val="16"/>
                <w:szCs w:val="16"/>
              </w:rPr>
            </w:pPr>
            <w:r>
              <w:rPr>
                <w:rFonts w:ascii="华文细黑"/>
                <w:sz w:val="16"/>
              </w:rPr>
              <w:t>1,032,734,</w:t>
            </w:r>
          </w:p>
          <w:p>
            <w:pPr>
              <w:pStyle w:val="TableParagraph"/>
              <w:spacing w:line="240" w:lineRule="auto" w:before="64"/>
              <w:ind w:left="390" w:right="0"/>
              <w:jc w:val="left"/>
              <w:rPr>
                <w:rFonts w:ascii="华文细黑" w:hAnsi="华文细黑" w:cs="华文细黑" w:eastAsia="华文细黑" w:hint="default"/>
                <w:sz w:val="16"/>
                <w:szCs w:val="16"/>
              </w:rPr>
            </w:pPr>
            <w:r>
              <w:rPr>
                <w:rFonts w:ascii="华文细黑"/>
                <w:sz w:val="16"/>
              </w:rPr>
              <w:t>839.00</w:t>
            </w:r>
          </w:p>
        </w:tc>
        <w:tc>
          <w:tcPr>
            <w:tcW w:w="425" w:type="dxa"/>
            <w:tcBorders>
              <w:top w:val="single" w:sz="4" w:space="0" w:color="FFC000"/>
              <w:left w:val="single" w:sz="4" w:space="0" w:color="FFC000"/>
              <w:bottom w:val="single" w:sz="4" w:space="0" w:color="FFC000"/>
              <w:right w:val="single" w:sz="4" w:space="0" w:color="FFC000"/>
            </w:tcBorders>
          </w:tcPr>
          <w:p>
            <w:pPr/>
          </w:p>
        </w:tc>
        <w:tc>
          <w:tcPr>
            <w:tcW w:w="431" w:type="dxa"/>
            <w:tcBorders>
              <w:top w:val="single" w:sz="4" w:space="0" w:color="FFC000"/>
              <w:left w:val="single" w:sz="4" w:space="0" w:color="FFC000"/>
              <w:bottom w:val="single" w:sz="4" w:space="0" w:color="FFC000"/>
              <w:right w:val="single" w:sz="4" w:space="0" w:color="FFC000"/>
            </w:tcBorders>
          </w:tcPr>
          <w:p>
            <w:pPr/>
          </w:p>
        </w:tc>
        <w:tc>
          <w:tcPr>
            <w:tcW w:w="279" w:type="dxa"/>
            <w:tcBorders>
              <w:top w:val="single" w:sz="4" w:space="0" w:color="FFC000"/>
              <w:left w:val="single" w:sz="4" w:space="0" w:color="FFC000"/>
              <w:bottom w:val="single" w:sz="4" w:space="0" w:color="FFC000"/>
              <w:right w:val="single" w:sz="4" w:space="0" w:color="FFC000"/>
            </w:tcBorders>
          </w:tcPr>
          <w:p>
            <w:pPr/>
          </w:p>
        </w:tc>
        <w:tc>
          <w:tcPr>
            <w:tcW w:w="10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35" w:right="0"/>
              <w:jc w:val="left"/>
              <w:rPr>
                <w:rFonts w:ascii="华文细黑" w:hAnsi="华文细黑" w:cs="华文细黑" w:eastAsia="华文细黑" w:hint="default"/>
                <w:sz w:val="16"/>
                <w:szCs w:val="16"/>
              </w:rPr>
            </w:pPr>
            <w:r>
              <w:rPr>
                <w:rFonts w:ascii="华文细黑"/>
                <w:sz w:val="16"/>
              </w:rPr>
              <w:t>1,915,869,</w:t>
            </w:r>
          </w:p>
          <w:p>
            <w:pPr>
              <w:pStyle w:val="TableParagraph"/>
              <w:spacing w:line="240" w:lineRule="auto" w:before="64"/>
              <w:ind w:left="401" w:right="0"/>
              <w:jc w:val="left"/>
              <w:rPr>
                <w:rFonts w:ascii="华文细黑" w:hAnsi="华文细黑" w:cs="华文细黑" w:eastAsia="华文细黑" w:hint="default"/>
                <w:sz w:val="16"/>
                <w:szCs w:val="16"/>
              </w:rPr>
            </w:pPr>
            <w:r>
              <w:rPr>
                <w:rFonts w:ascii="华文细黑"/>
                <w:sz w:val="16"/>
              </w:rPr>
              <w:t>719.80</w:t>
            </w:r>
          </w:p>
        </w:tc>
        <w:tc>
          <w:tcPr>
            <w:tcW w:w="559" w:type="dxa"/>
            <w:tcBorders>
              <w:top w:val="single" w:sz="4" w:space="0" w:color="FFC000"/>
              <w:left w:val="single" w:sz="4" w:space="0" w:color="FFC000"/>
              <w:bottom w:val="single" w:sz="4" w:space="0" w:color="FFC000"/>
              <w:right w:val="single" w:sz="4" w:space="0" w:color="FFC000"/>
            </w:tcBorders>
          </w:tcPr>
          <w:p>
            <w:pPr/>
          </w:p>
        </w:tc>
        <w:tc>
          <w:tcPr>
            <w:tcW w:w="713" w:type="dxa"/>
            <w:tcBorders>
              <w:top w:val="single" w:sz="4" w:space="0" w:color="FFC000"/>
              <w:left w:val="single" w:sz="4" w:space="0" w:color="FFC000"/>
              <w:bottom w:val="single" w:sz="4" w:space="0" w:color="FFC000"/>
              <w:right w:val="single" w:sz="4" w:space="0" w:color="FFC000"/>
            </w:tcBorders>
          </w:tcPr>
          <w:p>
            <w:pPr/>
          </w:p>
        </w:tc>
        <w:tc>
          <w:tcPr>
            <w:tcW w:w="426" w:type="dxa"/>
            <w:tcBorders>
              <w:top w:val="single" w:sz="4" w:space="0" w:color="FFC000"/>
              <w:left w:val="single" w:sz="4" w:space="0" w:color="FFC000"/>
              <w:bottom w:val="single" w:sz="4" w:space="0" w:color="FFC000"/>
              <w:right w:val="single" w:sz="4" w:space="0" w:color="FFC000"/>
            </w:tcBorders>
          </w:tcPr>
          <w:p>
            <w:pPr/>
          </w:p>
        </w:tc>
        <w:tc>
          <w:tcPr>
            <w:tcW w:w="85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6" w:right="0"/>
              <w:jc w:val="center"/>
              <w:rPr>
                <w:rFonts w:ascii="华文细黑" w:hAnsi="华文细黑" w:cs="华文细黑" w:eastAsia="华文细黑" w:hint="default"/>
                <w:sz w:val="16"/>
                <w:szCs w:val="16"/>
              </w:rPr>
            </w:pPr>
            <w:r>
              <w:rPr>
                <w:rFonts w:ascii="华文细黑"/>
                <w:sz w:val="16"/>
              </w:rPr>
              <w:t>246,843,</w:t>
            </w:r>
          </w:p>
          <w:p>
            <w:pPr>
              <w:pStyle w:val="TableParagraph"/>
              <w:spacing w:line="240" w:lineRule="auto" w:before="64"/>
              <w:ind w:left="149" w:right="0"/>
              <w:jc w:val="center"/>
              <w:rPr>
                <w:rFonts w:ascii="华文细黑" w:hAnsi="华文细黑" w:cs="华文细黑" w:eastAsia="华文细黑" w:hint="default"/>
                <w:sz w:val="16"/>
                <w:szCs w:val="16"/>
              </w:rPr>
            </w:pPr>
            <w:r>
              <w:rPr>
                <w:rFonts w:ascii="华文细黑"/>
                <w:sz w:val="16"/>
              </w:rPr>
              <w:t>122.20</w:t>
            </w:r>
          </w:p>
        </w:tc>
        <w:tc>
          <w:tcPr>
            <w:tcW w:w="9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23" w:right="0"/>
              <w:jc w:val="left"/>
              <w:rPr>
                <w:rFonts w:ascii="华文细黑" w:hAnsi="华文细黑" w:cs="华文细黑" w:eastAsia="华文细黑" w:hint="default"/>
                <w:sz w:val="16"/>
                <w:szCs w:val="16"/>
              </w:rPr>
            </w:pPr>
            <w:r>
              <w:rPr>
                <w:rFonts w:ascii="华文细黑"/>
                <w:sz w:val="16"/>
              </w:rPr>
              <w:t>1,288,001,</w:t>
            </w:r>
          </w:p>
          <w:p>
            <w:pPr>
              <w:pStyle w:val="TableParagraph"/>
              <w:spacing w:line="240" w:lineRule="auto" w:before="64"/>
              <w:ind w:left="390" w:right="0"/>
              <w:jc w:val="left"/>
              <w:rPr>
                <w:rFonts w:ascii="华文细黑" w:hAnsi="华文细黑" w:cs="华文细黑" w:eastAsia="华文细黑" w:hint="default"/>
                <w:sz w:val="16"/>
                <w:szCs w:val="16"/>
              </w:rPr>
            </w:pPr>
            <w:r>
              <w:rPr>
                <w:rFonts w:ascii="华文细黑"/>
                <w:sz w:val="16"/>
              </w:rPr>
              <w:t>575.05</w:t>
            </w:r>
          </w:p>
        </w:tc>
        <w:tc>
          <w:tcPr>
            <w:tcW w:w="10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74" w:right="0"/>
              <w:jc w:val="left"/>
              <w:rPr>
                <w:rFonts w:ascii="华文细黑" w:hAnsi="华文细黑" w:cs="华文细黑" w:eastAsia="华文细黑" w:hint="default"/>
                <w:sz w:val="16"/>
                <w:szCs w:val="16"/>
              </w:rPr>
            </w:pPr>
            <w:r>
              <w:rPr>
                <w:rFonts w:ascii="华文细黑"/>
                <w:sz w:val="16"/>
              </w:rPr>
              <w:t>4,483,449,</w:t>
            </w:r>
          </w:p>
          <w:p>
            <w:pPr>
              <w:pStyle w:val="TableParagraph"/>
              <w:spacing w:line="240" w:lineRule="auto" w:before="64"/>
              <w:ind w:left="440" w:right="0"/>
              <w:jc w:val="left"/>
              <w:rPr>
                <w:rFonts w:ascii="华文细黑" w:hAnsi="华文细黑" w:cs="华文细黑" w:eastAsia="华文细黑" w:hint="default"/>
                <w:sz w:val="16"/>
                <w:szCs w:val="16"/>
              </w:rPr>
            </w:pPr>
            <w:r>
              <w:rPr>
                <w:rFonts w:ascii="华文细黑"/>
                <w:sz w:val="16"/>
              </w:rPr>
              <w:t>256.05</w:t>
            </w:r>
          </w:p>
        </w:tc>
      </w:tr>
    </w:tbl>
    <w:p>
      <w:pPr>
        <w:spacing w:after="0" w:line="240" w:lineRule="auto"/>
        <w:jc w:val="left"/>
        <w:rPr>
          <w:rFonts w:ascii="华文细黑" w:hAnsi="华文细黑" w:cs="华文细黑" w:eastAsia="华文细黑" w:hint="default"/>
          <w:sz w:val="16"/>
          <w:szCs w:val="16"/>
        </w:rPr>
        <w:sectPr>
          <w:pgSz w:w="11910" w:h="16840"/>
          <w:pgMar w:header="917" w:footer="1019" w:top="1100" w:bottom="1200" w:left="1080" w:right="0"/>
        </w:sectPr>
      </w:pPr>
    </w:p>
    <w:p>
      <w:pPr>
        <w:spacing w:line="240" w:lineRule="auto" w:before="3"/>
        <w:rPr>
          <w:rFonts w:ascii="Times New Roman" w:hAnsi="Times New Roman" w:cs="Times New Roman" w:eastAsia="Times New Roman" w:hint="default"/>
          <w:sz w:val="29"/>
          <w:szCs w:val="29"/>
        </w:rPr>
      </w:pPr>
    </w:p>
    <w:p>
      <w:pPr>
        <w:spacing w:line="376" w:lineRule="exact" w:before="0"/>
        <w:ind w:left="2773" w:right="4429" w:firstLine="0"/>
        <w:jc w:val="center"/>
        <w:rPr>
          <w:rFonts w:ascii="华文细黑" w:hAnsi="华文细黑" w:cs="华文细黑" w:eastAsia="华文细黑" w:hint="default"/>
          <w:sz w:val="28"/>
          <w:szCs w:val="28"/>
        </w:rPr>
      </w:pPr>
      <w:bookmarkStart w:name="深圳市爱施德股份有限公司" w:id="220"/>
      <w:bookmarkEnd w:id="220"/>
      <w:r>
        <w:rPr/>
      </w:r>
      <w:r>
        <w:rPr>
          <w:rFonts w:ascii="华文细黑" w:hAnsi="华文细黑" w:cs="华文细黑" w:eastAsia="华文细黑" w:hint="default"/>
          <w:b/>
          <w:bCs/>
          <w:sz w:val="28"/>
          <w:szCs w:val="28"/>
        </w:rPr>
        <w:t>深圳市爱施德股份有限公司</w:t>
      </w:r>
      <w:r>
        <w:rPr>
          <w:rFonts w:ascii="华文细黑" w:hAnsi="华文细黑" w:cs="华文细黑" w:eastAsia="华文细黑" w:hint="default"/>
          <w:sz w:val="28"/>
          <w:szCs w:val="28"/>
        </w:rPr>
      </w:r>
    </w:p>
    <w:p>
      <w:pPr>
        <w:spacing w:before="45"/>
        <w:ind w:left="2772" w:right="4429" w:firstLine="0"/>
        <w:jc w:val="center"/>
        <w:rPr>
          <w:rFonts w:ascii="华文细黑" w:hAnsi="华文细黑" w:cs="华文细黑" w:eastAsia="华文细黑" w:hint="default"/>
          <w:sz w:val="28"/>
          <w:szCs w:val="28"/>
        </w:rPr>
      </w:pPr>
      <w:bookmarkStart w:name="2018年度财务报表附注" w:id="221"/>
      <w:bookmarkEnd w:id="221"/>
      <w:r>
        <w:rPr/>
      </w:r>
      <w:r>
        <w:rPr>
          <w:rFonts w:ascii="华文细黑" w:hAnsi="华文细黑" w:cs="华文细黑" w:eastAsia="华文细黑" w:hint="default"/>
          <w:b/>
          <w:bCs/>
          <w:sz w:val="28"/>
          <w:szCs w:val="28"/>
        </w:rPr>
        <w:t>2018</w:t>
      </w:r>
      <w:r>
        <w:rPr>
          <w:rFonts w:ascii="华文细黑" w:hAnsi="华文细黑" w:cs="华文细黑" w:eastAsia="华文细黑" w:hint="default"/>
          <w:b/>
          <w:bCs/>
          <w:spacing w:val="-7"/>
          <w:sz w:val="28"/>
          <w:szCs w:val="28"/>
        </w:rPr>
        <w:t> </w:t>
      </w:r>
      <w:r>
        <w:rPr>
          <w:rFonts w:ascii="华文细黑" w:hAnsi="华文细黑" w:cs="华文细黑" w:eastAsia="华文细黑" w:hint="default"/>
          <w:b/>
          <w:bCs/>
          <w:sz w:val="28"/>
          <w:szCs w:val="28"/>
        </w:rPr>
        <w:t>年度财务报表附注</w:t>
      </w:r>
      <w:r>
        <w:rPr>
          <w:rFonts w:ascii="华文细黑" w:hAnsi="华文细黑" w:cs="华文细黑" w:eastAsia="华文细黑" w:hint="default"/>
          <w:sz w:val="28"/>
          <w:szCs w:val="28"/>
        </w:rPr>
      </w:r>
    </w:p>
    <w:p>
      <w:pPr>
        <w:pStyle w:val="Heading4"/>
        <w:spacing w:line="312" w:lineRule="auto" w:before="92"/>
        <w:ind w:right="3950" w:firstLine="1692"/>
        <w:jc w:val="left"/>
        <w:rPr>
          <w:b w:val="0"/>
          <w:bCs w:val="0"/>
        </w:rPr>
      </w:pPr>
      <w:r>
        <w:rPr/>
        <w:t>（除特别说明外，金额单位为人民币元）</w:t>
      </w:r>
      <w:r>
        <w:rPr>
          <w:w w:val="99"/>
        </w:rPr>
        <w:t> </w:t>
      </w:r>
      <w:bookmarkStart w:name="一、公司基本情况" w:id="222"/>
      <w:bookmarkEnd w:id="222"/>
      <w:r>
        <w:rPr/>
        <w:t>一、公司基本情况</w:t>
      </w:r>
      <w:r>
        <w:rPr>
          <w:b w:val="0"/>
          <w:bCs w:val="0"/>
        </w:rPr>
      </w:r>
    </w:p>
    <w:p>
      <w:pPr>
        <w:pStyle w:val="BodyText"/>
        <w:spacing w:line="324" w:lineRule="auto" w:before="58"/>
        <w:ind w:right="1324" w:firstLine="420"/>
        <w:jc w:val="left"/>
      </w:pPr>
      <w:r>
        <w:rPr>
          <w:spacing w:val="-1"/>
        </w:rPr>
        <w:t>深圳市爱施德股份有限公司（以下简称“本公司”或“公司”）前身为深圳市爱施德实业有限</w:t>
      </w:r>
      <w:r>
        <w:rPr/>
        <w:t> </w:t>
      </w:r>
      <w:r>
        <w:rPr>
          <w:spacing w:val="-7"/>
        </w:rPr>
        <w:t>公司，成立于 </w:t>
      </w:r>
      <w:r>
        <w:rPr>
          <w:rFonts w:ascii="华文细黑" w:hAnsi="华文细黑" w:cs="华文细黑" w:eastAsia="华文细黑" w:hint="default"/>
        </w:rPr>
        <w:t>1998</w:t>
      </w:r>
      <w:r>
        <w:rPr>
          <w:rFonts w:ascii="华文细黑" w:hAnsi="华文细黑" w:cs="华文细黑" w:eastAsia="华文细黑" w:hint="default"/>
          <w:spacing w:val="-7"/>
        </w:rPr>
        <w:t> </w:t>
      </w:r>
      <w:r>
        <w:rPr/>
        <w:t>年</w:t>
      </w:r>
      <w:r>
        <w:rPr>
          <w:spacing w:val="-7"/>
        </w:rPr>
        <w:t> </w:t>
      </w:r>
      <w:r>
        <w:rPr>
          <w:rFonts w:ascii="华文细黑" w:hAnsi="华文细黑" w:cs="华文细黑" w:eastAsia="华文细黑" w:hint="default"/>
        </w:rPr>
        <w:t>6</w:t>
      </w:r>
      <w:r>
        <w:rPr>
          <w:rFonts w:ascii="华文细黑" w:hAnsi="华文细黑" w:cs="华文细黑" w:eastAsia="华文细黑" w:hint="default"/>
          <w:spacing w:val="-8"/>
        </w:rPr>
        <w:t> </w:t>
      </w:r>
      <w:r>
        <w:rPr/>
        <w:t>月</w:t>
      </w:r>
      <w:r>
        <w:rPr>
          <w:spacing w:val="-7"/>
        </w:rPr>
        <w:t> </w:t>
      </w:r>
      <w:r>
        <w:rPr>
          <w:rFonts w:ascii="华文细黑" w:hAnsi="华文细黑" w:cs="华文细黑" w:eastAsia="华文细黑" w:hint="default"/>
        </w:rPr>
        <w:t>8</w:t>
      </w:r>
      <w:r>
        <w:rPr>
          <w:rFonts w:ascii="华文细黑" w:hAnsi="华文细黑" w:cs="华文细黑" w:eastAsia="华文细黑" w:hint="default"/>
          <w:spacing w:val="-7"/>
        </w:rPr>
        <w:t> </w:t>
      </w:r>
      <w:r>
        <w:rPr>
          <w:spacing w:val="-4"/>
        </w:rPr>
        <w:t>日。统一社会信用代码为</w:t>
      </w:r>
      <w:r>
        <w:rPr>
          <w:spacing w:val="-7"/>
        </w:rPr>
        <w:t> </w:t>
      </w:r>
      <w:r>
        <w:rPr>
          <w:rFonts w:ascii="华文细黑" w:hAnsi="华文细黑" w:cs="华文细黑" w:eastAsia="华文细黑" w:hint="default"/>
        </w:rPr>
        <w:t>91440300708415957K</w:t>
      </w:r>
      <w:r>
        <w:rPr/>
        <w:t>，法定代表人黄文辉， 住所为深圳市福田区泰然大道东泰然劲松大厦</w:t>
      </w:r>
      <w:r>
        <w:rPr>
          <w:spacing w:val="1"/>
        </w:rPr>
        <w:t> </w:t>
      </w:r>
      <w:r>
        <w:rPr>
          <w:rFonts w:ascii="华文细黑" w:hAnsi="华文细黑" w:cs="华文细黑" w:eastAsia="华文细黑" w:hint="default"/>
        </w:rPr>
        <w:t>20F</w:t>
      </w:r>
      <w:r>
        <w:rPr/>
        <w:t>。</w:t>
      </w:r>
    </w:p>
    <w:p>
      <w:pPr>
        <w:pStyle w:val="BodyText"/>
        <w:spacing w:line="240" w:lineRule="auto" w:before="64"/>
        <w:ind w:left="560" w:right="1246"/>
        <w:jc w:val="left"/>
      </w:pPr>
      <w:r>
        <w:rPr>
          <w:rFonts w:ascii="华文细黑" w:hAnsi="华文细黑" w:cs="华文细黑" w:eastAsia="华文细黑" w:hint="default"/>
        </w:rPr>
        <w:t>2007 </w:t>
      </w:r>
      <w:r>
        <w:rPr/>
        <w:t>年 </w:t>
      </w:r>
      <w:r>
        <w:rPr>
          <w:rFonts w:ascii="华文细黑" w:hAnsi="华文细黑" w:cs="华文细黑" w:eastAsia="华文细黑" w:hint="default"/>
        </w:rPr>
        <w:t>10 </w:t>
      </w:r>
      <w:r>
        <w:rPr/>
        <w:t>月 </w:t>
      </w:r>
      <w:r>
        <w:rPr>
          <w:rFonts w:ascii="华文细黑" w:hAnsi="华文细黑" w:cs="华文细黑" w:eastAsia="华文细黑" w:hint="default"/>
        </w:rPr>
        <w:t>11 </w:t>
      </w:r>
      <w:r>
        <w:rPr>
          <w:rFonts w:ascii="华文细黑" w:hAnsi="华文细黑" w:cs="华文细黑" w:eastAsia="华文细黑" w:hint="default"/>
          <w:spacing w:val="7"/>
        </w:rPr>
        <w:t> </w:t>
      </w:r>
      <w:r>
        <w:rPr/>
        <w:t>日，根据公司股东会决议和有关协议、章程的规定，深圳市爱施德实业有限</w:t>
      </w:r>
    </w:p>
    <w:p>
      <w:pPr>
        <w:pStyle w:val="BodyText"/>
        <w:spacing w:line="240" w:lineRule="auto" w:before="103"/>
        <w:ind w:right="1246"/>
        <w:jc w:val="left"/>
      </w:pPr>
      <w:r>
        <w:rPr>
          <w:spacing w:val="-3"/>
        </w:rPr>
        <w:t>公司整体变更为深圳市爱施德实业股份有限公司，以原有限公司截至 </w:t>
      </w:r>
      <w:r>
        <w:rPr>
          <w:rFonts w:ascii="华文细黑" w:hAnsi="华文细黑" w:cs="华文细黑" w:eastAsia="华文细黑" w:hint="default"/>
        </w:rPr>
        <w:t>2007 </w:t>
      </w:r>
      <w:r>
        <w:rPr/>
        <w:t>年 </w:t>
      </w:r>
      <w:r>
        <w:rPr>
          <w:rFonts w:ascii="华文细黑" w:hAnsi="华文细黑" w:cs="华文细黑" w:eastAsia="华文细黑" w:hint="default"/>
        </w:rPr>
        <w:t>7 </w:t>
      </w:r>
      <w:r>
        <w:rPr/>
        <w:t>月 </w:t>
      </w:r>
      <w:r>
        <w:rPr>
          <w:rFonts w:ascii="华文细黑" w:hAnsi="华文细黑" w:cs="华文细黑" w:eastAsia="华文细黑" w:hint="default"/>
        </w:rPr>
        <w:t>31</w:t>
      </w:r>
      <w:r>
        <w:rPr>
          <w:rFonts w:ascii="华文细黑" w:hAnsi="华文细黑" w:cs="华文细黑" w:eastAsia="华文细黑" w:hint="default"/>
          <w:spacing w:val="7"/>
        </w:rPr>
        <w:t> </w:t>
      </w:r>
      <w:r>
        <w:rPr/>
        <w:t>日止经审计的</w:t>
      </w:r>
    </w:p>
    <w:p>
      <w:pPr>
        <w:pStyle w:val="BodyText"/>
        <w:spacing w:line="240" w:lineRule="auto" w:before="104"/>
        <w:ind w:right="1246"/>
        <w:jc w:val="left"/>
      </w:pPr>
      <w:r>
        <w:rPr/>
        <w:t>净资产 </w:t>
      </w:r>
      <w:r>
        <w:rPr>
          <w:rFonts w:ascii="华文细黑" w:hAnsi="华文细黑" w:cs="华文细黑" w:eastAsia="华文细黑" w:hint="default"/>
        </w:rPr>
        <w:t>171,564,919.78 </w:t>
      </w:r>
      <w:r>
        <w:rPr/>
        <w:t>元折为股份有限公司每股面值为人民币 </w:t>
      </w:r>
      <w:r>
        <w:rPr>
          <w:rFonts w:ascii="华文细黑" w:hAnsi="华文细黑" w:cs="华文细黑" w:eastAsia="华文细黑" w:hint="default"/>
        </w:rPr>
        <w:t>1 </w:t>
      </w:r>
      <w:r>
        <w:rPr/>
        <w:t>元的普通股 </w:t>
      </w:r>
      <w:r>
        <w:rPr>
          <w:rFonts w:ascii="华文细黑" w:hAnsi="华文细黑" w:cs="华文细黑" w:eastAsia="华文细黑" w:hint="default"/>
        </w:rPr>
        <w:t>10,000</w:t>
      </w:r>
      <w:r>
        <w:rPr>
          <w:rFonts w:ascii="华文细黑" w:hAnsi="华文细黑" w:cs="华文细黑" w:eastAsia="华文细黑" w:hint="default"/>
          <w:spacing w:val="-13"/>
        </w:rPr>
        <w:t> </w:t>
      </w:r>
      <w:r>
        <w:rPr/>
        <w:t>万股，即股本</w:t>
      </w:r>
    </w:p>
    <w:p>
      <w:pPr>
        <w:pStyle w:val="BodyText"/>
        <w:spacing w:line="324" w:lineRule="auto" w:before="103"/>
        <w:ind w:right="1437"/>
        <w:jc w:val="both"/>
      </w:pPr>
      <w:r>
        <w:rPr>
          <w:rFonts w:ascii="华文细黑" w:hAnsi="华文细黑" w:cs="华文细黑" w:eastAsia="华文细黑" w:hint="default"/>
        </w:rPr>
        <w:t>10,000 </w:t>
      </w:r>
      <w:r>
        <w:rPr/>
        <w:t>万元，余额 </w:t>
      </w:r>
      <w:r>
        <w:rPr>
          <w:rFonts w:ascii="华文细黑" w:hAnsi="华文细黑" w:cs="华文细黑" w:eastAsia="华文细黑" w:hint="default"/>
        </w:rPr>
        <w:t>71,564,919.78</w:t>
      </w:r>
      <w:r>
        <w:rPr>
          <w:rFonts w:ascii="华文细黑" w:hAnsi="华文细黑" w:cs="华文细黑" w:eastAsia="华文细黑" w:hint="default"/>
          <w:spacing w:val="-39"/>
        </w:rPr>
        <w:t> </w:t>
      </w:r>
      <w:r>
        <w:rPr/>
        <w:t>元计入资本公积，各股东持股比例不变。整体变更后，深圳市神 州通投资集团有限公司持有本公司股份为 </w:t>
      </w:r>
      <w:r>
        <w:rPr>
          <w:rFonts w:ascii="华文细黑" w:hAnsi="华文细黑" w:cs="华文细黑" w:eastAsia="华文细黑" w:hint="default"/>
        </w:rPr>
        <w:t>7,500 </w:t>
      </w:r>
      <w:r>
        <w:rPr>
          <w:spacing w:val="-3"/>
        </w:rPr>
        <w:t>万股，持股比例</w:t>
      </w:r>
      <w:r>
        <w:rPr>
          <w:spacing w:val="-11"/>
        </w:rPr>
        <w:t> </w:t>
      </w:r>
      <w:r>
        <w:rPr>
          <w:rFonts w:ascii="华文细黑" w:hAnsi="华文细黑" w:cs="华文细黑" w:eastAsia="华文细黑" w:hint="default"/>
        </w:rPr>
        <w:t>75%</w:t>
      </w:r>
      <w:r>
        <w:rPr/>
        <w:t>；深圳市全球星投资管理有限 </w:t>
      </w:r>
      <w:r>
        <w:rPr>
          <w:spacing w:val="-4"/>
        </w:rPr>
        <w:t>公司（原名“深圳市全球星实业有限公司”）持有本公司股份为</w:t>
      </w:r>
      <w:r>
        <w:rPr/>
        <w:t> </w:t>
      </w:r>
      <w:r>
        <w:rPr>
          <w:rFonts w:ascii="华文细黑" w:hAnsi="华文细黑" w:cs="华文细黑" w:eastAsia="华文细黑" w:hint="default"/>
        </w:rPr>
        <w:t>2,500 </w:t>
      </w:r>
      <w:r>
        <w:rPr/>
        <w:t>万股，持股比例</w:t>
      </w:r>
      <w:r>
        <w:rPr>
          <w:spacing w:val="5"/>
        </w:rPr>
        <w:t> </w:t>
      </w:r>
      <w:r>
        <w:rPr>
          <w:rFonts w:ascii="华文细黑" w:hAnsi="华文细黑" w:cs="华文细黑" w:eastAsia="华文细黑" w:hint="default"/>
        </w:rPr>
        <w:t>25%</w:t>
      </w:r>
      <w:r>
        <w:rPr/>
        <w:t>。</w:t>
      </w:r>
    </w:p>
    <w:p>
      <w:pPr>
        <w:pStyle w:val="BodyText"/>
        <w:spacing w:line="240" w:lineRule="auto" w:before="63"/>
        <w:ind w:left="560" w:right="1246"/>
        <w:jc w:val="left"/>
      </w:pPr>
      <w:r>
        <w:rPr/>
        <w:t>根据 </w:t>
      </w:r>
      <w:r>
        <w:rPr>
          <w:rFonts w:ascii="华文细黑" w:hAnsi="华文细黑" w:cs="华文细黑" w:eastAsia="华文细黑" w:hint="default"/>
        </w:rPr>
        <w:t>2007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11</w:t>
      </w:r>
      <w:r>
        <w:rPr>
          <w:rFonts w:ascii="华文细黑" w:hAnsi="华文细黑" w:cs="华文细黑" w:eastAsia="华文细黑" w:hint="default"/>
          <w:spacing w:val="5"/>
        </w:rPr>
        <w:t> </w:t>
      </w:r>
      <w:r>
        <w:rPr/>
        <w:t>日公司临时股东大会决议和修改后的章程规定，公司申请增加注册资本</w:t>
      </w:r>
    </w:p>
    <w:p>
      <w:pPr>
        <w:pStyle w:val="BodyText"/>
        <w:spacing w:line="240" w:lineRule="auto" w:before="104"/>
        <w:ind w:right="1246"/>
        <w:jc w:val="left"/>
      </w:pPr>
      <w:r>
        <w:rPr/>
        <w:t>人民币 </w:t>
      </w:r>
      <w:r>
        <w:rPr>
          <w:rFonts w:ascii="华文细黑" w:hAnsi="华文细黑" w:cs="华文细黑" w:eastAsia="华文细黑" w:hint="default"/>
        </w:rPr>
        <w:t>1,000 </w:t>
      </w:r>
      <w:r>
        <w:rPr/>
        <w:t>万元，由黄绍武、黄文辉等 </w:t>
      </w:r>
      <w:r>
        <w:rPr>
          <w:rFonts w:ascii="华文细黑" w:hAnsi="华文细黑" w:cs="华文细黑" w:eastAsia="华文细黑" w:hint="default"/>
        </w:rPr>
        <w:t>92 </w:t>
      </w:r>
      <w:r>
        <w:rPr/>
        <w:t>人认购公司普通股股份 </w:t>
      </w:r>
      <w:r>
        <w:rPr>
          <w:rFonts w:ascii="华文细黑" w:hAnsi="华文细黑" w:cs="华文细黑" w:eastAsia="华文细黑" w:hint="default"/>
        </w:rPr>
        <w:t>1,000 </w:t>
      </w:r>
      <w:r>
        <w:rPr>
          <w:rFonts w:ascii="华文细黑" w:hAnsi="华文细黑" w:cs="华文细黑" w:eastAsia="华文细黑" w:hint="default"/>
          <w:spacing w:val="25"/>
        </w:rPr>
        <w:t> </w:t>
      </w:r>
      <w:r>
        <w:rPr/>
        <w:t>万股，面值为每股人民</w:t>
      </w:r>
    </w:p>
    <w:p>
      <w:pPr>
        <w:pStyle w:val="BodyText"/>
        <w:spacing w:line="240" w:lineRule="auto" w:before="103"/>
        <w:ind w:right="1246"/>
        <w:jc w:val="left"/>
      </w:pPr>
      <w:r>
        <w:rPr/>
        <w:t>币 </w:t>
      </w:r>
      <w:r>
        <w:rPr>
          <w:rFonts w:ascii="华文细黑" w:hAnsi="华文细黑" w:cs="华文细黑" w:eastAsia="华文细黑" w:hint="default"/>
        </w:rPr>
        <w:t>1.00 </w:t>
      </w:r>
      <w:r>
        <w:rPr>
          <w:spacing w:val="-3"/>
        </w:rPr>
        <w:t>元，认购价格为每股人民币 </w:t>
      </w:r>
      <w:r>
        <w:rPr>
          <w:rFonts w:ascii="华文细黑" w:hAnsi="华文细黑" w:cs="华文细黑" w:eastAsia="华文细黑" w:hint="default"/>
        </w:rPr>
        <w:t>2.12 </w:t>
      </w:r>
      <w:r>
        <w:rPr>
          <w:spacing w:val="-3"/>
        </w:rPr>
        <w:t>元。认购后公司注册资本为人民币 </w:t>
      </w:r>
      <w:r>
        <w:rPr>
          <w:rFonts w:ascii="华文细黑" w:hAnsi="华文细黑" w:cs="华文细黑" w:eastAsia="华文细黑" w:hint="default"/>
        </w:rPr>
        <w:t>11,000</w:t>
      </w:r>
      <w:r>
        <w:rPr>
          <w:rFonts w:ascii="华文细黑" w:hAnsi="华文细黑" w:cs="华文细黑" w:eastAsia="华文细黑" w:hint="default"/>
          <w:spacing w:val="25"/>
        </w:rPr>
        <w:t> </w:t>
      </w:r>
      <w:r>
        <w:rPr>
          <w:spacing w:val="-5"/>
        </w:rPr>
        <w:t>万元，股本为人</w:t>
      </w:r>
    </w:p>
    <w:p>
      <w:pPr>
        <w:pStyle w:val="BodyText"/>
        <w:spacing w:line="324" w:lineRule="auto" w:before="103"/>
        <w:ind w:right="1319"/>
        <w:jc w:val="left"/>
      </w:pPr>
      <w:r>
        <w:rPr/>
        <w:t>民币 </w:t>
      </w:r>
      <w:r>
        <w:rPr>
          <w:rFonts w:ascii="华文细黑" w:hAnsi="华文细黑" w:cs="华文细黑" w:eastAsia="华文细黑" w:hint="default"/>
        </w:rPr>
        <w:t>11,000 </w:t>
      </w:r>
      <w:r>
        <w:rPr/>
        <w:t>万元，其中：深圳市神州通投资集团有限公司持有本公司股份为 </w:t>
      </w:r>
      <w:r>
        <w:rPr>
          <w:rFonts w:ascii="华文细黑" w:hAnsi="华文细黑" w:cs="华文细黑" w:eastAsia="华文细黑" w:hint="default"/>
        </w:rPr>
        <w:t>7,500</w:t>
      </w:r>
      <w:r>
        <w:rPr>
          <w:rFonts w:ascii="华文细黑" w:hAnsi="华文细黑" w:cs="华文细黑" w:eastAsia="华文细黑" w:hint="default"/>
          <w:spacing w:val="37"/>
        </w:rPr>
        <w:t> </w:t>
      </w:r>
      <w:r>
        <w:rPr/>
        <w:t>万股，持股比 例 </w:t>
      </w:r>
      <w:r>
        <w:rPr>
          <w:rFonts w:ascii="华文细黑" w:hAnsi="华文细黑" w:cs="华文细黑" w:eastAsia="华文细黑" w:hint="default"/>
          <w:spacing w:val="-3"/>
        </w:rPr>
        <w:t>68.1818%</w:t>
      </w:r>
      <w:r>
        <w:rPr>
          <w:spacing w:val="-3"/>
        </w:rPr>
        <w:t>；深圳市全球星投资管理有限公司持有本公司股份为 </w:t>
      </w:r>
      <w:r>
        <w:rPr>
          <w:rFonts w:ascii="华文细黑" w:hAnsi="华文细黑" w:cs="华文细黑" w:eastAsia="华文细黑" w:hint="default"/>
        </w:rPr>
        <w:t>2,500 </w:t>
      </w:r>
      <w:r>
        <w:rPr>
          <w:spacing w:val="-12"/>
        </w:rPr>
        <w:t>万股，持股比例</w:t>
      </w:r>
      <w:r>
        <w:rPr>
          <w:spacing w:val="15"/>
        </w:rPr>
        <w:t> </w:t>
      </w:r>
      <w:r>
        <w:rPr>
          <w:rFonts w:ascii="华文细黑" w:hAnsi="华文细黑" w:cs="华文细黑" w:eastAsia="华文细黑" w:hint="default"/>
        </w:rPr>
        <w:t>22.7272%</w:t>
      </w:r>
      <w:r>
        <w:rPr/>
        <w:t>； 黄绍武、黄文辉等 </w:t>
      </w:r>
      <w:r>
        <w:rPr>
          <w:rFonts w:ascii="华文细黑" w:hAnsi="华文细黑" w:cs="华文细黑" w:eastAsia="华文细黑" w:hint="default"/>
        </w:rPr>
        <w:t>92 </w:t>
      </w:r>
      <w:r>
        <w:rPr/>
        <w:t>人持有本公司股份为 </w:t>
      </w:r>
      <w:r>
        <w:rPr>
          <w:rFonts w:ascii="华文细黑" w:hAnsi="华文细黑" w:cs="华文细黑" w:eastAsia="华文细黑" w:hint="default"/>
        </w:rPr>
        <w:t>1,000 </w:t>
      </w:r>
      <w:r>
        <w:rPr/>
        <w:t>万股，持股比例</w:t>
      </w:r>
      <w:r>
        <w:rPr>
          <w:spacing w:val="-3"/>
        </w:rPr>
        <w:t> </w:t>
      </w:r>
      <w:r>
        <w:rPr>
          <w:rFonts w:ascii="华文细黑" w:hAnsi="华文细黑" w:cs="华文细黑" w:eastAsia="华文细黑" w:hint="default"/>
        </w:rPr>
        <w:t>9.0910%</w:t>
      </w:r>
      <w:r>
        <w:rPr/>
        <w:t>。</w:t>
      </w:r>
    </w:p>
    <w:p>
      <w:pPr>
        <w:pStyle w:val="BodyText"/>
        <w:spacing w:line="324" w:lineRule="auto" w:before="64"/>
        <w:ind w:right="1436" w:firstLine="420"/>
        <w:jc w:val="both"/>
      </w:pPr>
      <w:r>
        <w:rPr/>
        <w:t>根据 </w:t>
      </w:r>
      <w:r>
        <w:rPr>
          <w:rFonts w:ascii="华文细黑" w:hAnsi="华文细黑" w:cs="华文细黑" w:eastAsia="华文细黑" w:hint="default"/>
        </w:rPr>
        <w:t>2008 </w:t>
      </w:r>
      <w:r>
        <w:rPr/>
        <w:t>年 </w:t>
      </w:r>
      <w:r>
        <w:rPr>
          <w:rFonts w:ascii="华文细黑" w:hAnsi="华文细黑" w:cs="华文细黑" w:eastAsia="华文细黑" w:hint="default"/>
        </w:rPr>
        <w:t>4 </w:t>
      </w:r>
      <w:r>
        <w:rPr/>
        <w:t>月 </w:t>
      </w:r>
      <w:r>
        <w:rPr>
          <w:rFonts w:ascii="华文细黑" w:hAnsi="华文细黑" w:cs="华文细黑" w:eastAsia="华文细黑" w:hint="default"/>
        </w:rPr>
        <w:t>22 </w:t>
      </w:r>
      <w:r>
        <w:rPr/>
        <w:t>日召开的 </w:t>
      </w:r>
      <w:r>
        <w:rPr>
          <w:rFonts w:ascii="华文细黑" w:hAnsi="华文细黑" w:cs="华文细黑" w:eastAsia="华文细黑" w:hint="default"/>
        </w:rPr>
        <w:t>2008</w:t>
      </w:r>
      <w:r>
        <w:rPr>
          <w:rFonts w:ascii="华文细黑" w:hAnsi="华文细黑" w:cs="华文细黑" w:eastAsia="华文细黑" w:hint="default"/>
          <w:spacing w:val="-28"/>
        </w:rPr>
        <w:t> </w:t>
      </w:r>
      <w:r>
        <w:rPr/>
        <w:t>年第一次临时股东大会决议，本公司名称由“深圳市爱施 </w:t>
      </w:r>
      <w:r>
        <w:rPr>
          <w:spacing w:val="-1"/>
        </w:rPr>
        <w:t>德实业股份有限公司”变更为“深圳市爱施德股份有限公司”；经营范围增加“零售连锁；供应链</w:t>
      </w:r>
      <w:r>
        <w:rPr>
          <w:spacing w:val="-29"/>
        </w:rPr>
        <w:t> </w:t>
      </w:r>
      <w:r>
        <w:rPr>
          <w:spacing w:val="-29"/>
        </w:rPr>
      </w:r>
      <w:r>
        <w:rPr>
          <w:spacing w:val="-27"/>
        </w:rPr>
        <w:t>管理”。</w:t>
      </w:r>
    </w:p>
    <w:p>
      <w:pPr>
        <w:pStyle w:val="BodyText"/>
        <w:spacing w:line="240" w:lineRule="auto" w:before="64"/>
        <w:ind w:left="560" w:right="1246"/>
        <w:jc w:val="left"/>
        <w:rPr>
          <w:rFonts w:ascii="华文细黑" w:hAnsi="华文细黑" w:cs="华文细黑" w:eastAsia="华文细黑" w:hint="default"/>
        </w:rPr>
      </w:pPr>
      <w:r>
        <w:rPr/>
        <w:t>根据</w:t>
      </w:r>
      <w:r>
        <w:rPr>
          <w:spacing w:val="-6"/>
        </w:rPr>
        <w:t> </w:t>
      </w:r>
      <w:r>
        <w:rPr>
          <w:rFonts w:ascii="华文细黑" w:hAnsi="华文细黑" w:cs="华文细黑" w:eastAsia="华文细黑" w:hint="default"/>
        </w:rPr>
        <w:t>2008</w:t>
      </w:r>
      <w:r>
        <w:rPr>
          <w:rFonts w:ascii="华文细黑" w:hAnsi="华文细黑" w:cs="华文细黑" w:eastAsia="华文细黑" w:hint="default"/>
          <w:spacing w:val="-6"/>
        </w:rPr>
        <w:t> </w:t>
      </w:r>
      <w:r>
        <w:rPr/>
        <w:t>年</w:t>
      </w:r>
      <w:r>
        <w:rPr>
          <w:spacing w:val="-6"/>
        </w:rPr>
        <w:t> </w:t>
      </w:r>
      <w:r>
        <w:rPr>
          <w:rFonts w:ascii="华文细黑" w:hAnsi="华文细黑" w:cs="华文细黑" w:eastAsia="华文细黑" w:hint="default"/>
        </w:rPr>
        <w:t>6</w:t>
      </w:r>
      <w:r>
        <w:rPr>
          <w:rFonts w:ascii="华文细黑" w:hAnsi="华文细黑" w:cs="华文细黑" w:eastAsia="华文细黑" w:hint="default"/>
          <w:spacing w:val="-6"/>
        </w:rPr>
        <w:t> </w:t>
      </w:r>
      <w:r>
        <w:rPr/>
        <w:t>月</w:t>
      </w:r>
      <w:r>
        <w:rPr>
          <w:spacing w:val="-6"/>
        </w:rPr>
        <w:t> </w:t>
      </w:r>
      <w:r>
        <w:rPr>
          <w:rFonts w:ascii="华文细黑" w:hAnsi="华文细黑" w:cs="华文细黑" w:eastAsia="华文细黑" w:hint="default"/>
        </w:rPr>
        <w:t>23</w:t>
      </w:r>
      <w:r>
        <w:rPr>
          <w:rFonts w:ascii="华文细黑" w:hAnsi="华文细黑" w:cs="华文细黑" w:eastAsia="华文细黑" w:hint="default"/>
          <w:spacing w:val="-6"/>
        </w:rPr>
        <w:t> </w:t>
      </w:r>
      <w:r>
        <w:rPr>
          <w:spacing w:val="-2"/>
        </w:rPr>
        <w:t>日</w:t>
      </w:r>
      <w:r>
        <w:rPr/>
        <w:t>召开的第二次临时股东大会决议</w:t>
      </w:r>
      <w:r>
        <w:rPr>
          <w:spacing w:val="-105"/>
        </w:rPr>
        <w:t>，</w:t>
      </w:r>
      <w:r>
        <w:rPr>
          <w:spacing w:val="-2"/>
        </w:rPr>
        <w:t>公</w:t>
      </w:r>
      <w:r>
        <w:rPr/>
        <w:t>司申请新增注册资本人民币</w:t>
      </w:r>
      <w:r>
        <w:rPr>
          <w:spacing w:val="-5"/>
        </w:rPr>
        <w:t> </w:t>
      </w:r>
      <w:r>
        <w:rPr>
          <w:rFonts w:ascii="华文细黑" w:hAnsi="华文细黑" w:cs="华文细黑" w:eastAsia="华文细黑" w:hint="default"/>
        </w:rPr>
        <w:t>23,100</w:t>
      </w:r>
    </w:p>
    <w:p>
      <w:pPr>
        <w:pStyle w:val="BodyText"/>
        <w:spacing w:line="240" w:lineRule="auto" w:before="103"/>
        <w:ind w:right="1246"/>
        <w:jc w:val="left"/>
      </w:pPr>
      <w:r>
        <w:rPr/>
        <w:t>万元，以 </w:t>
      </w:r>
      <w:r>
        <w:rPr>
          <w:rFonts w:ascii="华文细黑" w:hAnsi="华文细黑" w:cs="华文细黑" w:eastAsia="华文细黑" w:hint="default"/>
        </w:rPr>
        <w:t>2008 </w:t>
      </w:r>
      <w:r>
        <w:rPr/>
        <w:t>年 </w:t>
      </w:r>
      <w:r>
        <w:rPr>
          <w:rFonts w:ascii="华文细黑" w:hAnsi="华文细黑" w:cs="华文细黑" w:eastAsia="华文细黑" w:hint="default"/>
        </w:rPr>
        <w:t>5 </w:t>
      </w:r>
      <w:r>
        <w:rPr/>
        <w:t>月 </w:t>
      </w:r>
      <w:r>
        <w:rPr>
          <w:rFonts w:ascii="华文细黑" w:hAnsi="华文细黑" w:cs="华文细黑" w:eastAsia="华文细黑" w:hint="default"/>
        </w:rPr>
        <w:t>31 </w:t>
      </w:r>
      <w:r>
        <w:rPr/>
        <w:t>日总股本 </w:t>
      </w:r>
      <w:r>
        <w:rPr>
          <w:rFonts w:ascii="华文细黑" w:hAnsi="华文细黑" w:cs="华文细黑" w:eastAsia="华文细黑" w:hint="default"/>
        </w:rPr>
        <w:t>11,000 </w:t>
      </w:r>
      <w:r>
        <w:rPr/>
        <w:t>万股为基数，向全体股东以未分配利润按每 </w:t>
      </w:r>
      <w:r>
        <w:rPr>
          <w:rFonts w:ascii="华文细黑" w:hAnsi="华文细黑" w:cs="华文细黑" w:eastAsia="华文细黑" w:hint="default"/>
        </w:rPr>
        <w:t>10 </w:t>
      </w:r>
      <w:r>
        <w:rPr>
          <w:rFonts w:ascii="华文细黑" w:hAnsi="华文细黑" w:cs="华文细黑" w:eastAsia="华文细黑" w:hint="default"/>
          <w:spacing w:val="33"/>
        </w:rPr>
        <w:t> </w:t>
      </w:r>
      <w:r>
        <w:rPr/>
        <w:t>股送红</w:t>
      </w:r>
    </w:p>
    <w:p>
      <w:pPr>
        <w:pStyle w:val="BodyText"/>
        <w:spacing w:line="240" w:lineRule="auto" w:before="104"/>
        <w:ind w:right="1246"/>
        <w:jc w:val="left"/>
      </w:pPr>
      <w:r>
        <w:rPr/>
        <w:t>股 </w:t>
      </w:r>
      <w:r>
        <w:rPr>
          <w:rFonts w:ascii="华文细黑" w:hAnsi="华文细黑" w:cs="华文细黑" w:eastAsia="华文细黑" w:hint="default"/>
        </w:rPr>
        <w:t>13.5 </w:t>
      </w:r>
      <w:r>
        <w:rPr>
          <w:spacing w:val="-3"/>
        </w:rPr>
        <w:t>股，以资本公积金按每 </w:t>
      </w:r>
      <w:r>
        <w:rPr>
          <w:rFonts w:ascii="华文细黑" w:hAnsi="华文细黑" w:cs="华文细黑" w:eastAsia="华文细黑" w:hint="default"/>
        </w:rPr>
        <w:t>10 </w:t>
      </w:r>
      <w:r>
        <w:rPr/>
        <w:t>股转增 </w:t>
      </w:r>
      <w:r>
        <w:rPr>
          <w:rFonts w:ascii="华文细黑" w:hAnsi="华文细黑" w:cs="华文细黑" w:eastAsia="华文细黑" w:hint="default"/>
        </w:rPr>
        <w:t>7.5 </w:t>
      </w:r>
      <w:r>
        <w:rPr>
          <w:spacing w:val="-4"/>
        </w:rPr>
        <w:t>股，共计转增股份 </w:t>
      </w:r>
      <w:r>
        <w:rPr>
          <w:rFonts w:ascii="华文细黑" w:hAnsi="华文细黑" w:cs="华文细黑" w:eastAsia="华文细黑" w:hint="default"/>
        </w:rPr>
        <w:t>23,100</w:t>
      </w:r>
      <w:r>
        <w:rPr>
          <w:rFonts w:ascii="华文细黑" w:hAnsi="华文细黑" w:cs="华文细黑" w:eastAsia="华文细黑" w:hint="default"/>
          <w:spacing w:val="17"/>
        </w:rPr>
        <w:t> </w:t>
      </w:r>
      <w:r>
        <w:rPr>
          <w:spacing w:val="-5"/>
        </w:rPr>
        <w:t>万股，其中：由资本公积转</w:t>
      </w:r>
    </w:p>
    <w:p>
      <w:pPr>
        <w:pStyle w:val="BodyText"/>
        <w:spacing w:line="324" w:lineRule="auto" w:before="103"/>
        <w:ind w:right="1318"/>
        <w:jc w:val="left"/>
      </w:pPr>
      <w:r>
        <w:rPr/>
        <w:t>增股本 </w:t>
      </w:r>
      <w:r>
        <w:rPr>
          <w:rFonts w:ascii="华文细黑" w:hAnsi="华文细黑" w:cs="华文细黑" w:eastAsia="华文细黑" w:hint="default"/>
        </w:rPr>
        <w:t>8,250 </w:t>
      </w:r>
      <w:r>
        <w:rPr>
          <w:spacing w:val="-7"/>
        </w:rPr>
        <w:t>万元，由未分配利润转增股本</w:t>
      </w:r>
      <w:r>
        <w:rPr/>
        <w:t> </w:t>
      </w:r>
      <w:r>
        <w:rPr>
          <w:rFonts w:ascii="华文细黑" w:hAnsi="华文细黑" w:cs="华文细黑" w:eastAsia="华文细黑" w:hint="default"/>
        </w:rPr>
        <w:t>14,850 </w:t>
      </w:r>
      <w:r>
        <w:rPr>
          <w:spacing w:val="-6"/>
        </w:rPr>
        <w:t>万元。此次增资后公司注册资本为人民币</w:t>
      </w:r>
      <w:r>
        <w:rPr/>
        <w:t> </w:t>
      </w:r>
      <w:r>
        <w:rPr>
          <w:rFonts w:ascii="华文细黑" w:hAnsi="华文细黑" w:cs="华文细黑" w:eastAsia="华文细黑" w:hint="default"/>
        </w:rPr>
        <w:t>34,100</w:t>
      </w:r>
      <w:r>
        <w:rPr>
          <w:rFonts w:ascii="华文细黑" w:hAnsi="华文细黑" w:cs="华文细黑" w:eastAsia="华文细黑" w:hint="default"/>
          <w:spacing w:val="-37"/>
        </w:rPr>
        <w:t> </w:t>
      </w:r>
      <w:r>
        <w:rPr>
          <w:spacing w:val="-3"/>
        </w:rPr>
        <w:t>万元，其中深圳市神州通投资集团有限公司持有本公司股份为 </w:t>
      </w:r>
      <w:r>
        <w:rPr>
          <w:rFonts w:ascii="华文细黑" w:hAnsi="华文细黑" w:cs="华文细黑" w:eastAsia="华文细黑" w:hint="default"/>
        </w:rPr>
        <w:t>23,250 </w:t>
      </w:r>
      <w:r>
        <w:rPr>
          <w:spacing w:val="-10"/>
        </w:rPr>
        <w:t>万股，持股比例为</w:t>
      </w:r>
      <w:r>
        <w:rPr>
          <w:spacing w:val="16"/>
        </w:rPr>
        <w:t> </w:t>
      </w:r>
      <w:r>
        <w:rPr>
          <w:rFonts w:ascii="华文细黑" w:hAnsi="华文细黑" w:cs="华文细黑" w:eastAsia="华文细黑" w:hint="default"/>
        </w:rPr>
        <w:t>68.1818%</w:t>
      </w:r>
      <w:r>
        <w:rPr/>
        <w:t>； 深圳市全球星投资管理有限公司持有本公司股份为 </w:t>
      </w:r>
      <w:r>
        <w:rPr>
          <w:rFonts w:ascii="华文细黑" w:hAnsi="华文细黑" w:cs="华文细黑" w:eastAsia="华文细黑" w:hint="default"/>
        </w:rPr>
        <w:t>7,750 </w:t>
      </w:r>
      <w:r>
        <w:rPr/>
        <w:t>万股，持股比例为</w:t>
      </w:r>
      <w:r>
        <w:rPr>
          <w:spacing w:val="21"/>
        </w:rPr>
        <w:t> </w:t>
      </w:r>
      <w:r>
        <w:rPr>
          <w:rFonts w:ascii="华文细黑" w:hAnsi="华文细黑" w:cs="华文细黑" w:eastAsia="华文细黑" w:hint="default"/>
        </w:rPr>
        <w:t>22.7272%</w:t>
      </w:r>
      <w:r>
        <w:rPr/>
        <w:t>；黄绍武、 黄文辉等 </w:t>
      </w:r>
      <w:r>
        <w:rPr>
          <w:rFonts w:ascii="华文细黑" w:hAnsi="华文细黑" w:cs="华文细黑" w:eastAsia="华文细黑" w:hint="default"/>
        </w:rPr>
        <w:t>92 </w:t>
      </w:r>
      <w:r>
        <w:rPr/>
        <w:t>人持有本公司股份为 </w:t>
      </w:r>
      <w:r>
        <w:rPr>
          <w:rFonts w:ascii="华文细黑" w:hAnsi="华文细黑" w:cs="华文细黑" w:eastAsia="华文细黑" w:hint="default"/>
        </w:rPr>
        <w:t>3,100 </w:t>
      </w:r>
      <w:r>
        <w:rPr/>
        <w:t>万股，持股比例为</w:t>
      </w:r>
      <w:r>
        <w:rPr>
          <w:spacing w:val="-1"/>
        </w:rPr>
        <w:t> </w:t>
      </w:r>
      <w:r>
        <w:rPr>
          <w:rFonts w:ascii="华文细黑" w:hAnsi="华文细黑" w:cs="华文细黑" w:eastAsia="华文细黑" w:hint="default"/>
        </w:rPr>
        <w:t>9.0910%</w:t>
      </w:r>
      <w:r>
        <w:rPr/>
        <w:t>。</w:t>
      </w:r>
    </w:p>
    <w:p>
      <w:pPr>
        <w:pStyle w:val="BodyText"/>
        <w:spacing w:line="240" w:lineRule="auto" w:before="64"/>
        <w:ind w:left="560" w:right="1246"/>
        <w:jc w:val="left"/>
      </w:pPr>
      <w:r>
        <w:rPr/>
        <w:t>根据 </w:t>
      </w:r>
      <w:r>
        <w:rPr>
          <w:rFonts w:ascii="华文细黑" w:hAnsi="华文细黑" w:cs="华文细黑" w:eastAsia="华文细黑" w:hint="default"/>
        </w:rPr>
        <w:t>2009 </w:t>
      </w:r>
      <w:r>
        <w:rPr/>
        <w:t>年 </w:t>
      </w:r>
      <w:r>
        <w:rPr>
          <w:rFonts w:ascii="华文细黑" w:hAnsi="华文细黑" w:cs="华文细黑" w:eastAsia="华文细黑" w:hint="default"/>
        </w:rPr>
        <w:t>8 </w:t>
      </w:r>
      <w:r>
        <w:rPr/>
        <w:t>月 </w:t>
      </w:r>
      <w:r>
        <w:rPr>
          <w:rFonts w:ascii="华文细黑" w:hAnsi="华文细黑" w:cs="华文细黑" w:eastAsia="华文细黑" w:hint="default"/>
        </w:rPr>
        <w:t>18 </w:t>
      </w:r>
      <w:r>
        <w:rPr/>
        <w:t>日召开的 </w:t>
      </w:r>
      <w:r>
        <w:rPr>
          <w:rFonts w:ascii="华文细黑" w:hAnsi="华文细黑" w:cs="华文细黑" w:eastAsia="华文细黑" w:hint="default"/>
        </w:rPr>
        <w:t>2009</w:t>
      </w:r>
      <w:r>
        <w:rPr>
          <w:rFonts w:ascii="华文细黑" w:hAnsi="华文细黑" w:cs="华文细黑" w:eastAsia="华文细黑" w:hint="default"/>
          <w:spacing w:val="-28"/>
        </w:rPr>
        <w:t> </w:t>
      </w:r>
      <w:r>
        <w:rPr/>
        <w:t>年第一次临时股东大会决议，公司申请增加注册资本人民</w:t>
      </w:r>
    </w:p>
    <w:p>
      <w:pPr>
        <w:pStyle w:val="BodyText"/>
        <w:spacing w:line="240" w:lineRule="auto" w:before="103"/>
        <w:ind w:right="1246"/>
        <w:jc w:val="left"/>
      </w:pPr>
      <w:r>
        <w:rPr/>
        <w:t>币 </w:t>
      </w:r>
      <w:r>
        <w:rPr>
          <w:rFonts w:ascii="华文细黑" w:hAnsi="华文细黑" w:cs="华文细黑" w:eastAsia="华文细黑" w:hint="default"/>
        </w:rPr>
        <w:t>10,230 </w:t>
      </w:r>
      <w:r>
        <w:rPr/>
        <w:t>万元，以 </w:t>
      </w:r>
      <w:r>
        <w:rPr>
          <w:rFonts w:ascii="华文细黑" w:hAnsi="华文细黑" w:cs="华文细黑" w:eastAsia="华文细黑" w:hint="default"/>
        </w:rPr>
        <w:t>2009 </w:t>
      </w:r>
      <w:r>
        <w:rPr/>
        <w:t>年 </w:t>
      </w:r>
      <w:r>
        <w:rPr>
          <w:rFonts w:ascii="华文细黑" w:hAnsi="华文细黑" w:cs="华文细黑" w:eastAsia="华文细黑" w:hint="default"/>
        </w:rPr>
        <w:t>6 </w:t>
      </w:r>
      <w:r>
        <w:rPr/>
        <w:t>月 </w:t>
      </w:r>
      <w:r>
        <w:rPr>
          <w:rFonts w:ascii="华文细黑" w:hAnsi="华文细黑" w:cs="华文细黑" w:eastAsia="华文细黑" w:hint="default"/>
        </w:rPr>
        <w:t>30 </w:t>
      </w:r>
      <w:r>
        <w:rPr/>
        <w:t>日总股本 </w:t>
      </w:r>
      <w:r>
        <w:rPr>
          <w:rFonts w:ascii="华文细黑" w:hAnsi="华文细黑" w:cs="华文细黑" w:eastAsia="华文细黑" w:hint="default"/>
        </w:rPr>
        <w:t>34,100 </w:t>
      </w:r>
      <w:r>
        <w:rPr>
          <w:rFonts w:ascii="华文细黑" w:hAnsi="华文细黑" w:cs="华文细黑" w:eastAsia="华文细黑" w:hint="default"/>
          <w:spacing w:val="46"/>
        </w:rPr>
        <w:t> </w:t>
      </w:r>
      <w:r>
        <w:rPr/>
        <w:t>万股为基数，向全体股东以未分配利润按每</w:t>
      </w:r>
    </w:p>
    <w:p>
      <w:pPr>
        <w:pStyle w:val="BodyText"/>
        <w:spacing w:line="240" w:lineRule="auto" w:before="103"/>
        <w:ind w:right="1246"/>
        <w:jc w:val="left"/>
      </w:pPr>
      <w:r>
        <w:rPr>
          <w:rFonts w:ascii="华文细黑" w:hAnsi="华文细黑" w:cs="华文细黑" w:eastAsia="华文细黑" w:hint="default"/>
        </w:rPr>
        <w:t>10 </w:t>
      </w:r>
      <w:r>
        <w:rPr/>
        <w:t>股送红股 </w:t>
      </w:r>
      <w:r>
        <w:rPr>
          <w:rFonts w:ascii="华文细黑" w:hAnsi="华文细黑" w:cs="华文细黑" w:eastAsia="华文细黑" w:hint="default"/>
        </w:rPr>
        <w:t>3 </w:t>
      </w:r>
      <w:r>
        <w:rPr/>
        <w:t>股，共计转增股份 </w:t>
      </w:r>
      <w:r>
        <w:rPr>
          <w:rFonts w:ascii="华文细黑" w:hAnsi="华文细黑" w:cs="华文细黑" w:eastAsia="华文细黑" w:hint="default"/>
        </w:rPr>
        <w:t>10,230 </w:t>
      </w:r>
      <w:r>
        <w:rPr/>
        <w:t>万股。此次增资后公司注册资本为人民币 </w:t>
      </w:r>
      <w:r>
        <w:rPr>
          <w:rFonts w:ascii="华文细黑" w:hAnsi="华文细黑" w:cs="华文细黑" w:eastAsia="华文细黑" w:hint="default"/>
        </w:rPr>
        <w:t>44,330</w:t>
      </w:r>
      <w:r>
        <w:rPr>
          <w:rFonts w:ascii="华文细黑" w:hAnsi="华文细黑" w:cs="华文细黑" w:eastAsia="华文细黑" w:hint="default"/>
          <w:spacing w:val="-1"/>
        </w:rPr>
        <w:t> </w:t>
      </w:r>
      <w:r>
        <w:rPr/>
        <w:t>万元。</w:t>
      </w:r>
    </w:p>
    <w:p>
      <w:pPr>
        <w:pStyle w:val="BodyText"/>
        <w:spacing w:line="240" w:lineRule="auto" w:before="144"/>
        <w:ind w:left="560" w:right="1246"/>
        <w:jc w:val="left"/>
        <w:rPr>
          <w:rFonts w:ascii="华文细黑" w:hAnsi="华文细黑" w:cs="华文细黑" w:eastAsia="华文细黑" w:hint="default"/>
        </w:rPr>
      </w:pPr>
      <w:r>
        <w:rPr/>
        <w:t>根据公司 </w:t>
      </w:r>
      <w:r>
        <w:rPr>
          <w:rFonts w:ascii="华文细黑" w:hAnsi="华文细黑" w:cs="华文细黑" w:eastAsia="华文细黑" w:hint="default"/>
        </w:rPr>
        <w:t>2009 </w:t>
      </w:r>
      <w:r>
        <w:rPr/>
        <w:t>年 </w:t>
      </w:r>
      <w:r>
        <w:rPr>
          <w:rFonts w:ascii="华文细黑" w:hAnsi="华文细黑" w:cs="华文细黑" w:eastAsia="华文细黑" w:hint="default"/>
        </w:rPr>
        <w:t>8 </w:t>
      </w:r>
      <w:r>
        <w:rPr/>
        <w:t>月 </w:t>
      </w:r>
      <w:r>
        <w:rPr>
          <w:rFonts w:ascii="华文细黑" w:hAnsi="华文细黑" w:cs="华文细黑" w:eastAsia="华文细黑" w:hint="default"/>
        </w:rPr>
        <w:t>11 </w:t>
      </w:r>
      <w:r>
        <w:rPr/>
        <w:t>日第一次临时股东会决议，及中国证券监督管理委员会于 </w:t>
      </w:r>
      <w:r>
        <w:rPr>
          <w:rFonts w:ascii="华文细黑" w:hAnsi="华文细黑" w:cs="华文细黑" w:eastAsia="华文细黑" w:hint="default"/>
        </w:rPr>
        <w:t>2010 </w:t>
      </w:r>
      <w:r>
        <w:rPr/>
        <w:t>年</w:t>
      </w:r>
      <w:r>
        <w:rPr>
          <w:spacing w:val="11"/>
        </w:rPr>
        <w:t> </w:t>
      </w:r>
      <w:r>
        <w:rPr>
          <w:rFonts w:ascii="华文细黑" w:hAnsi="华文细黑" w:cs="华文细黑" w:eastAsia="华文细黑" w:hint="default"/>
        </w:rPr>
        <w:t>5</w:t>
      </w:r>
    </w:p>
    <w:p>
      <w:pPr>
        <w:spacing w:after="0" w:line="240" w:lineRule="auto"/>
        <w:jc w:val="left"/>
        <w:rPr>
          <w:rFonts w:ascii="华文细黑" w:hAnsi="华文细黑" w:cs="华文细黑" w:eastAsia="华文细黑" w:hint="default"/>
        </w:rPr>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324" w:lineRule="auto" w:before="10"/>
        <w:ind w:right="1321"/>
        <w:jc w:val="left"/>
      </w:pPr>
      <w:r>
        <w:rPr/>
        <w:t>月</w:t>
      </w:r>
      <w:r>
        <w:rPr>
          <w:spacing w:val="6"/>
        </w:rPr>
        <w:t> </w:t>
      </w:r>
      <w:r>
        <w:rPr>
          <w:rFonts w:ascii="华文细黑" w:hAnsi="华文细黑" w:cs="华文细黑" w:eastAsia="华文细黑" w:hint="default"/>
        </w:rPr>
        <w:t>4</w:t>
      </w:r>
      <w:r>
        <w:rPr>
          <w:rFonts w:ascii="华文细黑" w:hAnsi="华文细黑" w:cs="华文细黑" w:eastAsia="华文细黑" w:hint="default"/>
          <w:spacing w:val="6"/>
        </w:rPr>
        <w:t> </w:t>
      </w:r>
      <w:r>
        <w:rPr>
          <w:spacing w:val="-3"/>
        </w:rPr>
        <w:t>日《关于核准深圳市爱施德股份有限公司首次公开发行股票的批复》（证监许可</w:t>
      </w:r>
      <w:r>
        <w:rPr>
          <w:rFonts w:ascii="华文细黑" w:hAnsi="华文细黑" w:cs="华文细黑" w:eastAsia="华文细黑" w:hint="default"/>
          <w:spacing w:val="-3"/>
        </w:rPr>
        <w:t>[2010]555</w:t>
      </w:r>
      <w:r>
        <w:rPr>
          <w:rFonts w:ascii="华文细黑" w:hAnsi="华文细黑" w:cs="华文细黑" w:eastAsia="华文细黑" w:hint="default"/>
          <w:spacing w:val="6"/>
        </w:rPr>
        <w:t> </w:t>
      </w:r>
      <w:r>
        <w:rPr>
          <w:spacing w:val="1"/>
        </w:rPr>
        <w:t>号）</w:t>
      </w:r>
      <w:r>
        <w:rPr>
          <w:spacing w:val="-49"/>
        </w:rPr>
        <w:t> </w:t>
      </w:r>
      <w:r>
        <w:rPr>
          <w:spacing w:val="-14"/>
        </w:rPr>
        <w:t>的核准，公司于</w:t>
      </w:r>
      <w:r>
        <w:rPr/>
        <w:t> </w:t>
      </w:r>
      <w:r>
        <w:rPr>
          <w:rFonts w:ascii="华文细黑" w:hAnsi="华文细黑" w:cs="华文细黑" w:eastAsia="华文细黑" w:hint="default"/>
        </w:rPr>
        <w:t>2010 </w:t>
      </w:r>
      <w:r>
        <w:rPr/>
        <w:t>年 </w:t>
      </w:r>
      <w:r>
        <w:rPr>
          <w:rFonts w:ascii="华文细黑" w:hAnsi="华文细黑" w:cs="华文细黑" w:eastAsia="华文细黑" w:hint="default"/>
        </w:rPr>
        <w:t>5 </w:t>
      </w:r>
      <w:r>
        <w:rPr/>
        <w:t>月 </w:t>
      </w:r>
      <w:r>
        <w:rPr>
          <w:rFonts w:ascii="华文细黑" w:hAnsi="华文细黑" w:cs="华文细黑" w:eastAsia="华文细黑" w:hint="default"/>
        </w:rPr>
        <w:t>17 </w:t>
      </w:r>
      <w:r>
        <w:rPr>
          <w:spacing w:val="-4"/>
        </w:rPr>
        <w:t>日分别采用网下配售方式向询价对象公开发行人民币普通股（</w:t>
      </w:r>
      <w:r>
        <w:rPr>
          <w:rFonts w:ascii="华文细黑" w:hAnsi="华文细黑" w:cs="华文细黑" w:eastAsia="华文细黑" w:hint="default"/>
          <w:spacing w:val="-4"/>
        </w:rPr>
        <w:t>A</w:t>
      </w:r>
      <w:r>
        <w:rPr>
          <w:rFonts w:ascii="华文细黑" w:hAnsi="华文细黑" w:cs="华文细黑" w:eastAsia="华文细黑" w:hint="default"/>
          <w:spacing w:val="18"/>
        </w:rPr>
        <w:t> </w:t>
      </w:r>
      <w:r>
        <w:rPr/>
        <w:t>股） </w:t>
      </w:r>
      <w:r>
        <w:rPr>
          <w:rFonts w:ascii="华文细黑" w:hAnsi="华文细黑" w:cs="华文细黑" w:eastAsia="华文细黑" w:hint="default"/>
        </w:rPr>
        <w:t>10,000,000 </w:t>
      </w:r>
      <w:r>
        <w:rPr>
          <w:spacing w:val="-3"/>
        </w:rPr>
        <w:t>股、网上定价方式公开发行人民币普通股（</w:t>
      </w:r>
      <w:r>
        <w:rPr>
          <w:rFonts w:ascii="华文细黑" w:hAnsi="华文细黑" w:cs="华文细黑" w:eastAsia="华文细黑" w:hint="default"/>
          <w:spacing w:val="-3"/>
        </w:rPr>
        <w:t>A </w:t>
      </w:r>
      <w:r>
        <w:rPr>
          <w:spacing w:val="-3"/>
        </w:rPr>
        <w:t>股）</w:t>
      </w:r>
      <w:r>
        <w:rPr>
          <w:rFonts w:ascii="华文细黑" w:hAnsi="华文细黑" w:cs="华文细黑" w:eastAsia="华文细黑" w:hint="default"/>
          <w:spacing w:val="-3"/>
        </w:rPr>
        <w:t>40,000,000 </w:t>
      </w:r>
      <w:r>
        <w:rPr>
          <w:spacing w:val="-3"/>
        </w:rPr>
        <w:t>股，共计公开发行人民币</w:t>
      </w:r>
      <w:r>
        <w:rPr>
          <w:spacing w:val="-23"/>
        </w:rPr>
        <w:t> </w:t>
      </w:r>
      <w:r>
        <w:rPr>
          <w:spacing w:val="-23"/>
        </w:rPr>
      </w:r>
      <w:r>
        <w:rPr>
          <w:spacing w:val="8"/>
        </w:rPr>
        <w:t>普通股（</w:t>
      </w:r>
      <w:r>
        <w:rPr>
          <w:rFonts w:ascii="华文细黑" w:hAnsi="华文细黑" w:cs="华文细黑" w:eastAsia="华文细黑" w:hint="default"/>
          <w:spacing w:val="8"/>
        </w:rPr>
        <w:t>A</w:t>
      </w:r>
      <w:r>
        <w:rPr>
          <w:rFonts w:ascii="华文细黑" w:hAnsi="华文细黑" w:cs="华文细黑" w:eastAsia="华文细黑" w:hint="default"/>
          <w:spacing w:val="12"/>
        </w:rPr>
        <w:t> </w:t>
      </w:r>
      <w:r>
        <w:rPr>
          <w:spacing w:val="1"/>
        </w:rPr>
        <w:t>股）</w:t>
      </w:r>
      <w:r>
        <w:rPr>
          <w:rFonts w:ascii="华文细黑" w:hAnsi="华文细黑" w:cs="华文细黑" w:eastAsia="华文细黑" w:hint="default"/>
          <w:spacing w:val="1"/>
        </w:rPr>
        <w:t>50,000,000</w:t>
      </w:r>
      <w:r>
        <w:rPr>
          <w:rFonts w:ascii="华文细黑" w:hAnsi="华文细黑" w:cs="华文细黑" w:eastAsia="华文细黑" w:hint="default"/>
          <w:spacing w:val="13"/>
        </w:rPr>
        <w:t> </w:t>
      </w:r>
      <w:r>
        <w:rPr>
          <w:spacing w:val="8"/>
        </w:rPr>
        <w:t>股（每股面值</w:t>
      </w:r>
      <w:r>
        <w:rPr>
          <w:spacing w:val="13"/>
        </w:rPr>
        <w:t> </w:t>
      </w:r>
      <w:r>
        <w:rPr>
          <w:rFonts w:ascii="华文细黑" w:hAnsi="华文细黑" w:cs="华文细黑" w:eastAsia="华文细黑" w:hint="default"/>
        </w:rPr>
        <w:t>1</w:t>
      </w:r>
      <w:r>
        <w:rPr>
          <w:rFonts w:ascii="华文细黑" w:hAnsi="华文细黑" w:cs="华文细黑" w:eastAsia="华文细黑" w:hint="default"/>
          <w:spacing w:val="13"/>
        </w:rPr>
        <w:t> </w:t>
      </w:r>
      <w:r>
        <w:rPr>
          <w:spacing w:val="8"/>
        </w:rPr>
        <w:t>元，发行价格</w:t>
      </w:r>
      <w:r>
        <w:rPr>
          <w:spacing w:val="14"/>
        </w:rPr>
        <w:t> </w:t>
      </w:r>
      <w:r>
        <w:rPr>
          <w:rFonts w:ascii="华文细黑" w:hAnsi="华文细黑" w:cs="华文细黑" w:eastAsia="华文细黑" w:hint="default"/>
        </w:rPr>
        <w:t>45.00</w:t>
      </w:r>
      <w:r>
        <w:rPr>
          <w:rFonts w:ascii="华文细黑" w:hAnsi="华文细黑" w:cs="华文细黑" w:eastAsia="华文细黑" w:hint="default"/>
          <w:spacing w:val="13"/>
        </w:rPr>
        <w:t> </w:t>
      </w:r>
      <w:r>
        <w:rPr/>
        <w:t>元），并申请增加注册资本</w:t>
      </w:r>
      <w:r>
        <w:rPr>
          <w:spacing w:val="-50"/>
        </w:rPr>
        <w:t> </w:t>
      </w:r>
      <w:r>
        <w:rPr>
          <w:spacing w:val="-50"/>
        </w:rPr>
      </w:r>
      <w:r>
        <w:rPr>
          <w:rFonts w:ascii="华文细黑" w:hAnsi="华文细黑" w:cs="华文细黑" w:eastAsia="华文细黑" w:hint="default"/>
        </w:rPr>
        <w:t>50,000,000.00</w:t>
      </w:r>
      <w:r>
        <w:rPr>
          <w:rFonts w:ascii="华文细黑" w:hAnsi="华文细黑" w:cs="华文细黑" w:eastAsia="华文细黑" w:hint="default"/>
          <w:spacing w:val="2"/>
        </w:rPr>
        <w:t> </w:t>
      </w:r>
      <w:r>
        <w:rPr>
          <w:spacing w:val="-7"/>
        </w:rPr>
        <w:t>元。</w:t>
      </w:r>
      <w:r>
        <w:rPr>
          <w:rFonts w:ascii="华文细黑" w:hAnsi="华文细黑" w:cs="华文细黑" w:eastAsia="华文细黑" w:hint="default"/>
          <w:spacing w:val="-7"/>
        </w:rPr>
        <w:t>2010</w:t>
      </w:r>
      <w:r>
        <w:rPr>
          <w:rFonts w:ascii="华文细黑" w:hAnsi="华文细黑" w:cs="华文细黑" w:eastAsia="华文细黑" w:hint="default"/>
          <w:spacing w:val="1"/>
        </w:rPr>
        <w:t> </w:t>
      </w:r>
      <w:r>
        <w:rPr/>
        <w:t>年</w:t>
      </w:r>
      <w:r>
        <w:rPr>
          <w:spacing w:val="1"/>
        </w:rPr>
        <w:t> </w:t>
      </w:r>
      <w:r>
        <w:rPr>
          <w:rFonts w:ascii="华文细黑" w:hAnsi="华文细黑" w:cs="华文细黑" w:eastAsia="华文细黑" w:hint="default"/>
        </w:rPr>
        <w:t>5</w:t>
      </w:r>
      <w:r>
        <w:rPr>
          <w:rFonts w:ascii="华文细黑" w:hAnsi="华文细黑" w:cs="华文细黑" w:eastAsia="华文细黑" w:hint="default"/>
          <w:spacing w:val="1"/>
        </w:rPr>
        <w:t> </w:t>
      </w:r>
      <w:r>
        <w:rPr/>
        <w:t>月</w:t>
      </w:r>
      <w:r>
        <w:rPr>
          <w:spacing w:val="1"/>
        </w:rPr>
        <w:t> </w:t>
      </w:r>
      <w:r>
        <w:rPr>
          <w:rFonts w:ascii="华文细黑" w:hAnsi="华文细黑" w:cs="华文细黑" w:eastAsia="华文细黑" w:hint="default"/>
        </w:rPr>
        <w:t>28</w:t>
      </w:r>
      <w:r>
        <w:rPr>
          <w:rFonts w:ascii="华文细黑" w:hAnsi="华文细黑" w:cs="华文细黑" w:eastAsia="华文细黑" w:hint="default"/>
          <w:spacing w:val="1"/>
        </w:rPr>
        <w:t> </w:t>
      </w:r>
      <w:r>
        <w:rPr>
          <w:spacing w:val="-5"/>
        </w:rPr>
        <w:t>日，本公司股票在深圳证券交易所挂牌上市交易，股票简称“爱</w:t>
      </w:r>
      <w:r>
        <w:rPr>
          <w:spacing w:val="-49"/>
        </w:rPr>
        <w:t> </w:t>
      </w:r>
      <w:r>
        <w:rPr>
          <w:spacing w:val="-49"/>
        </w:rPr>
      </w:r>
      <w:r>
        <w:rPr>
          <w:spacing w:val="-19"/>
        </w:rPr>
        <w:t>施德”，股票代码“</w:t>
      </w:r>
      <w:r>
        <w:rPr>
          <w:rFonts w:ascii="华文细黑" w:hAnsi="华文细黑" w:cs="华文细黑" w:eastAsia="华文细黑" w:hint="default"/>
          <w:spacing w:val="-19"/>
        </w:rPr>
        <w:t>002416</w:t>
      </w:r>
      <w:r>
        <w:rPr>
          <w:spacing w:val="-19"/>
        </w:rPr>
        <w:t>”。</w:t>
      </w:r>
      <w:r>
        <w:rPr/>
      </w:r>
    </w:p>
    <w:p>
      <w:pPr>
        <w:pStyle w:val="BodyText"/>
        <w:spacing w:line="240" w:lineRule="auto" w:before="63"/>
        <w:ind w:left="560" w:right="1246"/>
        <w:jc w:val="left"/>
        <w:rPr>
          <w:rFonts w:ascii="华文细黑" w:hAnsi="华文细黑" w:cs="华文细黑" w:eastAsia="华文细黑" w:hint="default"/>
        </w:rPr>
      </w:pPr>
      <w:r>
        <w:rPr/>
        <w:t>根据 </w:t>
      </w:r>
      <w:r>
        <w:rPr>
          <w:rFonts w:ascii="华文细黑" w:hAnsi="华文细黑" w:cs="华文细黑" w:eastAsia="华文细黑" w:hint="default"/>
        </w:rPr>
        <w:t>2011 </w:t>
      </w:r>
      <w:r>
        <w:rPr/>
        <w:t>年 </w:t>
      </w:r>
      <w:r>
        <w:rPr>
          <w:rFonts w:ascii="华文细黑" w:hAnsi="华文细黑" w:cs="华文细黑" w:eastAsia="华文细黑" w:hint="default"/>
        </w:rPr>
        <w:t>11 </w:t>
      </w:r>
      <w:r>
        <w:rPr/>
        <w:t>月 </w:t>
      </w:r>
      <w:r>
        <w:rPr>
          <w:rFonts w:ascii="华文细黑" w:hAnsi="华文细黑" w:cs="华文细黑" w:eastAsia="华文细黑" w:hint="default"/>
        </w:rPr>
        <w:t>8 </w:t>
      </w:r>
      <w:r>
        <w:rPr/>
        <w:t>日第二次临时股东大会决议，公司申请新增的注册资本为人民币 </w:t>
      </w:r>
      <w:r>
        <w:rPr>
          <w:spacing w:val="6"/>
        </w:rPr>
        <w:t> </w:t>
      </w:r>
      <w:r>
        <w:rPr>
          <w:rFonts w:ascii="华文细黑" w:hAnsi="华文细黑" w:cs="华文细黑" w:eastAsia="华文细黑" w:hint="default"/>
        </w:rPr>
        <w:t>49,330</w:t>
      </w:r>
    </w:p>
    <w:p>
      <w:pPr>
        <w:pStyle w:val="BodyText"/>
        <w:spacing w:line="240" w:lineRule="auto" w:before="104"/>
        <w:ind w:right="0"/>
        <w:jc w:val="both"/>
      </w:pPr>
      <w:r>
        <w:rPr/>
        <w:t>万元，公司按每 </w:t>
      </w:r>
      <w:r>
        <w:rPr>
          <w:rFonts w:ascii="华文细黑" w:hAnsi="华文细黑" w:cs="华文细黑" w:eastAsia="华文细黑" w:hint="default"/>
        </w:rPr>
        <w:t>10 </w:t>
      </w:r>
      <w:r>
        <w:rPr/>
        <w:t>股转增 </w:t>
      </w:r>
      <w:r>
        <w:rPr>
          <w:rFonts w:ascii="华文细黑" w:hAnsi="华文细黑" w:cs="华文细黑" w:eastAsia="华文细黑" w:hint="default"/>
        </w:rPr>
        <w:t>10 </w:t>
      </w:r>
      <w:r>
        <w:rPr/>
        <w:t>股的比例，以资本公积金向全体股东转增股份总额 </w:t>
      </w:r>
      <w:r>
        <w:rPr>
          <w:rFonts w:ascii="华文细黑" w:hAnsi="华文细黑" w:cs="华文细黑" w:eastAsia="华文细黑" w:hint="default"/>
        </w:rPr>
        <w:t>49,330</w:t>
      </w:r>
      <w:r>
        <w:rPr>
          <w:rFonts w:ascii="华文细黑" w:hAnsi="华文细黑" w:cs="华文细黑" w:eastAsia="华文细黑" w:hint="default"/>
          <w:spacing w:val="42"/>
        </w:rPr>
        <w:t> </w:t>
      </w:r>
      <w:r>
        <w:rPr/>
        <w:t>万股，每</w:t>
      </w:r>
    </w:p>
    <w:p>
      <w:pPr>
        <w:pStyle w:val="BodyText"/>
        <w:spacing w:line="324" w:lineRule="auto" w:before="103"/>
        <w:ind w:right="1436"/>
        <w:jc w:val="both"/>
      </w:pPr>
      <w:r>
        <w:rPr/>
        <w:t>股面值 </w:t>
      </w:r>
      <w:r>
        <w:rPr>
          <w:rFonts w:ascii="华文细黑" w:hAnsi="华文细黑" w:cs="华文细黑" w:eastAsia="华文细黑" w:hint="default"/>
        </w:rPr>
        <w:t>1.00 </w:t>
      </w:r>
      <w:r>
        <w:rPr/>
        <w:t>元，合计增加股本人民币 </w:t>
      </w:r>
      <w:r>
        <w:rPr>
          <w:rFonts w:ascii="华文细黑" w:hAnsi="华文细黑" w:cs="华文细黑" w:eastAsia="华文细黑" w:hint="default"/>
        </w:rPr>
        <w:t>49,330 </w:t>
      </w:r>
      <w:r>
        <w:rPr/>
        <w:t>万元。转增后总股本为人民币 </w:t>
      </w:r>
      <w:r>
        <w:rPr>
          <w:rFonts w:ascii="华文细黑" w:hAnsi="华文细黑" w:cs="华文细黑" w:eastAsia="华文细黑" w:hint="default"/>
        </w:rPr>
        <w:t>98,660</w:t>
      </w:r>
      <w:r>
        <w:rPr>
          <w:rFonts w:ascii="华文细黑" w:hAnsi="华文细黑" w:cs="华文细黑" w:eastAsia="华文细黑" w:hint="default"/>
          <w:spacing w:val="40"/>
        </w:rPr>
        <w:t> </w:t>
      </w:r>
      <w:r>
        <w:rPr/>
        <w:t>万元。其中深 圳市神州通投资集团有限公司持有本公司股权 </w:t>
      </w:r>
      <w:r>
        <w:rPr>
          <w:rFonts w:ascii="华文细黑" w:hAnsi="华文细黑" w:cs="华文细黑" w:eastAsia="华文细黑" w:hint="default"/>
        </w:rPr>
        <w:t>60,450 </w:t>
      </w:r>
      <w:r>
        <w:rPr>
          <w:spacing w:val="-7"/>
        </w:rPr>
        <w:t>万元，持股比例</w:t>
      </w:r>
      <w:r>
        <w:rPr>
          <w:spacing w:val="6"/>
        </w:rPr>
        <w:t> </w:t>
      </w:r>
      <w:r>
        <w:rPr>
          <w:rFonts w:ascii="华文细黑" w:hAnsi="华文细黑" w:cs="华文细黑" w:eastAsia="华文细黑" w:hint="default"/>
          <w:spacing w:val="-3"/>
        </w:rPr>
        <w:t>61.2710</w:t>
      </w:r>
      <w:r>
        <w:rPr>
          <w:spacing w:val="-3"/>
        </w:rPr>
        <w:t>％，深圳市全球星投</w:t>
      </w:r>
      <w:r>
        <w:rPr/>
        <w:t> 资管理有限公司持有本公司股权 </w:t>
      </w:r>
      <w:r>
        <w:rPr>
          <w:rFonts w:ascii="华文细黑" w:hAnsi="华文细黑" w:cs="华文细黑" w:eastAsia="华文细黑" w:hint="default"/>
        </w:rPr>
        <w:t>20,150 </w:t>
      </w:r>
      <w:r>
        <w:rPr/>
        <w:t>万元，持股比例 </w:t>
      </w:r>
      <w:r>
        <w:rPr>
          <w:rFonts w:ascii="华文细黑" w:hAnsi="华文细黑" w:cs="华文细黑" w:eastAsia="华文细黑" w:hint="default"/>
        </w:rPr>
        <w:t>20.4237</w:t>
      </w:r>
      <w:r>
        <w:rPr/>
        <w:t>％，黄绍武和黄文辉等 </w:t>
      </w:r>
      <w:r>
        <w:rPr>
          <w:rFonts w:ascii="华文细黑" w:hAnsi="华文细黑" w:cs="华文细黑" w:eastAsia="华文细黑" w:hint="default"/>
        </w:rPr>
        <w:t>92</w:t>
      </w:r>
      <w:r>
        <w:rPr>
          <w:rFonts w:ascii="华文细黑" w:hAnsi="华文细黑" w:cs="华文细黑" w:eastAsia="华文细黑" w:hint="default"/>
          <w:spacing w:val="-10"/>
        </w:rPr>
        <w:t> </w:t>
      </w:r>
      <w:r>
        <w:rPr/>
        <w:t>名自然 人持有本公司股权 </w:t>
      </w:r>
      <w:r>
        <w:rPr>
          <w:rFonts w:ascii="华文细黑" w:hAnsi="华文细黑" w:cs="华文细黑" w:eastAsia="华文细黑" w:hint="default"/>
        </w:rPr>
        <w:t>4,867 </w:t>
      </w:r>
      <w:r>
        <w:rPr/>
        <w:t>万元，持股比例 </w:t>
      </w:r>
      <w:r>
        <w:rPr>
          <w:rFonts w:ascii="华文细黑" w:hAnsi="华文细黑" w:cs="华文细黑" w:eastAsia="华文细黑" w:hint="default"/>
        </w:rPr>
        <w:t>4.9334</w:t>
      </w:r>
      <w:r>
        <w:rPr/>
        <w:t>％，社会公众普通股（</w:t>
      </w:r>
      <w:r>
        <w:rPr>
          <w:rFonts w:ascii="华文细黑" w:hAnsi="华文细黑" w:cs="华文细黑" w:eastAsia="华文细黑" w:hint="default"/>
        </w:rPr>
        <w:t>A </w:t>
      </w:r>
      <w:r>
        <w:rPr/>
        <w:t>股）</w:t>
      </w:r>
      <w:r>
        <w:rPr>
          <w:rFonts w:ascii="华文细黑" w:hAnsi="华文细黑" w:cs="华文细黑" w:eastAsia="华文细黑" w:hint="default"/>
        </w:rPr>
        <w:t>13,193</w:t>
      </w:r>
      <w:r>
        <w:rPr>
          <w:rFonts w:ascii="华文细黑" w:hAnsi="华文细黑" w:cs="华文细黑" w:eastAsia="华文细黑" w:hint="default"/>
          <w:spacing w:val="30"/>
        </w:rPr>
        <w:t> </w:t>
      </w:r>
      <w:r>
        <w:rPr/>
        <w:t>万元，持股 比例</w:t>
      </w:r>
      <w:r>
        <w:rPr>
          <w:spacing w:val="-1"/>
        </w:rPr>
        <w:t> </w:t>
      </w:r>
      <w:r>
        <w:rPr>
          <w:rFonts w:ascii="华文细黑" w:hAnsi="华文细黑" w:cs="华文细黑" w:eastAsia="华文细黑" w:hint="default"/>
        </w:rPr>
        <w:t>13.3719</w:t>
      </w:r>
      <w:r>
        <w:rPr/>
        <w:t>％。</w:t>
      </w:r>
    </w:p>
    <w:p>
      <w:pPr>
        <w:pStyle w:val="BodyText"/>
        <w:spacing w:line="324" w:lineRule="auto" w:before="64"/>
        <w:ind w:right="1438" w:firstLine="420"/>
        <w:jc w:val="both"/>
        <w:rPr>
          <w:rFonts w:ascii="华文细黑" w:hAnsi="华文细黑" w:cs="华文细黑" w:eastAsia="华文细黑" w:hint="default"/>
        </w:rPr>
      </w:pPr>
      <w:r>
        <w:rPr/>
        <w:t>根据 </w:t>
      </w:r>
      <w:r>
        <w:rPr>
          <w:rFonts w:ascii="华文细黑" w:hAnsi="华文细黑" w:cs="华文细黑" w:eastAsia="华文细黑" w:hint="default"/>
        </w:rPr>
        <w:t>2011 </w:t>
      </w:r>
      <w:r>
        <w:rPr/>
        <w:t>年 </w:t>
      </w:r>
      <w:r>
        <w:rPr>
          <w:rFonts w:ascii="华文细黑" w:hAnsi="华文细黑" w:cs="华文细黑" w:eastAsia="华文细黑" w:hint="default"/>
        </w:rPr>
        <w:t>10 </w:t>
      </w:r>
      <w:r>
        <w:rPr/>
        <w:t>月 </w:t>
      </w:r>
      <w:r>
        <w:rPr>
          <w:rFonts w:ascii="华文细黑" w:hAnsi="华文细黑" w:cs="华文细黑" w:eastAsia="华文细黑" w:hint="default"/>
        </w:rPr>
        <w:t>11</w:t>
      </w:r>
      <w:r>
        <w:rPr>
          <w:rFonts w:ascii="华文细黑" w:hAnsi="华文细黑" w:cs="华文细黑" w:eastAsia="华文细黑" w:hint="default"/>
          <w:spacing w:val="5"/>
        </w:rPr>
        <w:t> </w:t>
      </w:r>
      <w:r>
        <w:rPr/>
        <w:t>日第一次临时股东大会决议和修改后的章程规定，公司以限制性股票激 </w:t>
      </w:r>
      <w:r>
        <w:rPr>
          <w:spacing w:val="-1"/>
        </w:rPr>
        <w:t>励的方式向公司董事、高级管理人员以及公司董事会认为需要进行激励的相关员工（不包括独立董</w:t>
      </w:r>
      <w:r>
        <w:rPr>
          <w:spacing w:val="-16"/>
        </w:rPr>
        <w:t> </w:t>
      </w:r>
      <w:r>
        <w:rPr>
          <w:spacing w:val="-16"/>
        </w:rPr>
      </w:r>
      <w:r>
        <w:rPr/>
        <w:t>事及监事，共计 </w:t>
      </w:r>
      <w:r>
        <w:rPr>
          <w:rFonts w:ascii="华文细黑" w:hAnsi="华文细黑" w:cs="华文细黑" w:eastAsia="华文细黑" w:hint="default"/>
        </w:rPr>
        <w:t>21 </w:t>
      </w:r>
      <w:r>
        <w:rPr/>
        <w:t>人）发行限制性股票，共计人民币普通股（</w:t>
      </w:r>
      <w:r>
        <w:rPr>
          <w:rFonts w:ascii="华文细黑" w:hAnsi="华文细黑" w:cs="华文细黑" w:eastAsia="华文细黑" w:hint="default"/>
        </w:rPr>
        <w:t>A </w:t>
      </w:r>
      <w:r>
        <w:rPr/>
        <w:t>股）</w:t>
      </w:r>
      <w:r>
        <w:rPr>
          <w:rFonts w:ascii="华文细黑" w:hAnsi="华文细黑" w:cs="华文细黑" w:eastAsia="华文细黑" w:hint="default"/>
        </w:rPr>
        <w:t>1,250 </w:t>
      </w:r>
      <w:r>
        <w:rPr/>
        <w:t>万股，每股面值为   </w:t>
      </w:r>
      <w:r>
        <w:rPr>
          <w:spacing w:val="15"/>
        </w:rPr>
        <w:t> </w:t>
      </w:r>
      <w:r>
        <w:rPr>
          <w:rFonts w:ascii="华文细黑" w:hAnsi="华文细黑" w:cs="华文细黑" w:eastAsia="华文细黑" w:hint="default"/>
        </w:rPr>
        <w:t>1</w:t>
      </w:r>
    </w:p>
    <w:p>
      <w:pPr>
        <w:pStyle w:val="BodyText"/>
        <w:spacing w:line="240" w:lineRule="auto" w:before="23"/>
        <w:ind w:right="0"/>
        <w:jc w:val="both"/>
      </w:pPr>
      <w:r>
        <w:rPr>
          <w:spacing w:val="-3"/>
        </w:rPr>
        <w:t>元，该股票的授予价格为每股 </w:t>
      </w:r>
      <w:r>
        <w:rPr>
          <w:rFonts w:ascii="华文细黑" w:hAnsi="华文细黑" w:cs="华文细黑" w:eastAsia="华文细黑" w:hint="default"/>
        </w:rPr>
        <w:t>8.75</w:t>
      </w:r>
      <w:r>
        <w:rPr>
          <w:rFonts w:ascii="华文细黑" w:hAnsi="华文细黑" w:cs="华文细黑" w:eastAsia="华文细黑" w:hint="default"/>
          <w:spacing w:val="26"/>
        </w:rPr>
        <w:t> </w:t>
      </w:r>
      <w:r>
        <w:rPr>
          <w:spacing w:val="-3"/>
        </w:rPr>
        <w:t>元，出资方式全部为货币资金。本次变更后公司的注册资本为人</w:t>
      </w:r>
    </w:p>
    <w:p>
      <w:pPr>
        <w:pStyle w:val="BodyText"/>
        <w:spacing w:line="324" w:lineRule="auto" w:before="103"/>
        <w:ind w:right="1433"/>
        <w:jc w:val="both"/>
      </w:pPr>
      <w:r>
        <w:rPr/>
        <w:t>民币 </w:t>
      </w:r>
      <w:r>
        <w:rPr>
          <w:rFonts w:ascii="华文细黑" w:hAnsi="华文细黑" w:cs="华文细黑" w:eastAsia="华文细黑" w:hint="default"/>
        </w:rPr>
        <w:t>99,910 </w:t>
      </w:r>
      <w:r>
        <w:rPr/>
        <w:t>万元。其中深圳市神州通投资集团有限公司持有本公司股权 </w:t>
      </w:r>
      <w:r>
        <w:rPr>
          <w:rFonts w:ascii="华文细黑" w:hAnsi="华文细黑" w:cs="华文细黑" w:eastAsia="华文细黑" w:hint="default"/>
        </w:rPr>
        <w:t>60,450</w:t>
      </w:r>
      <w:r>
        <w:rPr>
          <w:rFonts w:ascii="华文细黑" w:hAnsi="华文细黑" w:cs="华文细黑" w:eastAsia="华文细黑" w:hint="default"/>
          <w:spacing w:val="26"/>
        </w:rPr>
        <w:t> </w:t>
      </w:r>
      <w:r>
        <w:rPr/>
        <w:t>万元，持股比例 </w:t>
      </w:r>
      <w:r>
        <w:rPr>
          <w:rFonts w:ascii="华文细黑" w:hAnsi="华文细黑" w:cs="华文细黑" w:eastAsia="华文细黑" w:hint="default"/>
        </w:rPr>
        <w:t>60.5045</w:t>
      </w:r>
      <w:r>
        <w:rPr/>
        <w:t>％，深圳市全球星投资管理有限公司持有本公司股权 </w:t>
      </w:r>
      <w:r>
        <w:rPr>
          <w:rFonts w:ascii="华文细黑" w:hAnsi="华文细黑" w:cs="华文细黑" w:eastAsia="华文细黑" w:hint="default"/>
        </w:rPr>
        <w:t>20,150 </w:t>
      </w:r>
      <w:r>
        <w:rPr/>
        <w:t>万元，持股比例</w:t>
      </w:r>
      <w:r>
        <w:rPr>
          <w:spacing w:val="-1"/>
        </w:rPr>
        <w:t> </w:t>
      </w:r>
      <w:r>
        <w:rPr>
          <w:rFonts w:ascii="华文细黑" w:hAnsi="华文细黑" w:cs="华文细黑" w:eastAsia="华文细黑" w:hint="default"/>
        </w:rPr>
        <w:t>20.1681</w:t>
      </w:r>
      <w:r>
        <w:rPr/>
        <w:t>％， 黄绍武和黄文辉等 </w:t>
      </w:r>
      <w:r>
        <w:rPr>
          <w:rFonts w:ascii="华文细黑" w:hAnsi="华文细黑" w:cs="华文细黑" w:eastAsia="华文细黑" w:hint="default"/>
        </w:rPr>
        <w:t>98 </w:t>
      </w:r>
      <w:r>
        <w:rPr/>
        <w:t>名自然人持有本公司股权 </w:t>
      </w:r>
      <w:r>
        <w:rPr>
          <w:rFonts w:ascii="华文细黑" w:hAnsi="华文细黑" w:cs="华文细黑" w:eastAsia="华文细黑" w:hint="default"/>
        </w:rPr>
        <w:t>6,117 </w:t>
      </w:r>
      <w:r>
        <w:rPr/>
        <w:t>万元，持股比例</w:t>
      </w:r>
      <w:r>
        <w:rPr>
          <w:spacing w:val="14"/>
        </w:rPr>
        <w:t> </w:t>
      </w:r>
      <w:r>
        <w:rPr>
          <w:rFonts w:ascii="华文细黑" w:hAnsi="华文细黑" w:cs="华文细黑" w:eastAsia="华文细黑" w:hint="default"/>
        </w:rPr>
        <w:t>6.1228</w:t>
      </w:r>
      <w:r>
        <w:rPr/>
        <w:t>％，社会公众普通股</w:t>
      </w:r>
    </w:p>
    <w:p>
      <w:pPr>
        <w:pStyle w:val="BodyText"/>
        <w:spacing w:line="324" w:lineRule="auto" w:before="23"/>
        <w:ind w:right="1437"/>
        <w:jc w:val="both"/>
      </w:pPr>
      <w:r>
        <w:rPr/>
        <w:t>（</w:t>
      </w:r>
      <w:r>
        <w:rPr>
          <w:rFonts w:ascii="华文细黑" w:hAnsi="华文细黑" w:cs="华文细黑" w:eastAsia="华文细黑" w:hint="default"/>
        </w:rPr>
        <w:t>A </w:t>
      </w:r>
      <w:r>
        <w:rPr/>
        <w:t>股）</w:t>
      </w:r>
      <w:r>
        <w:rPr>
          <w:rFonts w:ascii="华文细黑" w:hAnsi="华文细黑" w:cs="华文细黑" w:eastAsia="华文细黑" w:hint="default"/>
        </w:rPr>
        <w:t>13,193 </w:t>
      </w:r>
      <w:r>
        <w:rPr/>
        <w:t>万元，持股比例 </w:t>
      </w:r>
      <w:r>
        <w:rPr>
          <w:rFonts w:ascii="华文细黑" w:hAnsi="华文细黑" w:cs="华文细黑" w:eastAsia="华文细黑" w:hint="default"/>
        </w:rPr>
        <w:t>13.2046</w:t>
      </w:r>
      <w:r>
        <w:rPr/>
        <w:t>％。</w:t>
      </w:r>
      <w:r>
        <w:rPr>
          <w:rFonts w:ascii="华文细黑" w:hAnsi="华文细黑" w:cs="华文细黑" w:eastAsia="华文细黑" w:hint="default"/>
        </w:rPr>
        <w:t>2011 </w:t>
      </w:r>
      <w:r>
        <w:rPr/>
        <w:t>年 </w:t>
      </w:r>
      <w:r>
        <w:rPr>
          <w:rFonts w:ascii="华文细黑" w:hAnsi="华文细黑" w:cs="华文细黑" w:eastAsia="华文细黑" w:hint="default"/>
        </w:rPr>
        <w:t>10 </w:t>
      </w:r>
      <w:r>
        <w:rPr/>
        <w:t>月 </w:t>
      </w:r>
      <w:r>
        <w:rPr>
          <w:rFonts w:ascii="华文细黑" w:hAnsi="华文细黑" w:cs="华文细黑" w:eastAsia="华文细黑" w:hint="default"/>
        </w:rPr>
        <w:t>29</w:t>
      </w:r>
      <w:r>
        <w:rPr>
          <w:rFonts w:ascii="华文细黑" w:hAnsi="华文细黑" w:cs="华文细黑" w:eastAsia="华文细黑" w:hint="default"/>
          <w:spacing w:val="26"/>
        </w:rPr>
        <w:t> </w:t>
      </w:r>
      <w:r>
        <w:rPr/>
        <w:t>日，公司完成工商变更登记，变更 后的注册资本为 </w:t>
      </w:r>
      <w:r>
        <w:rPr>
          <w:rFonts w:ascii="华文细黑" w:hAnsi="华文细黑" w:cs="华文细黑" w:eastAsia="华文细黑" w:hint="default"/>
        </w:rPr>
        <w:t>99,910 </w:t>
      </w:r>
      <w:r>
        <w:rPr/>
        <w:t>万元。</w:t>
      </w:r>
    </w:p>
    <w:p>
      <w:pPr>
        <w:pStyle w:val="BodyText"/>
        <w:spacing w:line="240" w:lineRule="auto" w:before="63"/>
        <w:ind w:left="560" w:right="1246"/>
        <w:jc w:val="left"/>
      </w:pPr>
      <w:r>
        <w:rPr>
          <w:rFonts w:ascii="华文细黑" w:hAnsi="华文细黑" w:cs="华文细黑" w:eastAsia="华文细黑" w:hint="default"/>
        </w:rPr>
        <w:t>2013 </w:t>
      </w:r>
      <w:r>
        <w:rPr/>
        <w:t>年 </w:t>
      </w:r>
      <w:r>
        <w:rPr>
          <w:rFonts w:ascii="华文细黑" w:hAnsi="华文细黑" w:cs="华文细黑" w:eastAsia="华文细黑" w:hint="default"/>
        </w:rPr>
        <w:t>10 </w:t>
      </w:r>
      <w:r>
        <w:rPr/>
        <w:t>月 </w:t>
      </w:r>
      <w:r>
        <w:rPr>
          <w:rFonts w:ascii="华文细黑" w:hAnsi="华文细黑" w:cs="华文细黑" w:eastAsia="华文细黑" w:hint="default"/>
        </w:rPr>
        <w:t>18 </w:t>
      </w:r>
      <w:r>
        <w:rPr>
          <w:rFonts w:ascii="华文细黑" w:hAnsi="华文细黑" w:cs="华文细黑" w:eastAsia="华文细黑" w:hint="default"/>
          <w:spacing w:val="7"/>
        </w:rPr>
        <w:t> </w:t>
      </w:r>
      <w:r>
        <w:rPr/>
        <w:t>日，深圳市全球星投资管理有限公司向其全资子企业新余全球星投资管理有</w:t>
      </w:r>
    </w:p>
    <w:p>
      <w:pPr>
        <w:pStyle w:val="BodyText"/>
        <w:spacing w:line="240" w:lineRule="auto" w:before="104"/>
        <w:ind w:right="0"/>
        <w:jc w:val="both"/>
      </w:pPr>
      <w:r>
        <w:rPr/>
        <w:t>限公司（原名西藏山南全球星商业服务有限公司）转让其所持本公司股权 </w:t>
      </w:r>
      <w:r>
        <w:rPr>
          <w:rFonts w:ascii="华文细黑" w:hAnsi="华文细黑" w:cs="华文细黑" w:eastAsia="华文细黑" w:hint="default"/>
        </w:rPr>
        <w:t>9,500</w:t>
      </w:r>
      <w:r>
        <w:rPr>
          <w:rFonts w:ascii="华文细黑" w:hAnsi="华文细黑" w:cs="华文细黑" w:eastAsia="华文细黑" w:hint="default"/>
          <w:spacing w:val="-6"/>
        </w:rPr>
        <w:t> </w:t>
      </w:r>
      <w:r>
        <w:rPr/>
        <w:t>万元，股权比例为</w:t>
      </w:r>
    </w:p>
    <w:p>
      <w:pPr>
        <w:pStyle w:val="BodyText"/>
        <w:spacing w:line="324" w:lineRule="auto" w:before="103"/>
        <w:ind w:right="1436"/>
        <w:jc w:val="both"/>
      </w:pPr>
      <w:r>
        <w:rPr>
          <w:rFonts w:ascii="华文细黑" w:hAnsi="华文细黑" w:cs="华文细黑" w:eastAsia="华文细黑" w:hint="default"/>
        </w:rPr>
        <w:t>9.5086%</w:t>
      </w:r>
      <w:r>
        <w:rPr/>
        <w:t>。本次股份协议转让完成后，新余全球星投资管理有限公司持有本公司股权 </w:t>
      </w:r>
      <w:r>
        <w:rPr>
          <w:rFonts w:ascii="华文细黑" w:hAnsi="华文细黑" w:cs="华文细黑" w:eastAsia="华文细黑" w:hint="default"/>
        </w:rPr>
        <w:t>9,500</w:t>
      </w:r>
      <w:r>
        <w:rPr>
          <w:rFonts w:ascii="华文细黑" w:hAnsi="华文细黑" w:cs="华文细黑" w:eastAsia="华文细黑" w:hint="default"/>
          <w:spacing w:val="33"/>
        </w:rPr>
        <w:t> </w:t>
      </w:r>
      <w:r>
        <w:rPr/>
        <w:t>万元， 持股比例 </w:t>
      </w:r>
      <w:r>
        <w:rPr>
          <w:rFonts w:ascii="华文细黑" w:hAnsi="华文细黑" w:cs="华文细黑" w:eastAsia="华文细黑" w:hint="default"/>
        </w:rPr>
        <w:t>9.5086%</w:t>
      </w:r>
      <w:r>
        <w:rPr/>
        <w:t>；深圳市全球星投资管理有限公司直接持有本公司股权 </w:t>
      </w:r>
      <w:r>
        <w:rPr>
          <w:rFonts w:ascii="华文细黑" w:hAnsi="华文细黑" w:cs="华文细黑" w:eastAsia="华文细黑" w:hint="default"/>
        </w:rPr>
        <w:t>10,650</w:t>
      </w:r>
      <w:r>
        <w:rPr>
          <w:rFonts w:ascii="华文细黑" w:hAnsi="华文细黑" w:cs="华文细黑" w:eastAsia="华文细黑" w:hint="default"/>
          <w:spacing w:val="21"/>
        </w:rPr>
        <w:t> </w:t>
      </w:r>
      <w:r>
        <w:rPr/>
        <w:t>万元，通过全资 </w:t>
      </w:r>
      <w:r>
        <w:rPr>
          <w:spacing w:val="13"/>
        </w:rPr>
        <w:t>子企业新余全球星投资管理有限公司间接持有本公司股权 </w:t>
      </w:r>
      <w:r>
        <w:rPr>
          <w:rFonts w:ascii="华文细黑" w:hAnsi="华文细黑" w:cs="华文细黑" w:eastAsia="华文细黑" w:hint="default"/>
        </w:rPr>
        <w:t>9,500</w:t>
      </w:r>
      <w:r>
        <w:rPr>
          <w:rFonts w:ascii="华文细黑" w:hAnsi="华文细黑" w:cs="华文细黑" w:eastAsia="华文细黑" w:hint="default"/>
          <w:spacing w:val="17"/>
        </w:rPr>
        <w:t> </w:t>
      </w:r>
      <w:r>
        <w:rPr>
          <w:spacing w:val="12"/>
        </w:rPr>
        <w:t>万元，合计持有本公司股权</w:t>
      </w:r>
      <w:r>
        <w:rPr/>
        <w:t> </w:t>
      </w:r>
      <w:r>
        <w:rPr>
          <w:rFonts w:ascii="华文细黑" w:hAnsi="华文细黑" w:cs="华文细黑" w:eastAsia="华文细黑" w:hint="default"/>
        </w:rPr>
        <w:t>20.1681%</w:t>
      </w:r>
      <w:r>
        <w:rPr/>
        <w:t>。</w:t>
      </w:r>
    </w:p>
    <w:p>
      <w:pPr>
        <w:pStyle w:val="BodyText"/>
        <w:spacing w:line="324" w:lineRule="auto" w:before="64"/>
        <w:ind w:right="1436" w:firstLine="420"/>
        <w:jc w:val="both"/>
      </w:pPr>
      <w:r>
        <w:rPr/>
        <w:t>根据公司 </w:t>
      </w:r>
      <w:r>
        <w:rPr>
          <w:rFonts w:ascii="华文细黑" w:hAnsi="华文细黑" w:cs="华文细黑" w:eastAsia="华文细黑" w:hint="default"/>
        </w:rPr>
        <w:t>2014 </w:t>
      </w:r>
      <w:r>
        <w:rPr/>
        <w:t>年 </w:t>
      </w:r>
      <w:r>
        <w:rPr>
          <w:rFonts w:ascii="华文细黑" w:hAnsi="华文细黑" w:cs="华文细黑" w:eastAsia="华文细黑" w:hint="default"/>
        </w:rPr>
        <w:t>4 </w:t>
      </w:r>
      <w:r>
        <w:rPr/>
        <w:t>月 </w:t>
      </w:r>
      <w:r>
        <w:rPr>
          <w:rFonts w:ascii="华文细黑" w:hAnsi="华文细黑" w:cs="华文细黑" w:eastAsia="华文细黑" w:hint="default"/>
        </w:rPr>
        <w:t>18</w:t>
      </w:r>
      <w:r>
        <w:rPr>
          <w:rFonts w:ascii="华文细黑" w:hAnsi="华文细黑" w:cs="华文细黑" w:eastAsia="华文细黑" w:hint="default"/>
          <w:spacing w:val="3"/>
        </w:rPr>
        <w:t> </w:t>
      </w:r>
      <w:r>
        <w:rPr>
          <w:spacing w:val="-3"/>
        </w:rPr>
        <w:t>日第三届董事会第八次（定期）会议审议通过的《关于确认第二期股</w:t>
      </w:r>
      <w:r>
        <w:rPr/>
        <w:t> </w:t>
      </w:r>
      <w:r>
        <w:rPr>
          <w:spacing w:val="-1"/>
        </w:rPr>
        <w:t>票期权激励计划第一个行权期符合行权条件及相关事项的议案》，第二期股票期权的激励对象在规</w:t>
      </w:r>
      <w:r>
        <w:rPr>
          <w:spacing w:val="-29"/>
        </w:rPr>
        <w:t> </w:t>
      </w:r>
      <w:r>
        <w:rPr>
          <w:spacing w:val="-29"/>
        </w:rPr>
      </w:r>
      <w:r>
        <w:rPr/>
        <w:t>定的行权期内采用自主行权的方式进行行权。截至</w:t>
      </w:r>
      <w:r>
        <w:rPr>
          <w:spacing w:val="-7"/>
        </w:rPr>
        <w:t> </w:t>
      </w:r>
      <w:r>
        <w:rPr>
          <w:rFonts w:ascii="华文细黑" w:hAnsi="华文细黑" w:cs="华文细黑" w:eastAsia="华文细黑" w:hint="default"/>
        </w:rPr>
        <w:t>2015</w:t>
      </w:r>
      <w:r>
        <w:rPr>
          <w:rFonts w:ascii="华文细黑" w:hAnsi="华文细黑" w:cs="华文细黑" w:eastAsia="华文细黑" w:hint="default"/>
          <w:spacing w:val="-7"/>
        </w:rPr>
        <w:t> </w:t>
      </w:r>
      <w:r>
        <w:rPr/>
        <w:t>年</w:t>
      </w:r>
      <w:r>
        <w:rPr>
          <w:spacing w:val="-7"/>
        </w:rPr>
        <w:t> </w:t>
      </w:r>
      <w:r>
        <w:rPr>
          <w:rFonts w:ascii="华文细黑" w:hAnsi="华文细黑" w:cs="华文细黑" w:eastAsia="华文细黑" w:hint="default"/>
        </w:rPr>
        <w:t>4</w:t>
      </w:r>
      <w:r>
        <w:rPr>
          <w:rFonts w:ascii="华文细黑" w:hAnsi="华文细黑" w:cs="华文细黑" w:eastAsia="华文细黑" w:hint="default"/>
          <w:spacing w:val="-8"/>
        </w:rPr>
        <w:t> </w:t>
      </w:r>
      <w:r>
        <w:rPr/>
        <w:t>月</w:t>
      </w:r>
      <w:r>
        <w:rPr>
          <w:spacing w:val="-7"/>
        </w:rPr>
        <w:t> </w:t>
      </w:r>
      <w:r>
        <w:rPr>
          <w:rFonts w:ascii="华文细黑" w:hAnsi="华文细黑" w:cs="华文细黑" w:eastAsia="华文细黑" w:hint="default"/>
        </w:rPr>
        <w:t>22</w:t>
      </w:r>
      <w:r>
        <w:rPr>
          <w:rFonts w:ascii="华文细黑" w:hAnsi="华文细黑" w:cs="华文细黑" w:eastAsia="华文细黑" w:hint="default"/>
          <w:spacing w:val="-7"/>
        </w:rPr>
        <w:t> </w:t>
      </w:r>
      <w:r>
        <w:rPr>
          <w:spacing w:val="-3"/>
        </w:rPr>
        <w:t>日，公司第二期股票期权激励计</w:t>
      </w:r>
    </w:p>
    <w:p>
      <w:pPr>
        <w:pStyle w:val="BodyText"/>
        <w:spacing w:line="240" w:lineRule="auto" w:before="25"/>
        <w:ind w:right="0"/>
        <w:jc w:val="both"/>
      </w:pPr>
      <w:r>
        <w:rPr/>
        <w:t>划第一个行权期结束，本期符合行权条件的激励对象已经自主行权股票期权共计 </w:t>
      </w:r>
      <w:r>
        <w:rPr>
          <w:rFonts w:ascii="华文细黑" w:hAnsi="华文细黑" w:cs="华文细黑" w:eastAsia="华文细黑" w:hint="default"/>
        </w:rPr>
        <w:t>4,784,839</w:t>
      </w:r>
      <w:r>
        <w:rPr>
          <w:rFonts w:ascii="华文细黑" w:hAnsi="华文细黑" w:cs="华文细黑" w:eastAsia="华文细黑" w:hint="default"/>
          <w:spacing w:val="11"/>
        </w:rPr>
        <w:t> </w:t>
      </w:r>
      <w:r>
        <w:rPr/>
        <w:t>股。公</w:t>
      </w:r>
    </w:p>
    <w:p>
      <w:pPr>
        <w:pStyle w:val="BodyText"/>
        <w:spacing w:line="240" w:lineRule="auto" w:before="103"/>
        <w:ind w:right="0"/>
        <w:jc w:val="both"/>
      </w:pPr>
      <w:r>
        <w:rPr/>
        <w:t>司增加股本人民币 </w:t>
      </w:r>
      <w:r>
        <w:rPr>
          <w:rFonts w:ascii="华文细黑" w:hAnsi="华文细黑" w:cs="华文细黑" w:eastAsia="华文细黑" w:hint="default"/>
        </w:rPr>
        <w:t>4,784,839 </w:t>
      </w:r>
      <w:r>
        <w:rPr/>
        <w:t>元，此次增资后公司注册资本为人民币 </w:t>
      </w:r>
      <w:r>
        <w:rPr>
          <w:rFonts w:ascii="华文细黑" w:hAnsi="华文细黑" w:cs="华文细黑" w:eastAsia="华文细黑" w:hint="default"/>
        </w:rPr>
        <w:t>1,003,884,839</w:t>
      </w:r>
      <w:r>
        <w:rPr>
          <w:rFonts w:ascii="华文细黑" w:hAnsi="华文细黑" w:cs="华文细黑" w:eastAsia="华文细黑" w:hint="default"/>
          <w:spacing w:val="38"/>
        </w:rPr>
        <w:t> </w:t>
      </w:r>
      <w:r>
        <w:rPr/>
        <w:t>元，股本人民</w:t>
      </w:r>
    </w:p>
    <w:p>
      <w:pPr>
        <w:pStyle w:val="BodyText"/>
        <w:spacing w:line="240" w:lineRule="auto" w:before="103"/>
        <w:ind w:right="0"/>
        <w:jc w:val="both"/>
        <w:rPr>
          <w:rFonts w:ascii="华文细黑" w:hAnsi="华文细黑" w:cs="华文细黑" w:eastAsia="华文细黑" w:hint="default"/>
        </w:rPr>
      </w:pPr>
      <w:r>
        <w:rPr/>
        <w:t>币 </w:t>
      </w:r>
      <w:r>
        <w:rPr>
          <w:rFonts w:ascii="华文细黑" w:hAnsi="华文细黑" w:cs="华文细黑" w:eastAsia="华文细黑" w:hint="default"/>
        </w:rPr>
        <w:t>1,003,884,839.00 </w:t>
      </w:r>
      <w:r>
        <w:rPr/>
        <w:t>元，已经北京中证天通会计师事务所（特殊普通合伙）审验，并于 </w:t>
      </w:r>
      <w:r>
        <w:rPr>
          <w:rFonts w:ascii="华文细黑" w:hAnsi="华文细黑" w:cs="华文细黑" w:eastAsia="华文细黑" w:hint="default"/>
        </w:rPr>
        <w:t>2015 </w:t>
      </w:r>
      <w:r>
        <w:rPr/>
        <w:t>年</w:t>
      </w:r>
      <w:r>
        <w:rPr>
          <w:spacing w:val="39"/>
        </w:rPr>
        <w:t> </w:t>
      </w:r>
      <w:r>
        <w:rPr>
          <w:rFonts w:ascii="华文细黑" w:hAnsi="华文细黑" w:cs="华文细黑" w:eastAsia="华文细黑" w:hint="default"/>
        </w:rPr>
        <w:t>8</w:t>
      </w:r>
    </w:p>
    <w:p>
      <w:pPr>
        <w:spacing w:after="0" w:line="240" w:lineRule="auto"/>
        <w:jc w:val="both"/>
        <w:rPr>
          <w:rFonts w:ascii="华文细黑" w:hAnsi="华文细黑" w:cs="华文细黑" w:eastAsia="华文细黑" w:hint="default"/>
        </w:rPr>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324" w:lineRule="auto" w:before="10"/>
        <w:ind w:right="1246"/>
        <w:jc w:val="left"/>
      </w:pPr>
      <w:r>
        <w:rPr/>
        <w:t>月 </w:t>
      </w:r>
      <w:r>
        <w:rPr>
          <w:rFonts w:ascii="华文细黑" w:hAnsi="华文细黑" w:cs="华文细黑" w:eastAsia="华文细黑" w:hint="default"/>
        </w:rPr>
        <w:t>12 </w:t>
      </w:r>
      <w:r>
        <w:rPr/>
        <w:t>日出具中证天通（</w:t>
      </w:r>
      <w:r>
        <w:rPr>
          <w:rFonts w:ascii="华文细黑" w:hAnsi="华文细黑" w:cs="华文细黑" w:eastAsia="华文细黑" w:hint="default"/>
        </w:rPr>
        <w:t>2015</w:t>
      </w:r>
      <w:r>
        <w:rPr/>
        <w:t>）验字第 </w:t>
      </w:r>
      <w:r>
        <w:rPr>
          <w:rFonts w:ascii="华文细黑" w:hAnsi="华文细黑" w:cs="华文细黑" w:eastAsia="华文细黑" w:hint="default"/>
        </w:rPr>
        <w:t>10001 </w:t>
      </w:r>
      <w:r>
        <w:rPr/>
        <w:t>号验资报告。</w:t>
      </w:r>
      <w:r>
        <w:rPr>
          <w:rFonts w:ascii="华文细黑" w:hAnsi="华文细黑" w:cs="华文细黑" w:eastAsia="华文细黑" w:hint="default"/>
        </w:rPr>
        <w:t>2015 </w:t>
      </w:r>
      <w:r>
        <w:rPr/>
        <w:t>年 </w:t>
      </w:r>
      <w:r>
        <w:rPr>
          <w:rFonts w:ascii="华文细黑" w:hAnsi="华文细黑" w:cs="华文细黑" w:eastAsia="华文细黑" w:hint="default"/>
        </w:rPr>
        <w:t>9 </w:t>
      </w:r>
      <w:r>
        <w:rPr/>
        <w:t>月 </w:t>
      </w:r>
      <w:r>
        <w:rPr>
          <w:rFonts w:ascii="华文细黑" w:hAnsi="华文细黑" w:cs="华文细黑" w:eastAsia="华文细黑" w:hint="default"/>
        </w:rPr>
        <w:t>8</w:t>
      </w:r>
      <w:r>
        <w:rPr>
          <w:rFonts w:ascii="华文细黑" w:hAnsi="华文细黑" w:cs="华文细黑" w:eastAsia="华文细黑" w:hint="default"/>
          <w:spacing w:val="7"/>
        </w:rPr>
        <w:t> </w:t>
      </w:r>
      <w:r>
        <w:rPr/>
        <w:t>日，公司完成工商变更 登记。</w:t>
      </w:r>
    </w:p>
    <w:p>
      <w:pPr>
        <w:pStyle w:val="BodyText"/>
        <w:spacing w:line="240" w:lineRule="auto" w:before="64"/>
        <w:ind w:left="560" w:right="1246"/>
        <w:jc w:val="left"/>
      </w:pPr>
      <w:r>
        <w:rPr/>
        <w:t>根据 </w:t>
      </w:r>
      <w:r>
        <w:rPr>
          <w:rFonts w:ascii="华文细黑" w:hAnsi="华文细黑" w:cs="华文细黑" w:eastAsia="华文细黑" w:hint="default"/>
        </w:rPr>
        <w:t>2014 </w:t>
      </w:r>
      <w:r>
        <w:rPr/>
        <w:t>年 </w:t>
      </w:r>
      <w:r>
        <w:rPr>
          <w:rFonts w:ascii="华文细黑" w:hAnsi="华文细黑" w:cs="华文细黑" w:eastAsia="华文细黑" w:hint="default"/>
        </w:rPr>
        <w:t>4 </w:t>
      </w:r>
      <w:r>
        <w:rPr/>
        <w:t>月 </w:t>
      </w:r>
      <w:r>
        <w:rPr>
          <w:rFonts w:ascii="华文细黑" w:hAnsi="华文细黑" w:cs="华文细黑" w:eastAsia="华文细黑" w:hint="default"/>
        </w:rPr>
        <w:t>18</w:t>
      </w:r>
      <w:r>
        <w:rPr>
          <w:rFonts w:ascii="华文细黑" w:hAnsi="华文细黑" w:cs="华文细黑" w:eastAsia="华文细黑" w:hint="default"/>
          <w:spacing w:val="9"/>
        </w:rPr>
        <w:t> </w:t>
      </w:r>
      <w:r>
        <w:rPr>
          <w:spacing w:val="-3"/>
        </w:rPr>
        <w:t>日公司召开第三届董事会第八次（定期）会议审议通过了《关于确认首期</w:t>
      </w:r>
    </w:p>
    <w:p>
      <w:pPr>
        <w:pStyle w:val="BodyText"/>
        <w:spacing w:line="324" w:lineRule="auto" w:before="103"/>
        <w:ind w:right="1333"/>
        <w:jc w:val="both"/>
      </w:pPr>
      <w:r>
        <w:rPr>
          <w:spacing w:val="-4"/>
        </w:rPr>
        <w:t>股票期权与限制性股票激励计划第一个行权期失效</w:t>
      </w:r>
      <w:r>
        <w:rPr>
          <w:rFonts w:ascii="华文细黑" w:hAnsi="华文细黑" w:cs="华文细黑" w:eastAsia="华文细黑" w:hint="default"/>
          <w:spacing w:val="-4"/>
        </w:rPr>
        <w:t>/</w:t>
      </w:r>
      <w:r>
        <w:rPr>
          <w:spacing w:val="-4"/>
        </w:rPr>
        <w:t>解锁期失效及相关事项的议案》，</w:t>
      </w:r>
      <w:r>
        <w:rPr>
          <w:rFonts w:ascii="华文细黑" w:hAnsi="华文细黑" w:cs="华文细黑" w:eastAsia="华文细黑" w:hint="default"/>
          <w:spacing w:val="-4"/>
        </w:rPr>
        <w:t>2015</w:t>
      </w:r>
      <w:r>
        <w:rPr>
          <w:rFonts w:ascii="华文细黑" w:hAnsi="华文细黑" w:cs="华文细黑" w:eastAsia="华文细黑" w:hint="default"/>
        </w:rPr>
        <w:t> </w:t>
      </w:r>
      <w:r>
        <w:rPr/>
        <w:t>年 </w:t>
      </w:r>
      <w:r>
        <w:rPr>
          <w:rFonts w:ascii="华文细黑" w:hAnsi="华文细黑" w:cs="华文细黑" w:eastAsia="华文细黑" w:hint="default"/>
        </w:rPr>
        <w:t>1 </w:t>
      </w:r>
      <w:r>
        <w:rPr/>
        <w:t>月 </w:t>
      </w:r>
      <w:r>
        <w:rPr>
          <w:rFonts w:ascii="华文细黑" w:hAnsi="华文细黑" w:cs="华文细黑" w:eastAsia="华文细黑" w:hint="default"/>
        </w:rPr>
        <w:t>9 </w:t>
      </w:r>
      <w:r>
        <w:rPr/>
        <w:t>日召开了第三届董事会第二十次（临时）会议审议通过的《关于确认首期股票期权与限制性股票激 </w:t>
      </w:r>
      <w:r>
        <w:rPr>
          <w:spacing w:val="-4"/>
        </w:rPr>
        <w:t>励计划第二个行权</w:t>
      </w:r>
      <w:r>
        <w:rPr>
          <w:rFonts w:ascii="华文细黑" w:hAnsi="华文细黑" w:cs="华文细黑" w:eastAsia="华文细黑" w:hint="default"/>
          <w:spacing w:val="-4"/>
        </w:rPr>
        <w:t>/</w:t>
      </w:r>
      <w:r>
        <w:rPr>
          <w:spacing w:val="-4"/>
        </w:rPr>
        <w:t>解锁期失效及相关事项的议案》，</w:t>
      </w:r>
      <w:r>
        <w:rPr>
          <w:rFonts w:ascii="华文细黑" w:hAnsi="华文细黑" w:cs="华文细黑" w:eastAsia="华文细黑" w:hint="default"/>
          <w:spacing w:val="-4"/>
        </w:rPr>
        <w:t>2015</w:t>
      </w:r>
      <w:r>
        <w:rPr>
          <w:rFonts w:ascii="华文细黑" w:hAnsi="华文细黑" w:cs="华文细黑" w:eastAsia="华文细黑" w:hint="default"/>
        </w:rPr>
        <w:t> </w:t>
      </w:r>
      <w:r>
        <w:rPr/>
        <w:t>年 </w:t>
      </w:r>
      <w:r>
        <w:rPr>
          <w:rFonts w:ascii="华文细黑" w:hAnsi="华文细黑" w:cs="华文细黑" w:eastAsia="华文细黑" w:hint="default"/>
        </w:rPr>
        <w:t>10 </w:t>
      </w:r>
      <w:r>
        <w:rPr/>
        <w:t>月 </w:t>
      </w:r>
      <w:r>
        <w:rPr>
          <w:rFonts w:ascii="华文细黑" w:hAnsi="华文细黑" w:cs="华文细黑" w:eastAsia="华文细黑" w:hint="default"/>
        </w:rPr>
        <w:t>23</w:t>
      </w:r>
      <w:r>
        <w:rPr>
          <w:rFonts w:ascii="华文细黑" w:hAnsi="华文细黑" w:cs="华文细黑" w:eastAsia="华文细黑" w:hint="default"/>
          <w:spacing w:val="22"/>
        </w:rPr>
        <w:t> </w:t>
      </w:r>
      <w:r>
        <w:rPr/>
        <w:t>日召开了第三届董事会第三 </w:t>
      </w:r>
      <w:r>
        <w:rPr>
          <w:spacing w:val="-3"/>
        </w:rPr>
        <w:t>十一次（临时）会议审议通过的《关于确认首期股票期权与限制性股票激励计划第三个行权</w:t>
      </w:r>
      <w:r>
        <w:rPr>
          <w:rFonts w:ascii="华文细黑" w:hAnsi="华文细黑" w:cs="华文细黑" w:eastAsia="华文细黑" w:hint="default"/>
          <w:spacing w:val="-3"/>
        </w:rPr>
        <w:t>/</w:t>
      </w:r>
      <w:r>
        <w:rPr>
          <w:spacing w:val="-3"/>
        </w:rPr>
        <w:t>解锁期</w:t>
      </w:r>
      <w:r>
        <w:rPr>
          <w:spacing w:val="-19"/>
        </w:rPr>
        <w:t> </w:t>
      </w:r>
      <w:r>
        <w:rPr>
          <w:spacing w:val="-19"/>
        </w:rPr>
      </w:r>
      <w:r>
        <w:rPr>
          <w:spacing w:val="4"/>
        </w:rPr>
        <w:t>失效及相关事项的议案》，公司按照回购的限制性股票的议案回购注销部分激励对象限制性股份</w:t>
      </w:r>
      <w:r>
        <w:rPr/>
        <w:t> </w:t>
      </w:r>
      <w:r>
        <w:rPr>
          <w:rFonts w:ascii="华文细黑" w:hAnsi="华文细黑" w:cs="华文细黑" w:eastAsia="华文细黑" w:hint="default"/>
          <w:spacing w:val="-1"/>
        </w:rPr>
        <w:t>12,500,000.00</w:t>
      </w:r>
      <w:r>
        <w:rPr>
          <w:rFonts w:ascii="华文细黑" w:hAnsi="华文细黑" w:cs="华文细黑" w:eastAsia="华文细黑" w:hint="default"/>
        </w:rPr>
        <w:t> </w:t>
      </w:r>
      <w:r>
        <w:rPr>
          <w:spacing w:val="-9"/>
        </w:rPr>
        <w:t>股，每股回购价格为人民币</w:t>
      </w:r>
      <w:r>
        <w:rPr/>
        <w:t> </w:t>
      </w:r>
      <w:r>
        <w:rPr>
          <w:rFonts w:ascii="华文细黑" w:hAnsi="华文细黑" w:cs="华文细黑" w:eastAsia="华文细黑" w:hint="default"/>
        </w:rPr>
        <w:t>8.75 </w:t>
      </w:r>
      <w:r>
        <w:rPr>
          <w:spacing w:val="-7"/>
        </w:rPr>
        <w:t>元，贵公司申请减少注册资本人民币</w:t>
      </w:r>
      <w:r>
        <w:rPr>
          <w:spacing w:val="-11"/>
        </w:rPr>
        <w:t> </w:t>
      </w:r>
      <w:r>
        <w:rPr>
          <w:rFonts w:ascii="华文细黑" w:hAnsi="华文细黑" w:cs="华文细黑" w:eastAsia="华文细黑" w:hint="default"/>
          <w:spacing w:val="-1"/>
        </w:rPr>
        <w:t>12,500,000.00</w:t>
      </w:r>
      <w:r>
        <w:rPr>
          <w:spacing w:val="-1"/>
        </w:rPr>
        <w:t>。</w:t>
      </w:r>
    </w:p>
    <w:p>
      <w:pPr>
        <w:pStyle w:val="BodyText"/>
        <w:spacing w:line="240" w:lineRule="auto" w:before="23"/>
        <w:ind w:right="1246"/>
        <w:jc w:val="left"/>
      </w:pPr>
      <w:r>
        <w:rPr>
          <w:spacing w:val="-4"/>
        </w:rPr>
        <w:t>变更后，公司的注册资本为人民币 </w:t>
      </w:r>
      <w:r>
        <w:rPr>
          <w:rFonts w:ascii="华文细黑" w:hAnsi="华文细黑" w:cs="华文细黑" w:eastAsia="华文细黑" w:hint="default"/>
        </w:rPr>
        <w:t>991,384,839.00</w:t>
      </w:r>
      <w:r>
        <w:rPr>
          <w:rFonts w:ascii="华文细黑" w:hAnsi="华文细黑" w:cs="华文细黑" w:eastAsia="华文细黑" w:hint="default"/>
          <w:spacing w:val="33"/>
        </w:rPr>
        <w:t> </w:t>
      </w:r>
      <w:r>
        <w:rPr>
          <w:spacing w:val="-3"/>
        </w:rPr>
        <w:t>元，实际支付给股权激励对象的限制性股票注销</w:t>
      </w:r>
    </w:p>
    <w:p>
      <w:pPr>
        <w:pStyle w:val="BodyText"/>
        <w:spacing w:line="240" w:lineRule="auto" w:before="104"/>
        <w:ind w:right="1246"/>
        <w:jc w:val="left"/>
      </w:pPr>
      <w:r>
        <w:rPr/>
        <w:t>回购款超出认缴注册资本的金额人民币 </w:t>
      </w:r>
      <w:r>
        <w:rPr>
          <w:rFonts w:ascii="华文细黑" w:hAnsi="华文细黑" w:cs="华文细黑" w:eastAsia="华文细黑" w:hint="default"/>
        </w:rPr>
        <w:t>96,875,000.00</w:t>
      </w:r>
      <w:r>
        <w:rPr>
          <w:rFonts w:ascii="华文细黑" w:hAnsi="华文细黑" w:cs="华文细黑" w:eastAsia="华文细黑" w:hint="default"/>
          <w:spacing w:val="23"/>
        </w:rPr>
        <w:t> </w:t>
      </w:r>
      <w:r>
        <w:rPr/>
        <w:t>元作为贵公司资本公积的减少。本次变更由</w:t>
      </w:r>
    </w:p>
    <w:p>
      <w:pPr>
        <w:pStyle w:val="BodyText"/>
        <w:spacing w:line="240" w:lineRule="auto" w:before="103"/>
        <w:ind w:right="1246"/>
        <w:jc w:val="left"/>
      </w:pPr>
      <w:r>
        <w:rPr>
          <w:spacing w:val="-5"/>
        </w:rPr>
        <w:t>北京中证天通会计师事务所（特殊普通合伙）审验，并于 </w:t>
      </w:r>
      <w:r>
        <w:rPr>
          <w:rFonts w:ascii="华文细黑" w:hAnsi="华文细黑" w:cs="华文细黑" w:eastAsia="华文细黑" w:hint="default"/>
        </w:rPr>
        <w:t>2015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18</w:t>
      </w:r>
      <w:r>
        <w:rPr>
          <w:rFonts w:ascii="华文细黑" w:hAnsi="华文细黑" w:cs="华文细黑" w:eastAsia="华文细黑" w:hint="default"/>
          <w:spacing w:val="28"/>
        </w:rPr>
        <w:t> </w:t>
      </w:r>
      <w:r>
        <w:rPr>
          <w:spacing w:val="-3"/>
        </w:rPr>
        <w:t>日出具中证天通（</w:t>
      </w:r>
      <w:r>
        <w:rPr>
          <w:rFonts w:ascii="华文细黑" w:hAnsi="华文细黑" w:cs="华文细黑" w:eastAsia="华文细黑" w:hint="default"/>
          <w:spacing w:val="-3"/>
        </w:rPr>
        <w:t>2015</w:t>
      </w:r>
      <w:r>
        <w:rPr>
          <w:spacing w:val="-3"/>
        </w:rPr>
        <w:t>）</w:t>
      </w:r>
    </w:p>
    <w:p>
      <w:pPr>
        <w:pStyle w:val="BodyText"/>
        <w:spacing w:line="240" w:lineRule="auto" w:before="103"/>
        <w:ind w:right="1246"/>
        <w:jc w:val="left"/>
      </w:pPr>
      <w:r>
        <w:rPr/>
        <w:t>验字第 </w:t>
      </w:r>
      <w:r>
        <w:rPr>
          <w:rFonts w:ascii="华文细黑" w:hAnsi="华文细黑" w:cs="华文细黑" w:eastAsia="华文细黑" w:hint="default"/>
        </w:rPr>
        <w:t>1002</w:t>
      </w:r>
      <w:r>
        <w:rPr>
          <w:rFonts w:ascii="华文细黑" w:hAnsi="华文细黑" w:cs="华文细黑" w:eastAsia="华文细黑" w:hint="default"/>
          <w:spacing w:val="-1"/>
        </w:rPr>
        <w:t> </w:t>
      </w:r>
      <w:r>
        <w:rPr/>
        <w:t>号验资报告。</w:t>
      </w:r>
    </w:p>
    <w:p>
      <w:pPr>
        <w:pStyle w:val="BodyText"/>
        <w:spacing w:line="324" w:lineRule="auto" w:before="144"/>
        <w:ind w:right="1435" w:firstLine="420"/>
        <w:jc w:val="both"/>
      </w:pPr>
      <w:r>
        <w:rPr/>
        <w:t>根据公司 </w:t>
      </w:r>
      <w:r>
        <w:rPr>
          <w:rFonts w:ascii="华文细黑" w:hAnsi="华文细黑" w:cs="华文细黑" w:eastAsia="华文细黑" w:hint="default"/>
        </w:rPr>
        <w:t>2015 </w:t>
      </w:r>
      <w:r>
        <w:rPr/>
        <w:t>年 </w:t>
      </w:r>
      <w:r>
        <w:rPr>
          <w:rFonts w:ascii="华文细黑" w:hAnsi="华文细黑" w:cs="华文细黑" w:eastAsia="华文细黑" w:hint="default"/>
        </w:rPr>
        <w:t>9 </w:t>
      </w:r>
      <w:r>
        <w:rPr/>
        <w:t>月 </w:t>
      </w:r>
      <w:r>
        <w:rPr>
          <w:rFonts w:ascii="华文细黑" w:hAnsi="华文细黑" w:cs="华文细黑" w:eastAsia="华文细黑" w:hint="default"/>
        </w:rPr>
        <w:t>14 </w:t>
      </w:r>
      <w:r>
        <w:rPr/>
        <w:t>日第三届董事会第二十九次（临时）会议决议、</w:t>
      </w:r>
      <w:r>
        <w:rPr>
          <w:rFonts w:ascii="华文细黑" w:hAnsi="华文细黑" w:cs="华文细黑" w:eastAsia="华文细黑" w:hint="default"/>
        </w:rPr>
        <w:t>2015 </w:t>
      </w:r>
      <w:r>
        <w:rPr/>
        <w:t>年 </w:t>
      </w:r>
      <w:r>
        <w:rPr>
          <w:rFonts w:ascii="华文细黑" w:hAnsi="华文细黑" w:cs="华文细黑" w:eastAsia="华文细黑" w:hint="default"/>
        </w:rPr>
        <w:t>10 </w:t>
      </w:r>
      <w:r>
        <w:rPr/>
        <w:t>月 </w:t>
      </w:r>
      <w:r>
        <w:rPr>
          <w:rFonts w:ascii="华文细黑" w:hAnsi="华文细黑" w:cs="华文细黑" w:eastAsia="华文细黑" w:hint="default"/>
        </w:rPr>
        <w:t>13</w:t>
      </w:r>
      <w:r>
        <w:rPr>
          <w:rFonts w:ascii="华文细黑" w:hAnsi="华文细黑" w:cs="华文细黑" w:eastAsia="华文细黑" w:hint="default"/>
          <w:spacing w:val="-22"/>
        </w:rPr>
        <w:t> </w:t>
      </w:r>
      <w:r>
        <w:rPr/>
        <w:t>日 公司第三次临时股东大会决议、</w:t>
      </w:r>
      <w:r>
        <w:rPr>
          <w:rFonts w:ascii="华文细黑" w:hAnsi="华文细黑" w:cs="华文细黑" w:eastAsia="华文细黑" w:hint="default"/>
        </w:rPr>
        <w:t>2015 </w:t>
      </w:r>
      <w:r>
        <w:rPr/>
        <w:t>年 </w:t>
      </w:r>
      <w:r>
        <w:rPr>
          <w:rFonts w:ascii="华文细黑" w:hAnsi="华文细黑" w:cs="华文细黑" w:eastAsia="华文细黑" w:hint="default"/>
        </w:rPr>
        <w:t>9</w:t>
      </w:r>
      <w:r>
        <w:rPr>
          <w:rFonts w:ascii="华文细黑" w:hAnsi="华文细黑" w:cs="华文细黑" w:eastAsia="华文细黑" w:hint="default"/>
          <w:spacing w:val="-10"/>
        </w:rPr>
        <w:t> </w:t>
      </w:r>
      <w:r>
        <w:rPr/>
        <w:t>月非公开发行股票预案（修订稿）及修改后公司章程规 定，公司申请通过向先锋创业有限公司、唐进波、新余爱乐投资管理中心（有限合伙）定向增发人 </w:t>
      </w:r>
      <w:r>
        <w:rPr>
          <w:spacing w:val="20"/>
        </w:rPr>
        <w:t>民币普通股</w:t>
      </w:r>
      <w:r>
        <w:rPr>
          <w:spacing w:val="-27"/>
        </w:rPr>
        <w:t> </w:t>
      </w:r>
      <w:r>
        <w:rPr/>
        <w:t>（</w:t>
      </w:r>
      <w:r>
        <w:rPr>
          <w:spacing w:val="-26"/>
        </w:rPr>
        <w:t> </w:t>
      </w:r>
      <w:r>
        <w:rPr>
          <w:rFonts w:ascii="华文细黑" w:hAnsi="华文细黑" w:cs="华文细黑" w:eastAsia="华文细黑" w:hint="default"/>
          <w:spacing w:val="22"/>
        </w:rPr>
        <w:t>A</w:t>
      </w:r>
      <w:r>
        <w:rPr>
          <w:spacing w:val="22"/>
        </w:rPr>
        <w:t>）股增加注册资本</w:t>
      </w:r>
      <w:r>
        <w:rPr>
          <w:spacing w:val="-27"/>
        </w:rPr>
        <w:t> </w:t>
      </w:r>
      <w:r>
        <w:rPr>
          <w:spacing w:val="16"/>
        </w:rPr>
        <w:t>人民币</w:t>
      </w:r>
      <w:r>
        <w:rPr>
          <w:spacing w:val="80"/>
        </w:rPr>
        <w:t> </w:t>
      </w:r>
      <w:r>
        <w:rPr>
          <w:rFonts w:ascii="华文细黑" w:hAnsi="华文细黑" w:cs="华文细黑" w:eastAsia="华文细黑" w:hint="default"/>
        </w:rPr>
        <w:t>41,350,000.00</w:t>
      </w:r>
      <w:r>
        <w:rPr>
          <w:rFonts w:ascii="华文细黑" w:hAnsi="华文细黑" w:cs="华文细黑" w:eastAsia="华文细黑" w:hint="default"/>
          <w:spacing w:val="27"/>
        </w:rPr>
        <w:t> </w:t>
      </w:r>
      <w:r>
        <w:rPr>
          <w:spacing w:val="12"/>
        </w:rPr>
        <w:t>元，</w:t>
      </w:r>
      <w:r>
        <w:rPr>
          <w:spacing w:val="-28"/>
        </w:rPr>
        <w:t> </w:t>
      </w:r>
      <w:r>
        <w:rPr>
          <w:spacing w:val="16"/>
        </w:rPr>
        <w:t>变更后</w:t>
      </w:r>
      <w:r>
        <w:rPr>
          <w:spacing w:val="-27"/>
        </w:rPr>
        <w:t> </w:t>
      </w:r>
      <w:r>
        <w:rPr>
          <w:spacing w:val="20"/>
        </w:rPr>
        <w:t>的注册资本</w:t>
      </w:r>
      <w:r>
        <w:rPr>
          <w:spacing w:val="-27"/>
        </w:rPr>
        <w:t> </w:t>
      </w:r>
      <w:r>
        <w:rPr>
          <w:spacing w:val="18"/>
        </w:rPr>
        <w:t>为人民币</w:t>
      </w:r>
      <w:r>
        <w:rPr/>
        <w:t> </w:t>
      </w:r>
      <w:r>
        <w:rPr>
          <w:rFonts w:ascii="华文细黑" w:hAnsi="华文细黑" w:cs="华文细黑" w:eastAsia="华文细黑" w:hint="default"/>
        </w:rPr>
        <w:t>1,032,743,839.00 </w:t>
      </w:r>
      <w:r>
        <w:rPr>
          <w:spacing w:val="-3"/>
        </w:rPr>
        <w:t>元。</w:t>
      </w:r>
      <w:r>
        <w:rPr>
          <w:rFonts w:ascii="华文细黑" w:hAnsi="华文细黑" w:cs="华文细黑" w:eastAsia="华文细黑" w:hint="default"/>
          <w:spacing w:val="-3"/>
        </w:rPr>
        <w:t>2016 </w:t>
      </w:r>
      <w:r>
        <w:rPr/>
        <w:t>年 </w:t>
      </w:r>
      <w:r>
        <w:rPr>
          <w:rFonts w:ascii="华文细黑" w:hAnsi="华文细黑" w:cs="华文细黑" w:eastAsia="华文细黑" w:hint="default"/>
        </w:rPr>
        <w:t>4 </w:t>
      </w:r>
      <w:r>
        <w:rPr/>
        <w:t>月 </w:t>
      </w:r>
      <w:r>
        <w:rPr>
          <w:rFonts w:ascii="华文细黑" w:hAnsi="华文细黑" w:cs="华文细黑" w:eastAsia="华文细黑" w:hint="default"/>
        </w:rPr>
        <w:t>12</w:t>
      </w:r>
      <w:r>
        <w:rPr>
          <w:rFonts w:ascii="华文细黑" w:hAnsi="华文细黑" w:cs="华文细黑" w:eastAsia="华文细黑" w:hint="default"/>
          <w:spacing w:val="-15"/>
        </w:rPr>
        <w:t> </w:t>
      </w:r>
      <w:r>
        <w:rPr/>
        <w:t>日经中国证券监督管理委员会《关于核准深圳市爱施德股份 </w:t>
      </w:r>
      <w:r>
        <w:rPr>
          <w:spacing w:val="-4"/>
        </w:rPr>
        <w:t>有限公司非公开发行股票的批复》（证监许可【</w:t>
      </w:r>
      <w:r>
        <w:rPr>
          <w:rFonts w:ascii="华文细黑" w:hAnsi="华文细黑" w:cs="华文细黑" w:eastAsia="华文细黑" w:hint="default"/>
          <w:spacing w:val="-4"/>
        </w:rPr>
        <w:t>2016</w:t>
      </w:r>
      <w:r>
        <w:rPr>
          <w:spacing w:val="-4"/>
        </w:rPr>
        <w:t>】</w:t>
      </w:r>
      <w:r>
        <w:rPr>
          <w:rFonts w:ascii="华文细黑" w:hAnsi="华文细黑" w:cs="华文细黑" w:eastAsia="华文细黑" w:hint="default"/>
          <w:spacing w:val="-4"/>
        </w:rPr>
        <w:t>769</w:t>
      </w:r>
      <w:r>
        <w:rPr>
          <w:rFonts w:ascii="华文细黑" w:hAnsi="华文细黑" w:cs="华文细黑" w:eastAsia="华文细黑" w:hint="default"/>
          <w:spacing w:val="24"/>
        </w:rPr>
        <w:t> </w:t>
      </w:r>
      <w:r>
        <w:rPr/>
        <w:t>号）核准，公司获取向先锋创业有限公</w:t>
      </w:r>
      <w:r>
        <w:rPr>
          <w:spacing w:val="-50"/>
        </w:rPr>
        <w:t> </w:t>
      </w:r>
      <w:r>
        <w:rPr>
          <w:spacing w:val="-50"/>
        </w:rPr>
      </w:r>
      <w:r>
        <w:rPr/>
        <w:t>司、唐进波、新余爱乐投资管理中心（有限合伙）定向增发人民币普通股（</w:t>
      </w:r>
      <w:r>
        <w:rPr>
          <w:rFonts w:ascii="华文细黑" w:hAnsi="华文细黑" w:cs="华文细黑" w:eastAsia="华文细黑" w:hint="default"/>
        </w:rPr>
        <w:t>A </w:t>
      </w:r>
      <w:r>
        <w:rPr>
          <w:spacing w:val="-3"/>
        </w:rPr>
        <w:t>股）股票</w:t>
      </w:r>
      <w:r>
        <w:rPr>
          <w:spacing w:val="-39"/>
        </w:rPr>
        <w:t> </w:t>
      </w:r>
      <w:r>
        <w:rPr>
          <w:rFonts w:ascii="华文细黑" w:hAnsi="华文细黑" w:cs="华文细黑" w:eastAsia="华文细黑" w:hint="default"/>
        </w:rPr>
        <w:t>41,350,000 </w:t>
      </w:r>
      <w:r>
        <w:rPr/>
        <w:t>股。</w:t>
      </w:r>
    </w:p>
    <w:p>
      <w:pPr>
        <w:pStyle w:val="BodyText"/>
        <w:spacing w:line="240" w:lineRule="auto" w:before="64"/>
        <w:ind w:left="560" w:right="1246"/>
        <w:jc w:val="left"/>
      </w:pPr>
      <w:r>
        <w:rPr/>
        <w:t>根据公司</w:t>
      </w:r>
      <w:r>
        <w:rPr>
          <w:spacing w:val="-9"/>
        </w:rPr>
        <w:t> </w:t>
      </w:r>
      <w:r>
        <w:rPr>
          <w:rFonts w:ascii="华文细黑" w:hAnsi="华文细黑" w:cs="华文细黑" w:eastAsia="华文细黑" w:hint="default"/>
        </w:rPr>
        <w:t>2017</w:t>
      </w:r>
      <w:r>
        <w:rPr>
          <w:rFonts w:ascii="华文细黑" w:hAnsi="华文细黑" w:cs="华文细黑" w:eastAsia="华文细黑" w:hint="default"/>
          <w:spacing w:val="-9"/>
        </w:rPr>
        <w:t> </w:t>
      </w:r>
      <w:r>
        <w:rPr/>
        <w:t>年度股东大会决议审议</w:t>
      </w:r>
      <w:r>
        <w:rPr>
          <w:spacing w:val="-105"/>
        </w:rPr>
        <w:t>，</w:t>
      </w:r>
      <w:r>
        <w:rPr/>
        <w:t>公司申</w:t>
      </w:r>
      <w:r>
        <w:rPr>
          <w:spacing w:val="-2"/>
        </w:rPr>
        <w:t>请</w:t>
      </w:r>
      <w:r>
        <w:rPr/>
        <w:t>新增的注册资本为人民币</w:t>
      </w:r>
      <w:r>
        <w:rPr>
          <w:spacing w:val="-8"/>
        </w:rPr>
        <w:t> </w:t>
      </w:r>
      <w:r>
        <w:rPr>
          <w:rFonts w:ascii="华文细黑" w:hAnsi="华文细黑" w:cs="华文细黑" w:eastAsia="华文细黑" w:hint="default"/>
        </w:rPr>
        <w:t>206,546</w:t>
      </w:r>
      <w:r>
        <w:rPr>
          <w:rFonts w:ascii="华文细黑" w:hAnsi="华文细黑" w:cs="华文细黑" w:eastAsia="华文细黑" w:hint="default"/>
          <w:spacing w:val="-1"/>
        </w:rPr>
        <w:t>,</w:t>
      </w:r>
      <w:r>
        <w:rPr>
          <w:rFonts w:ascii="华文细黑" w:hAnsi="华文细黑" w:cs="华文细黑" w:eastAsia="华文细黑" w:hint="default"/>
        </w:rPr>
        <w:t>967.00</w:t>
      </w:r>
      <w:r>
        <w:rPr>
          <w:rFonts w:ascii="华文细黑" w:hAnsi="华文细黑" w:cs="华文细黑" w:eastAsia="华文细黑" w:hint="default"/>
          <w:spacing w:val="-9"/>
        </w:rPr>
        <w:t> </w:t>
      </w:r>
      <w:r>
        <w:rPr/>
        <w:t>元，</w:t>
      </w:r>
    </w:p>
    <w:p>
      <w:pPr>
        <w:pStyle w:val="BodyText"/>
        <w:spacing w:line="240" w:lineRule="auto" w:before="103"/>
        <w:ind w:right="1246"/>
        <w:jc w:val="left"/>
      </w:pPr>
      <w:r>
        <w:rPr/>
        <w:t>公司按每 </w:t>
      </w:r>
      <w:r>
        <w:rPr>
          <w:rFonts w:ascii="华文细黑" w:hAnsi="华文细黑" w:cs="华文细黑" w:eastAsia="华文细黑" w:hint="default"/>
        </w:rPr>
        <w:t>10 </w:t>
      </w:r>
      <w:r>
        <w:rPr/>
        <w:t>股转增 </w:t>
      </w:r>
      <w:r>
        <w:rPr>
          <w:rFonts w:ascii="华文细黑" w:hAnsi="华文细黑" w:cs="华文细黑" w:eastAsia="华文细黑" w:hint="default"/>
        </w:rPr>
        <w:t>2 </w:t>
      </w:r>
      <w:r>
        <w:rPr/>
        <w:t>股的比例，以资本公积向全体股东转增股份总额 </w:t>
      </w:r>
      <w:r>
        <w:rPr>
          <w:rFonts w:ascii="华文细黑" w:hAnsi="华文细黑" w:cs="华文细黑" w:eastAsia="华文细黑" w:hint="default"/>
        </w:rPr>
        <w:t>206,546,967.00</w:t>
      </w:r>
      <w:r>
        <w:rPr>
          <w:rFonts w:ascii="华文细黑" w:hAnsi="华文细黑" w:cs="华文细黑" w:eastAsia="华文细黑" w:hint="default"/>
          <w:spacing w:val="-10"/>
        </w:rPr>
        <w:t> </w:t>
      </w:r>
      <w:r>
        <w:rPr>
          <w:spacing w:val="-3"/>
        </w:rPr>
        <w:t>股，每股面</w:t>
      </w:r>
    </w:p>
    <w:p>
      <w:pPr>
        <w:pStyle w:val="BodyText"/>
        <w:spacing w:line="240" w:lineRule="auto" w:before="104"/>
        <w:ind w:right="1246"/>
        <w:jc w:val="left"/>
      </w:pPr>
      <w:r>
        <w:rPr/>
        <w:t>值 </w:t>
      </w:r>
      <w:r>
        <w:rPr>
          <w:rFonts w:ascii="华文细黑" w:hAnsi="华文细黑" w:cs="华文细黑" w:eastAsia="华文细黑" w:hint="default"/>
        </w:rPr>
        <w:t>1 </w:t>
      </w:r>
      <w:r>
        <w:rPr>
          <w:spacing w:val="-11"/>
        </w:rPr>
        <w:t>元，计增加股本 </w:t>
      </w:r>
      <w:r>
        <w:rPr>
          <w:rFonts w:ascii="华文细黑" w:hAnsi="华文细黑" w:cs="华文细黑" w:eastAsia="华文细黑" w:hint="default"/>
        </w:rPr>
        <w:t>206,546,967.00</w:t>
      </w:r>
      <w:r>
        <w:rPr>
          <w:rFonts w:ascii="华文细黑" w:hAnsi="华文细黑" w:cs="华文细黑" w:eastAsia="华文细黑" w:hint="default"/>
          <w:spacing w:val="14"/>
        </w:rPr>
        <w:t> </w:t>
      </w:r>
      <w:r>
        <w:rPr>
          <w:spacing w:val="-5"/>
        </w:rPr>
        <w:t>元。本次变更已经北京中证天通会计师事务所（特殊普通合伙）</w:t>
      </w:r>
    </w:p>
    <w:p>
      <w:pPr>
        <w:pStyle w:val="BodyText"/>
        <w:spacing w:line="240" w:lineRule="auto" w:before="103"/>
        <w:ind w:right="1246"/>
        <w:jc w:val="left"/>
      </w:pPr>
      <w:r>
        <w:rPr/>
        <w:t>审验</w:t>
      </w:r>
      <w:r>
        <w:rPr>
          <w:rFonts w:ascii="华文细黑" w:hAnsi="华文细黑" w:cs="华文细黑" w:eastAsia="华文细黑" w:hint="default"/>
        </w:rPr>
        <w:t>,</w:t>
      </w:r>
      <w:r>
        <w:rPr/>
        <w:t>并于 </w:t>
      </w:r>
      <w:r>
        <w:rPr>
          <w:rFonts w:ascii="华文细黑" w:hAnsi="华文细黑" w:cs="华文细黑" w:eastAsia="华文细黑" w:hint="default"/>
        </w:rPr>
        <w:t>2018 </w:t>
      </w:r>
      <w:r>
        <w:rPr/>
        <w:t>年 </w:t>
      </w:r>
      <w:r>
        <w:rPr>
          <w:rFonts w:ascii="华文细黑" w:hAnsi="华文细黑" w:cs="华文细黑" w:eastAsia="华文细黑" w:hint="default"/>
        </w:rPr>
        <w:t>6 </w:t>
      </w:r>
      <w:r>
        <w:rPr/>
        <w:t>月 </w:t>
      </w:r>
      <w:r>
        <w:rPr>
          <w:rFonts w:ascii="华文细黑" w:hAnsi="华文细黑" w:cs="华文细黑" w:eastAsia="华文细黑" w:hint="default"/>
        </w:rPr>
        <w:t>6 </w:t>
      </w:r>
      <w:r>
        <w:rPr/>
        <w:t>日出具中证天通（</w:t>
      </w:r>
      <w:r>
        <w:rPr>
          <w:rFonts w:ascii="华文细黑" w:hAnsi="华文细黑" w:cs="华文细黑" w:eastAsia="华文细黑" w:hint="default"/>
        </w:rPr>
        <w:t>2018</w:t>
      </w:r>
      <w:r>
        <w:rPr/>
        <w:t>）证验字第 </w:t>
      </w:r>
      <w:r>
        <w:rPr>
          <w:rFonts w:ascii="华文细黑" w:hAnsi="华文细黑" w:cs="华文细黑" w:eastAsia="华文细黑" w:hint="default"/>
        </w:rPr>
        <w:t>10006 </w:t>
      </w:r>
      <w:r>
        <w:rPr>
          <w:rFonts w:ascii="华文细黑" w:hAnsi="华文细黑" w:cs="华文细黑" w:eastAsia="华文细黑" w:hint="default"/>
          <w:spacing w:val="24"/>
        </w:rPr>
        <w:t> </w:t>
      </w:r>
      <w:r>
        <w:rPr/>
        <w:t>号验资报告，变更后的注册资</w:t>
      </w:r>
    </w:p>
    <w:p>
      <w:pPr>
        <w:pStyle w:val="BodyText"/>
        <w:spacing w:line="240" w:lineRule="auto" w:before="103"/>
        <w:ind w:right="1246"/>
        <w:jc w:val="left"/>
      </w:pPr>
      <w:r>
        <w:rPr/>
        <w:t>本为人民币 </w:t>
      </w:r>
      <w:r>
        <w:rPr>
          <w:rFonts w:ascii="华文细黑" w:hAnsi="华文细黑" w:cs="华文细黑" w:eastAsia="华文细黑" w:hint="default"/>
        </w:rPr>
        <w:t>1,239,281,806.00 </w:t>
      </w:r>
      <w:r>
        <w:rPr/>
        <w:t>元，股本为人民币 </w:t>
      </w:r>
      <w:r>
        <w:rPr>
          <w:rFonts w:ascii="华文细黑" w:hAnsi="华文细黑" w:cs="华文细黑" w:eastAsia="华文细黑" w:hint="default"/>
        </w:rPr>
        <w:t>1,239,281,806.00</w:t>
      </w:r>
      <w:r>
        <w:rPr>
          <w:rFonts w:ascii="华文细黑" w:hAnsi="华文细黑" w:cs="华文细黑" w:eastAsia="华文细黑" w:hint="default"/>
          <w:spacing w:val="-3"/>
        </w:rPr>
        <w:t> </w:t>
      </w:r>
      <w:r>
        <w:rPr/>
        <w:t>元。</w:t>
      </w:r>
    </w:p>
    <w:p>
      <w:pPr>
        <w:pStyle w:val="BodyText"/>
        <w:spacing w:line="240" w:lineRule="auto" w:before="144"/>
        <w:ind w:left="560" w:right="1246"/>
        <w:jc w:val="left"/>
      </w:pPr>
      <w:r>
        <w:rPr/>
        <w:t>本财务报表业经本公司董事会于 </w:t>
      </w:r>
      <w:r>
        <w:rPr>
          <w:rFonts w:ascii="华文细黑" w:hAnsi="华文细黑" w:cs="华文细黑" w:eastAsia="华文细黑" w:hint="default"/>
        </w:rPr>
        <w:t>2019 </w:t>
      </w:r>
      <w:r>
        <w:rPr/>
        <w:t>年 </w:t>
      </w:r>
      <w:r>
        <w:rPr>
          <w:rFonts w:ascii="华文细黑" w:hAnsi="华文细黑" w:cs="华文细黑" w:eastAsia="华文细黑" w:hint="default"/>
        </w:rPr>
        <w:t>4 </w:t>
      </w:r>
      <w:r>
        <w:rPr/>
        <w:t>月 </w:t>
      </w:r>
      <w:r>
        <w:rPr>
          <w:rFonts w:ascii="华文细黑" w:hAnsi="华文细黑" w:cs="华文细黑" w:eastAsia="华文细黑" w:hint="default"/>
        </w:rPr>
        <w:t>12</w:t>
      </w:r>
      <w:r>
        <w:rPr>
          <w:rFonts w:ascii="华文细黑" w:hAnsi="华文细黑" w:cs="华文细黑" w:eastAsia="华文细黑" w:hint="default"/>
          <w:spacing w:val="-2"/>
        </w:rPr>
        <w:t> </w:t>
      </w:r>
      <w:r>
        <w:rPr/>
        <w:t>日决议批准报出。</w:t>
      </w:r>
    </w:p>
    <w:p>
      <w:pPr>
        <w:pStyle w:val="BodyText"/>
        <w:spacing w:line="240" w:lineRule="auto" w:before="144"/>
        <w:ind w:left="560" w:right="1246"/>
        <w:jc w:val="left"/>
      </w:pPr>
      <w:r>
        <w:rPr/>
        <w:t>本公司</w:t>
      </w:r>
      <w:r>
        <w:rPr>
          <w:spacing w:val="8"/>
        </w:rPr>
        <w:t> </w:t>
      </w:r>
      <w:r>
        <w:rPr>
          <w:rFonts w:ascii="华文细黑" w:hAnsi="华文细黑" w:cs="华文细黑" w:eastAsia="华文细黑" w:hint="default"/>
        </w:rPr>
        <w:t>2018</w:t>
      </w:r>
      <w:r>
        <w:rPr>
          <w:rFonts w:ascii="华文细黑" w:hAnsi="华文细黑" w:cs="华文细黑" w:eastAsia="华文细黑" w:hint="default"/>
          <w:spacing w:val="7"/>
        </w:rPr>
        <w:t> </w:t>
      </w:r>
      <w:r>
        <w:rPr/>
        <w:t>年度纳入合并范围的子公司共</w:t>
      </w:r>
      <w:r>
        <w:rPr>
          <w:spacing w:val="9"/>
        </w:rPr>
        <w:t> </w:t>
      </w:r>
      <w:r>
        <w:rPr>
          <w:rFonts w:ascii="华文细黑" w:hAnsi="华文细黑" w:cs="华文细黑" w:eastAsia="华文细黑" w:hint="default"/>
        </w:rPr>
        <w:t>98</w:t>
      </w:r>
      <w:r>
        <w:rPr>
          <w:rFonts w:ascii="华文细黑" w:hAnsi="华文细黑" w:cs="华文细黑" w:eastAsia="华文细黑" w:hint="default"/>
          <w:spacing w:val="8"/>
        </w:rPr>
        <w:t> </w:t>
      </w:r>
      <w:r>
        <w:rPr>
          <w:spacing w:val="-2"/>
        </w:rPr>
        <w:t>户</w:t>
      </w:r>
      <w:r>
        <w:rPr/>
        <w:t>，详见本附注八“在其他主体中的权益</w:t>
      </w:r>
      <w:r>
        <w:rPr>
          <w:spacing w:val="-105"/>
        </w:rPr>
        <w:t>”</w:t>
      </w:r>
      <w:r>
        <w:rPr/>
        <w:t>。本</w:t>
      </w:r>
    </w:p>
    <w:p>
      <w:pPr>
        <w:pStyle w:val="BodyText"/>
        <w:spacing w:line="357" w:lineRule="auto" w:before="103"/>
        <w:ind w:left="560" w:right="1435" w:hanging="421"/>
        <w:jc w:val="left"/>
      </w:pPr>
      <w:r>
        <w:rPr/>
        <w:t>公司本年度合并范围比上年度增加 </w:t>
      </w:r>
      <w:r>
        <w:rPr>
          <w:rFonts w:ascii="华文细黑" w:hAnsi="华文细黑" w:cs="华文细黑" w:eastAsia="华文细黑" w:hint="default"/>
        </w:rPr>
        <w:t>10 </w:t>
      </w:r>
      <w:r>
        <w:rPr/>
        <w:t>户，减少 </w:t>
      </w:r>
      <w:r>
        <w:rPr>
          <w:rFonts w:ascii="华文细黑" w:hAnsi="华文细黑" w:cs="华文细黑" w:eastAsia="华文细黑" w:hint="default"/>
          <w:spacing w:val="-2"/>
        </w:rPr>
        <w:t>1</w:t>
      </w:r>
      <w:r>
        <w:rPr>
          <w:rFonts w:ascii="华文细黑" w:hAnsi="华文细黑" w:cs="华文细黑" w:eastAsia="华文细黑" w:hint="default"/>
        </w:rPr>
        <w:t>1 </w:t>
      </w:r>
      <w:r>
        <w:rPr/>
        <w:t>户，详见本附注七“合并范围的变更</w:t>
      </w:r>
      <w:r>
        <w:rPr>
          <w:spacing w:val="-105"/>
        </w:rPr>
        <w:t>”</w:t>
      </w:r>
      <w:r>
        <w:rPr/>
        <w:t>。</w:t>
      </w:r>
      <w:r>
        <w:rPr/>
        <w:t> </w:t>
      </w:r>
      <w:r>
        <w:rPr>
          <w:spacing w:val="2"/>
        </w:rPr>
        <w:t>本公司经</w:t>
      </w:r>
      <w:r>
        <w:rPr>
          <w:spacing w:val="3"/>
        </w:rPr>
        <w:t>营</w:t>
      </w:r>
      <w:r>
        <w:rPr>
          <w:spacing w:val="2"/>
        </w:rPr>
        <w:t>范</w:t>
      </w:r>
      <w:r>
        <w:rPr>
          <w:spacing w:val="4"/>
        </w:rPr>
        <w:t>围</w:t>
      </w:r>
      <w:r>
        <w:rPr>
          <w:spacing w:val="2"/>
        </w:rPr>
        <w:t>：投资兴办实业（具体项目另行申报</w:t>
      </w:r>
      <w:r>
        <w:rPr>
          <w:spacing w:val="-102"/>
        </w:rPr>
        <w:t>）</w:t>
      </w:r>
      <w:r>
        <w:rPr>
          <w:spacing w:val="2"/>
        </w:rPr>
        <w:t>；国内商业、物资供销业（不含</w:t>
      </w:r>
      <w:r>
        <w:rPr>
          <w:spacing w:val="3"/>
        </w:rPr>
        <w:t>专营</w:t>
      </w:r>
      <w:r>
        <w:rPr/>
        <w:t>、</w:t>
      </w:r>
    </w:p>
    <w:p>
      <w:pPr>
        <w:pStyle w:val="BodyText"/>
        <w:spacing w:line="324" w:lineRule="auto"/>
        <w:ind w:right="1323"/>
        <w:jc w:val="left"/>
      </w:pPr>
      <w:r>
        <w:rPr>
          <w:spacing w:val="-9"/>
        </w:rPr>
        <w:t>专控、专卖商品）；进出口业务（按深贸进准字第</w:t>
      </w:r>
      <w:r>
        <w:rPr>
          <w:rFonts w:ascii="华文细黑" w:hAnsi="华文细黑" w:cs="华文细黑" w:eastAsia="华文细黑" w:hint="default"/>
          <w:spacing w:val="-9"/>
        </w:rPr>
        <w:t>[2001]0629</w:t>
      </w:r>
      <w:r>
        <w:rPr>
          <w:rFonts w:ascii="华文细黑" w:hAnsi="华文细黑" w:cs="华文细黑" w:eastAsia="华文细黑" w:hint="default"/>
          <w:spacing w:val="12"/>
        </w:rPr>
        <w:t> </w:t>
      </w:r>
      <w:r>
        <w:rPr>
          <w:spacing w:val="-18"/>
        </w:rPr>
        <w:t>号文办理）；信息咨询（不含限制项目）；</w:t>
      </w:r>
      <w:r>
        <w:rPr>
          <w:spacing w:val="-50"/>
        </w:rPr>
        <w:t> </w:t>
      </w:r>
      <w:r>
        <w:rPr>
          <w:spacing w:val="-50"/>
        </w:rPr>
      </w:r>
      <w:r>
        <w:rPr/>
        <w:t>移动通讯、电子产品及有关配套产品的购销与代理；信息咨询与技术服务；计算机软硬件的技术开</w:t>
      </w:r>
      <w:r>
        <w:rPr/>
        <w:t> 发，计算机及配件、五金交电、机械设备、通信器材、无线设备、数码产品的购销；零售连锁；供 </w:t>
      </w:r>
      <w:r>
        <w:rPr>
          <w:spacing w:val="-1"/>
        </w:rPr>
        <w:t>应链管理。（以上项目法律、行政法规、国务院决定禁止的项目除外，限制的项目须取得许可后方</w:t>
      </w:r>
    </w:p>
    <w:p>
      <w:pPr>
        <w:spacing w:after="0" w:line="324" w:lineRule="auto"/>
        <w:jc w:val="left"/>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331" w:lineRule="auto" w:before="10"/>
        <w:ind w:left="560" w:right="1246" w:hanging="421"/>
        <w:jc w:val="left"/>
      </w:pPr>
      <w:r>
        <w:rPr>
          <w:spacing w:val="-5"/>
        </w:rPr>
        <w:t>可经营）。信息服务业务（仅限互联网信息服务业务），移动通信转售业务；二类医疗器械销售。</w:t>
      </w:r>
      <w:r>
        <w:rPr>
          <w:spacing w:val="-51"/>
        </w:rPr>
        <w:t> </w:t>
      </w:r>
      <w:r>
        <w:rPr>
          <w:spacing w:val="-51"/>
        </w:rPr>
      </w:r>
      <w:bookmarkStart w:name="二、财务报表的编制基础" w:id="223"/>
      <w:bookmarkEnd w:id="223"/>
      <w:r>
        <w:rPr>
          <w:spacing w:val="-51"/>
        </w:rPr>
      </w:r>
      <w:r>
        <w:rPr>
          <w:rFonts w:ascii="华文细黑" w:hAnsi="华文细黑" w:cs="华文细黑" w:eastAsia="华文细黑" w:hint="default"/>
          <w:b/>
          <w:bCs/>
          <w:sz w:val="24"/>
          <w:szCs w:val="24"/>
        </w:rPr>
        <w:t>二、财务报表的编制基础</w:t>
      </w:r>
      <w:r>
        <w:rPr>
          <w:rFonts w:ascii="华文细黑" w:hAnsi="华文细黑" w:cs="华文细黑" w:eastAsia="华文细黑" w:hint="default"/>
          <w:b/>
          <w:bCs/>
          <w:w w:val="99"/>
          <w:sz w:val="24"/>
          <w:szCs w:val="24"/>
        </w:rPr>
        <w:t> </w:t>
      </w:r>
      <w:r>
        <w:rPr>
          <w:spacing w:val="-1"/>
        </w:rPr>
        <w:t>本公司财务报表以持续经营假设为基础，根据实际发生的交易和事项，按照财政部发布的《企</w:t>
      </w:r>
    </w:p>
    <w:p>
      <w:pPr>
        <w:pStyle w:val="BodyText"/>
        <w:spacing w:line="240" w:lineRule="auto" w:before="18"/>
        <w:ind w:right="1246"/>
        <w:jc w:val="left"/>
        <w:rPr>
          <w:rFonts w:ascii="华文细黑" w:hAnsi="华文细黑" w:cs="华文细黑" w:eastAsia="华文细黑" w:hint="default"/>
        </w:rPr>
      </w:pPr>
      <w:r>
        <w:rPr/>
        <w:t>业会计准则——基本准则</w:t>
      </w:r>
      <w:r>
        <w:rPr>
          <w:spacing w:val="-105"/>
        </w:rPr>
        <w:t>》</w:t>
      </w:r>
      <w:r>
        <w:rPr/>
        <w:t>（财政</w:t>
      </w:r>
      <w:r>
        <w:rPr>
          <w:spacing w:val="-2"/>
        </w:rPr>
        <w:t>部</w:t>
      </w:r>
      <w:r>
        <w:rPr/>
        <w:t>令第</w:t>
      </w:r>
      <w:r>
        <w:rPr>
          <w:spacing w:val="15"/>
        </w:rPr>
        <w:t> </w:t>
      </w:r>
      <w:r>
        <w:rPr>
          <w:rFonts w:ascii="华文细黑" w:hAnsi="华文细黑" w:cs="华文细黑" w:eastAsia="华文细黑" w:hint="default"/>
        </w:rPr>
        <w:t>33</w:t>
      </w:r>
      <w:r>
        <w:rPr>
          <w:rFonts w:ascii="华文细黑" w:hAnsi="华文细黑" w:cs="华文细黑" w:eastAsia="华文细黑" w:hint="default"/>
          <w:spacing w:val="14"/>
        </w:rPr>
        <w:t> </w:t>
      </w:r>
      <w:r>
        <w:rPr/>
        <w:t>号发布、财政部令第</w:t>
      </w:r>
      <w:r>
        <w:rPr>
          <w:spacing w:val="14"/>
        </w:rPr>
        <w:t> </w:t>
      </w:r>
      <w:r>
        <w:rPr>
          <w:rFonts w:ascii="华文细黑" w:hAnsi="华文细黑" w:cs="华文细黑" w:eastAsia="华文细黑" w:hint="default"/>
        </w:rPr>
        <w:t>76</w:t>
      </w:r>
      <w:r>
        <w:rPr>
          <w:rFonts w:ascii="华文细黑" w:hAnsi="华文细黑" w:cs="华文细黑" w:eastAsia="华文细黑" w:hint="default"/>
          <w:spacing w:val="14"/>
        </w:rPr>
        <w:t> </w:t>
      </w:r>
      <w:r>
        <w:rPr/>
        <w:t>号修订</w:t>
      </w:r>
      <w:r>
        <w:rPr>
          <w:spacing w:val="-105"/>
        </w:rPr>
        <w:t>）</w:t>
      </w:r>
      <w:r>
        <w:rPr/>
        <w:t>、于</w:t>
      </w:r>
      <w:r>
        <w:rPr>
          <w:spacing w:val="15"/>
        </w:rPr>
        <w:t> </w:t>
      </w:r>
      <w:r>
        <w:rPr>
          <w:rFonts w:ascii="华文细黑" w:hAnsi="华文细黑" w:cs="华文细黑" w:eastAsia="华文细黑" w:hint="default"/>
        </w:rPr>
        <w:t>20</w:t>
      </w:r>
      <w:r>
        <w:rPr>
          <w:rFonts w:ascii="华文细黑" w:hAnsi="华文细黑" w:cs="华文细黑" w:eastAsia="华文细黑" w:hint="default"/>
          <w:spacing w:val="-2"/>
        </w:rPr>
        <w:t>0</w:t>
      </w:r>
      <w:r>
        <w:rPr>
          <w:rFonts w:ascii="华文细黑" w:hAnsi="华文细黑" w:cs="华文细黑" w:eastAsia="华文细黑" w:hint="default"/>
        </w:rPr>
        <w:t>6</w:t>
      </w:r>
      <w:r>
        <w:rPr>
          <w:rFonts w:ascii="华文细黑" w:hAnsi="华文细黑" w:cs="华文细黑" w:eastAsia="华文细黑" w:hint="default"/>
          <w:spacing w:val="14"/>
        </w:rPr>
        <w:t> </w:t>
      </w:r>
      <w:r>
        <w:rPr/>
        <w:t>年</w:t>
      </w:r>
      <w:r>
        <w:rPr>
          <w:spacing w:val="14"/>
        </w:rPr>
        <w:t> </w:t>
      </w:r>
      <w:r>
        <w:rPr>
          <w:rFonts w:ascii="华文细黑" w:hAnsi="华文细黑" w:cs="华文细黑" w:eastAsia="华文细黑" w:hint="default"/>
        </w:rPr>
        <w:t>2</w:t>
      </w:r>
      <w:r>
        <w:rPr>
          <w:rFonts w:ascii="华文细黑" w:hAnsi="华文细黑" w:cs="华文细黑" w:eastAsia="华文细黑" w:hint="default"/>
          <w:spacing w:val="14"/>
        </w:rPr>
        <w:t> </w:t>
      </w:r>
      <w:r>
        <w:rPr/>
        <w:t>月</w:t>
      </w:r>
      <w:r>
        <w:rPr>
          <w:spacing w:val="14"/>
        </w:rPr>
        <w:t> </w:t>
      </w:r>
      <w:r>
        <w:rPr>
          <w:rFonts w:ascii="华文细黑" w:hAnsi="华文细黑" w:cs="华文细黑" w:eastAsia="华文细黑" w:hint="default"/>
          <w:spacing w:val="1"/>
        </w:rPr>
        <w:t>15</w:t>
      </w:r>
      <w:r>
        <w:rPr>
          <w:rFonts w:ascii="华文细黑" w:hAnsi="华文细黑" w:cs="华文细黑" w:eastAsia="华文细黑" w:hint="default"/>
        </w:rPr>
      </w:r>
    </w:p>
    <w:p>
      <w:pPr>
        <w:pStyle w:val="BodyText"/>
        <w:spacing w:line="324" w:lineRule="auto" w:before="103"/>
        <w:ind w:right="1438"/>
        <w:jc w:val="both"/>
      </w:pPr>
      <w:r>
        <w:rPr/>
        <w:t>日及其后颁布和修订的 </w:t>
      </w:r>
      <w:r>
        <w:rPr>
          <w:rFonts w:ascii="华文细黑" w:hAnsi="华文细黑" w:cs="华文细黑" w:eastAsia="华文细黑" w:hint="default"/>
        </w:rPr>
        <w:t>42</w:t>
      </w:r>
      <w:r>
        <w:rPr>
          <w:rFonts w:ascii="华文细黑" w:hAnsi="华文细黑" w:cs="华文细黑" w:eastAsia="华文细黑" w:hint="default"/>
          <w:spacing w:val="24"/>
        </w:rPr>
        <w:t> </w:t>
      </w:r>
      <w:r>
        <w:rPr/>
        <w:t>项具体会计准则、企业会计准则应用指南、企业会计准则解释及其他相 </w:t>
      </w:r>
      <w:r>
        <w:rPr>
          <w:spacing w:val="-5"/>
        </w:rPr>
        <w:t>关规定（以下合称“企业会计准则”），以及中国证券监督管理委员会《公开发行证券的公司信息披</w:t>
      </w:r>
      <w:r>
        <w:rPr/>
        <w:t> 露编报规则第 </w:t>
      </w:r>
      <w:r>
        <w:rPr>
          <w:rFonts w:ascii="华文细黑" w:hAnsi="华文细黑" w:cs="华文细黑" w:eastAsia="华文细黑" w:hint="default"/>
        </w:rPr>
        <w:t>15 </w:t>
      </w:r>
      <w:r>
        <w:rPr>
          <w:spacing w:val="-6"/>
        </w:rPr>
        <w:t>号——财务报告的一般规定》（</w:t>
      </w:r>
      <w:r>
        <w:rPr>
          <w:rFonts w:ascii="华文细黑" w:hAnsi="华文细黑" w:cs="华文细黑" w:eastAsia="华文细黑" w:hint="default"/>
          <w:spacing w:val="-6"/>
        </w:rPr>
        <w:t>2014</w:t>
      </w:r>
      <w:r>
        <w:rPr>
          <w:rFonts w:ascii="华文细黑" w:hAnsi="华文细黑" w:cs="华文细黑" w:eastAsia="华文细黑" w:hint="default"/>
        </w:rPr>
        <w:t> </w:t>
      </w:r>
      <w:r>
        <w:rPr/>
        <w:t>年修订）的披露规定编制。</w:t>
      </w:r>
    </w:p>
    <w:p>
      <w:pPr>
        <w:pStyle w:val="BodyText"/>
        <w:spacing w:line="324" w:lineRule="auto" w:before="63"/>
        <w:ind w:right="1246" w:firstLine="420"/>
        <w:jc w:val="left"/>
      </w:pPr>
      <w:r>
        <w:rPr/>
        <w:t>根据企业会计准则的相关规定，本公司会计核算以权责发生制为基础。除某些金融工具外，本 财务报表均以历史成本为计量基础。资产如果发生减值，则按照相关规定计提相应的减值准备。</w:t>
      </w:r>
    </w:p>
    <w:p>
      <w:pPr>
        <w:pStyle w:val="Heading4"/>
        <w:spacing w:line="240" w:lineRule="auto" w:before="27"/>
        <w:ind w:right="1246"/>
        <w:jc w:val="left"/>
        <w:rPr>
          <w:b w:val="0"/>
          <w:bCs w:val="0"/>
        </w:rPr>
      </w:pPr>
      <w:bookmarkStart w:name="三、遵循企业会计准则的声明" w:id="224"/>
      <w:bookmarkEnd w:id="224"/>
      <w:r>
        <w:rPr>
          <w:b w:val="0"/>
          <w:bCs w:val="0"/>
        </w:rPr>
      </w:r>
      <w:r>
        <w:rPr/>
        <w:t>三、遵循企业会计准则的声明</w:t>
      </w:r>
      <w:r>
        <w:rPr>
          <w:b w:val="0"/>
          <w:bCs w:val="0"/>
        </w:rPr>
      </w:r>
    </w:p>
    <w:p>
      <w:pPr>
        <w:pStyle w:val="BodyText"/>
        <w:spacing w:line="240" w:lineRule="auto" w:before="137"/>
        <w:ind w:left="560" w:right="1246"/>
        <w:jc w:val="left"/>
      </w:pPr>
      <w:r>
        <w:rPr/>
        <w:t>本公司编制的财务报表符合企业会计准则的要求，真实、完整地反映了本公司  </w:t>
      </w:r>
      <w:r>
        <w:rPr>
          <w:rFonts w:ascii="华文细黑" w:hAnsi="华文细黑" w:cs="华文细黑" w:eastAsia="华文细黑" w:hint="default"/>
        </w:rPr>
        <w:t>2018  </w:t>
      </w:r>
      <w:r>
        <w:rPr/>
        <w:t>年  </w:t>
      </w:r>
      <w:r>
        <w:rPr>
          <w:rFonts w:ascii="华文细黑" w:hAnsi="华文细黑" w:cs="华文细黑" w:eastAsia="华文细黑" w:hint="default"/>
        </w:rPr>
        <w:t>12</w:t>
      </w:r>
      <w:r>
        <w:rPr>
          <w:rFonts w:ascii="华文细黑" w:hAnsi="华文细黑" w:cs="华文细黑" w:eastAsia="华文细黑" w:hint="default"/>
          <w:spacing w:val="-23"/>
        </w:rPr>
        <w:t> </w:t>
      </w:r>
      <w:r>
        <w:rPr/>
        <w:t>月</w:t>
      </w:r>
    </w:p>
    <w:p>
      <w:pPr>
        <w:pStyle w:val="BodyText"/>
        <w:spacing w:line="240" w:lineRule="auto" w:before="103"/>
        <w:ind w:right="1246"/>
        <w:jc w:val="left"/>
      </w:pPr>
      <w:r>
        <w:rPr>
          <w:rFonts w:ascii="华文细黑" w:hAnsi="华文细黑" w:cs="华文细黑" w:eastAsia="华文细黑" w:hint="default"/>
        </w:rPr>
        <w:t>31 </w:t>
      </w:r>
      <w:r>
        <w:rPr/>
        <w:t>日的财务状况及 </w:t>
      </w:r>
      <w:r>
        <w:rPr>
          <w:rFonts w:ascii="华文细黑" w:hAnsi="华文细黑" w:cs="华文细黑" w:eastAsia="华文细黑" w:hint="default"/>
        </w:rPr>
        <w:t>2018</w:t>
      </w:r>
      <w:r>
        <w:rPr>
          <w:rFonts w:ascii="华文细黑" w:hAnsi="华文细黑" w:cs="华文细黑" w:eastAsia="华文细黑" w:hint="default"/>
          <w:spacing w:val="-21"/>
        </w:rPr>
        <w:t> </w:t>
      </w:r>
      <w:r>
        <w:rPr/>
        <w:t>年度的经营成果和现金流量等有关信息。此外，本公司的财务报表在所有</w:t>
      </w:r>
    </w:p>
    <w:p>
      <w:pPr>
        <w:pStyle w:val="BodyText"/>
        <w:spacing w:line="240" w:lineRule="auto" w:before="104"/>
        <w:ind w:right="1246"/>
        <w:jc w:val="left"/>
      </w:pPr>
      <w:r>
        <w:rPr/>
        <w:t>重大方面符合中国证券监督管理委员会  </w:t>
      </w:r>
      <w:r>
        <w:rPr>
          <w:rFonts w:ascii="华文细黑" w:hAnsi="华文细黑" w:cs="华文细黑" w:eastAsia="华文细黑" w:hint="default"/>
        </w:rPr>
        <w:t>2014</w:t>
      </w:r>
      <w:r>
        <w:rPr>
          <w:rFonts w:ascii="华文细黑" w:hAnsi="华文细黑" w:cs="华文细黑" w:eastAsia="华文细黑" w:hint="default"/>
          <w:spacing w:val="3"/>
        </w:rPr>
        <w:t> </w:t>
      </w:r>
      <w:r>
        <w:rPr/>
        <w:t>年修订的《公开发行证券的公司信息披露编报规则第</w:t>
      </w:r>
    </w:p>
    <w:p>
      <w:pPr>
        <w:pStyle w:val="BodyText"/>
        <w:spacing w:line="331" w:lineRule="auto" w:before="103"/>
        <w:ind w:left="560" w:right="1246" w:hanging="421"/>
        <w:jc w:val="left"/>
      </w:pPr>
      <w:r>
        <w:rPr>
          <w:rFonts w:ascii="华文细黑" w:hAnsi="华文细黑" w:cs="华文细黑" w:eastAsia="华文细黑" w:hint="default"/>
        </w:rPr>
        <w:t>15 </w:t>
      </w:r>
      <w:r>
        <w:rPr/>
        <w:t>号－财务报告的一般规定》有关财务报表及其附注的披露要求。 </w:t>
      </w:r>
      <w:bookmarkStart w:name="四、重要会计政策和会计估计" w:id="225"/>
      <w:bookmarkEnd w:id="225"/>
      <w:r>
        <w:rPr/>
      </w:r>
      <w:r>
        <w:rPr>
          <w:rFonts w:ascii="华文细黑" w:hAnsi="华文细黑" w:cs="华文细黑" w:eastAsia="华文细黑" w:hint="default"/>
          <w:b/>
          <w:bCs/>
          <w:sz w:val="24"/>
          <w:szCs w:val="24"/>
        </w:rPr>
        <w:t>四、重要会计政策和会计估计</w:t>
      </w:r>
      <w:r>
        <w:rPr>
          <w:rFonts w:ascii="华文细黑" w:hAnsi="华文细黑" w:cs="华文细黑" w:eastAsia="华文细黑" w:hint="default"/>
          <w:b/>
          <w:bCs/>
          <w:w w:val="99"/>
          <w:sz w:val="24"/>
          <w:szCs w:val="24"/>
        </w:rPr>
        <w:t> </w:t>
      </w:r>
      <w:r>
        <w:rPr>
          <w:spacing w:val="-1"/>
        </w:rPr>
        <w:t>本公司及各子企业从事手机分销零售、商品贸易经营及小额贷款经营等。本公司及各子公司根</w:t>
      </w:r>
    </w:p>
    <w:p>
      <w:pPr>
        <w:pStyle w:val="BodyText"/>
        <w:spacing w:line="324" w:lineRule="auto" w:before="18"/>
        <w:ind w:right="1436"/>
        <w:jc w:val="both"/>
      </w:pPr>
      <w:r>
        <w:rPr/>
        <w:t>据实际生产经营特点，依据相关企业会计准则的规定，对收入确认等交易和事项制定了若干项具体 </w:t>
      </w:r>
      <w:r>
        <w:rPr>
          <w:spacing w:val="-1"/>
        </w:rPr>
        <w:t>会计政策和会计估计，详见本附注四、</w:t>
      </w:r>
      <w:r>
        <w:rPr>
          <w:rFonts w:ascii="华文细黑" w:hAnsi="华文细黑" w:cs="华文细黑" w:eastAsia="华文细黑" w:hint="default"/>
          <w:spacing w:val="-1"/>
        </w:rPr>
        <w:t>24</w:t>
      </w:r>
      <w:r>
        <w:rPr>
          <w:spacing w:val="-1"/>
        </w:rPr>
        <w:t>“收入”各项描述。关于管理层所作出的重大会计判断和</w:t>
      </w:r>
      <w:r>
        <w:rPr>
          <w:spacing w:val="-35"/>
        </w:rPr>
        <w:t> </w:t>
      </w:r>
      <w:r>
        <w:rPr>
          <w:spacing w:val="-35"/>
        </w:rPr>
      </w:r>
      <w:r>
        <w:rPr>
          <w:spacing w:val="-4"/>
        </w:rPr>
        <w:t>估计的说明，请参阅附注四、</w:t>
      </w:r>
      <w:r>
        <w:rPr>
          <w:rFonts w:ascii="华文细黑" w:hAnsi="华文细黑" w:cs="华文细黑" w:eastAsia="华文细黑" w:hint="default"/>
          <w:spacing w:val="-4"/>
        </w:rPr>
        <w:t>29</w:t>
      </w:r>
      <w:r>
        <w:rPr>
          <w:spacing w:val="-4"/>
        </w:rPr>
        <w:t>“重大会计判断和估计”。</w:t>
      </w:r>
    </w:p>
    <w:p>
      <w:pPr>
        <w:pStyle w:val="BodyText"/>
        <w:spacing w:line="357" w:lineRule="auto" w:before="64"/>
        <w:ind w:left="560" w:right="1246"/>
        <w:jc w:val="left"/>
      </w:pPr>
      <w:bookmarkStart w:name="1、会计期间" w:id="226"/>
      <w:bookmarkEnd w:id="226"/>
      <w:r>
        <w:rPr/>
      </w:r>
      <w:r>
        <w:rPr>
          <w:rFonts w:ascii="华文细黑" w:hAnsi="华文细黑" w:cs="华文细黑" w:eastAsia="华文细黑" w:hint="default"/>
          <w:b/>
          <w:bCs/>
        </w:rPr>
        <w:t>1</w:t>
      </w:r>
      <w:r>
        <w:rPr>
          <w:rFonts w:ascii="华文细黑" w:hAnsi="华文细黑" w:cs="华文细黑" w:eastAsia="华文细黑" w:hint="default"/>
          <w:b/>
          <w:bCs/>
        </w:rPr>
        <w:t>、会计期间</w:t>
      </w:r>
      <w:r>
        <w:rPr>
          <w:rFonts w:ascii="华文细黑" w:hAnsi="华文细黑" w:cs="华文细黑" w:eastAsia="华文细黑" w:hint="default"/>
          <w:b/>
          <w:bCs/>
          <w:w w:val="99"/>
        </w:rPr>
        <w:t> </w:t>
      </w:r>
      <w:r>
        <w:rPr>
          <w:spacing w:val="-1"/>
        </w:rPr>
        <w:t>本公司的会计期间分为年度和中期，会计中期指短于一个完整的会计年度的报告期间。本公司</w:t>
      </w:r>
    </w:p>
    <w:p>
      <w:pPr>
        <w:pStyle w:val="BodyText"/>
        <w:spacing w:line="357" w:lineRule="auto"/>
        <w:ind w:left="560" w:right="4502" w:hanging="421"/>
        <w:jc w:val="left"/>
        <w:rPr>
          <w:rFonts w:ascii="华文细黑" w:hAnsi="华文细黑" w:cs="华文细黑" w:eastAsia="华文细黑" w:hint="default"/>
        </w:rPr>
      </w:pPr>
      <w:r>
        <w:rPr/>
        <w:t>会计年度采用公历年度，即每年自 </w:t>
      </w:r>
      <w:r>
        <w:rPr>
          <w:rFonts w:ascii="华文细黑" w:hAnsi="华文细黑" w:cs="华文细黑" w:eastAsia="华文细黑" w:hint="default"/>
        </w:rPr>
        <w:t>1 </w:t>
      </w:r>
      <w:r>
        <w:rPr/>
        <w:t>月 </w:t>
      </w:r>
      <w:r>
        <w:rPr>
          <w:rFonts w:ascii="华文细黑" w:hAnsi="华文细黑" w:cs="华文细黑" w:eastAsia="华文细黑" w:hint="default"/>
        </w:rPr>
        <w:t>1 </w:t>
      </w:r>
      <w:r>
        <w:rPr/>
        <w:t>日起至 </w:t>
      </w:r>
      <w:r>
        <w:rPr>
          <w:rFonts w:ascii="华文细黑" w:hAnsi="华文细黑" w:cs="华文细黑" w:eastAsia="华文细黑" w:hint="default"/>
        </w:rPr>
        <w:t>12 </w:t>
      </w:r>
      <w:r>
        <w:rPr/>
        <w:t>月 </w:t>
      </w:r>
      <w:r>
        <w:rPr>
          <w:rFonts w:ascii="华文细黑" w:hAnsi="华文细黑" w:cs="华文细黑" w:eastAsia="华文细黑" w:hint="default"/>
        </w:rPr>
        <w:t>31</w:t>
      </w:r>
      <w:r>
        <w:rPr>
          <w:rFonts w:ascii="华文细黑" w:hAnsi="华文细黑" w:cs="华文细黑" w:eastAsia="华文细黑" w:hint="default"/>
          <w:spacing w:val="-3"/>
        </w:rPr>
        <w:t> </w:t>
      </w:r>
      <w:r>
        <w:rPr/>
        <w:t>日止。 </w:t>
      </w:r>
      <w:bookmarkStart w:name="2、营业周期" w:id="227"/>
      <w:bookmarkEnd w:id="227"/>
      <w:r>
        <w:rPr/>
      </w:r>
      <w:r>
        <w:rPr>
          <w:rFonts w:ascii="华文细黑" w:hAnsi="华文细黑" w:cs="华文细黑" w:eastAsia="华文细黑" w:hint="default"/>
          <w:b/>
          <w:bCs/>
        </w:rPr>
        <w:t>2</w:t>
      </w:r>
      <w:r>
        <w:rPr>
          <w:rFonts w:ascii="华文细黑" w:hAnsi="华文细黑" w:cs="华文细黑" w:eastAsia="华文细黑" w:hint="default"/>
          <w:b/>
          <w:bCs/>
        </w:rPr>
        <w:t>、营业周期</w:t>
      </w:r>
      <w:r>
        <w:rPr>
          <w:rFonts w:ascii="华文细黑" w:hAnsi="华文细黑" w:cs="华文细黑" w:eastAsia="华文细黑" w:hint="default"/>
        </w:rPr>
      </w:r>
    </w:p>
    <w:p>
      <w:pPr>
        <w:pStyle w:val="BodyText"/>
        <w:spacing w:line="324" w:lineRule="auto" w:before="31"/>
        <w:ind w:right="1246" w:firstLine="420"/>
        <w:jc w:val="left"/>
      </w:pPr>
      <w:r>
        <w:rPr/>
        <w:t>正常营业周期是指本公司从购买用于加工的资产起至实现现金或现金等价物的期间。本公司以 </w:t>
      </w:r>
      <w:r>
        <w:rPr>
          <w:rFonts w:ascii="华文细黑" w:hAnsi="华文细黑" w:cs="华文细黑" w:eastAsia="华文细黑" w:hint="default"/>
        </w:rPr>
        <w:t>12 </w:t>
      </w:r>
      <w:r>
        <w:rPr/>
        <w:t>个月作为一个营业周期，并以其作为资产和负债的流动性划分标准。</w:t>
      </w:r>
    </w:p>
    <w:p>
      <w:pPr>
        <w:pStyle w:val="BodyText"/>
        <w:spacing w:line="357" w:lineRule="auto" w:before="63"/>
        <w:ind w:left="560" w:right="1416"/>
        <w:jc w:val="left"/>
      </w:pPr>
      <w:bookmarkStart w:name="3、记账本位币" w:id="228"/>
      <w:bookmarkEnd w:id="228"/>
      <w:r>
        <w:rPr/>
      </w:r>
      <w:r>
        <w:rPr>
          <w:rFonts w:ascii="华文细黑" w:hAnsi="华文细黑" w:cs="华文细黑" w:eastAsia="华文细黑" w:hint="default"/>
          <w:b/>
          <w:bCs/>
        </w:rPr>
        <w:t>3</w:t>
      </w:r>
      <w:r>
        <w:rPr>
          <w:rFonts w:ascii="华文细黑" w:hAnsi="华文细黑" w:cs="华文细黑" w:eastAsia="华文细黑" w:hint="default"/>
          <w:b/>
          <w:bCs/>
        </w:rPr>
        <w:t>、记账本位币</w:t>
      </w:r>
      <w:r>
        <w:rPr>
          <w:rFonts w:ascii="华文细黑" w:hAnsi="华文细黑" w:cs="华文细黑" w:eastAsia="华文细黑" w:hint="default"/>
          <w:b/>
          <w:bCs/>
          <w:w w:val="99"/>
        </w:rPr>
        <w:t> </w:t>
      </w:r>
      <w:r>
        <w:rPr/>
        <w:t>人民币为本公司及境内子公司经营所处的主要经济环境中的货币，本公司及境内子公司以人民</w:t>
      </w:r>
    </w:p>
    <w:p>
      <w:pPr>
        <w:pStyle w:val="BodyText"/>
        <w:spacing w:line="324" w:lineRule="auto"/>
        <w:ind w:right="1437"/>
        <w:jc w:val="both"/>
      </w:pPr>
      <w:r>
        <w:rPr/>
        <w:t>币为记账本位币。本公司之境外子公司根据其经营所处的主要经济环境中的货币确定港币为其记账 本位币。本公司编制本财务报表时所采用的货币为人民币。</w:t>
      </w:r>
    </w:p>
    <w:p>
      <w:pPr>
        <w:spacing w:line="357" w:lineRule="auto" w:before="63"/>
        <w:ind w:left="562" w:right="1246" w:hanging="3"/>
        <w:jc w:val="left"/>
        <w:rPr>
          <w:rFonts w:ascii="华文细黑" w:hAnsi="华文细黑" w:cs="华文细黑" w:eastAsia="华文细黑" w:hint="default"/>
          <w:sz w:val="21"/>
          <w:szCs w:val="21"/>
        </w:rPr>
      </w:pPr>
      <w:bookmarkStart w:name="4、同一控制下和非同一控制下企业合并的会计处理方法" w:id="229"/>
      <w:bookmarkEnd w:id="229"/>
      <w:r>
        <w:rPr/>
      </w:r>
      <w:r>
        <w:rPr>
          <w:rFonts w:ascii="华文细黑" w:hAnsi="华文细黑" w:cs="华文细黑" w:eastAsia="华文细黑" w:hint="default"/>
          <w:b/>
          <w:bCs/>
          <w:sz w:val="21"/>
          <w:szCs w:val="21"/>
        </w:rPr>
        <w:t>4</w:t>
      </w:r>
      <w:r>
        <w:rPr>
          <w:rFonts w:ascii="华文细黑" w:hAnsi="华文细黑" w:cs="华文细黑" w:eastAsia="华文细黑" w:hint="default"/>
          <w:b/>
          <w:bCs/>
          <w:sz w:val="21"/>
          <w:szCs w:val="21"/>
        </w:rPr>
        <w:t>、同一控制下和非同一控制下企业合并的会计处理方法</w:t>
      </w:r>
      <w:r>
        <w:rPr>
          <w:rFonts w:ascii="华文细黑" w:hAnsi="华文细黑" w:cs="华文细黑" w:eastAsia="华文细黑" w:hint="default"/>
          <w:b/>
          <w:bCs/>
          <w:w w:val="99"/>
          <w:sz w:val="21"/>
          <w:szCs w:val="21"/>
        </w:rPr>
        <w:t> </w:t>
      </w:r>
      <w:r>
        <w:rPr>
          <w:rFonts w:ascii="华文细黑" w:hAnsi="华文细黑" w:cs="华文细黑" w:eastAsia="华文细黑" w:hint="default"/>
          <w:spacing w:val="-1"/>
          <w:sz w:val="21"/>
          <w:szCs w:val="21"/>
        </w:rPr>
        <w:t>企业合并，是指将两个或两个以上单独的企业合并形成一个报告主体的交易或事项。企业合并</w:t>
      </w:r>
    </w:p>
    <w:p>
      <w:pPr>
        <w:pStyle w:val="BodyText"/>
        <w:spacing w:line="289" w:lineRule="exact"/>
        <w:ind w:left="142" w:right="1246"/>
        <w:jc w:val="left"/>
      </w:pPr>
      <w:r>
        <w:rPr/>
        <w:t>分为同一控制下企业合并和非同一控制下企业合并。</w:t>
      </w:r>
    </w:p>
    <w:p>
      <w:pPr>
        <w:pStyle w:val="BodyText"/>
        <w:spacing w:line="240" w:lineRule="auto" w:before="144"/>
        <w:ind w:left="560" w:right="1246"/>
        <w:jc w:val="left"/>
      </w:pPr>
      <w:r>
        <w:rPr/>
        <w:t>（</w:t>
      </w:r>
      <w:r>
        <w:rPr>
          <w:rFonts w:ascii="华文细黑" w:hAnsi="华文细黑" w:cs="华文细黑" w:eastAsia="华文细黑" w:hint="default"/>
        </w:rPr>
        <w:t>1</w:t>
      </w:r>
      <w:r>
        <w:rPr/>
        <w:t>）同一控制下企业合并</w:t>
      </w:r>
    </w:p>
    <w:p>
      <w:pPr>
        <w:spacing w:after="0" w:line="240" w:lineRule="auto"/>
        <w:jc w:val="left"/>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324" w:lineRule="auto" w:before="10"/>
        <w:ind w:right="1332" w:firstLine="420"/>
        <w:jc w:val="both"/>
      </w:pPr>
      <w:r>
        <w:rPr/>
        <w:t>参与合并的企业在合并前后均受同一方或相同的多方最终控制，且该控制并非暂时性的，为同 一控制下的企业合并。同一控制下的企业合并，在合并日取得对其他参与合并企业控制权的一方为 </w:t>
      </w:r>
      <w:r>
        <w:rPr>
          <w:spacing w:val="-3"/>
        </w:rPr>
        <w:t>合并方，参与合并的其他企业为被合并方。合并日，是指合并方实际取得对被合并方控制权的日期。</w:t>
      </w:r>
    </w:p>
    <w:p>
      <w:pPr>
        <w:pStyle w:val="BodyText"/>
        <w:spacing w:line="324" w:lineRule="auto" w:before="63"/>
        <w:ind w:right="1436" w:firstLine="420"/>
        <w:jc w:val="both"/>
      </w:pPr>
      <w:r>
        <w:rPr/>
        <w:t>合并方取得的资产和负债均按合并日在被合并方的账面价值计量。合并方取得的净资产账面价 </w:t>
      </w:r>
      <w:r>
        <w:rPr>
          <w:spacing w:val="-1"/>
        </w:rPr>
        <w:t>值与支付的合并对价账面价值（或发行股份面值总额）的差额，调整资本公积（股本溢价）；资本</w:t>
      </w:r>
      <w:r>
        <w:rPr>
          <w:spacing w:val="-29"/>
        </w:rPr>
        <w:t> </w:t>
      </w:r>
      <w:r>
        <w:rPr>
          <w:spacing w:val="-29"/>
        </w:rPr>
      </w:r>
      <w:r>
        <w:rPr/>
        <w:t>公积（股本溢价）不足以冲减的，调整留存收益。</w:t>
      </w:r>
    </w:p>
    <w:p>
      <w:pPr>
        <w:pStyle w:val="BodyText"/>
        <w:spacing w:line="240" w:lineRule="auto" w:before="64"/>
        <w:ind w:left="560" w:right="1246"/>
        <w:jc w:val="left"/>
      </w:pPr>
      <w:r>
        <w:rPr/>
        <w:t>合并方为进行企业合并发生的各项直接费用，于发生时计入当期损益。</w:t>
      </w:r>
    </w:p>
    <w:p>
      <w:pPr>
        <w:pStyle w:val="BodyText"/>
        <w:spacing w:line="357" w:lineRule="auto" w:before="142"/>
        <w:ind w:left="560" w:right="1246"/>
        <w:jc w:val="left"/>
      </w:pPr>
      <w:r>
        <w:rPr/>
        <w:t>（</w:t>
      </w:r>
      <w:r>
        <w:rPr>
          <w:rFonts w:ascii="华文细黑" w:hAnsi="华文细黑" w:cs="华文细黑" w:eastAsia="华文细黑" w:hint="default"/>
        </w:rPr>
        <w:t>2</w:t>
      </w:r>
      <w:r>
        <w:rPr/>
        <w:t>）非同一控制下企业合并 </w:t>
      </w:r>
      <w:r>
        <w:rPr>
          <w:spacing w:val="4"/>
        </w:rPr>
        <w:t>参与合并的企业在合并前后不受同一方或相同的多方最终控制的，为非同一控制下的企业合</w:t>
      </w:r>
    </w:p>
    <w:p>
      <w:pPr>
        <w:pStyle w:val="BodyText"/>
        <w:spacing w:line="324" w:lineRule="auto"/>
        <w:ind w:right="1246"/>
        <w:jc w:val="left"/>
      </w:pPr>
      <w:r>
        <w:rPr>
          <w:spacing w:val="-1"/>
        </w:rPr>
        <w:t>并。非同一控制下的企业合并，在购买日取得对其他参与合并企业控制权的一方为购买方，参与合</w:t>
      </w:r>
      <w:r>
        <w:rPr>
          <w:spacing w:val="-16"/>
        </w:rPr>
        <w:t> </w:t>
      </w:r>
      <w:r>
        <w:rPr>
          <w:spacing w:val="-16"/>
        </w:rPr>
      </w:r>
      <w:r>
        <w:rPr/>
        <w:t>并的其他企业为被购买方。购买日，是指为购买方实际取得对被购买方控制权的日期。</w:t>
      </w:r>
    </w:p>
    <w:p>
      <w:pPr>
        <w:pStyle w:val="BodyText"/>
        <w:spacing w:line="324" w:lineRule="auto" w:before="63"/>
        <w:ind w:right="1246" w:firstLine="420"/>
        <w:jc w:val="left"/>
      </w:pPr>
      <w:r>
        <w:rPr/>
        <w:t>对于非同一控制下的企业合并，合并成本包含购买日购买方为取得对被购买方的控制权而付出 </w:t>
      </w:r>
      <w:r>
        <w:rPr>
          <w:spacing w:val="-3"/>
        </w:rPr>
        <w:t>的资产、发生或承担的负债以及发行的权益性证券的公允价值，为企业合并发生的审计、法律服务、</w:t>
      </w:r>
      <w:r>
        <w:rPr>
          <w:spacing w:val="-29"/>
        </w:rPr>
        <w:t> </w:t>
      </w:r>
      <w:r>
        <w:rPr>
          <w:spacing w:val="-29"/>
        </w:rPr>
      </w:r>
      <w:r>
        <w:rPr/>
        <w:t>评估咨询等中介费用以及其他管理费用于发生时计入当期损益。购买方作为合并对价发行的权益性</w:t>
      </w:r>
      <w:r>
        <w:rPr/>
        <w:t> 证券或债务性证券的交易费用，计入权益性证券或债务性证券的初始确认金额。所涉及的或有对价 按其在购买日的公允价值计入合并成本，购买日后 </w:t>
      </w:r>
      <w:r>
        <w:rPr>
          <w:rFonts w:ascii="华文细黑" w:hAnsi="华文细黑" w:cs="华文细黑" w:eastAsia="华文细黑" w:hint="default"/>
        </w:rPr>
        <w:t>12</w:t>
      </w:r>
      <w:r>
        <w:rPr>
          <w:rFonts w:ascii="华文细黑" w:hAnsi="华文细黑" w:cs="华文细黑" w:eastAsia="华文细黑" w:hint="default"/>
          <w:spacing w:val="26"/>
        </w:rPr>
        <w:t> </w:t>
      </w:r>
      <w:r>
        <w:rPr/>
        <w:t>个月内出现对购买日已存在情况的新的或进 一步证据而需要调整或有对价的，相应调整合并商誉。购买方发生的合并成本及在合并中取得的可 辨认净资产按购买日的公允价值计量。合并成本大于合并中取得的被购买方于购买日可辨认净资产 公允价值份额的差额，确认为商誉。合并成本小于合并中取得的被购买方可辨认净资产公允价值份 额的，首先对取得的被购买方各项可辨认资产、负债及或有负债的公允价值以及合并成本的计量进 行复核，复核后合并成本仍小于合并中取得的被购买方可辨认净资产公允价值份额的，其差额计入 当期损益。</w:t>
      </w:r>
    </w:p>
    <w:p>
      <w:pPr>
        <w:pStyle w:val="BodyText"/>
        <w:spacing w:line="324" w:lineRule="auto" w:before="63"/>
        <w:ind w:right="1437" w:firstLine="420"/>
        <w:jc w:val="both"/>
      </w:pPr>
      <w:r>
        <w:rPr/>
        <w:t>购买方取得被购买方的可抵扣暂时性差异，在购买日因不符合递延所得税资产确认条件而未予 确认的，在购买日后 </w:t>
      </w:r>
      <w:r>
        <w:rPr>
          <w:rFonts w:ascii="华文细黑" w:hAnsi="华文细黑" w:cs="华文细黑" w:eastAsia="华文细黑" w:hint="default"/>
        </w:rPr>
        <w:t>12</w:t>
      </w:r>
      <w:r>
        <w:rPr>
          <w:rFonts w:ascii="华文细黑" w:hAnsi="华文细黑" w:cs="华文细黑" w:eastAsia="华文细黑" w:hint="default"/>
          <w:spacing w:val="24"/>
        </w:rPr>
        <w:t> </w:t>
      </w:r>
      <w:r>
        <w:rPr/>
        <w:t>个月内，如取得新的或进一步的信息表明购买日的相关情况已经存在，预 </w:t>
      </w:r>
      <w:r>
        <w:rPr>
          <w:spacing w:val="4"/>
        </w:rPr>
        <w:t>期被购买方在购买日可抵扣暂时性差异带来的经济利益能够实现的，则确认相关的递延所得税资</w:t>
      </w:r>
      <w:r>
        <w:rPr>
          <w:spacing w:val="-49"/>
        </w:rPr>
        <w:t> </w:t>
      </w:r>
      <w:r>
        <w:rPr>
          <w:spacing w:val="-49"/>
        </w:rPr>
      </w:r>
      <w:r>
        <w:rPr>
          <w:spacing w:val="-1"/>
        </w:rPr>
        <w:t>产，同时减少商誉，商誉不足冲减的，差额部分确认为当期损益；除上述情况以外，确认与企业合</w:t>
      </w:r>
      <w:r>
        <w:rPr>
          <w:spacing w:val="-19"/>
        </w:rPr>
        <w:t> </w:t>
      </w:r>
      <w:r>
        <w:rPr>
          <w:spacing w:val="-19"/>
        </w:rPr>
      </w:r>
      <w:r>
        <w:rPr/>
        <w:t>并相关的递延所得税资产的，计入当期损益。</w:t>
      </w:r>
    </w:p>
    <w:p>
      <w:pPr>
        <w:pStyle w:val="BodyText"/>
        <w:spacing w:line="324" w:lineRule="auto" w:before="63"/>
        <w:ind w:right="1320" w:firstLine="420"/>
        <w:jc w:val="left"/>
      </w:pPr>
      <w:r>
        <w:rPr/>
        <w:t>通过多次交易分步实现的非同一控制下企业合并，根据《财政部关于印发企业会计准则解释第 </w:t>
      </w:r>
      <w:r>
        <w:rPr>
          <w:rFonts w:ascii="华文细黑" w:hAnsi="华文细黑" w:cs="华文细黑" w:eastAsia="华文细黑" w:hint="default"/>
        </w:rPr>
        <w:t>5 </w:t>
      </w:r>
      <w:r>
        <w:rPr>
          <w:spacing w:val="-7"/>
        </w:rPr>
        <w:t>号的通知》（财会〔</w:t>
      </w:r>
      <w:r>
        <w:rPr>
          <w:rFonts w:ascii="华文细黑" w:hAnsi="华文细黑" w:cs="华文细黑" w:eastAsia="华文细黑" w:hint="default"/>
          <w:spacing w:val="-7"/>
        </w:rPr>
        <w:t>2012</w:t>
      </w:r>
      <w:r>
        <w:rPr>
          <w:spacing w:val="-7"/>
        </w:rPr>
        <w:t>〕</w:t>
      </w:r>
      <w:r>
        <w:rPr>
          <w:rFonts w:ascii="华文细黑" w:hAnsi="华文细黑" w:cs="华文细黑" w:eastAsia="华文细黑" w:hint="default"/>
          <w:spacing w:val="-7"/>
        </w:rPr>
        <w:t>19</w:t>
      </w:r>
      <w:r>
        <w:rPr>
          <w:rFonts w:ascii="华文细黑" w:hAnsi="华文细黑" w:cs="华文细黑" w:eastAsia="华文细黑" w:hint="default"/>
        </w:rPr>
        <w:t> </w:t>
      </w:r>
      <w:r>
        <w:rPr/>
        <w:t>号）和《企业会计准则第 </w:t>
      </w:r>
      <w:r>
        <w:rPr>
          <w:rFonts w:ascii="华文细黑" w:hAnsi="华文细黑" w:cs="华文细黑" w:eastAsia="华文细黑" w:hint="default"/>
        </w:rPr>
        <w:t>33</w:t>
      </w:r>
      <w:r>
        <w:rPr>
          <w:rFonts w:ascii="华文细黑" w:hAnsi="华文细黑" w:cs="华文细黑" w:eastAsia="华文细黑" w:hint="default"/>
          <w:spacing w:val="51"/>
        </w:rPr>
        <w:t> </w:t>
      </w:r>
      <w:r>
        <w:rPr/>
        <w:t>号——合并财务报表》第五十一条关 </w:t>
      </w:r>
      <w:r>
        <w:rPr>
          <w:spacing w:val="-8"/>
        </w:rPr>
        <w:t>于“一揽子交易”的判断标准（参见本附注四、</w:t>
      </w:r>
      <w:r>
        <w:rPr>
          <w:rFonts w:ascii="华文细黑" w:hAnsi="华文细黑" w:cs="华文细黑" w:eastAsia="华文细黑" w:hint="default"/>
          <w:spacing w:val="-8"/>
        </w:rPr>
        <w:t>5</w:t>
      </w:r>
      <w:r>
        <w:rPr>
          <w:spacing w:val="-8"/>
        </w:rPr>
        <w:t>（</w:t>
      </w:r>
      <w:r>
        <w:rPr>
          <w:rFonts w:ascii="华文细黑" w:hAnsi="华文细黑" w:cs="华文细黑" w:eastAsia="华文细黑" w:hint="default"/>
          <w:spacing w:val="-8"/>
        </w:rPr>
        <w:t>2</w:t>
      </w:r>
      <w:r>
        <w:rPr>
          <w:spacing w:val="-8"/>
        </w:rPr>
        <w:t>）），判断该多次交易是否属于“一揽子交易”。</w:t>
      </w:r>
      <w:r>
        <w:rPr>
          <w:spacing w:val="-29"/>
        </w:rPr>
        <w:t> </w:t>
      </w:r>
      <w:r>
        <w:rPr>
          <w:spacing w:val="-29"/>
        </w:rPr>
      </w:r>
      <w:r>
        <w:rPr>
          <w:spacing w:val="-3"/>
        </w:rPr>
        <w:t>属于“一揽子交易”的，参考本部分前面各段描述及本附注四、</w:t>
      </w:r>
      <w:r>
        <w:rPr>
          <w:rFonts w:ascii="华文细黑" w:hAnsi="华文细黑" w:cs="华文细黑" w:eastAsia="华文细黑" w:hint="default"/>
          <w:spacing w:val="-3"/>
        </w:rPr>
        <w:t>14</w:t>
      </w:r>
      <w:r>
        <w:rPr>
          <w:spacing w:val="-3"/>
        </w:rPr>
        <w:t>“长期股权投资”进行会计处理；</w:t>
      </w:r>
      <w:r>
        <w:rPr/>
        <w:t> 不属于“一揽子交易”的，区分个别财务报表和合并财务报表进行相关会计处理：</w:t>
      </w:r>
    </w:p>
    <w:p>
      <w:pPr>
        <w:pStyle w:val="BodyText"/>
        <w:spacing w:line="324" w:lineRule="auto" w:before="63"/>
        <w:ind w:right="1246" w:firstLine="420"/>
        <w:jc w:val="left"/>
      </w:pPr>
      <w:r>
        <w:rPr/>
        <w:t>在个别财务报表中，以购买日之前所持被购买方的股权投资的账面价值与购买日新增投资成本 </w:t>
      </w:r>
      <w:r>
        <w:rPr>
          <w:spacing w:val="-1"/>
        </w:rPr>
        <w:t>之和，作为该项投资的初始投资成本；购买日之前持有的被购买方的股权涉及其他综合收益的，在</w:t>
      </w:r>
    </w:p>
    <w:p>
      <w:pPr>
        <w:spacing w:after="0" w:line="324" w:lineRule="auto"/>
        <w:jc w:val="left"/>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324" w:lineRule="auto" w:before="10"/>
        <w:ind w:right="1437"/>
        <w:jc w:val="both"/>
      </w:pPr>
      <w:r>
        <w:rPr>
          <w:spacing w:val="4"/>
        </w:rPr>
        <w:t>处置该项投资时将与其相关的其他综合收益采用与被购买方直接处置相关资产或负债相同的基础</w:t>
      </w:r>
      <w:r>
        <w:rPr>
          <w:spacing w:val="-49"/>
        </w:rPr>
        <w:t> </w:t>
      </w:r>
      <w:r>
        <w:rPr>
          <w:spacing w:val="-49"/>
        </w:rPr>
      </w:r>
      <w:r>
        <w:rPr/>
        <w:t>进行会计处理（即，除了按照权益法核算的在被购买方重新计量设定受益计划净负债或净资产导致</w:t>
      </w:r>
      <w:r>
        <w:rPr/>
        <w:t> </w:t>
      </w:r>
      <w:r>
        <w:rPr>
          <w:spacing w:val="-5"/>
        </w:rPr>
        <w:t>的变动中的相应份额以外，其余转入当期投资收益）。</w:t>
      </w:r>
    </w:p>
    <w:p>
      <w:pPr>
        <w:pStyle w:val="BodyText"/>
        <w:spacing w:line="324" w:lineRule="auto" w:before="63"/>
        <w:ind w:right="1437" w:firstLine="420"/>
        <w:jc w:val="both"/>
      </w:pPr>
      <w:r>
        <w:rPr/>
        <w:t>在合并财务报表中，对于购买日之前持有的被购买方的股权，按照该股权在购买日的公允价值 进行重新计量，公允价值与其账面价值的差额计入当期投资收益；购买日之前持有的被购买方的股 权涉及其他综合收益的，与其相关的其他综合收益应当采用与被购买方直接处置相关资产或负债相 同的基础进行会计处理（即，除了按照权益法核算的在被购买方重新计量设定受益计划净负债或净 </w:t>
      </w:r>
      <w:r>
        <w:rPr>
          <w:spacing w:val="-4"/>
        </w:rPr>
        <w:t>资产导致的变动中的相应份额以外，其余转为购买日所属当期投资收益）。</w:t>
      </w:r>
    </w:p>
    <w:p>
      <w:pPr>
        <w:pStyle w:val="Heading5"/>
        <w:spacing w:line="240" w:lineRule="auto" w:before="63"/>
        <w:ind w:left="560" w:right="1246"/>
        <w:jc w:val="left"/>
        <w:rPr>
          <w:b w:val="0"/>
          <w:bCs w:val="0"/>
        </w:rPr>
      </w:pPr>
      <w:bookmarkStart w:name="5、合并财务报表的编制方法" w:id="230"/>
      <w:bookmarkEnd w:id="230"/>
      <w:r>
        <w:rPr>
          <w:b w:val="0"/>
          <w:bCs w:val="0"/>
        </w:rPr>
      </w:r>
      <w:r>
        <w:rPr>
          <w:rFonts w:ascii="华文细黑" w:hAnsi="华文细黑" w:cs="华文细黑" w:eastAsia="华文细黑" w:hint="default"/>
        </w:rPr>
        <w:t>5</w:t>
      </w:r>
      <w:r>
        <w:rPr/>
        <w:t>、合并财务报表的编制方法</w:t>
      </w:r>
      <w:r>
        <w:rPr>
          <w:b w:val="0"/>
          <w:bCs w:val="0"/>
        </w:rPr>
      </w:r>
    </w:p>
    <w:p>
      <w:pPr>
        <w:pStyle w:val="BodyText"/>
        <w:spacing w:line="357" w:lineRule="auto" w:before="144"/>
        <w:ind w:left="560" w:right="1246"/>
        <w:jc w:val="left"/>
      </w:pPr>
      <w:r>
        <w:rPr/>
        <w:t>（</w:t>
      </w:r>
      <w:r>
        <w:rPr>
          <w:rFonts w:ascii="华文细黑" w:hAnsi="华文细黑" w:cs="华文细黑" w:eastAsia="华文细黑" w:hint="default"/>
        </w:rPr>
        <w:t>1</w:t>
      </w:r>
      <w:r>
        <w:rPr/>
        <w:t>）合并财务报表范围的确定原则 </w:t>
      </w:r>
      <w:r>
        <w:rPr>
          <w:spacing w:val="-1"/>
        </w:rPr>
        <w:t>合并财务报表的合并范围以控制为基础予以确定。控制是指本公司拥有对被投资方的权力，通</w:t>
      </w:r>
    </w:p>
    <w:p>
      <w:pPr>
        <w:pStyle w:val="BodyText"/>
        <w:spacing w:line="324" w:lineRule="auto"/>
        <w:ind w:right="1434"/>
        <w:jc w:val="both"/>
      </w:pPr>
      <w:r>
        <w:rPr/>
        <w:t>过参与被投资方的相关活动而享有可变回报，并且有能力运用对被投资方的权力影响该回报金额。 合并范围包括本公司及全部子公司。子公司，是指被本公司控制的主体。</w:t>
      </w:r>
    </w:p>
    <w:p>
      <w:pPr>
        <w:pStyle w:val="BodyText"/>
        <w:spacing w:line="324" w:lineRule="auto" w:before="64"/>
        <w:ind w:right="1437" w:firstLine="420"/>
        <w:jc w:val="both"/>
      </w:pPr>
      <w:r>
        <w:rPr/>
        <w:t>一旦相关事实和情况的变化导致上述控制定义涉及的相关要素发生了变化，本公司将进行重新 评估。</w:t>
      </w:r>
    </w:p>
    <w:p>
      <w:pPr>
        <w:pStyle w:val="BodyText"/>
        <w:spacing w:line="357" w:lineRule="auto" w:before="64"/>
        <w:ind w:left="560" w:right="1416"/>
        <w:jc w:val="left"/>
      </w:pPr>
      <w:r>
        <w:rPr/>
        <w:t>（</w:t>
      </w:r>
      <w:r>
        <w:rPr>
          <w:rFonts w:ascii="华文细黑" w:hAnsi="华文细黑" w:cs="华文细黑" w:eastAsia="华文细黑" w:hint="default"/>
        </w:rPr>
        <w:t>2</w:t>
      </w:r>
      <w:r>
        <w:rPr/>
        <w:t>）合并财务报表编制的方法 从取得子公司的净资产和生产经营决策的实际控制权之日起，本公司开始将其纳入合并范围；</w:t>
      </w:r>
    </w:p>
    <w:p>
      <w:pPr>
        <w:pStyle w:val="BodyText"/>
        <w:spacing w:line="324" w:lineRule="auto"/>
        <w:ind w:right="1437"/>
        <w:jc w:val="both"/>
      </w:pPr>
      <w:r>
        <w:rPr/>
        <w:t>从丧失实际控制权之日起停止纳入合并范围。对于处置的子公司，处置日前的经营成果和现金流量 已经适当地包括在合并利润表和合并现金流量表中；当期处置的子公司，不调整合并资产负债表的 期初数。非同一控制下企业合并增加的子公司，其购买日后的经营成果及现金流量已经适当地包括 在合并利润表和合并现金流量表中，且不调整合并财务报表的期初数和对比数。同一控制下企业合 并增加的子公司，其自合并当期期初至合并日的经营成果和现金流量已经适当地包括在合并利润表 和合并现金流量表中，并且同时调整合并财务报表的对比数。</w:t>
      </w:r>
    </w:p>
    <w:p>
      <w:pPr>
        <w:pStyle w:val="BodyText"/>
        <w:spacing w:line="324" w:lineRule="auto" w:before="63"/>
        <w:ind w:right="1438" w:firstLine="420"/>
        <w:jc w:val="both"/>
      </w:pPr>
      <w:r>
        <w:rPr>
          <w:spacing w:val="-1"/>
        </w:rPr>
        <w:t>在编制合并财务报表时，子公司与本公司采用的会计政策或会计期间不一致的，按照本公司的</w:t>
      </w:r>
      <w:r>
        <w:rPr/>
        <w:t> </w:t>
      </w:r>
      <w:r>
        <w:rPr>
          <w:spacing w:val="4"/>
        </w:rPr>
        <w:t>会计政策和会计期间对子公司财务报表进行必要的调整。对于非同一控制下企业合并取得的子公</w:t>
      </w:r>
      <w:r>
        <w:rPr>
          <w:spacing w:val="-49"/>
        </w:rPr>
        <w:t> </w:t>
      </w:r>
      <w:r>
        <w:rPr>
          <w:spacing w:val="-49"/>
        </w:rPr>
      </w:r>
      <w:r>
        <w:rPr/>
        <w:t>司，以购买日可辨认净资产公允价值为基础对其财务报表进行调整。</w:t>
      </w:r>
    </w:p>
    <w:p>
      <w:pPr>
        <w:pStyle w:val="BodyText"/>
        <w:spacing w:line="355" w:lineRule="auto" w:before="64"/>
        <w:ind w:left="560" w:right="1246"/>
        <w:jc w:val="left"/>
      </w:pPr>
      <w:r>
        <w:rPr/>
        <w:t>公司内所有重大往来余额、交易及未实现利润在合并财务报表编制时予以抵销。 </w:t>
      </w:r>
      <w:r>
        <w:rPr>
          <w:spacing w:val="4"/>
        </w:rPr>
        <w:t>子公司的股东权益及当期净损益中不属于本公司所拥有的部分分别作为少数股东权益及少数</w:t>
      </w:r>
    </w:p>
    <w:p>
      <w:pPr>
        <w:pStyle w:val="BodyText"/>
        <w:spacing w:line="324" w:lineRule="auto"/>
        <w:ind w:right="1437"/>
        <w:jc w:val="both"/>
      </w:pPr>
      <w:r>
        <w:rPr/>
        <w:t>股东损益在合并财务报表中股东权益及净利润项下单独列示。子公司当期净损益中属于少数股东权 </w:t>
      </w:r>
      <w:r>
        <w:rPr>
          <w:spacing w:val="-1"/>
        </w:rPr>
        <w:t>益的份额，在合并利润表中净利润项目下以“少数股东损益”项目列示。少数股东分担的子公司的</w:t>
      </w:r>
      <w:r>
        <w:rPr>
          <w:spacing w:val="-18"/>
        </w:rPr>
        <w:t> </w:t>
      </w:r>
      <w:r>
        <w:rPr>
          <w:spacing w:val="-18"/>
        </w:rPr>
      </w:r>
      <w:r>
        <w:rPr/>
        <w:t>亏损超过了少数股东在该子公司期初股东权益中所享有的份额，仍冲减少数股东权益。</w:t>
      </w:r>
    </w:p>
    <w:p>
      <w:pPr>
        <w:pStyle w:val="BodyText"/>
        <w:spacing w:line="324" w:lineRule="auto" w:before="64"/>
        <w:ind w:right="1438" w:firstLine="420"/>
        <w:jc w:val="both"/>
      </w:pPr>
      <w:r>
        <w:rPr>
          <w:spacing w:val="-1"/>
        </w:rPr>
        <w:t>当因处置部分股权投资或其他原因丧失了对原有子公司的控制权时，对于剩余股权，按照其在</w:t>
      </w:r>
      <w:r>
        <w:rPr/>
        <w:t> </w:t>
      </w:r>
      <w:r>
        <w:rPr>
          <w:spacing w:val="-1"/>
        </w:rPr>
        <w:t>丧失控制权日的公允价值进行重新计量。处置股权取得的对价与剩余股权公允价值之和，减去按原</w:t>
      </w:r>
    </w:p>
    <w:p>
      <w:pPr>
        <w:spacing w:after="0" w:line="324" w:lineRule="auto"/>
        <w:jc w:val="both"/>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324" w:lineRule="auto" w:before="10"/>
        <w:ind w:right="1437"/>
        <w:jc w:val="both"/>
      </w:pPr>
      <w:r>
        <w:rPr/>
        <w:t>持股比例计算应享有原有子公司自购买日开始持续计算的净资产的份额之间的差额，计入丧失控制 权当期的投资收益。与原有子公司股权投资相关的其他综合收益，在丧失控制权时采用与被购买方 直接处置相关资产或负债相同的基础进行会计处理（即，除了在该原有子公司重新计量设定受益计 </w:t>
      </w:r>
      <w:r>
        <w:rPr>
          <w:spacing w:val="-3"/>
        </w:rPr>
        <w:t>划净负债或净资产导致的变动以外，其余一并转为当期投资收益）。其后，对该部分剩余股权按照</w:t>
      </w:r>
    </w:p>
    <w:p>
      <w:pPr>
        <w:pStyle w:val="BodyText"/>
        <w:spacing w:line="324" w:lineRule="auto" w:before="23"/>
        <w:ind w:right="1505"/>
        <w:jc w:val="both"/>
      </w:pPr>
      <w:r>
        <w:rPr/>
        <w:t>《企业会计准则第 </w:t>
      </w:r>
      <w:r>
        <w:rPr>
          <w:rFonts w:ascii="华文细黑" w:hAnsi="华文细黑" w:cs="华文细黑" w:eastAsia="华文细黑" w:hint="default"/>
        </w:rPr>
        <w:t>2 </w:t>
      </w:r>
      <w:r>
        <w:rPr/>
        <w:t>号——长期股权投资》或《企业会计准则第 </w:t>
      </w:r>
      <w:r>
        <w:rPr>
          <w:rFonts w:ascii="华文细黑" w:hAnsi="华文细黑" w:cs="华文细黑" w:eastAsia="华文细黑" w:hint="default"/>
        </w:rPr>
        <w:t>22</w:t>
      </w:r>
      <w:r>
        <w:rPr>
          <w:rFonts w:ascii="华文细黑" w:hAnsi="华文细黑" w:cs="华文细黑" w:eastAsia="华文细黑" w:hint="default"/>
          <w:spacing w:val="-4"/>
        </w:rPr>
        <w:t> </w:t>
      </w:r>
      <w:r>
        <w:rPr/>
        <w:t>号——金融工具确认和计量》 </w:t>
      </w:r>
      <w:r>
        <w:rPr>
          <w:spacing w:val="-3"/>
        </w:rPr>
        <w:t>等相关规定进行后续计量，详见本附注四、</w:t>
      </w:r>
      <w:r>
        <w:rPr>
          <w:rFonts w:ascii="华文细黑" w:hAnsi="华文细黑" w:cs="华文细黑" w:eastAsia="华文细黑" w:hint="default"/>
          <w:spacing w:val="-3"/>
        </w:rPr>
        <w:t>14</w:t>
      </w:r>
      <w:r>
        <w:rPr>
          <w:spacing w:val="-3"/>
        </w:rPr>
        <w:t>“长期股权投资”或本附注四、</w:t>
      </w:r>
      <w:r>
        <w:rPr>
          <w:rFonts w:ascii="华文细黑" w:hAnsi="华文细黑" w:cs="华文细黑" w:eastAsia="华文细黑" w:hint="default"/>
          <w:spacing w:val="-3"/>
        </w:rPr>
        <w:t>9</w:t>
      </w:r>
      <w:r>
        <w:rPr>
          <w:spacing w:val="-3"/>
        </w:rPr>
        <w:t>“金融工具”。</w:t>
      </w:r>
    </w:p>
    <w:p>
      <w:pPr>
        <w:pStyle w:val="BodyText"/>
        <w:spacing w:line="324" w:lineRule="auto" w:before="63"/>
        <w:ind w:right="1246" w:firstLine="420"/>
        <w:jc w:val="left"/>
      </w:pPr>
      <w:r>
        <w:rPr/>
        <w:t>本公司通过多次交易分步处置对子公司股权投资直至丧失控制权的，需区分处置对子公司股权 投资直至丧失控制权的各项交易是否属于一揽子交易。处置对子公司股权投资的各项交易的条款、 条件以及经济影响符合以下一种或多种情况，通常表明应将多次交易事项作为一揽子交易进行会计 处理：①这些交易是同时或者在考虑了彼此影响的情况下订立的；②这些交易整体才能达成一项完 </w:t>
      </w:r>
      <w:r>
        <w:rPr>
          <w:spacing w:val="-3"/>
        </w:rPr>
        <w:t>整的商业结果；③一项交易的发生取决于其他至少一项交易的发生；④一项交易单独看是不经济的，</w:t>
      </w:r>
      <w:r>
        <w:rPr>
          <w:spacing w:val="-29"/>
        </w:rPr>
        <w:t> </w:t>
      </w:r>
      <w:r>
        <w:rPr>
          <w:spacing w:val="-29"/>
        </w:rPr>
      </w:r>
      <w:r>
        <w:rPr/>
        <w:t>但是和其他交易一并考虑时是经济的。不属于一揽子交易的，对其中的每一项交易视情况分别按照</w:t>
      </w:r>
      <w:r>
        <w:rPr/>
        <w:t> </w:t>
      </w:r>
      <w:r>
        <w:rPr>
          <w:spacing w:val="-8"/>
        </w:rPr>
        <w:t>“不丧失控制权的情况下部分处置对子公司的长期股权投资”（详见本附注四、</w:t>
      </w:r>
      <w:r>
        <w:rPr>
          <w:rFonts w:ascii="华文细黑" w:hAnsi="华文细黑" w:cs="华文细黑" w:eastAsia="华文细黑" w:hint="default"/>
          <w:spacing w:val="-8"/>
        </w:rPr>
        <w:t>14</w:t>
      </w:r>
      <w:r>
        <w:rPr>
          <w:spacing w:val="-8"/>
        </w:rPr>
        <w:t>、（</w:t>
      </w:r>
      <w:r>
        <w:rPr>
          <w:rFonts w:ascii="华文细黑" w:hAnsi="华文细黑" w:cs="华文细黑" w:eastAsia="华文细黑" w:hint="default"/>
          <w:spacing w:val="-8"/>
        </w:rPr>
        <w:t>2</w:t>
      </w:r>
      <w:r>
        <w:rPr>
          <w:spacing w:val="-8"/>
        </w:rPr>
        <w:t>）④）和“因</w:t>
      </w:r>
      <w:r>
        <w:rPr>
          <w:spacing w:val="-40"/>
        </w:rPr>
        <w:t> </w:t>
      </w:r>
      <w:r>
        <w:rPr>
          <w:spacing w:val="-40"/>
        </w:rPr>
      </w:r>
      <w:r>
        <w:rPr>
          <w:spacing w:val="-3"/>
        </w:rPr>
        <w:t>处置部分股权投资或其他原因丧失了对原有子公司的控制权”（详见前段）适用的原则进行会计处</w:t>
      </w:r>
      <w:r>
        <w:rPr>
          <w:spacing w:val="-31"/>
        </w:rPr>
        <w:t> </w:t>
      </w:r>
      <w:r>
        <w:rPr>
          <w:spacing w:val="-31"/>
        </w:rPr>
      </w:r>
      <w:r>
        <w:rPr/>
        <w:t>理。处置对子公司股权投资直至丧失控制权的各项交易属于一揽子交易的，将各项交易作为一项处</w:t>
      </w:r>
      <w:r>
        <w:rPr/>
        <w:t> 置子公司并丧失控制权的交易进行会计处理；但是，在丧失控制权之前每一次处置价款与处置投资 对应的享有该子公司净资产份额的差额，在合并财务报表中确认为其他综合收益，在丧失控制权时 一并转入丧失控制权当期的损益。</w:t>
      </w:r>
    </w:p>
    <w:p>
      <w:pPr>
        <w:spacing w:line="355" w:lineRule="auto" w:before="64"/>
        <w:ind w:left="560" w:right="1246" w:firstLine="0"/>
        <w:jc w:val="left"/>
        <w:rPr>
          <w:rFonts w:ascii="华文细黑" w:hAnsi="华文细黑" w:cs="华文细黑" w:eastAsia="华文细黑" w:hint="default"/>
          <w:sz w:val="21"/>
          <w:szCs w:val="21"/>
        </w:rPr>
      </w:pPr>
      <w:bookmarkStart w:name="6、合营安排分类及共同经营会计处理方法" w:id="231"/>
      <w:bookmarkEnd w:id="231"/>
      <w:r>
        <w:rPr/>
      </w:r>
      <w:r>
        <w:rPr>
          <w:rFonts w:ascii="华文细黑" w:hAnsi="华文细黑" w:cs="华文细黑" w:eastAsia="华文细黑" w:hint="default"/>
          <w:b/>
          <w:bCs/>
          <w:sz w:val="21"/>
          <w:szCs w:val="21"/>
        </w:rPr>
        <w:t>6</w:t>
      </w:r>
      <w:r>
        <w:rPr>
          <w:rFonts w:ascii="华文细黑" w:hAnsi="华文细黑" w:cs="华文细黑" w:eastAsia="华文细黑" w:hint="default"/>
          <w:b/>
          <w:bCs/>
          <w:sz w:val="21"/>
          <w:szCs w:val="21"/>
        </w:rPr>
        <w:t>、合营安排分类及共同经营会计处理方法</w:t>
      </w:r>
      <w:r>
        <w:rPr>
          <w:rFonts w:ascii="华文细黑" w:hAnsi="华文细黑" w:cs="华文细黑" w:eastAsia="华文细黑" w:hint="default"/>
          <w:b/>
          <w:bCs/>
          <w:w w:val="99"/>
          <w:sz w:val="21"/>
          <w:szCs w:val="21"/>
        </w:rPr>
        <w:t> </w:t>
      </w:r>
      <w:r>
        <w:rPr>
          <w:rFonts w:ascii="华文细黑" w:hAnsi="华文细黑" w:cs="华文细黑" w:eastAsia="华文细黑" w:hint="default"/>
          <w:spacing w:val="-1"/>
          <w:sz w:val="21"/>
          <w:szCs w:val="21"/>
        </w:rPr>
        <w:t>合营安排，是指一项由两个或两个以上的参与方共同控制的安排。本公司根据在合营安排中享</w:t>
      </w:r>
    </w:p>
    <w:p>
      <w:pPr>
        <w:pStyle w:val="BodyText"/>
        <w:spacing w:line="324" w:lineRule="auto"/>
        <w:ind w:right="1438"/>
        <w:jc w:val="both"/>
      </w:pPr>
      <w:r>
        <w:rPr>
          <w:spacing w:val="-1"/>
        </w:rPr>
        <w:t>有的权利和承担的义务，将合营安排分为共同经营和合营企业。共同经营，是指本公司享有该安排</w:t>
      </w:r>
      <w:r>
        <w:rPr>
          <w:spacing w:val="-16"/>
        </w:rPr>
        <w:t> </w:t>
      </w:r>
      <w:r>
        <w:rPr>
          <w:spacing w:val="-16"/>
        </w:rPr>
      </w:r>
      <w:r>
        <w:rPr>
          <w:spacing w:val="-1"/>
        </w:rPr>
        <w:t>相关资产且承担该安排相关负债的合营安排。合营企业，是指本公司仅对该安排的净资产享有权利</w:t>
      </w:r>
      <w:r>
        <w:rPr>
          <w:spacing w:val="-16"/>
        </w:rPr>
        <w:t> </w:t>
      </w:r>
      <w:r>
        <w:rPr>
          <w:spacing w:val="-16"/>
        </w:rPr>
      </w:r>
      <w:r>
        <w:rPr/>
        <w:t>的合营安排。</w:t>
      </w:r>
    </w:p>
    <w:p>
      <w:pPr>
        <w:pStyle w:val="BodyText"/>
        <w:spacing w:line="324" w:lineRule="auto" w:before="64"/>
        <w:ind w:right="1420" w:firstLine="420"/>
        <w:jc w:val="left"/>
      </w:pPr>
      <w:r>
        <w:rPr/>
        <w:t>本公司对合营企业的投资采用权益法核算，按照本附注四、</w:t>
      </w:r>
      <w:r>
        <w:rPr>
          <w:rFonts w:ascii="华文细黑" w:hAnsi="华文细黑" w:cs="华文细黑" w:eastAsia="华文细黑" w:hint="default"/>
        </w:rPr>
        <w:t>14</w:t>
      </w:r>
      <w:r>
        <w:rPr/>
        <w:t>（</w:t>
      </w:r>
      <w:r>
        <w:rPr>
          <w:rFonts w:ascii="华文细黑" w:hAnsi="华文细黑" w:cs="华文细黑" w:eastAsia="华文细黑" w:hint="default"/>
        </w:rPr>
        <w:t>2</w:t>
      </w:r>
      <w:r>
        <w:rPr/>
        <w:t>）②</w:t>
      </w:r>
      <w:r>
        <w:rPr>
          <w:spacing w:val="14"/>
        </w:rPr>
        <w:t> </w:t>
      </w:r>
      <w:r>
        <w:rPr/>
        <w:t>“权益法核算的长期股</w:t>
      </w:r>
      <w:r>
        <w:rPr/>
        <w:t> 权投资”中所述的会计政策处理。</w:t>
      </w:r>
    </w:p>
    <w:p>
      <w:pPr>
        <w:pStyle w:val="BodyText"/>
        <w:spacing w:line="324" w:lineRule="auto" w:before="64"/>
        <w:ind w:right="1436" w:firstLine="420"/>
        <w:jc w:val="both"/>
      </w:pPr>
      <w:r>
        <w:rPr/>
        <w:t>本公司作为合营方对共同经营，确认本公司单独持有的资产、单独所承担的负债，以及按本公 司份额确认共同持有的资产和共同承担的负债；确认出售本公司享有的共同经营产出份额所产生的 收入；按本公司份额确认共同经营因出售产出所产生的收入；确认本公司单独所发生的费用，以及 按本公司份额确认共同经营发生的费用。</w:t>
      </w:r>
    </w:p>
    <w:p>
      <w:pPr>
        <w:pStyle w:val="BodyText"/>
        <w:spacing w:line="324" w:lineRule="auto" w:before="64"/>
        <w:ind w:right="1416" w:firstLine="420"/>
        <w:jc w:val="left"/>
      </w:pPr>
      <w:r>
        <w:rPr>
          <w:spacing w:val="-3"/>
        </w:rPr>
        <w:t>当本公司作为合营方向共同经营投出或出售资产（该资产不构成业务，下同）、或者自共同经</w:t>
      </w:r>
      <w:r>
        <w:rPr/>
        <w:t> 营购买资产时，在该等资产出售给第三方之前，本公司仅确认因该交易产生的损益中归属于共同经 营其他参与方的部分。该等资产发生符合《企业会计准则第 </w:t>
      </w:r>
      <w:r>
        <w:rPr>
          <w:rFonts w:ascii="华文细黑" w:hAnsi="华文细黑" w:cs="华文细黑" w:eastAsia="华文细黑" w:hint="default"/>
        </w:rPr>
        <w:t>8</w:t>
      </w:r>
      <w:r>
        <w:rPr>
          <w:rFonts w:ascii="华文细黑" w:hAnsi="华文细黑" w:cs="华文细黑" w:eastAsia="华文细黑" w:hint="default"/>
          <w:spacing w:val="-15"/>
        </w:rPr>
        <w:t> </w:t>
      </w:r>
      <w:r>
        <w:rPr/>
        <w:t>号——资产减值》等规定的资产减值 损失的，对于由本公司向共同经营投出或出售资产的情况，本公司全额确认该损失；对于本公司自 共同经营购买资产的情况，本公司按承担的份额确认该损失。</w:t>
      </w:r>
    </w:p>
    <w:p>
      <w:pPr>
        <w:spacing w:after="0" w:line="324" w:lineRule="auto"/>
        <w:jc w:val="left"/>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spacing w:line="357" w:lineRule="auto" w:before="10"/>
        <w:ind w:left="560" w:right="1246" w:firstLine="0"/>
        <w:jc w:val="left"/>
        <w:rPr>
          <w:rFonts w:ascii="华文细黑" w:hAnsi="华文细黑" w:cs="华文细黑" w:eastAsia="华文细黑" w:hint="default"/>
          <w:sz w:val="21"/>
          <w:szCs w:val="21"/>
        </w:rPr>
      </w:pPr>
      <w:bookmarkStart w:name="7、现金及现金等价物的确定标准" w:id="232"/>
      <w:bookmarkEnd w:id="232"/>
      <w:r>
        <w:rPr/>
      </w:r>
      <w:r>
        <w:rPr>
          <w:rFonts w:ascii="华文细黑" w:hAnsi="华文细黑" w:cs="华文细黑" w:eastAsia="华文细黑" w:hint="default"/>
          <w:b/>
          <w:bCs/>
          <w:sz w:val="21"/>
          <w:szCs w:val="21"/>
        </w:rPr>
        <w:t>7</w:t>
      </w:r>
      <w:r>
        <w:rPr>
          <w:rFonts w:ascii="华文细黑" w:hAnsi="华文细黑" w:cs="华文细黑" w:eastAsia="华文细黑" w:hint="default"/>
          <w:b/>
          <w:bCs/>
          <w:sz w:val="21"/>
          <w:szCs w:val="21"/>
        </w:rPr>
        <w:t>、现金及现金等价物的确定标准</w:t>
      </w:r>
      <w:r>
        <w:rPr>
          <w:rFonts w:ascii="华文细黑" w:hAnsi="华文细黑" w:cs="华文细黑" w:eastAsia="华文细黑" w:hint="default"/>
          <w:b/>
          <w:bCs/>
          <w:w w:val="99"/>
          <w:sz w:val="21"/>
          <w:szCs w:val="21"/>
        </w:rPr>
        <w:t> </w:t>
      </w:r>
      <w:r>
        <w:rPr>
          <w:rFonts w:ascii="华文细黑" w:hAnsi="华文细黑" w:cs="华文细黑" w:eastAsia="华文细黑" w:hint="default"/>
          <w:spacing w:val="4"/>
          <w:sz w:val="21"/>
          <w:szCs w:val="21"/>
        </w:rPr>
        <w:t>本公司现金及现金等价物包括库存现金、可以随时用于支付的存款以及本公司持有的期限短</w:t>
      </w:r>
    </w:p>
    <w:p>
      <w:pPr>
        <w:pStyle w:val="BodyText"/>
        <w:spacing w:line="324" w:lineRule="auto"/>
        <w:ind w:right="1436"/>
        <w:jc w:val="both"/>
      </w:pPr>
      <w:r>
        <w:rPr>
          <w:spacing w:val="-1"/>
        </w:rPr>
        <w:t>（一般为从购买日起三个月内到期）、流动性强、易于转换为已知金额现金、价值变动风险很小的</w:t>
      </w:r>
      <w:r>
        <w:rPr>
          <w:spacing w:val="-30"/>
        </w:rPr>
        <w:t> </w:t>
      </w:r>
      <w:r>
        <w:rPr>
          <w:spacing w:val="-30"/>
        </w:rPr>
      </w:r>
      <w:r>
        <w:rPr/>
        <w:t>投资。</w:t>
      </w:r>
    </w:p>
    <w:p>
      <w:pPr>
        <w:pStyle w:val="Heading5"/>
        <w:spacing w:line="240" w:lineRule="auto" w:before="64"/>
        <w:ind w:left="560" w:right="1246"/>
        <w:jc w:val="left"/>
        <w:rPr>
          <w:b w:val="0"/>
          <w:bCs w:val="0"/>
        </w:rPr>
      </w:pPr>
      <w:bookmarkStart w:name="8、外币业务和外币报表折算" w:id="233"/>
      <w:bookmarkEnd w:id="233"/>
      <w:r>
        <w:rPr>
          <w:b w:val="0"/>
          <w:bCs w:val="0"/>
        </w:rPr>
      </w:r>
      <w:r>
        <w:rPr>
          <w:rFonts w:ascii="华文细黑" w:hAnsi="华文细黑" w:cs="华文细黑" w:eastAsia="华文细黑" w:hint="default"/>
        </w:rPr>
        <w:t>8</w:t>
      </w:r>
      <w:r>
        <w:rPr/>
        <w:t>、外币业务和外币报表折算</w:t>
      </w:r>
      <w:r>
        <w:rPr>
          <w:b w:val="0"/>
          <w:bCs w:val="0"/>
        </w:rPr>
      </w:r>
    </w:p>
    <w:p>
      <w:pPr>
        <w:pStyle w:val="BodyText"/>
        <w:spacing w:line="324" w:lineRule="auto" w:before="144"/>
        <w:ind w:left="560" w:right="1246"/>
        <w:jc w:val="left"/>
      </w:pPr>
      <w:r>
        <w:rPr/>
        <w:t>（</w:t>
      </w:r>
      <w:r>
        <w:rPr>
          <w:rFonts w:ascii="华文细黑" w:hAnsi="华文细黑" w:cs="华文细黑" w:eastAsia="华文细黑" w:hint="default"/>
        </w:rPr>
        <w:t>1</w:t>
      </w:r>
      <w:r>
        <w:rPr/>
        <w:t>）外币交易的折算方法 </w:t>
      </w:r>
      <w:r>
        <w:rPr>
          <w:spacing w:val="-1"/>
        </w:rPr>
        <w:t>本公司发生的外币交易在初始确认时，按交易日的即期汇率（通常指中国人民银行公布的当日</w:t>
      </w:r>
    </w:p>
    <w:p>
      <w:pPr>
        <w:pStyle w:val="BodyText"/>
        <w:spacing w:line="324" w:lineRule="auto" w:before="23"/>
        <w:ind w:right="1438"/>
        <w:jc w:val="both"/>
      </w:pPr>
      <w:r>
        <w:rPr>
          <w:spacing w:val="-1"/>
        </w:rPr>
        <w:t>外汇牌价的中间价，下同）折算为记账本位币金额，但公司发生的外币兑换业务或涉及外币兑换的</w:t>
      </w:r>
      <w:r>
        <w:rPr>
          <w:spacing w:val="-16"/>
        </w:rPr>
        <w:t> </w:t>
      </w:r>
      <w:r>
        <w:rPr>
          <w:spacing w:val="-16"/>
        </w:rPr>
      </w:r>
      <w:r>
        <w:rPr/>
        <w:t>交易事项，按照实际采用的汇率折算为记账本位币金额。</w:t>
      </w:r>
    </w:p>
    <w:p>
      <w:pPr>
        <w:pStyle w:val="BodyText"/>
        <w:spacing w:line="355" w:lineRule="auto" w:before="23"/>
        <w:ind w:left="560" w:right="1416"/>
        <w:jc w:val="left"/>
      </w:pPr>
      <w:r>
        <w:rPr/>
        <w:t>（</w:t>
      </w:r>
      <w:r>
        <w:rPr>
          <w:rFonts w:ascii="华文细黑" w:hAnsi="华文细黑" w:cs="华文细黑" w:eastAsia="华文细黑" w:hint="default"/>
        </w:rPr>
        <w:t>2</w:t>
      </w:r>
      <w:r>
        <w:rPr/>
        <w:t>）对于外币货币性项目和外币非货币性项目的折算方法 资产负债表日，对于外币货币性项目采用资产负债表日即期汇率折算，由此产生的汇兑差额，</w:t>
      </w:r>
    </w:p>
    <w:p>
      <w:pPr>
        <w:pStyle w:val="BodyText"/>
        <w:spacing w:line="324" w:lineRule="auto"/>
        <w:ind w:right="1437"/>
        <w:jc w:val="both"/>
      </w:pPr>
      <w:r>
        <w:rPr/>
        <w:t>除：①属于与购建符合资本化条件的资产相关的外币专门借款产生的汇兑差额按照借款费用资本化 的原则处理；②可供出售的外币货币性项目除摊余成本之外的其他账面余额变动产生的汇兑差额计 入其他综合收益之外，均计入当期损益。</w:t>
      </w:r>
    </w:p>
    <w:p>
      <w:pPr>
        <w:pStyle w:val="BodyText"/>
        <w:spacing w:line="324" w:lineRule="auto" w:before="63"/>
        <w:ind w:right="1438" w:firstLine="420"/>
        <w:jc w:val="both"/>
      </w:pPr>
      <w:r>
        <w:rPr>
          <w:spacing w:val="-1"/>
        </w:rPr>
        <w:t>编制合并财务报表涉及境外经营的，如有实质上构成对境外经营净投资的外币货币性项目，因</w:t>
      </w:r>
      <w:r>
        <w:rPr/>
        <w:t> 汇率变动而产生的汇兑差额，计入其他综合收益；处置境外经营时，转入处置当期损益。</w:t>
      </w:r>
    </w:p>
    <w:p>
      <w:pPr>
        <w:pStyle w:val="BodyText"/>
        <w:spacing w:line="324" w:lineRule="auto" w:before="63"/>
        <w:ind w:right="1437" w:firstLine="420"/>
        <w:jc w:val="both"/>
      </w:pPr>
      <w:r>
        <w:rPr/>
        <w:t>以历史成本计量的外币非货币性项目，仍采用交易发生日的即期汇率折算的记账本位币金额计 量。以公允价值计量的外币非货币性项目，采用公允价值确定日的即期汇率折算，折算后的记账本 </w:t>
      </w:r>
      <w:r>
        <w:rPr>
          <w:spacing w:val="-1"/>
        </w:rPr>
        <w:t>位币金额与原记账本位币金额的差额，作为公允价值变动（含汇率变动）处理，计入当期损益或确</w:t>
      </w:r>
      <w:r>
        <w:rPr>
          <w:spacing w:val="-18"/>
        </w:rPr>
        <w:t> </w:t>
      </w:r>
      <w:r>
        <w:rPr>
          <w:spacing w:val="-18"/>
        </w:rPr>
      </w:r>
      <w:r>
        <w:rPr/>
        <w:t>认为其他综合收益。</w:t>
      </w:r>
    </w:p>
    <w:p>
      <w:pPr>
        <w:pStyle w:val="BodyText"/>
        <w:spacing w:line="324" w:lineRule="auto" w:before="64"/>
        <w:ind w:left="560" w:right="1246"/>
        <w:jc w:val="left"/>
      </w:pPr>
      <w:r>
        <w:rPr/>
        <w:t>（</w:t>
      </w:r>
      <w:r>
        <w:rPr>
          <w:rFonts w:ascii="华文细黑" w:hAnsi="华文细黑" w:cs="华文细黑" w:eastAsia="华文细黑" w:hint="default"/>
        </w:rPr>
        <w:t>3</w:t>
      </w:r>
      <w:r>
        <w:rPr/>
        <w:t>）外币财务报表的折算方法 </w:t>
      </w:r>
      <w:r>
        <w:rPr>
          <w:spacing w:val="-1"/>
        </w:rPr>
        <w:t>编制合并财务报表涉及境外经营的，如有实质上构成对境外经营净投资的外币货币性项目，因</w:t>
      </w:r>
    </w:p>
    <w:p>
      <w:pPr>
        <w:pStyle w:val="BodyText"/>
        <w:spacing w:line="324" w:lineRule="auto" w:before="25"/>
        <w:ind w:right="1433"/>
        <w:jc w:val="both"/>
      </w:pPr>
      <w:r>
        <w:rPr/>
        <w:t>汇率变动而产生的汇兑差额，作为“外币报表折算差额”确认为其他综合收益；处置境外经营时， 计入处置当期损益。</w:t>
      </w:r>
    </w:p>
    <w:p>
      <w:pPr>
        <w:pStyle w:val="BodyText"/>
        <w:spacing w:line="324" w:lineRule="auto" w:before="23"/>
        <w:ind w:right="1438" w:firstLine="420"/>
        <w:jc w:val="both"/>
      </w:pPr>
      <w:r>
        <w:rPr>
          <w:spacing w:val="-1"/>
        </w:rPr>
        <w:t>境外经营的外币财务报表按以下方法折算为人民币报表：资产负债表中的资产和负债项目，采</w:t>
      </w:r>
      <w:r>
        <w:rPr/>
        <w:t> </w:t>
      </w:r>
      <w:r>
        <w:rPr>
          <w:spacing w:val="-1"/>
        </w:rPr>
        <w:t>用资产负债表日的即期汇率折算；股东权益类项目除“未分配利润”项目外，其他项目采用发生时</w:t>
      </w:r>
      <w:r>
        <w:rPr>
          <w:spacing w:val="-15"/>
        </w:rPr>
        <w:t> </w:t>
      </w:r>
      <w:r>
        <w:rPr>
          <w:spacing w:val="-15"/>
        </w:rPr>
      </w:r>
      <w:r>
        <w:rPr>
          <w:spacing w:val="-1"/>
        </w:rPr>
        <w:t>的即期汇率折算。利润表中的收入和费用项目，采用交易发生日的当期平均汇率折算。年初未分配</w:t>
      </w:r>
      <w:r>
        <w:rPr>
          <w:spacing w:val="-16"/>
        </w:rPr>
        <w:t> </w:t>
      </w:r>
      <w:r>
        <w:rPr>
          <w:spacing w:val="-16"/>
        </w:rPr>
      </w:r>
      <w:r>
        <w:rPr>
          <w:spacing w:val="-1"/>
        </w:rPr>
        <w:t>利润为上一年折算后的年末未分配利润；年末未分配利润按折算后的利润分配各项目计算列示；折</w:t>
      </w:r>
      <w:r>
        <w:rPr>
          <w:spacing w:val="-16"/>
        </w:rPr>
        <w:t> </w:t>
      </w:r>
      <w:r>
        <w:rPr>
          <w:spacing w:val="-16"/>
        </w:rPr>
      </w:r>
      <w:r>
        <w:rPr>
          <w:spacing w:val="-1"/>
        </w:rPr>
        <w:t>算后资产类项目与负债类项目和股东权益类项目合计数的差额，作为外币报表折算差额，确认为其</w:t>
      </w:r>
      <w:r>
        <w:rPr>
          <w:spacing w:val="-16"/>
        </w:rPr>
        <w:t> </w:t>
      </w:r>
      <w:r>
        <w:rPr>
          <w:spacing w:val="-16"/>
        </w:rPr>
      </w:r>
      <w:r>
        <w:rPr>
          <w:spacing w:val="-1"/>
        </w:rPr>
        <w:t>他综合收益。处置境外经营并丧失控制权时，将资产负债表中股东权益项目下列示的、与该境外经</w:t>
      </w:r>
      <w:r>
        <w:rPr>
          <w:spacing w:val="-16"/>
        </w:rPr>
        <w:t> </w:t>
      </w:r>
      <w:r>
        <w:rPr>
          <w:spacing w:val="-16"/>
        </w:rPr>
      </w:r>
      <w:r>
        <w:rPr/>
        <w:t>营相关的外币报表折算差额，全部或按处置该境外经营的比例转入处置当期损益。</w:t>
      </w:r>
    </w:p>
    <w:p>
      <w:pPr>
        <w:pStyle w:val="BodyText"/>
        <w:spacing w:line="324" w:lineRule="auto" w:before="25"/>
        <w:ind w:right="1438" w:firstLine="420"/>
        <w:jc w:val="both"/>
      </w:pPr>
      <w:r>
        <w:rPr>
          <w:spacing w:val="-1"/>
        </w:rPr>
        <w:t>外币现金流量以及境外子公司的现金流量，采用现金流量发生日的当期平均汇率折算。汇率变</w:t>
      </w:r>
      <w:r>
        <w:rPr/>
        <w:t> 动对现金的影响额作为调节项目，在现金流量表中单独列报。</w:t>
      </w:r>
    </w:p>
    <w:p>
      <w:pPr>
        <w:pStyle w:val="BodyText"/>
        <w:spacing w:line="240" w:lineRule="auto" w:before="23"/>
        <w:ind w:left="560" w:right="1246"/>
        <w:jc w:val="left"/>
      </w:pPr>
      <w:r>
        <w:rPr/>
        <w:t>年初数和上年实际数按照上年财务报表折算后的数额列示。</w:t>
      </w:r>
    </w:p>
    <w:p>
      <w:pPr>
        <w:spacing w:after="0" w:line="240" w:lineRule="auto"/>
        <w:jc w:val="left"/>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324" w:lineRule="auto" w:before="10"/>
        <w:ind w:right="1439" w:firstLine="420"/>
        <w:jc w:val="both"/>
      </w:pPr>
      <w:r>
        <w:rPr>
          <w:spacing w:val="4"/>
        </w:rPr>
        <w:t>在处置本公司在境外经营的全部所有者权益或因处置部分股权投资或其他原因丧失了对境外</w:t>
      </w:r>
      <w:r>
        <w:rPr/>
        <w:t> </w:t>
      </w:r>
      <w:r>
        <w:rPr>
          <w:spacing w:val="-1"/>
        </w:rPr>
        <w:t>经营控制权时，将资产负债表中股东权益项目下列示的、与该境外经营相关的归属于母公司所有者</w:t>
      </w:r>
      <w:r>
        <w:rPr>
          <w:spacing w:val="-16"/>
        </w:rPr>
        <w:t> </w:t>
      </w:r>
      <w:r>
        <w:rPr>
          <w:spacing w:val="-16"/>
        </w:rPr>
      </w:r>
      <w:r>
        <w:rPr/>
        <w:t>权益的外币报表折算差额，全部转入处置当期损益。</w:t>
      </w:r>
    </w:p>
    <w:p>
      <w:pPr>
        <w:pStyle w:val="BodyText"/>
        <w:spacing w:line="324" w:lineRule="auto" w:before="24"/>
        <w:ind w:right="1438" w:firstLine="420"/>
        <w:jc w:val="both"/>
      </w:pPr>
      <w:r>
        <w:rPr>
          <w:spacing w:val="4"/>
        </w:rPr>
        <w:t>在处置部分股权投资或其他原因导致持有境外经营权益比例降低但不丧失对境外经营控制权</w:t>
      </w:r>
      <w:r>
        <w:rPr/>
        <w:t> </w:t>
      </w:r>
      <w:r>
        <w:rPr>
          <w:spacing w:val="-1"/>
        </w:rPr>
        <w:t>时，与该境外经营处置部分相关的外币报表折算差额将归属于少数股东权益，不转入当期损益。在</w:t>
      </w:r>
      <w:r>
        <w:rPr>
          <w:spacing w:val="-16"/>
        </w:rPr>
        <w:t> </w:t>
      </w:r>
      <w:r>
        <w:rPr>
          <w:spacing w:val="-16"/>
        </w:rPr>
      </w:r>
      <w:r>
        <w:rPr>
          <w:spacing w:val="-1"/>
        </w:rPr>
        <w:t>处置境外经营为联营企业或合营企业的部分股权时，与该境外经营相关的外币报表折算差额，按处</w:t>
      </w:r>
      <w:r>
        <w:rPr>
          <w:spacing w:val="-16"/>
        </w:rPr>
        <w:t> </w:t>
      </w:r>
      <w:r>
        <w:rPr>
          <w:spacing w:val="-16"/>
        </w:rPr>
      </w:r>
      <w:r>
        <w:rPr/>
        <w:t>置该境外经营的比例转入处置当期损益。</w:t>
      </w:r>
    </w:p>
    <w:p>
      <w:pPr>
        <w:pStyle w:val="BodyText"/>
        <w:spacing w:line="355" w:lineRule="auto" w:before="64"/>
        <w:ind w:left="560" w:right="1416"/>
        <w:jc w:val="left"/>
      </w:pPr>
      <w:bookmarkStart w:name="9、金融工具" w:id="234"/>
      <w:bookmarkEnd w:id="234"/>
      <w:r>
        <w:rPr/>
      </w:r>
      <w:r>
        <w:rPr>
          <w:rFonts w:ascii="华文细黑" w:hAnsi="华文细黑" w:cs="华文细黑" w:eastAsia="华文细黑" w:hint="default"/>
          <w:b/>
          <w:bCs/>
        </w:rPr>
        <w:t>9</w:t>
      </w:r>
      <w:r>
        <w:rPr>
          <w:rFonts w:ascii="华文细黑" w:hAnsi="华文细黑" w:cs="华文细黑" w:eastAsia="华文细黑" w:hint="default"/>
          <w:b/>
          <w:bCs/>
        </w:rPr>
        <w:t>、金融工具</w:t>
      </w:r>
      <w:r>
        <w:rPr>
          <w:rFonts w:ascii="华文细黑" w:hAnsi="华文细黑" w:cs="华文细黑" w:eastAsia="华文细黑" w:hint="default"/>
          <w:b/>
          <w:bCs/>
          <w:w w:val="99"/>
        </w:rPr>
        <w:t> </w:t>
      </w:r>
      <w:r>
        <w:rPr/>
        <w:t>在本公司成为金融工具合同的一方时确认一项金融资产或金融负债。金融资产和金融负债在初</w:t>
      </w:r>
    </w:p>
    <w:p>
      <w:pPr>
        <w:pStyle w:val="BodyText"/>
        <w:spacing w:line="324" w:lineRule="auto"/>
        <w:ind w:right="1439"/>
        <w:jc w:val="both"/>
      </w:pPr>
      <w:r>
        <w:rPr>
          <w:spacing w:val="-1"/>
        </w:rPr>
        <w:t>始确认时以公允价值计量。对于以公允价值计量且其变动计入当期损益的金融资产和金融负债，相</w:t>
      </w:r>
      <w:r>
        <w:rPr>
          <w:spacing w:val="-16"/>
        </w:rPr>
        <w:t> </w:t>
      </w:r>
      <w:r>
        <w:rPr>
          <w:spacing w:val="-16"/>
        </w:rPr>
      </w:r>
      <w:r>
        <w:rPr>
          <w:spacing w:val="-1"/>
        </w:rPr>
        <w:t>关的交易费用直接计入损益；对于其他类别的金融资产和金融负债，相关交易费用计入初始确认金</w:t>
      </w:r>
      <w:r>
        <w:rPr>
          <w:spacing w:val="-16"/>
        </w:rPr>
        <w:t> </w:t>
      </w:r>
      <w:r>
        <w:rPr>
          <w:spacing w:val="-16"/>
        </w:rPr>
      </w:r>
      <w:r>
        <w:rPr/>
        <w:t>额。</w:t>
      </w:r>
    </w:p>
    <w:p>
      <w:pPr>
        <w:pStyle w:val="BodyText"/>
        <w:spacing w:line="324" w:lineRule="auto" w:before="25"/>
        <w:ind w:left="560" w:right="1246"/>
        <w:jc w:val="left"/>
      </w:pPr>
      <w:r>
        <w:rPr/>
        <w:t>（</w:t>
      </w:r>
      <w:r>
        <w:rPr>
          <w:rFonts w:ascii="华文细黑" w:hAnsi="华文细黑" w:cs="华文细黑" w:eastAsia="华文细黑" w:hint="default"/>
        </w:rPr>
        <w:t>1</w:t>
      </w:r>
      <w:r>
        <w:rPr/>
        <w:t>）金融资产和金融负债的公允价值确定方法 </w:t>
      </w:r>
      <w:r>
        <w:rPr>
          <w:spacing w:val="-1"/>
        </w:rPr>
        <w:t>公允价值，是指市场参与者在计量日发生的有序交易中，出售一项资产所能收到或者转移一项</w:t>
      </w:r>
    </w:p>
    <w:p>
      <w:pPr>
        <w:pStyle w:val="BodyText"/>
        <w:spacing w:line="324" w:lineRule="auto" w:before="23"/>
        <w:ind w:right="1435"/>
        <w:jc w:val="both"/>
      </w:pPr>
      <w:r>
        <w:rPr/>
        <w:t>负债所需支付的价格。金融工具存在活跃市场的，本公司采用活跃市场中的报价确定其公允价值。 活跃市场中的报价是指易于定期从交易所、经纪商、行业协会、定价服务机构等获得的价格，且代 表了在公平交易中实际发生的市场交易的价格。金融工具不存在活跃市场的，本公司采用估值技术 </w:t>
      </w:r>
      <w:r>
        <w:rPr>
          <w:spacing w:val="4"/>
        </w:rPr>
        <w:t>确定其公允价值。估值技术包括参考熟悉情况并自愿交易的各方最近进行的市场交易中使用的价</w:t>
      </w:r>
      <w:r>
        <w:rPr>
          <w:spacing w:val="-49"/>
        </w:rPr>
        <w:t> </w:t>
      </w:r>
      <w:r>
        <w:rPr>
          <w:spacing w:val="-49"/>
        </w:rPr>
      </w:r>
      <w:r>
        <w:rPr/>
        <w:t>格、参照实质上相同的其他金融工具当前的公允价值、现金流量折现法和期权定价模型等。</w:t>
      </w:r>
    </w:p>
    <w:p>
      <w:pPr>
        <w:pStyle w:val="BodyText"/>
        <w:spacing w:line="355" w:lineRule="auto" w:before="64"/>
        <w:ind w:left="560" w:right="1246"/>
        <w:jc w:val="left"/>
      </w:pPr>
      <w:r>
        <w:rPr/>
        <w:t>（</w:t>
      </w:r>
      <w:r>
        <w:rPr>
          <w:rFonts w:ascii="华文细黑" w:hAnsi="华文细黑" w:cs="华文细黑" w:eastAsia="华文细黑" w:hint="default"/>
        </w:rPr>
        <w:t>2</w:t>
      </w:r>
      <w:r>
        <w:rPr/>
        <w:t>）金融资产的分类、确认和计量 </w:t>
      </w:r>
      <w:r>
        <w:rPr>
          <w:spacing w:val="-1"/>
        </w:rPr>
        <w:t>以常规方式买卖金融资产，按交易日进行会计确认和终止确认。金融资产在初始确认时划分为</w:t>
      </w:r>
    </w:p>
    <w:p>
      <w:pPr>
        <w:pStyle w:val="BodyText"/>
        <w:spacing w:line="324" w:lineRule="auto"/>
        <w:ind w:right="1246"/>
        <w:jc w:val="left"/>
      </w:pPr>
      <w:r>
        <w:rPr>
          <w:spacing w:val="-1"/>
        </w:rPr>
        <w:t>以公允价值计量且其变动计入当期损益的金融资产、持有至到期投资、贷款和应收款项以及可供出</w:t>
      </w:r>
      <w:r>
        <w:rPr>
          <w:spacing w:val="-16"/>
        </w:rPr>
        <w:t> </w:t>
      </w:r>
      <w:r>
        <w:rPr>
          <w:spacing w:val="-16"/>
        </w:rPr>
      </w:r>
      <w:r>
        <w:rPr/>
        <w:t>售金融资产。</w:t>
      </w:r>
    </w:p>
    <w:p>
      <w:pPr>
        <w:pStyle w:val="BodyText"/>
        <w:spacing w:line="357" w:lineRule="auto" w:before="63"/>
        <w:ind w:left="560" w:right="1246"/>
        <w:jc w:val="left"/>
      </w:pPr>
      <w:r>
        <w:rPr/>
        <w:t>①</w:t>
      </w:r>
      <w:r>
        <w:rPr>
          <w:spacing w:val="52"/>
        </w:rPr>
        <w:t> </w:t>
      </w:r>
      <w:r>
        <w:rPr/>
        <w:t>以公允价值计量且其变动计入当期损益的金融资产</w:t>
      </w:r>
      <w:r>
        <w:rPr/>
        <w:t> 包括交易性金融资产和指定为以公允价值计量且其变动计入当期损益的金融资产。 </w:t>
      </w:r>
      <w:r>
        <w:rPr>
          <w:spacing w:val="-1"/>
        </w:rPr>
        <w:t>交易性金融资产是指满足下列条件之一的金融资产：</w:t>
      </w:r>
      <w:r>
        <w:rPr>
          <w:rFonts w:ascii="华文细黑" w:hAnsi="华文细黑" w:cs="华文细黑" w:eastAsia="华文细黑" w:hint="default"/>
          <w:spacing w:val="-1"/>
        </w:rPr>
        <w:t>A.</w:t>
      </w:r>
      <w:r>
        <w:rPr>
          <w:spacing w:val="-1"/>
        </w:rPr>
        <w:t>取得该金融资产的目的，主要是为了近</w:t>
      </w:r>
    </w:p>
    <w:p>
      <w:pPr>
        <w:pStyle w:val="BodyText"/>
        <w:spacing w:line="324" w:lineRule="auto"/>
        <w:ind w:right="1322"/>
        <w:jc w:val="left"/>
      </w:pPr>
      <w:r>
        <w:rPr/>
        <w:t>期内出售；</w:t>
      </w:r>
      <w:r>
        <w:rPr>
          <w:rFonts w:ascii="华文细黑" w:hAnsi="华文细黑" w:cs="华文细黑" w:eastAsia="华文细黑" w:hint="default"/>
        </w:rPr>
        <w:t>B.</w:t>
      </w:r>
      <w:r>
        <w:rPr/>
        <w:t>属于进行集中管理的可辨认金融工具组合的一部分，且有客观证据表明本公司近期采 </w:t>
      </w:r>
      <w:r>
        <w:rPr>
          <w:spacing w:val="-3"/>
        </w:rPr>
        <w:t>用短期获利方式对该组合进行管理；</w:t>
      </w:r>
      <w:r>
        <w:rPr>
          <w:rFonts w:ascii="华文细黑" w:hAnsi="华文细黑" w:cs="华文细黑" w:eastAsia="华文细黑" w:hint="default"/>
          <w:spacing w:val="-3"/>
        </w:rPr>
        <w:t>C.</w:t>
      </w:r>
      <w:r>
        <w:rPr>
          <w:spacing w:val="-3"/>
        </w:rPr>
        <w:t>属于衍生工具，但是，被指定且为有效套期工具的衍生工具、</w:t>
      </w:r>
      <w:r>
        <w:rPr>
          <w:spacing w:val="-48"/>
        </w:rPr>
        <w:t> </w:t>
      </w:r>
      <w:r>
        <w:rPr>
          <w:spacing w:val="-48"/>
        </w:rPr>
      </w:r>
      <w:r>
        <w:rPr/>
        <w:t>属于财务担保合同的衍生工具、与在活跃市场中没有报价且其公允价值不能可靠计量的权益工具投</w:t>
      </w:r>
      <w:r>
        <w:rPr/>
        <w:t> 资挂钩并须通过交付该权益工具结算的衍生工具除外。</w:t>
      </w:r>
    </w:p>
    <w:p>
      <w:pPr>
        <w:pStyle w:val="BodyText"/>
        <w:spacing w:line="324" w:lineRule="auto" w:before="65"/>
        <w:ind w:right="1437" w:firstLine="420"/>
        <w:jc w:val="both"/>
      </w:pPr>
      <w:r>
        <w:rPr/>
        <w:t>符合下述条件之一的金融资产，在初始确认时可指定为以公允价值计量且其变动计入当期损益 </w:t>
      </w:r>
      <w:r>
        <w:rPr>
          <w:spacing w:val="-1"/>
        </w:rPr>
        <w:t>的金融资产：</w:t>
      </w:r>
      <w:r>
        <w:rPr>
          <w:rFonts w:ascii="华文细黑" w:hAnsi="华文细黑" w:cs="华文细黑" w:eastAsia="华文细黑" w:hint="default"/>
          <w:spacing w:val="-1"/>
        </w:rPr>
        <w:t>A.</w:t>
      </w:r>
      <w:r>
        <w:rPr>
          <w:spacing w:val="-1"/>
        </w:rPr>
        <w:t>该指定可以消除或明显减少由于该金融资产的计量基础不同所导致的相关利得或损</w:t>
      </w:r>
      <w:r>
        <w:rPr>
          <w:spacing w:val="-17"/>
        </w:rPr>
        <w:t> </w:t>
      </w:r>
      <w:r>
        <w:rPr/>
        <w:t>失在确认或计量方面不一致的情况；</w:t>
      </w:r>
      <w:r>
        <w:rPr>
          <w:rFonts w:ascii="华文细黑" w:hAnsi="华文细黑" w:cs="华文细黑" w:eastAsia="华文细黑" w:hint="default"/>
        </w:rPr>
        <w:t>B.</w:t>
      </w:r>
      <w:r>
        <w:rPr/>
        <w:t>本公司风险管理或投资策略的正式书面文件已载明，对该金 融资产所在的金融资产组合或金融资产和金融负债组合以公允价值为基础进行管理、评价并向关键</w:t>
      </w:r>
    </w:p>
    <w:p>
      <w:pPr>
        <w:spacing w:after="0" w:line="324" w:lineRule="auto"/>
        <w:jc w:val="both"/>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357" w:lineRule="auto" w:before="10"/>
        <w:ind w:left="560" w:right="1416" w:hanging="421"/>
        <w:jc w:val="left"/>
      </w:pPr>
      <w:r>
        <w:rPr/>
        <w:t>管理人员报告。 以公允价值计量且其变动计入当期损益的金融资产采用公允价值进行后续计量，公允价值变动</w:t>
      </w:r>
    </w:p>
    <w:p>
      <w:pPr>
        <w:pStyle w:val="BodyText"/>
        <w:spacing w:line="289" w:lineRule="exact"/>
        <w:ind w:right="1246"/>
        <w:jc w:val="left"/>
      </w:pPr>
      <w:r>
        <w:rPr/>
        <w:t>形成的利得或损失以及与该等金融资产相关的股利和利息收入计入当期损益。</w:t>
      </w:r>
    </w:p>
    <w:p>
      <w:pPr>
        <w:pStyle w:val="BodyText"/>
        <w:spacing w:line="355" w:lineRule="auto" w:before="144"/>
        <w:ind w:left="560" w:right="1246"/>
        <w:jc w:val="left"/>
      </w:pPr>
      <w:r>
        <w:rPr/>
        <w:t>②</w:t>
      </w:r>
      <w:r>
        <w:rPr>
          <w:spacing w:val="52"/>
        </w:rPr>
        <w:t> </w:t>
      </w:r>
      <w:r>
        <w:rPr/>
        <w:t>持有至到期投资</w:t>
      </w:r>
      <w:r>
        <w:rPr/>
        <w:t> </w:t>
      </w:r>
      <w:r>
        <w:rPr>
          <w:spacing w:val="-1"/>
        </w:rPr>
        <w:t>是指到期日固定、回收金额固定或可确定，且本公司有明确意图和能力持有至到期的非衍生金</w:t>
      </w:r>
    </w:p>
    <w:p>
      <w:pPr>
        <w:pStyle w:val="BodyText"/>
        <w:spacing w:line="292" w:lineRule="exact"/>
        <w:ind w:right="1246"/>
        <w:jc w:val="left"/>
      </w:pPr>
      <w:r>
        <w:rPr/>
        <w:t>融资产。</w:t>
      </w:r>
    </w:p>
    <w:p>
      <w:pPr>
        <w:pStyle w:val="BodyText"/>
        <w:spacing w:line="324" w:lineRule="auto" w:before="142"/>
        <w:ind w:right="1437" w:firstLine="420"/>
        <w:jc w:val="both"/>
      </w:pPr>
      <w:r>
        <w:rPr/>
        <w:t>持有至到期投资采用实际利率法，按摊余成本进行后续计量，在终止确认、发生减值或摊销时 产生的利得或损失，计入当期损益。</w:t>
      </w:r>
    </w:p>
    <w:p>
      <w:pPr>
        <w:pStyle w:val="BodyText"/>
        <w:spacing w:line="324" w:lineRule="auto" w:before="63"/>
        <w:ind w:right="1437" w:firstLine="420"/>
        <w:jc w:val="both"/>
      </w:pPr>
      <w:r>
        <w:rPr/>
        <w:t>实际利率法是指按照金融资产或金融负债（含一组金融资产或金融负债）的实际利率计算其摊 余成本及各期利息收入或支出的方法。实际利率是指将金融资产或金融负债在预期存续期间或适用 的更短期间内的未来现金流量，折现为该金融资产或金融负债当前账面价值所使用的利率。</w:t>
      </w:r>
    </w:p>
    <w:p>
      <w:pPr>
        <w:pStyle w:val="BodyText"/>
        <w:spacing w:line="324" w:lineRule="auto" w:before="64"/>
        <w:ind w:right="1246" w:firstLine="420"/>
        <w:jc w:val="left"/>
      </w:pPr>
      <w:r>
        <w:rPr/>
        <w:t>在计算实际利率时，本公司将在考虑金融资产或金融负债所有合同条款的基础上预计未来现金 </w:t>
      </w:r>
      <w:r>
        <w:rPr>
          <w:spacing w:val="-3"/>
        </w:rPr>
        <w:t>流量（不考虑未来的信用损失），同时还将考虑金融资产或金融负债合同各方之间支付或收取的、</w:t>
      </w:r>
      <w:r>
        <w:rPr>
          <w:spacing w:val="-31"/>
        </w:rPr>
        <w:t> </w:t>
      </w:r>
      <w:r>
        <w:rPr>
          <w:spacing w:val="-31"/>
        </w:rPr>
      </w:r>
      <w:r>
        <w:rPr/>
        <w:t>属于实际利率组成部分的各项收费、交易费用及折价或溢价等。</w:t>
      </w:r>
    </w:p>
    <w:p>
      <w:pPr>
        <w:pStyle w:val="BodyText"/>
        <w:spacing w:line="357" w:lineRule="auto" w:before="64"/>
        <w:ind w:left="560" w:right="1246"/>
        <w:jc w:val="left"/>
      </w:pPr>
      <w:r>
        <w:rPr/>
        <w:t>③</w:t>
      </w:r>
      <w:r>
        <w:rPr>
          <w:spacing w:val="52"/>
        </w:rPr>
        <w:t> </w:t>
      </w:r>
      <w:r>
        <w:rPr/>
        <w:t>贷款和应收款项</w:t>
      </w:r>
      <w:r>
        <w:rPr/>
        <w:t> </w:t>
      </w:r>
      <w:r>
        <w:rPr>
          <w:spacing w:val="-1"/>
        </w:rPr>
        <w:t>是指在活跃市场中没有报价、回收金额固定或可确定的非衍生金融资产。本公司划分为贷款和</w:t>
      </w:r>
    </w:p>
    <w:p>
      <w:pPr>
        <w:pStyle w:val="BodyText"/>
        <w:spacing w:line="357" w:lineRule="auto"/>
        <w:ind w:left="560" w:right="1246" w:hanging="421"/>
        <w:jc w:val="left"/>
      </w:pPr>
      <w:r>
        <w:rPr/>
        <w:t>应收款的金融资产包括应收票据、应收账款、应收利息、应收股利及其他应收款等。 </w:t>
      </w:r>
      <w:r>
        <w:rPr>
          <w:spacing w:val="-1"/>
        </w:rPr>
        <w:t>贷款和应收款项采用实际利率法，按摊余成本进行后续计量，在终止确认、发生减值或摊销时</w:t>
      </w:r>
    </w:p>
    <w:p>
      <w:pPr>
        <w:pStyle w:val="BodyText"/>
        <w:spacing w:line="289" w:lineRule="exact"/>
        <w:ind w:right="1246"/>
        <w:jc w:val="left"/>
      </w:pPr>
      <w:r>
        <w:rPr/>
        <w:t>产生的利得或损失，计入当期损益。</w:t>
      </w:r>
    </w:p>
    <w:p>
      <w:pPr>
        <w:pStyle w:val="BodyText"/>
        <w:spacing w:line="355" w:lineRule="auto" w:before="144"/>
        <w:ind w:left="560" w:right="1416"/>
        <w:jc w:val="left"/>
      </w:pPr>
      <w:r>
        <w:rPr/>
        <w:t>④</w:t>
      </w:r>
      <w:r>
        <w:rPr>
          <w:spacing w:val="52"/>
        </w:rPr>
        <w:t> </w:t>
      </w:r>
      <w:r>
        <w:rPr/>
        <w:t>可供出售金融资产</w:t>
      </w:r>
      <w:r>
        <w:rPr/>
        <w:t> 包括初始确认时即被指定为可供出售的非衍生金融资产，以及除了以公允价值计量且其变动计</w:t>
      </w:r>
    </w:p>
    <w:p>
      <w:pPr>
        <w:pStyle w:val="BodyText"/>
        <w:spacing w:line="355" w:lineRule="auto"/>
        <w:ind w:left="560" w:right="1416" w:hanging="421"/>
        <w:jc w:val="left"/>
      </w:pPr>
      <w:r>
        <w:rPr/>
        <w:t>入当期损益的金融资产、贷款和应收款项、持有至到期投资以外的金融资产。 可供出售债务工具投资的期末成本按照摊余成本法确定，即初始确认金额扣除已偿还的本金，</w:t>
      </w:r>
    </w:p>
    <w:p>
      <w:pPr>
        <w:pStyle w:val="BodyText"/>
        <w:spacing w:line="324" w:lineRule="auto"/>
        <w:ind w:right="1626"/>
        <w:jc w:val="left"/>
      </w:pPr>
      <w:r>
        <w:rPr/>
        <w:t>加上或减去采用实际利率法将该初始确认金额与到期日金额之间的差额进行摊销形成的累计摊销 额，并扣除已发生的减值损失后的金额。可供出售权益工具投资的期末成本为其初始取得成本。</w:t>
      </w:r>
    </w:p>
    <w:p>
      <w:pPr>
        <w:pStyle w:val="BodyText"/>
        <w:spacing w:line="324" w:lineRule="auto" w:before="64"/>
        <w:ind w:right="1438" w:firstLine="420"/>
        <w:jc w:val="both"/>
      </w:pPr>
      <w:r>
        <w:rPr>
          <w:spacing w:val="-1"/>
        </w:rPr>
        <w:t>可供出售金融资产采用公允价值进行后续计量，公允价值变动形成的利得或损失，除减值损失</w:t>
      </w:r>
      <w:r>
        <w:rPr/>
        <w:t> </w:t>
      </w:r>
      <w:r>
        <w:rPr>
          <w:spacing w:val="-1"/>
        </w:rPr>
        <w:t>和外币货币性金融资产与摊余成本相关的汇兑差额计入当期损益外，确认为其他综合收益，在该金</w:t>
      </w:r>
      <w:r>
        <w:rPr>
          <w:spacing w:val="-16"/>
        </w:rPr>
        <w:t> </w:t>
      </w:r>
      <w:r>
        <w:rPr>
          <w:spacing w:val="-16"/>
        </w:rPr>
      </w:r>
      <w:r>
        <w:rPr>
          <w:spacing w:val="-1"/>
        </w:rPr>
        <w:t>融资产终止确认时转出，计入当期损益。但是，在活跃市场中没有报价且其公允价值不能可靠计量</w:t>
      </w:r>
      <w:r>
        <w:rPr>
          <w:spacing w:val="-16"/>
        </w:rPr>
        <w:t> </w:t>
      </w:r>
      <w:r>
        <w:rPr>
          <w:spacing w:val="-16"/>
        </w:rPr>
      </w:r>
      <w:r>
        <w:rPr>
          <w:spacing w:val="-1"/>
        </w:rPr>
        <w:t>的权益工具投资，以及与该权益工具挂钩并须通过交付该权益工具结算的衍生金融资产，按照成本</w:t>
      </w:r>
      <w:r>
        <w:rPr>
          <w:spacing w:val="-16"/>
        </w:rPr>
        <w:t> </w:t>
      </w:r>
      <w:r>
        <w:rPr>
          <w:spacing w:val="-16"/>
        </w:rPr>
      </w:r>
      <w:r>
        <w:rPr/>
        <w:t>进行后续计量。</w:t>
      </w:r>
    </w:p>
    <w:p>
      <w:pPr>
        <w:pStyle w:val="BodyText"/>
        <w:spacing w:line="240" w:lineRule="auto" w:before="65"/>
        <w:ind w:left="560" w:right="1246"/>
        <w:jc w:val="left"/>
      </w:pPr>
      <w:r>
        <w:rPr/>
        <w:t>可供出售金融资产持有期间取得的利息及被投资单位宣告发放的现金股利，计入投资收益。</w:t>
      </w:r>
    </w:p>
    <w:p>
      <w:pPr>
        <w:pStyle w:val="BodyText"/>
        <w:spacing w:line="357" w:lineRule="auto" w:before="142"/>
        <w:ind w:left="560" w:right="1416"/>
        <w:jc w:val="left"/>
      </w:pPr>
      <w:r>
        <w:rPr/>
        <w:t>（</w:t>
      </w:r>
      <w:r>
        <w:rPr>
          <w:rFonts w:ascii="华文细黑" w:hAnsi="华文细黑" w:cs="华文细黑" w:eastAsia="华文细黑" w:hint="default"/>
        </w:rPr>
        <w:t>3</w:t>
      </w:r>
      <w:r>
        <w:rPr/>
        <w:t>）金融资产减值 除了以公允价值计量且其变动计入当期损益的金融资产外，本公司在每个资产负债表日对其他</w:t>
      </w:r>
    </w:p>
    <w:p>
      <w:pPr>
        <w:spacing w:after="0" w:line="357" w:lineRule="auto"/>
        <w:jc w:val="left"/>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357" w:lineRule="auto" w:before="10"/>
        <w:ind w:left="560" w:right="1246" w:hanging="421"/>
        <w:jc w:val="left"/>
      </w:pPr>
      <w:r>
        <w:rPr/>
        <w:t>金融资产的账面价值进行检查，有客观证据表明金融资产发生减值的，计提减值准备。 </w:t>
      </w:r>
      <w:r>
        <w:rPr>
          <w:spacing w:val="-1"/>
        </w:rPr>
        <w:t>本公司对单项金额重大的金融资产单独进行减值测试；对单项金额不重大的金融资产，单独进</w:t>
      </w:r>
    </w:p>
    <w:p>
      <w:pPr>
        <w:pStyle w:val="BodyText"/>
        <w:spacing w:line="324" w:lineRule="auto"/>
        <w:ind w:right="1416"/>
        <w:jc w:val="left"/>
      </w:pPr>
      <w:r>
        <w:rPr/>
        <w:t>行减值测试或包括在具有类似信用风险特征的金融资产组合中进行减值测试。单独测试未发生减值 </w:t>
      </w:r>
      <w:r>
        <w:rPr>
          <w:spacing w:val="-3"/>
        </w:rPr>
        <w:t>的金融资产（包括单项金额重大和不重大的金融资产），包括在具有类似信用风险特征的金融资产</w:t>
      </w:r>
      <w:r>
        <w:rPr>
          <w:spacing w:val="-31"/>
        </w:rPr>
        <w:t> </w:t>
      </w:r>
      <w:r>
        <w:rPr>
          <w:spacing w:val="-31"/>
        </w:rPr>
      </w:r>
      <w:r>
        <w:rPr/>
        <w:t>组合中再进行减值测试。已单项确认减值损失的金融资产，不包括在具有类似信用风险特征的金融</w:t>
      </w:r>
      <w:r>
        <w:rPr/>
        <w:t> 资产组合中进行减值测试。</w:t>
      </w:r>
    </w:p>
    <w:p>
      <w:pPr>
        <w:pStyle w:val="BodyText"/>
        <w:spacing w:line="355" w:lineRule="auto" w:before="64"/>
        <w:ind w:left="560" w:right="1416"/>
        <w:jc w:val="left"/>
      </w:pPr>
      <w:r>
        <w:rPr/>
        <w:t>①</w:t>
      </w:r>
      <w:r>
        <w:rPr>
          <w:spacing w:val="52"/>
        </w:rPr>
        <w:t> </w:t>
      </w:r>
      <w:r>
        <w:rPr/>
        <w:t>持有至到期投资、贷款和应收款项减值</w:t>
      </w:r>
      <w:r>
        <w:rPr/>
        <w:t> 以成本或摊余成本计量的金融资产将其账面价值减记至预计未来现金流量现值，减记金额确认</w:t>
      </w:r>
    </w:p>
    <w:p>
      <w:pPr>
        <w:pStyle w:val="BodyText"/>
        <w:spacing w:line="324" w:lineRule="auto"/>
        <w:ind w:right="1438"/>
        <w:jc w:val="both"/>
      </w:pPr>
      <w:r>
        <w:rPr>
          <w:spacing w:val="-1"/>
        </w:rPr>
        <w:t>为减值损失，计入当期损益。金融资产在确认减值损失后，如有客观证据表明该金融资产价值已恢</w:t>
      </w:r>
      <w:r>
        <w:rPr>
          <w:spacing w:val="-16"/>
        </w:rPr>
        <w:t> </w:t>
      </w:r>
      <w:r>
        <w:rPr>
          <w:spacing w:val="-16"/>
        </w:rPr>
      </w:r>
      <w:r>
        <w:rPr>
          <w:spacing w:val="-1"/>
        </w:rPr>
        <w:t>复，且客观上与确认该损失后发生的事项有关，原确认的减值损失予以转回，金融资产转回减值损</w:t>
      </w:r>
      <w:r>
        <w:rPr>
          <w:spacing w:val="-16"/>
        </w:rPr>
        <w:t> </w:t>
      </w:r>
      <w:r>
        <w:rPr>
          <w:spacing w:val="-16"/>
        </w:rPr>
      </w:r>
      <w:r>
        <w:rPr/>
        <w:t>失后的账面价值不超过假定不计提减值准备情况下该金融资产在转回日的摊余成本。</w:t>
      </w:r>
    </w:p>
    <w:p>
      <w:pPr>
        <w:pStyle w:val="BodyText"/>
        <w:spacing w:line="357" w:lineRule="auto" w:before="64"/>
        <w:ind w:left="560" w:right="1416"/>
        <w:jc w:val="left"/>
      </w:pPr>
      <w:r>
        <w:rPr/>
        <w:t>②</w:t>
      </w:r>
      <w:r>
        <w:rPr>
          <w:spacing w:val="52"/>
        </w:rPr>
        <w:t> </w:t>
      </w:r>
      <w:r>
        <w:rPr/>
        <w:t>可供出售金融资产减值</w:t>
      </w:r>
      <w:r>
        <w:rPr/>
        <w:t> 当综合相关因素判断可供出售权益工具投资公允价值下跌是严重或非暂时性下跌时，表明该可</w:t>
      </w:r>
    </w:p>
    <w:p>
      <w:pPr>
        <w:pStyle w:val="BodyText"/>
        <w:spacing w:line="324" w:lineRule="auto"/>
        <w:ind w:right="1420"/>
        <w:jc w:val="left"/>
      </w:pPr>
      <w:r>
        <w:rPr/>
        <w:t>供出售权益工具投资发生减值。其中“严重下跌”是指公允价值下跌幅度累计超过</w:t>
      </w:r>
      <w:r>
        <w:rPr>
          <w:spacing w:val="21"/>
        </w:rPr>
        <w:t> </w:t>
      </w:r>
      <w:r>
        <w:rPr>
          <w:rFonts w:ascii="华文细黑" w:hAnsi="华文细黑" w:cs="华文细黑" w:eastAsia="华文细黑" w:hint="default"/>
          <w:spacing w:val="-14"/>
        </w:rPr>
        <w:t>20%</w:t>
      </w:r>
      <w:r>
        <w:rPr>
          <w:spacing w:val="-14"/>
        </w:rPr>
        <w:t>；“非暂时</w:t>
      </w:r>
      <w:r>
        <w:rPr>
          <w:spacing w:val="-51"/>
        </w:rPr>
        <w:t> </w:t>
      </w:r>
      <w:r>
        <w:rPr>
          <w:spacing w:val="-51"/>
        </w:rPr>
      </w:r>
      <w:r>
        <w:rPr/>
        <w:t>性下跌”是指公允价值连续下跌时间超过  </w:t>
      </w:r>
      <w:r>
        <w:rPr>
          <w:rFonts w:ascii="华文细黑" w:hAnsi="华文细黑" w:cs="华文细黑" w:eastAsia="华文细黑" w:hint="default"/>
        </w:rPr>
        <w:t>12</w:t>
      </w:r>
      <w:r>
        <w:rPr>
          <w:rFonts w:ascii="华文细黑" w:hAnsi="华文细黑" w:cs="华文细黑" w:eastAsia="华文细黑" w:hint="default"/>
          <w:spacing w:val="26"/>
        </w:rPr>
        <w:t> </w:t>
      </w:r>
      <w:r>
        <w:rPr/>
        <w:t>个月，持续下跌期间的确定依据为公允价值连续下跌</w:t>
      </w:r>
    </w:p>
    <w:p>
      <w:pPr>
        <w:pStyle w:val="BodyText"/>
        <w:spacing w:line="355" w:lineRule="auto" w:before="25"/>
        <w:ind w:left="560" w:right="1416" w:hanging="421"/>
        <w:jc w:val="left"/>
      </w:pPr>
      <w:r>
        <w:rPr/>
        <w:t>时间超过 </w:t>
      </w:r>
      <w:r>
        <w:rPr>
          <w:rFonts w:ascii="华文细黑" w:hAnsi="华文细黑" w:cs="华文细黑" w:eastAsia="华文细黑" w:hint="default"/>
        </w:rPr>
        <w:t>12</w:t>
      </w:r>
      <w:r>
        <w:rPr>
          <w:rFonts w:ascii="华文细黑" w:hAnsi="华文细黑" w:cs="华文细黑" w:eastAsia="华文细黑" w:hint="default"/>
          <w:spacing w:val="-1"/>
        </w:rPr>
        <w:t> </w:t>
      </w:r>
      <w:r>
        <w:rPr/>
        <w:t>个月。 可供出售金融资产发生减值时，将原计入其他综合收益的因公允价值下降形成的累计损失予以</w:t>
      </w:r>
    </w:p>
    <w:p>
      <w:pPr>
        <w:pStyle w:val="BodyText"/>
        <w:spacing w:line="324" w:lineRule="auto"/>
        <w:ind w:right="1246"/>
        <w:jc w:val="left"/>
      </w:pPr>
      <w:r>
        <w:rPr>
          <w:spacing w:val="-1"/>
        </w:rPr>
        <w:t>转出并计入当期损益，该转出的累计损失为该资产初始取得成本扣除已收回本金和已摊销金额、当</w:t>
      </w:r>
      <w:r>
        <w:rPr>
          <w:spacing w:val="-16"/>
        </w:rPr>
        <w:t> </w:t>
      </w:r>
      <w:r>
        <w:rPr>
          <w:spacing w:val="-16"/>
        </w:rPr>
      </w:r>
      <w:r>
        <w:rPr/>
        <w:t>前公允价值和原已计入损益的减值损失后的余额。</w:t>
      </w:r>
    </w:p>
    <w:p>
      <w:pPr>
        <w:pStyle w:val="BodyText"/>
        <w:spacing w:line="324" w:lineRule="auto" w:before="64"/>
        <w:ind w:right="1438" w:firstLine="420"/>
        <w:jc w:val="both"/>
      </w:pPr>
      <w:r>
        <w:rPr>
          <w:spacing w:val="-1"/>
        </w:rPr>
        <w:t>在确认减值损失后，期后如有客观证据表明该金融资产价值已恢复，且客观上与确认该损失后</w:t>
      </w:r>
      <w:r>
        <w:rPr/>
        <w:t> </w:t>
      </w:r>
      <w:r>
        <w:rPr>
          <w:spacing w:val="-1"/>
        </w:rPr>
        <w:t>发生的事项有关，原确认的减值损失予以转回，可供出售权益工具投资的减值损失转回确认为其他</w:t>
      </w:r>
      <w:r>
        <w:rPr>
          <w:spacing w:val="-16"/>
        </w:rPr>
        <w:t> </w:t>
      </w:r>
      <w:r>
        <w:rPr>
          <w:spacing w:val="-16"/>
        </w:rPr>
      </w:r>
      <w:r>
        <w:rPr/>
        <w:t>综合收益，可供出售债务工具的减值损失转回计入当期损益。</w:t>
      </w:r>
    </w:p>
    <w:p>
      <w:pPr>
        <w:pStyle w:val="BodyText"/>
        <w:spacing w:line="324" w:lineRule="auto" w:before="64"/>
        <w:ind w:right="1437" w:firstLine="420"/>
        <w:jc w:val="both"/>
      </w:pPr>
      <w:r>
        <w:rPr/>
        <w:t>在活跃市场中没有报价且其公允价值不能可靠计量的权益工具投资，或与该权益工具挂钩并须 通过交付该权益工具结算的衍生金融资产的减值损失，不予转回。</w:t>
      </w:r>
    </w:p>
    <w:p>
      <w:pPr>
        <w:pStyle w:val="BodyText"/>
        <w:spacing w:line="240" w:lineRule="auto" w:before="64"/>
        <w:ind w:left="560" w:right="1246"/>
        <w:jc w:val="left"/>
      </w:pPr>
      <w:r>
        <w:rPr/>
        <w:t>（</w:t>
      </w:r>
      <w:r>
        <w:rPr>
          <w:rFonts w:ascii="华文细黑" w:hAnsi="华文细黑" w:cs="华文细黑" w:eastAsia="华文细黑" w:hint="default"/>
        </w:rPr>
        <w:t>4</w:t>
      </w:r>
      <w:r>
        <w:rPr/>
        <w:t>）金融资产转移的确认依据和计量方法</w:t>
      </w:r>
    </w:p>
    <w:p>
      <w:pPr>
        <w:pStyle w:val="BodyText"/>
        <w:spacing w:line="240" w:lineRule="auto" w:before="144"/>
        <w:ind w:left="560" w:right="1246"/>
        <w:jc w:val="left"/>
      </w:pPr>
      <w:r>
        <w:rPr/>
        <w:t>满足下列条件之一的金融资产，予以终止确认：①</w:t>
      </w:r>
      <w:r>
        <w:rPr>
          <w:spacing w:val="46"/>
        </w:rPr>
        <w:t> </w:t>
      </w:r>
      <w:r>
        <w:rPr/>
        <w:t>收取该金融资产现金流量的合同权利终止；</w:t>
      </w:r>
    </w:p>
    <w:p>
      <w:pPr>
        <w:pStyle w:val="BodyText"/>
        <w:spacing w:line="324" w:lineRule="auto" w:before="103"/>
        <w:ind w:right="1246"/>
        <w:jc w:val="left"/>
      </w:pPr>
      <w:r>
        <w:rPr/>
        <w:t>② 该金融资产已转移，且将金融资产所有权上几乎所有的风险和报酬转移给转入方；③该金融资 </w:t>
      </w:r>
      <w:r>
        <w:rPr>
          <w:spacing w:val="-1"/>
        </w:rPr>
        <w:t>产已转移，虽然企业既没有转移也没有保留金融资产所有权上几乎所有的风险和报酬，但是放弃了</w:t>
      </w:r>
      <w:r>
        <w:rPr>
          <w:spacing w:val="-16"/>
        </w:rPr>
        <w:t> </w:t>
      </w:r>
      <w:r>
        <w:rPr>
          <w:spacing w:val="-16"/>
        </w:rPr>
      </w:r>
      <w:r>
        <w:rPr/>
        <w:t>对该金融资产的控制。</w:t>
      </w:r>
    </w:p>
    <w:p>
      <w:pPr>
        <w:pStyle w:val="BodyText"/>
        <w:spacing w:line="324" w:lineRule="auto" w:before="63"/>
        <w:ind w:right="1437" w:firstLine="420"/>
        <w:jc w:val="both"/>
      </w:pPr>
      <w:r>
        <w:rPr/>
        <w:t>若企业既没有转移也没有保留金融资产所有权上几乎所有的风险和报酬，且未放弃对该金融资 产的控制的，则按照继续涉入所转移金融资产的程度确认有关金融资产，并相应确认有关负债。继 续涉入所转移金融资产的程度，是指该金融资产价值变动使企业面临的风险水平。</w:t>
      </w:r>
    </w:p>
    <w:p>
      <w:pPr>
        <w:pStyle w:val="BodyText"/>
        <w:spacing w:line="240" w:lineRule="auto" w:before="64"/>
        <w:ind w:left="560" w:right="1246"/>
        <w:jc w:val="left"/>
      </w:pPr>
      <w:r>
        <w:rPr/>
        <w:t>金融资产整体转移满足终止确认条件的，将所转移金融资产的账面价值及因转移而收到的对价</w:t>
      </w:r>
    </w:p>
    <w:p>
      <w:pPr>
        <w:spacing w:after="0" w:line="240" w:lineRule="auto"/>
        <w:jc w:val="left"/>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357" w:lineRule="auto" w:before="10"/>
        <w:ind w:left="560" w:right="1416" w:hanging="421"/>
        <w:jc w:val="left"/>
      </w:pPr>
      <w:r>
        <w:rPr/>
        <w:t>与原计入其他综合收益的公允价值变动累计额之和的差额计入当期损益。 金融资产部分转移满足终止确认条件的，将所转移金融资产的账面价值在终止确认及未终止确</w:t>
      </w:r>
    </w:p>
    <w:p>
      <w:pPr>
        <w:pStyle w:val="BodyText"/>
        <w:spacing w:line="324" w:lineRule="auto"/>
        <w:ind w:right="1416"/>
        <w:jc w:val="left"/>
      </w:pPr>
      <w:r>
        <w:rPr/>
        <w:t>认部分之间按其相对的公允价值进行分摊，并将因转移而收到的对价与应分摊至终止确认部分的原 计入其他综合收益的公允价值变动累计额之和与分摊的前述账面金额之差额计入当期损益。</w:t>
      </w:r>
    </w:p>
    <w:p>
      <w:pPr>
        <w:pStyle w:val="BodyText"/>
        <w:spacing w:line="324" w:lineRule="auto" w:before="64"/>
        <w:ind w:right="1436" w:firstLine="420"/>
        <w:jc w:val="both"/>
      </w:pPr>
      <w:r>
        <w:rPr/>
        <w:t>本公司对采用附追索权方式出售的金融资产，或将持有的金融资产背书转让，需确定该金融资 产所有权上几乎所有的风险和报酬是否已经转移。已将该金融资产所有权上几乎所有的风险和报酬 转移给转入方的，终止确认该金融资产；保留了金融资产所有权上几乎所有的风险和报酬的，不终 止确认该金融资产；既没有转移也没有保留金融资产所有权上几乎所有的风险和报酬的，则继续判 断企业是否对该资产保留了控制，并根据前面各段所述的原则进行会计处理。</w:t>
      </w:r>
    </w:p>
    <w:p>
      <w:pPr>
        <w:pStyle w:val="BodyText"/>
        <w:spacing w:line="357" w:lineRule="auto" w:before="64"/>
        <w:ind w:left="560" w:right="1626"/>
        <w:jc w:val="left"/>
      </w:pPr>
      <w:r>
        <w:rPr/>
        <w:t>（</w:t>
      </w:r>
      <w:r>
        <w:rPr>
          <w:rFonts w:ascii="华文细黑" w:hAnsi="华文细黑" w:cs="华文细黑" w:eastAsia="华文细黑" w:hint="default"/>
        </w:rPr>
        <w:t>5</w:t>
      </w:r>
      <w:r>
        <w:rPr/>
        <w:t>）金融负债的分类和计量 金融负债在初始确认时划分为以公允价值计量且其变动计入当期损益的金融负债和其他金融</w:t>
      </w:r>
    </w:p>
    <w:p>
      <w:pPr>
        <w:pStyle w:val="BodyText"/>
        <w:spacing w:line="324" w:lineRule="auto"/>
        <w:ind w:right="1246"/>
        <w:jc w:val="left"/>
      </w:pPr>
      <w:r>
        <w:rPr>
          <w:spacing w:val="-1"/>
        </w:rPr>
        <w:t>负债。初始确认金融负债，以公允价值计量。对于以公允价值计量且其变动计入当期损益的金融负</w:t>
      </w:r>
      <w:r>
        <w:rPr>
          <w:spacing w:val="-16"/>
        </w:rPr>
        <w:t> </w:t>
      </w:r>
      <w:r>
        <w:rPr>
          <w:spacing w:val="-16"/>
        </w:rPr>
      </w:r>
      <w:r>
        <w:rPr/>
        <w:t>债，相关的交易费用直接计入当期损益；对于其他金融负债，相关交易费用计入初始确认金额。</w:t>
      </w:r>
    </w:p>
    <w:p>
      <w:pPr>
        <w:pStyle w:val="BodyText"/>
        <w:spacing w:line="357" w:lineRule="auto" w:before="64"/>
        <w:ind w:left="560" w:right="1626"/>
        <w:jc w:val="left"/>
      </w:pPr>
      <w:r>
        <w:rPr/>
        <w:t>①</w:t>
      </w:r>
      <w:r>
        <w:rPr>
          <w:spacing w:val="52"/>
        </w:rPr>
        <w:t> </w:t>
      </w:r>
      <w:r>
        <w:rPr/>
        <w:t>以公允价值计量且其变动计入当期损益的金融负债</w:t>
      </w:r>
      <w:r>
        <w:rPr/>
        <w:t> 分类为交易性金融负债和在初始确认时指定为以公允价值计量且其变动计入当期损益的金融</w:t>
      </w:r>
    </w:p>
    <w:p>
      <w:pPr>
        <w:pStyle w:val="BodyText"/>
        <w:spacing w:line="324" w:lineRule="auto"/>
        <w:ind w:right="1626"/>
        <w:jc w:val="left"/>
      </w:pPr>
      <w:r>
        <w:rPr/>
        <w:t>负债的条件与分类为交易性金融资产和在初始确认时指定为以公允价值计量且其变动计入当期损 益的金融资产的条件一致。</w:t>
      </w:r>
    </w:p>
    <w:p>
      <w:pPr>
        <w:pStyle w:val="BodyText"/>
        <w:spacing w:line="324" w:lineRule="auto" w:before="65"/>
        <w:ind w:right="1437" w:firstLine="420"/>
        <w:jc w:val="both"/>
      </w:pPr>
      <w:r>
        <w:rPr/>
        <w:t>以公允价值计量且其变动计入当期损益的金融负债采用公允价值进行后续计量，公允价值的变 动形成的利得或损失以及与该等金融负债相关的股利和利息支出计入当期损益。</w:t>
      </w:r>
    </w:p>
    <w:p>
      <w:pPr>
        <w:pStyle w:val="BodyText"/>
        <w:spacing w:line="357" w:lineRule="auto" w:before="64"/>
        <w:ind w:left="560" w:right="1416"/>
        <w:jc w:val="left"/>
      </w:pPr>
      <w:r>
        <w:rPr/>
        <w:t>②</w:t>
      </w:r>
      <w:r>
        <w:rPr>
          <w:spacing w:val="52"/>
        </w:rPr>
        <w:t> </w:t>
      </w:r>
      <w:r>
        <w:rPr/>
        <w:t>其他金融负债</w:t>
      </w:r>
      <w:r>
        <w:rPr/>
        <w:t> 与在活跃市场中没有报价、公允价值不能可靠计量的权益工具挂钩并须通过交付该权益工具结</w:t>
      </w:r>
    </w:p>
    <w:p>
      <w:pPr>
        <w:pStyle w:val="BodyText"/>
        <w:spacing w:line="324" w:lineRule="auto"/>
        <w:ind w:right="1416"/>
        <w:jc w:val="left"/>
      </w:pPr>
      <w:r>
        <w:rPr/>
        <w:t>算的衍生金融负债，按照成本进行后续计量。其他金融负债采用实际利率法，按摊余成本进行后续 计量，终止确认或摊销产生的利得或损失计入当期损益。</w:t>
      </w:r>
    </w:p>
    <w:p>
      <w:pPr>
        <w:pStyle w:val="BodyText"/>
        <w:spacing w:line="357" w:lineRule="auto" w:before="64"/>
        <w:ind w:left="560" w:right="1416"/>
        <w:jc w:val="left"/>
      </w:pPr>
      <w:r>
        <w:rPr/>
        <w:t>③</w:t>
      </w:r>
      <w:r>
        <w:rPr>
          <w:spacing w:val="52"/>
        </w:rPr>
        <w:t> </w:t>
      </w:r>
      <w:r>
        <w:rPr/>
        <w:t>财务担保合同</w:t>
      </w:r>
      <w:r>
        <w:rPr/>
        <w:t> 不属于指定为以公允价值计量且其变动计入当期损益的金融负债的财务担保合同，以公允价值</w:t>
      </w:r>
    </w:p>
    <w:p>
      <w:pPr>
        <w:pStyle w:val="BodyText"/>
        <w:spacing w:line="289" w:lineRule="exact"/>
        <w:ind w:right="1246"/>
        <w:jc w:val="left"/>
      </w:pPr>
      <w:r>
        <w:rPr/>
        <w:t>进行初始确认，在初始确认后按照《企业会计准则第 </w:t>
      </w:r>
      <w:r>
        <w:rPr>
          <w:rFonts w:ascii="华文细黑" w:hAnsi="华文细黑" w:cs="华文细黑" w:eastAsia="华文细黑" w:hint="default"/>
        </w:rPr>
        <w:t>13</w:t>
      </w:r>
      <w:r>
        <w:rPr>
          <w:rFonts w:ascii="华文细黑" w:hAnsi="华文细黑" w:cs="华文细黑" w:eastAsia="华文细黑" w:hint="default"/>
          <w:spacing w:val="-1"/>
        </w:rPr>
        <w:t> </w:t>
      </w:r>
      <w:r>
        <w:rPr/>
        <w:t>号—或有事项》确定的金额和初始确认金</w:t>
      </w:r>
    </w:p>
    <w:p>
      <w:pPr>
        <w:pStyle w:val="BodyText"/>
        <w:spacing w:line="324" w:lineRule="auto" w:before="103"/>
        <w:ind w:right="1500"/>
        <w:jc w:val="left"/>
      </w:pPr>
      <w:r>
        <w:rPr/>
        <w:t>额扣除按照《企业会计准则第 </w:t>
      </w:r>
      <w:r>
        <w:rPr>
          <w:rFonts w:ascii="华文细黑" w:hAnsi="华文细黑" w:cs="华文细黑" w:eastAsia="华文细黑" w:hint="default"/>
        </w:rPr>
        <w:t>14</w:t>
      </w:r>
      <w:r>
        <w:rPr>
          <w:rFonts w:ascii="华文细黑" w:hAnsi="华文细黑" w:cs="华文细黑" w:eastAsia="华文细黑" w:hint="default"/>
          <w:spacing w:val="-2"/>
        </w:rPr>
        <w:t> </w:t>
      </w:r>
      <w:r>
        <w:rPr/>
        <w:t>号—收入》的原则确定的累计摊销额后的余额之中的较高者进行 后续计量。</w:t>
      </w:r>
    </w:p>
    <w:p>
      <w:pPr>
        <w:pStyle w:val="BodyText"/>
        <w:spacing w:line="357" w:lineRule="auto" w:before="63"/>
        <w:ind w:left="560" w:right="1246"/>
        <w:jc w:val="left"/>
      </w:pPr>
      <w:r>
        <w:rPr/>
        <w:t>（</w:t>
      </w:r>
      <w:r>
        <w:rPr>
          <w:rFonts w:ascii="华文细黑" w:hAnsi="华文细黑" w:cs="华文细黑" w:eastAsia="华文细黑" w:hint="default"/>
        </w:rPr>
        <w:t>6</w:t>
      </w:r>
      <w:r>
        <w:rPr/>
        <w:t>）金融负债的终止确认 </w:t>
      </w:r>
      <w:r>
        <w:rPr>
          <w:spacing w:val="-6"/>
        </w:rPr>
        <w:t>金融负债的现时义务全部或部分已经解除的，才能终止确认该金融负债或其一部分。本公司（债</w:t>
      </w:r>
    </w:p>
    <w:p>
      <w:pPr>
        <w:pStyle w:val="BodyText"/>
        <w:spacing w:line="324" w:lineRule="auto"/>
        <w:ind w:right="1416"/>
        <w:jc w:val="left"/>
      </w:pPr>
      <w:r>
        <w:rPr/>
        <w:t>务人）与债权人之间签订协议，以承担新金融负债方式替换现存金融负债，且新金融负债与现存金 融负债的合同条款实质上不同的，终止确认现存金融负债，并同时确认新金融负债。</w:t>
      </w:r>
    </w:p>
    <w:p>
      <w:pPr>
        <w:pStyle w:val="BodyText"/>
        <w:spacing w:line="240" w:lineRule="auto" w:before="63"/>
        <w:ind w:left="560" w:right="1246"/>
        <w:jc w:val="left"/>
      </w:pPr>
      <w:r>
        <w:rPr/>
        <w:t>金融负债全部或部分终止确认的，将终止确认部分的账面价值与支付的对价（包括转出的非现</w:t>
      </w:r>
    </w:p>
    <w:p>
      <w:pPr>
        <w:spacing w:after="0" w:line="240" w:lineRule="auto"/>
        <w:jc w:val="left"/>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240" w:lineRule="auto" w:before="10"/>
        <w:ind w:right="0"/>
        <w:jc w:val="both"/>
      </w:pPr>
      <w:r>
        <w:rPr/>
        <w:t>金资产或承担的新金融负债）之间的差额，计入当期损益。</w:t>
      </w:r>
    </w:p>
    <w:p>
      <w:pPr>
        <w:pStyle w:val="BodyText"/>
        <w:spacing w:line="355" w:lineRule="auto" w:before="144"/>
        <w:ind w:left="560" w:right="1246"/>
        <w:jc w:val="left"/>
      </w:pPr>
      <w:r>
        <w:rPr/>
        <w:t>（</w:t>
      </w:r>
      <w:r>
        <w:rPr>
          <w:rFonts w:ascii="华文细黑" w:hAnsi="华文细黑" w:cs="华文细黑" w:eastAsia="华文细黑" w:hint="default"/>
        </w:rPr>
        <w:t>7</w:t>
      </w:r>
      <w:r>
        <w:rPr/>
        <w:t>）衍生工具及嵌入衍生工具 </w:t>
      </w:r>
      <w:r>
        <w:rPr>
          <w:spacing w:val="-1"/>
        </w:rPr>
        <w:t>衍生工具于相关合同签署日以公允价值进行初始计量，并以公允价值进行后续计量。衍生工具</w:t>
      </w:r>
    </w:p>
    <w:p>
      <w:pPr>
        <w:pStyle w:val="BodyText"/>
        <w:spacing w:line="355" w:lineRule="auto"/>
        <w:ind w:left="560" w:right="1416" w:hanging="421"/>
        <w:jc w:val="left"/>
      </w:pPr>
      <w:r>
        <w:rPr/>
        <w:t>的公允价值变动计入当期损益。 对包含嵌入衍生工具的混合工具，如未指定为以公允价值计量且其变动计入当期损益的金融资</w:t>
      </w:r>
    </w:p>
    <w:p>
      <w:pPr>
        <w:pStyle w:val="BodyText"/>
        <w:spacing w:line="324" w:lineRule="auto"/>
        <w:ind w:right="1438"/>
        <w:jc w:val="both"/>
      </w:pPr>
      <w:r>
        <w:rPr>
          <w:spacing w:val="-1"/>
        </w:rPr>
        <w:t>产或金融负债，嵌入衍生工具与该主合同在经济特征及风险方面不存在紧密关系，且与嵌入衍生工</w:t>
      </w:r>
      <w:r>
        <w:rPr>
          <w:spacing w:val="-16"/>
        </w:rPr>
        <w:t> </w:t>
      </w:r>
      <w:r>
        <w:rPr>
          <w:spacing w:val="-16"/>
        </w:rPr>
      </w:r>
      <w:r>
        <w:rPr>
          <w:spacing w:val="-1"/>
        </w:rPr>
        <w:t>具条件相同，单独存在的工具符合衍生工具定义的，嵌入衍生工具从混合工具中分拆，作为单独的</w:t>
      </w:r>
      <w:r>
        <w:rPr>
          <w:spacing w:val="-16"/>
        </w:rPr>
        <w:t> </w:t>
      </w:r>
      <w:r>
        <w:rPr>
          <w:spacing w:val="-16"/>
        </w:rPr>
      </w:r>
      <w:r>
        <w:rPr>
          <w:spacing w:val="-1"/>
        </w:rPr>
        <w:t>衍生金融工具处理。如果无法在取得时或后续的资产负债表日对嵌入衍生工具进行单独计量，则将</w:t>
      </w:r>
      <w:r>
        <w:rPr>
          <w:spacing w:val="-16"/>
        </w:rPr>
        <w:t> </w:t>
      </w:r>
      <w:r>
        <w:rPr>
          <w:spacing w:val="-16"/>
        </w:rPr>
      </w:r>
      <w:r>
        <w:rPr/>
        <w:t>混合工具整体指定为以公允价值计量且其变动计入当期损益的金融资产或金融负债。</w:t>
      </w:r>
    </w:p>
    <w:p>
      <w:pPr>
        <w:pStyle w:val="BodyText"/>
        <w:spacing w:line="357" w:lineRule="auto" w:before="63"/>
        <w:ind w:left="560" w:right="1246"/>
        <w:jc w:val="left"/>
      </w:pPr>
      <w:r>
        <w:rPr/>
        <w:t>（</w:t>
      </w:r>
      <w:r>
        <w:rPr>
          <w:rFonts w:ascii="华文细黑" w:hAnsi="华文细黑" w:cs="华文细黑" w:eastAsia="华文细黑" w:hint="default"/>
        </w:rPr>
        <w:t>8</w:t>
      </w:r>
      <w:r>
        <w:rPr/>
        <w:t>）金融资产和金融负债的抵销 </w:t>
      </w:r>
      <w:r>
        <w:rPr>
          <w:spacing w:val="-1"/>
        </w:rPr>
        <w:t>当本公司具有抵销已确认金融资产和金融负债的法定权利，且目前可执行该种法定权利，同时</w:t>
      </w:r>
    </w:p>
    <w:p>
      <w:pPr>
        <w:pStyle w:val="BodyText"/>
        <w:spacing w:line="324" w:lineRule="auto"/>
        <w:ind w:right="1437"/>
        <w:jc w:val="both"/>
      </w:pPr>
      <w:r>
        <w:rPr/>
        <w:t>本公司计划以净额结算或同时变现该金融资产和清偿该金融负债时，金融资产和金融负债以相互抵 销后的金额在资产负债表内列示。除此以外，金融资产和金融负债在资产负债表内分别列示，不予 相互抵销。</w:t>
      </w:r>
    </w:p>
    <w:p>
      <w:pPr>
        <w:pStyle w:val="BodyText"/>
        <w:spacing w:line="355" w:lineRule="auto" w:before="64"/>
        <w:ind w:left="560" w:right="1626"/>
        <w:jc w:val="left"/>
      </w:pPr>
      <w:r>
        <w:rPr/>
        <w:t>（</w:t>
      </w:r>
      <w:r>
        <w:rPr>
          <w:rFonts w:ascii="华文细黑" w:hAnsi="华文细黑" w:cs="华文细黑" w:eastAsia="华文细黑" w:hint="default"/>
        </w:rPr>
        <w:t>9</w:t>
      </w:r>
      <w:r>
        <w:rPr/>
        <w:t>）权益工具 权益工具是指能证明拥有本公司在扣除所有负债后的资产中的剩余权益的合同。本公司发行</w:t>
      </w:r>
    </w:p>
    <w:p>
      <w:pPr>
        <w:pStyle w:val="BodyText"/>
        <w:spacing w:line="324" w:lineRule="auto"/>
        <w:ind w:right="1246"/>
        <w:jc w:val="left"/>
      </w:pPr>
      <w:r>
        <w:rPr>
          <w:spacing w:val="-3"/>
        </w:rPr>
        <w:t>（含再融资）、回购、出售或注销权益工具作为权益的变动处理。与权益性交易相关的交易费用从</w:t>
      </w:r>
      <w:r>
        <w:rPr>
          <w:spacing w:val="-30"/>
        </w:rPr>
        <w:t> </w:t>
      </w:r>
      <w:r>
        <w:rPr>
          <w:spacing w:val="-30"/>
        </w:rPr>
      </w:r>
      <w:r>
        <w:rPr/>
        <w:t>权益中扣减。</w:t>
      </w:r>
    </w:p>
    <w:p>
      <w:pPr>
        <w:pStyle w:val="BodyText"/>
        <w:spacing w:line="324" w:lineRule="auto" w:before="64"/>
        <w:ind w:right="1246" w:firstLine="420"/>
        <w:jc w:val="left"/>
      </w:pPr>
      <w:r>
        <w:rPr>
          <w:spacing w:val="-3"/>
        </w:rPr>
        <w:t>本公司对权益工具持有方的各种分配（不包括股票股利），减少股东权益。本公司不确认权益</w:t>
      </w:r>
      <w:r>
        <w:rPr/>
        <w:t> 工具的公允价值变动额。</w:t>
      </w:r>
    </w:p>
    <w:p>
      <w:pPr>
        <w:spacing w:line="355" w:lineRule="auto" w:before="64"/>
        <w:ind w:left="560" w:right="6246" w:firstLine="0"/>
        <w:jc w:val="left"/>
        <w:rPr>
          <w:rFonts w:ascii="华文细黑" w:hAnsi="华文细黑" w:cs="华文细黑" w:eastAsia="华文细黑" w:hint="default"/>
          <w:sz w:val="21"/>
          <w:szCs w:val="21"/>
        </w:rPr>
      </w:pPr>
      <w:bookmarkStart w:name="10、应收款项" w:id="235"/>
      <w:bookmarkEnd w:id="235"/>
      <w:r>
        <w:rPr/>
      </w:r>
      <w:r>
        <w:rPr>
          <w:rFonts w:ascii="华文细黑" w:hAnsi="华文细黑" w:cs="华文细黑" w:eastAsia="华文细黑" w:hint="default"/>
          <w:b/>
          <w:bCs/>
          <w:sz w:val="21"/>
          <w:szCs w:val="21"/>
        </w:rPr>
        <w:t>10</w:t>
      </w:r>
      <w:r>
        <w:rPr>
          <w:rFonts w:ascii="华文细黑" w:hAnsi="华文细黑" w:cs="华文细黑" w:eastAsia="华文细黑" w:hint="default"/>
          <w:b/>
          <w:bCs/>
          <w:sz w:val="21"/>
          <w:szCs w:val="21"/>
        </w:rPr>
        <w:t>、应收款项</w:t>
      </w:r>
      <w:r>
        <w:rPr>
          <w:rFonts w:ascii="华文细黑" w:hAnsi="华文细黑" w:cs="华文细黑" w:eastAsia="华文细黑" w:hint="default"/>
          <w:b/>
          <w:bCs/>
          <w:w w:val="99"/>
          <w:sz w:val="21"/>
          <w:szCs w:val="21"/>
        </w:rPr>
        <w:t> </w:t>
      </w:r>
      <w:r>
        <w:rPr>
          <w:rFonts w:ascii="华文细黑" w:hAnsi="华文细黑" w:cs="华文细黑" w:eastAsia="华文细黑" w:hint="default"/>
          <w:sz w:val="21"/>
          <w:szCs w:val="21"/>
        </w:rPr>
        <w:t>应收款项包括应收账款、其他应收款等。</w:t>
      </w:r>
    </w:p>
    <w:p>
      <w:pPr>
        <w:pStyle w:val="BodyText"/>
        <w:spacing w:line="357" w:lineRule="auto" w:before="35"/>
        <w:ind w:left="560" w:right="1416"/>
        <w:jc w:val="left"/>
      </w:pPr>
      <w:r>
        <w:rPr/>
        <w:t>（</w:t>
      </w:r>
      <w:r>
        <w:rPr>
          <w:rFonts w:ascii="华文细黑" w:hAnsi="华文细黑" w:cs="华文细黑" w:eastAsia="华文细黑" w:hint="default"/>
        </w:rPr>
        <w:t>1</w:t>
      </w:r>
      <w:r>
        <w:rPr/>
        <w:t>）坏账准备的确认标准 本公司在资产负债表日对应收款项账面价值进行检查，对存在下列客观证据表明应收款项发生</w:t>
      </w:r>
    </w:p>
    <w:p>
      <w:pPr>
        <w:pStyle w:val="BodyText"/>
        <w:spacing w:line="324" w:lineRule="auto"/>
        <w:ind w:right="1439"/>
        <w:jc w:val="both"/>
      </w:pPr>
      <w:r>
        <w:rPr>
          <w:spacing w:val="-1"/>
        </w:rPr>
        <w:t>减值的，计提减值准备：①债务人发生严重的财务困难；②债务人违反合同条款（如偿付利息或本</w:t>
      </w:r>
      <w:r>
        <w:rPr>
          <w:spacing w:val="-18"/>
        </w:rPr>
        <w:t> </w:t>
      </w:r>
      <w:r>
        <w:rPr>
          <w:spacing w:val="-18"/>
        </w:rPr>
      </w:r>
      <w:r>
        <w:rPr>
          <w:spacing w:val="-8"/>
        </w:rPr>
        <w:t>金发生违约或逾期等）；</w:t>
      </w:r>
      <w:r>
        <w:rPr/>
        <w:t> </w:t>
      </w:r>
      <w:r>
        <w:rPr>
          <w:spacing w:val="1"/>
        </w:rPr>
        <w:t>③债务人很可能倒闭或进行其他财务重组；</w:t>
      </w:r>
      <w:r>
        <w:rPr>
          <w:spacing w:val="41"/>
        </w:rPr>
        <w:t> </w:t>
      </w:r>
      <w:r>
        <w:rPr>
          <w:spacing w:val="1"/>
        </w:rPr>
        <w:t>④其他表明应收款项发生减</w:t>
      </w:r>
      <w:r>
        <w:rPr/>
        <w:t> 值的客观依据。</w:t>
      </w:r>
    </w:p>
    <w:p>
      <w:pPr>
        <w:pStyle w:val="BodyText"/>
        <w:spacing w:line="357" w:lineRule="auto" w:before="63"/>
        <w:ind w:left="560" w:right="1836"/>
        <w:jc w:val="left"/>
      </w:pPr>
      <w:r>
        <w:rPr/>
        <w:pict>
          <v:shape style="position:absolute;margin-left:70.620003pt;margin-top:43.811737pt;width:454.4pt;height:74pt;mso-position-horizontal-relative:page;mso-position-vertical-relative:paragraph;z-index:13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057"/>
                    <w:gridCol w:w="6016"/>
                  </w:tblGrid>
                  <w:tr>
                    <w:trPr>
                      <w:trHeight w:val="490" w:hRule="exact"/>
                    </w:trPr>
                    <w:tc>
                      <w:tcPr>
                        <w:tcW w:w="305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8"/>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项目</w:t>
                        </w:r>
                      </w:p>
                    </w:tc>
                    <w:tc>
                      <w:tcPr>
                        <w:tcW w:w="60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8"/>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计提比例</w:t>
                        </w:r>
                        <w:r>
                          <w:rPr>
                            <w:rFonts w:ascii="华文细黑" w:hAnsi="华文细黑" w:cs="华文细黑" w:eastAsia="华文细黑" w:hint="default"/>
                            <w:sz w:val="21"/>
                            <w:szCs w:val="21"/>
                          </w:rPr>
                          <w:t>(%)</w:t>
                        </w:r>
                      </w:p>
                    </w:tc>
                  </w:tr>
                  <w:tr>
                    <w:trPr>
                      <w:trHeight w:val="490" w:hRule="exact"/>
                    </w:trPr>
                    <w:tc>
                      <w:tcPr>
                        <w:tcW w:w="305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正常</w:t>
                        </w:r>
                      </w:p>
                    </w:tc>
                    <w:tc>
                      <w:tcPr>
                        <w:tcW w:w="60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1</w:t>
                        </w:r>
                      </w:p>
                    </w:tc>
                  </w:tr>
                  <w:tr>
                    <w:trPr>
                      <w:trHeight w:val="491" w:hRule="exact"/>
                    </w:trPr>
                    <w:tc>
                      <w:tcPr>
                        <w:tcW w:w="305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关注</w:t>
                        </w:r>
                      </w:p>
                    </w:tc>
                    <w:tc>
                      <w:tcPr>
                        <w:tcW w:w="60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sz w:val="18"/>
                          </w:rPr>
                          <w:t>2</w:t>
                        </w:r>
                      </w:p>
                    </w:tc>
                  </w:tr>
                </w:tbl>
                <w:p>
                  <w:pPr/>
                </w:p>
              </w:txbxContent>
            </v:textbox>
            <w10:wrap type="none"/>
          </v:shape>
        </w:pict>
      </w:r>
      <w:r>
        <w:rPr/>
        <w:t>（</w:t>
      </w:r>
      <w:r>
        <w:rPr>
          <w:rFonts w:ascii="华文细黑" w:hAnsi="华文细黑" w:cs="华文细黑" w:eastAsia="华文细黑" w:hint="default"/>
        </w:rPr>
        <w:t>2</w:t>
      </w:r>
      <w:r>
        <w:rPr/>
        <w:t>）应收保理款的计提方法 应收款项中应收保理款的坏账准备的按贷款五级分类的情况进行计提。其计提标准如下：</w:t>
      </w:r>
    </w:p>
    <w:p>
      <w:pPr>
        <w:spacing w:after="0" w:line="357" w:lineRule="auto"/>
        <w:jc w:val="left"/>
        <w:sectPr>
          <w:pgSz w:w="11910" w:h="16840"/>
          <w:pgMar w:header="917" w:footer="1019" w:top="1100" w:bottom="1200" w:left="1300" w:right="0"/>
        </w:sectPr>
      </w:pPr>
    </w:p>
    <w:p>
      <w:pPr>
        <w:spacing w:line="240" w:lineRule="auto" w:before="8"/>
        <w:rPr>
          <w:rFonts w:ascii="华文细黑" w:hAnsi="华文细黑" w:cs="华文细黑" w:eastAsia="华文细黑" w:hint="default"/>
          <w:sz w:val="23"/>
          <w:szCs w:val="23"/>
        </w:rPr>
      </w:pPr>
    </w:p>
    <w:tbl>
      <w:tblPr>
        <w:tblW w:w="0" w:type="auto"/>
        <w:jc w:val="left"/>
        <w:tblInd w:w="112" w:type="dxa"/>
        <w:tblLayout w:type="fixed"/>
        <w:tblCellMar>
          <w:top w:w="0" w:type="dxa"/>
          <w:left w:w="0" w:type="dxa"/>
          <w:bottom w:w="0" w:type="dxa"/>
          <w:right w:w="0" w:type="dxa"/>
        </w:tblCellMar>
        <w:tblLook w:val="01E0"/>
      </w:tblPr>
      <w:tblGrid>
        <w:gridCol w:w="3057"/>
        <w:gridCol w:w="6016"/>
      </w:tblGrid>
      <w:tr>
        <w:trPr>
          <w:trHeight w:val="490" w:hRule="exact"/>
        </w:trPr>
        <w:tc>
          <w:tcPr>
            <w:tcW w:w="305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次级</w:t>
            </w:r>
          </w:p>
        </w:tc>
        <w:tc>
          <w:tcPr>
            <w:tcW w:w="60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sz w:val="18"/>
              </w:rPr>
              <w:t>25</w:t>
            </w:r>
          </w:p>
        </w:tc>
      </w:tr>
      <w:tr>
        <w:trPr>
          <w:trHeight w:val="491" w:hRule="exact"/>
        </w:trPr>
        <w:tc>
          <w:tcPr>
            <w:tcW w:w="305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可疑</w:t>
            </w:r>
          </w:p>
        </w:tc>
        <w:tc>
          <w:tcPr>
            <w:tcW w:w="60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sz w:val="18"/>
              </w:rPr>
              <w:t>50</w:t>
            </w:r>
          </w:p>
        </w:tc>
      </w:tr>
      <w:tr>
        <w:trPr>
          <w:trHeight w:val="490" w:hRule="exact"/>
        </w:trPr>
        <w:tc>
          <w:tcPr>
            <w:tcW w:w="305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损失</w:t>
            </w:r>
          </w:p>
        </w:tc>
        <w:tc>
          <w:tcPr>
            <w:tcW w:w="60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100</w:t>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560" w:right="1246"/>
        <w:jc w:val="left"/>
      </w:pPr>
      <w:r>
        <w:rPr/>
        <w:t>（</w:t>
      </w:r>
      <w:r>
        <w:rPr>
          <w:rFonts w:ascii="华文细黑" w:hAnsi="华文细黑" w:cs="华文细黑" w:eastAsia="华文细黑" w:hint="default"/>
        </w:rPr>
        <w:t>3</w:t>
      </w:r>
      <w:r>
        <w:rPr/>
        <w:t>）除应收保理款之外其他应收款项坏账准备的计提方法</w:t>
      </w:r>
    </w:p>
    <w:p>
      <w:pPr>
        <w:pStyle w:val="BodyText"/>
        <w:spacing w:line="357" w:lineRule="auto" w:before="142"/>
        <w:ind w:left="560" w:right="1431"/>
        <w:jc w:val="left"/>
        <w:rPr>
          <w:rFonts w:ascii="华文细黑" w:hAnsi="华文细黑" w:cs="华文细黑" w:eastAsia="华文细黑" w:hint="default"/>
        </w:rPr>
      </w:pPr>
      <w:r>
        <w:rPr/>
        <w:t>①</w:t>
      </w:r>
      <w:r>
        <w:rPr>
          <w:spacing w:val="52"/>
        </w:rPr>
        <w:t> </w:t>
      </w:r>
      <w:r>
        <w:rPr/>
        <w:t>单项金额重大并单项计提坏账准备的应收款项坏账准备的确认标准、计提方法</w:t>
      </w:r>
      <w:r>
        <w:rPr/>
        <w:t> </w:t>
      </w:r>
      <w:r>
        <w:rPr>
          <w:rFonts w:ascii="华文细黑" w:hAnsi="华文细黑" w:cs="华文细黑" w:eastAsia="华文细黑" w:hint="default"/>
          <w:spacing w:val="-1"/>
        </w:rPr>
        <w:t>A</w:t>
      </w:r>
      <w:r>
        <w:rPr>
          <w:spacing w:val="-1"/>
        </w:rPr>
        <w:t>．深圳市彩梦科技有限公司（以下简称“彩梦科技公司”）及其子公司将金额为人民币</w:t>
      </w:r>
      <w:r>
        <w:rPr/>
        <w:t> </w:t>
      </w:r>
      <w:r>
        <w:rPr>
          <w:spacing w:val="45"/>
        </w:rPr>
        <w:t> </w:t>
      </w:r>
      <w:r>
        <w:rPr>
          <w:rFonts w:ascii="华文细黑" w:hAnsi="华文细黑" w:cs="华文细黑" w:eastAsia="华文细黑" w:hint="default"/>
        </w:rPr>
        <w:t>300</w:t>
      </w:r>
    </w:p>
    <w:p>
      <w:pPr>
        <w:pStyle w:val="BodyText"/>
        <w:spacing w:line="324" w:lineRule="auto"/>
        <w:ind w:right="1418"/>
        <w:jc w:val="left"/>
      </w:pPr>
      <w:r>
        <w:rPr/>
        <w:t>万元及以上且超过期末应收账款余额</w:t>
      </w:r>
      <w:r>
        <w:rPr>
          <w:spacing w:val="-30"/>
        </w:rPr>
        <w:t> </w:t>
      </w:r>
      <w:r>
        <w:rPr>
          <w:rFonts w:ascii="华文细黑" w:hAnsi="华文细黑" w:cs="华文细黑" w:eastAsia="华文细黑" w:hint="default"/>
        </w:rPr>
        <w:t>10%</w:t>
      </w:r>
      <w:r>
        <w:rPr/>
        <w:t>的应收账款项确认为单项金额重大的应收款项。单项金额 重大的其他应收款是指期末余额 </w:t>
      </w:r>
      <w:r>
        <w:rPr>
          <w:rFonts w:ascii="华文细黑" w:hAnsi="华文细黑" w:cs="华文细黑" w:eastAsia="华文细黑" w:hint="default"/>
        </w:rPr>
        <w:t>200 </w:t>
      </w:r>
      <w:r>
        <w:rPr/>
        <w:t>万元及以上的其他应收款。</w:t>
      </w:r>
    </w:p>
    <w:p>
      <w:pPr>
        <w:pStyle w:val="BodyText"/>
        <w:spacing w:line="324" w:lineRule="auto" w:before="63"/>
        <w:ind w:right="1438" w:firstLine="420"/>
        <w:jc w:val="both"/>
      </w:pPr>
      <w:r>
        <w:rPr>
          <w:rFonts w:ascii="华文细黑" w:hAnsi="华文细黑" w:cs="华文细黑" w:eastAsia="华文细黑" w:hint="default"/>
        </w:rPr>
        <w:t>B</w:t>
      </w:r>
      <w:r>
        <w:rPr/>
        <w:t>．除上述公司之外，本公司将金额为人民币 </w:t>
      </w:r>
      <w:r>
        <w:rPr>
          <w:rFonts w:ascii="华文细黑" w:hAnsi="华文细黑" w:cs="华文细黑" w:eastAsia="华文细黑" w:hint="default"/>
        </w:rPr>
        <w:t>500</w:t>
      </w:r>
      <w:r>
        <w:rPr>
          <w:rFonts w:ascii="华文细黑" w:hAnsi="华文细黑" w:cs="华文细黑" w:eastAsia="华文细黑" w:hint="default"/>
          <w:spacing w:val="49"/>
        </w:rPr>
        <w:t> </w:t>
      </w:r>
      <w:r>
        <w:rPr/>
        <w:t>万元以上的应收款项确认为单项金额重大的 应收款项。</w:t>
      </w:r>
    </w:p>
    <w:p>
      <w:pPr>
        <w:pStyle w:val="BodyText"/>
        <w:spacing w:line="324" w:lineRule="auto" w:before="63"/>
        <w:ind w:right="1433" w:firstLine="420"/>
        <w:jc w:val="both"/>
      </w:pPr>
      <w:r>
        <w:rPr/>
        <w:t>本公司对单项金额重大的应收款项单独进行减值测试，单独测试未发生减值的金融资产，包括 在具有类似信用风险特征的金融资产组合中进行减值测试。单项测试已确认减值损失的应收款项， 不再包括在具有类似信用风险特征的应收款项组合中进行减值测试。</w:t>
      </w:r>
    </w:p>
    <w:p>
      <w:pPr>
        <w:pStyle w:val="BodyText"/>
        <w:spacing w:line="355" w:lineRule="auto" w:before="64"/>
        <w:ind w:left="560" w:right="1416"/>
        <w:jc w:val="left"/>
      </w:pPr>
      <w:r>
        <w:rPr/>
        <w:t>②</w:t>
      </w:r>
      <w:r>
        <w:rPr>
          <w:spacing w:val="52"/>
        </w:rPr>
        <w:t> </w:t>
      </w:r>
      <w:r>
        <w:rPr/>
        <w:t>按信用风险组合计提坏账准备的应收款项的确定依据、坏账准备计提方法</w:t>
      </w:r>
      <w:r>
        <w:rPr/>
        <w:t> </w:t>
      </w:r>
      <w:r>
        <w:rPr>
          <w:rFonts w:ascii="华文细黑" w:hAnsi="华文细黑" w:cs="华文细黑" w:eastAsia="华文细黑" w:hint="default"/>
        </w:rPr>
        <w:t>A</w:t>
      </w:r>
      <w:r>
        <w:rPr/>
        <w:t>．信用风险特征组合的确定依据 本公司对单项金额不重大以及金额重大但单项测试未发生减值的应收款项，按信用风险特征的</w:t>
      </w:r>
    </w:p>
    <w:p>
      <w:pPr>
        <w:pStyle w:val="BodyText"/>
        <w:spacing w:line="324" w:lineRule="auto"/>
        <w:ind w:right="1416"/>
        <w:jc w:val="left"/>
      </w:pPr>
      <w:r>
        <w:rPr/>
        <w:t>相似性和相关性对金融资产进行分组。这些信用风险通常反映债务人按照该等资产的合同条款偿还 所有到期金额的能力，并且与被检查资产的未来现金流量测算相关。</w:t>
      </w:r>
    </w:p>
    <w:p>
      <w:pPr>
        <w:pStyle w:val="BodyText"/>
        <w:spacing w:line="240" w:lineRule="auto" w:before="63"/>
        <w:ind w:left="560" w:right="1246"/>
        <w:jc w:val="left"/>
      </w:pPr>
      <w:r>
        <w:rPr/>
        <w:t>不同组合的确定依据：</w:t>
      </w:r>
    </w:p>
    <w:p>
      <w:pPr>
        <w:spacing w:line="240" w:lineRule="auto" w:before="6"/>
        <w:rPr>
          <w:rFonts w:ascii="华文细黑" w:hAnsi="华文细黑" w:cs="华文细黑" w:eastAsia="华文细黑" w:hint="default"/>
          <w:sz w:val="5"/>
          <w:szCs w:val="5"/>
        </w:rPr>
      </w:pPr>
    </w:p>
    <w:tbl>
      <w:tblPr>
        <w:tblW w:w="0" w:type="auto"/>
        <w:jc w:val="left"/>
        <w:tblInd w:w="135" w:type="dxa"/>
        <w:tblLayout w:type="fixed"/>
        <w:tblCellMar>
          <w:top w:w="0" w:type="dxa"/>
          <w:left w:w="0" w:type="dxa"/>
          <w:bottom w:w="0" w:type="dxa"/>
          <w:right w:w="0" w:type="dxa"/>
        </w:tblCellMar>
        <w:tblLook w:val="01E0"/>
      </w:tblPr>
      <w:tblGrid>
        <w:gridCol w:w="3058"/>
        <w:gridCol w:w="6015"/>
      </w:tblGrid>
      <w:tr>
        <w:trPr>
          <w:trHeight w:val="490" w:hRule="exact"/>
        </w:trPr>
        <w:tc>
          <w:tcPr>
            <w:tcW w:w="30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8"/>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项目</w:t>
            </w:r>
          </w:p>
        </w:tc>
        <w:tc>
          <w:tcPr>
            <w:tcW w:w="601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8"/>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确定组合的依据</w:t>
            </w:r>
          </w:p>
        </w:tc>
      </w:tr>
      <w:tr>
        <w:trPr>
          <w:trHeight w:val="491" w:hRule="exact"/>
        </w:trPr>
        <w:tc>
          <w:tcPr>
            <w:tcW w:w="30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账龄组合</w:t>
            </w:r>
          </w:p>
        </w:tc>
        <w:tc>
          <w:tcPr>
            <w:tcW w:w="60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以应收款项的账龄为信用风险特征划分组合</w:t>
            </w:r>
          </w:p>
        </w:tc>
      </w:tr>
      <w:tr>
        <w:trPr>
          <w:trHeight w:val="890" w:hRule="exact"/>
        </w:trPr>
        <w:tc>
          <w:tcPr>
            <w:tcW w:w="30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款项性质组合</w:t>
            </w:r>
          </w:p>
        </w:tc>
        <w:tc>
          <w:tcPr>
            <w:tcW w:w="6015" w:type="dxa"/>
            <w:tcBorders>
              <w:top w:val="single" w:sz="4" w:space="0" w:color="FFC000"/>
              <w:left w:val="single" w:sz="4" w:space="0" w:color="FFC000"/>
              <w:bottom w:val="single" w:sz="4" w:space="0" w:color="FFC000"/>
              <w:right w:val="single" w:sz="4" w:space="0" w:color="FFC000"/>
            </w:tcBorders>
          </w:tcPr>
          <w:p>
            <w:pPr>
              <w:pStyle w:val="TableParagraph"/>
              <w:spacing w:line="379" w:lineRule="auto" w:before="143"/>
              <w:ind w:left="2912" w:right="121" w:hanging="279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以应收备用金、押金及保证金等具有类似性质款项为信用风险特征划分组 合</w:t>
            </w:r>
          </w:p>
        </w:tc>
      </w:tr>
    </w:tbl>
    <w:p>
      <w:pPr>
        <w:spacing w:line="240" w:lineRule="auto" w:before="13"/>
        <w:rPr>
          <w:rFonts w:ascii="华文细黑" w:hAnsi="华文细黑" w:cs="华文细黑" w:eastAsia="华文细黑" w:hint="default"/>
          <w:sz w:val="6"/>
          <w:szCs w:val="6"/>
        </w:rPr>
      </w:pPr>
    </w:p>
    <w:p>
      <w:pPr>
        <w:pStyle w:val="BodyText"/>
        <w:spacing w:line="355" w:lineRule="auto" w:before="10"/>
        <w:ind w:left="560" w:right="1246"/>
        <w:jc w:val="left"/>
      </w:pPr>
      <w:r>
        <w:rPr>
          <w:rFonts w:ascii="华文细黑" w:hAnsi="华文细黑" w:cs="华文细黑" w:eastAsia="华文细黑" w:hint="default"/>
        </w:rPr>
        <w:t>B</w:t>
      </w:r>
      <w:r>
        <w:rPr/>
        <w:t>．根据信用风险特征组合确定的坏账准备计提方法 </w:t>
      </w:r>
      <w:r>
        <w:rPr>
          <w:spacing w:val="-1"/>
        </w:rPr>
        <w:t>按组合方式实施减值测试时，坏账准备金额系根据应收款项组合结构及类似信用风险特征（债</w:t>
      </w:r>
    </w:p>
    <w:p>
      <w:pPr>
        <w:pStyle w:val="BodyText"/>
        <w:spacing w:line="324" w:lineRule="auto"/>
        <w:ind w:right="1416"/>
        <w:jc w:val="left"/>
      </w:pPr>
      <w:r>
        <w:rPr/>
        <w:t>务人根据合同条款偿还欠款的能力）按历史损失经验及目前经济状况与预计应收款项组合中已经存 在的损失评估确定。</w:t>
      </w:r>
    </w:p>
    <w:p>
      <w:pPr>
        <w:pStyle w:val="BodyText"/>
        <w:spacing w:line="240" w:lineRule="auto" w:before="64"/>
        <w:ind w:left="560" w:right="1246"/>
        <w:jc w:val="left"/>
      </w:pPr>
      <w:r>
        <w:rPr/>
        <w:t>不同组合计提坏账准备的计提方法：</w:t>
      </w:r>
    </w:p>
    <w:p>
      <w:pPr>
        <w:spacing w:line="240" w:lineRule="auto" w:before="6"/>
        <w:rPr>
          <w:rFonts w:ascii="华文细黑" w:hAnsi="华文细黑" w:cs="华文细黑" w:eastAsia="华文细黑" w:hint="default"/>
          <w:sz w:val="5"/>
          <w:szCs w:val="5"/>
        </w:rPr>
      </w:pPr>
    </w:p>
    <w:tbl>
      <w:tblPr>
        <w:tblW w:w="0" w:type="auto"/>
        <w:jc w:val="left"/>
        <w:tblInd w:w="135" w:type="dxa"/>
        <w:tblLayout w:type="fixed"/>
        <w:tblCellMar>
          <w:top w:w="0" w:type="dxa"/>
          <w:left w:w="0" w:type="dxa"/>
          <w:bottom w:w="0" w:type="dxa"/>
          <w:right w:w="0" w:type="dxa"/>
        </w:tblCellMar>
        <w:tblLook w:val="01E0"/>
      </w:tblPr>
      <w:tblGrid>
        <w:gridCol w:w="3058"/>
        <w:gridCol w:w="6015"/>
      </w:tblGrid>
      <w:tr>
        <w:trPr>
          <w:trHeight w:val="490" w:hRule="exact"/>
        </w:trPr>
        <w:tc>
          <w:tcPr>
            <w:tcW w:w="30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632" w:val="left" w:leader="none"/>
              </w:tabs>
              <w:spacing w:line="240" w:lineRule="auto" w:before="108"/>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项</w:t>
              <w:tab/>
              <w:t>目</w:t>
            </w:r>
          </w:p>
        </w:tc>
        <w:tc>
          <w:tcPr>
            <w:tcW w:w="601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8"/>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计提方法</w:t>
            </w:r>
          </w:p>
        </w:tc>
      </w:tr>
      <w:tr>
        <w:trPr>
          <w:trHeight w:val="490" w:hRule="exact"/>
        </w:trPr>
        <w:tc>
          <w:tcPr>
            <w:tcW w:w="30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账龄组合</w:t>
            </w:r>
          </w:p>
        </w:tc>
        <w:tc>
          <w:tcPr>
            <w:tcW w:w="60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账龄分析法</w:t>
            </w:r>
          </w:p>
        </w:tc>
      </w:tr>
      <w:tr>
        <w:trPr>
          <w:trHeight w:val="491" w:hRule="exact"/>
        </w:trPr>
        <w:tc>
          <w:tcPr>
            <w:tcW w:w="30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款项性质组合</w:t>
            </w:r>
          </w:p>
        </w:tc>
        <w:tc>
          <w:tcPr>
            <w:tcW w:w="60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不计坏账准备</w:t>
            </w:r>
          </w:p>
        </w:tc>
      </w:tr>
    </w:tbl>
    <w:p>
      <w:pPr>
        <w:spacing w:after="0" w:line="240" w:lineRule="auto"/>
        <w:jc w:val="center"/>
        <w:rPr>
          <w:rFonts w:ascii="华文细黑" w:hAnsi="华文细黑" w:cs="华文细黑" w:eastAsia="华文细黑" w:hint="default"/>
          <w:sz w:val="18"/>
          <w:szCs w:val="18"/>
        </w:rPr>
        <w:sectPr>
          <w:pgSz w:w="11910" w:h="16840"/>
          <w:pgMar w:header="917" w:footer="1019" w:top="1100" w:bottom="1200" w:left="1300" w:right="0"/>
        </w:sectPr>
      </w:pPr>
    </w:p>
    <w:p>
      <w:pPr>
        <w:spacing w:line="240" w:lineRule="auto" w:before="5"/>
        <w:rPr>
          <w:rFonts w:ascii="华文细黑" w:hAnsi="华文细黑" w:cs="华文细黑" w:eastAsia="华文细黑" w:hint="default"/>
          <w:sz w:val="29"/>
          <w:szCs w:val="29"/>
        </w:rPr>
      </w:pPr>
    </w:p>
    <w:p>
      <w:pPr>
        <w:spacing w:before="23"/>
        <w:ind w:left="682" w:right="1289" w:firstLine="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a.</w:t>
      </w:r>
      <w:r>
        <w:rPr>
          <w:rFonts w:ascii="华文细黑" w:hAnsi="华文细黑" w:cs="华文细黑" w:eastAsia="华文细黑" w:hint="default"/>
          <w:spacing w:val="44"/>
          <w:sz w:val="18"/>
          <w:szCs w:val="18"/>
        </w:rPr>
        <w:t> </w:t>
      </w:r>
      <w:r>
        <w:rPr>
          <w:rFonts w:ascii="华文细黑" w:hAnsi="华文细黑" w:cs="华文细黑" w:eastAsia="华文细黑" w:hint="default"/>
          <w:sz w:val="18"/>
          <w:szCs w:val="18"/>
        </w:rPr>
        <w:t>组合中，彩梦科技公司及其子公司采用账龄分析法计提坏账准备的组合计提方法</w:t>
      </w:r>
    </w:p>
    <w:p>
      <w:pPr>
        <w:spacing w:line="240" w:lineRule="auto" w:before="11"/>
        <w:rPr>
          <w:rFonts w:ascii="华文细黑" w:hAnsi="华文细黑" w:cs="华文细黑" w:eastAsia="华文细黑" w:hint="default"/>
          <w:sz w:val="5"/>
          <w:szCs w:val="5"/>
        </w:rPr>
      </w:pPr>
    </w:p>
    <w:tbl>
      <w:tblPr>
        <w:tblW w:w="0" w:type="auto"/>
        <w:jc w:val="left"/>
        <w:tblInd w:w="192" w:type="dxa"/>
        <w:tblLayout w:type="fixed"/>
        <w:tblCellMar>
          <w:top w:w="0" w:type="dxa"/>
          <w:left w:w="0" w:type="dxa"/>
          <w:bottom w:w="0" w:type="dxa"/>
          <w:right w:w="0" w:type="dxa"/>
        </w:tblCellMar>
        <w:tblLook w:val="01E0"/>
      </w:tblPr>
      <w:tblGrid>
        <w:gridCol w:w="3183"/>
        <w:gridCol w:w="3044"/>
        <w:gridCol w:w="2816"/>
      </w:tblGrid>
      <w:tr>
        <w:trPr>
          <w:trHeight w:val="490" w:hRule="exact"/>
        </w:trPr>
        <w:tc>
          <w:tcPr>
            <w:tcW w:w="318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账</w:t>
              <w:tab/>
              <w:t>龄</w:t>
            </w:r>
          </w:p>
        </w:tc>
        <w:tc>
          <w:tcPr>
            <w:tcW w:w="30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应收账款计提比例（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28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其他应收款计提比例（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r>
      <w:tr>
        <w:trPr>
          <w:trHeight w:val="490" w:hRule="exact"/>
        </w:trPr>
        <w:tc>
          <w:tcPr>
            <w:tcW w:w="318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 </w:t>
            </w:r>
            <w:r>
              <w:rPr>
                <w:rFonts w:ascii="华文细黑" w:hAnsi="华文细黑" w:cs="华文细黑" w:eastAsia="华文细黑" w:hint="default"/>
                <w:sz w:val="18"/>
                <w:szCs w:val="18"/>
              </w:rPr>
              <w:t>年以内（含 </w:t>
            </w:r>
            <w:r>
              <w:rPr>
                <w:rFonts w:ascii="华文细黑" w:hAnsi="华文细黑" w:cs="华文细黑" w:eastAsia="华文细黑" w:hint="default"/>
                <w:sz w:val="18"/>
                <w:szCs w:val="18"/>
              </w:rPr>
              <w:t>1</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年，下同）</w:t>
            </w:r>
          </w:p>
        </w:tc>
        <w:tc>
          <w:tcPr>
            <w:tcW w:w="304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sz w:val="18"/>
              </w:rPr>
              <w:t>5</w:t>
            </w:r>
          </w:p>
        </w:tc>
        <w:tc>
          <w:tcPr>
            <w:tcW w:w="28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5</w:t>
            </w:r>
          </w:p>
        </w:tc>
      </w:tr>
      <w:tr>
        <w:trPr>
          <w:trHeight w:val="491" w:hRule="exact"/>
        </w:trPr>
        <w:tc>
          <w:tcPr>
            <w:tcW w:w="318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1-2</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年</w:t>
            </w:r>
          </w:p>
        </w:tc>
        <w:tc>
          <w:tcPr>
            <w:tcW w:w="304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sz w:val="18"/>
              </w:rPr>
              <w:t>10</w:t>
            </w:r>
          </w:p>
        </w:tc>
        <w:tc>
          <w:tcPr>
            <w:tcW w:w="28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sz w:val="18"/>
              </w:rPr>
              <w:t>10</w:t>
            </w:r>
          </w:p>
        </w:tc>
      </w:tr>
      <w:tr>
        <w:trPr>
          <w:trHeight w:val="490" w:hRule="exact"/>
        </w:trPr>
        <w:tc>
          <w:tcPr>
            <w:tcW w:w="318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2-3</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年</w:t>
            </w:r>
          </w:p>
        </w:tc>
        <w:tc>
          <w:tcPr>
            <w:tcW w:w="304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20</w:t>
            </w:r>
          </w:p>
        </w:tc>
        <w:tc>
          <w:tcPr>
            <w:tcW w:w="28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30</w:t>
            </w:r>
          </w:p>
        </w:tc>
      </w:tr>
      <w:tr>
        <w:trPr>
          <w:trHeight w:val="490" w:hRule="exact"/>
        </w:trPr>
        <w:tc>
          <w:tcPr>
            <w:tcW w:w="318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3-4</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年</w:t>
            </w:r>
          </w:p>
        </w:tc>
        <w:tc>
          <w:tcPr>
            <w:tcW w:w="304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100</w:t>
            </w:r>
          </w:p>
        </w:tc>
        <w:tc>
          <w:tcPr>
            <w:tcW w:w="28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50</w:t>
            </w:r>
          </w:p>
        </w:tc>
      </w:tr>
      <w:tr>
        <w:trPr>
          <w:trHeight w:val="491" w:hRule="exact"/>
        </w:trPr>
        <w:tc>
          <w:tcPr>
            <w:tcW w:w="318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4-5</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年</w:t>
            </w:r>
          </w:p>
        </w:tc>
        <w:tc>
          <w:tcPr>
            <w:tcW w:w="304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sz w:val="18"/>
              </w:rPr>
              <w:t>100</w:t>
            </w:r>
          </w:p>
        </w:tc>
        <w:tc>
          <w:tcPr>
            <w:tcW w:w="28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sz w:val="18"/>
              </w:rPr>
              <w:t>80</w:t>
            </w:r>
          </w:p>
        </w:tc>
      </w:tr>
      <w:tr>
        <w:trPr>
          <w:trHeight w:val="490" w:hRule="exact"/>
        </w:trPr>
        <w:tc>
          <w:tcPr>
            <w:tcW w:w="318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5</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年以上</w:t>
            </w:r>
          </w:p>
        </w:tc>
        <w:tc>
          <w:tcPr>
            <w:tcW w:w="304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100</w:t>
            </w:r>
          </w:p>
        </w:tc>
        <w:tc>
          <w:tcPr>
            <w:tcW w:w="28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100</w:t>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20" w:right="1289"/>
        <w:jc w:val="left"/>
      </w:pPr>
      <w:r>
        <w:rPr>
          <w:rFonts w:ascii="华文细黑" w:hAnsi="华文细黑" w:cs="华文细黑" w:eastAsia="华文细黑" w:hint="default"/>
        </w:rPr>
        <w:t>b.</w:t>
      </w:r>
      <w:r>
        <w:rPr>
          <w:rFonts w:ascii="华文细黑" w:hAnsi="华文细黑" w:cs="华文细黑" w:eastAsia="华文细黑" w:hint="default"/>
          <w:spacing w:val="51"/>
        </w:rPr>
        <w:t> </w:t>
      </w:r>
      <w:r>
        <w:rPr/>
        <w:t>组合中，除上述公司之外，本公司采用账龄分析法计提坏账准备的组合计提方法</w:t>
      </w:r>
    </w:p>
    <w:p>
      <w:pPr>
        <w:spacing w:line="240" w:lineRule="auto" w:before="5"/>
        <w:rPr>
          <w:rFonts w:ascii="华文细黑" w:hAnsi="华文细黑" w:cs="华文细黑" w:eastAsia="华文细黑" w:hint="default"/>
          <w:sz w:val="5"/>
          <w:szCs w:val="5"/>
        </w:rPr>
      </w:pPr>
    </w:p>
    <w:tbl>
      <w:tblPr>
        <w:tblW w:w="0" w:type="auto"/>
        <w:jc w:val="left"/>
        <w:tblInd w:w="113" w:type="dxa"/>
        <w:tblLayout w:type="fixed"/>
        <w:tblCellMar>
          <w:top w:w="0" w:type="dxa"/>
          <w:left w:w="0" w:type="dxa"/>
          <w:bottom w:w="0" w:type="dxa"/>
          <w:right w:w="0" w:type="dxa"/>
        </w:tblCellMar>
        <w:tblLook w:val="01E0"/>
      </w:tblPr>
      <w:tblGrid>
        <w:gridCol w:w="3249"/>
        <w:gridCol w:w="3083"/>
        <w:gridCol w:w="2872"/>
      </w:tblGrid>
      <w:tr>
        <w:trPr>
          <w:trHeight w:val="490" w:hRule="exact"/>
        </w:trPr>
        <w:tc>
          <w:tcPr>
            <w:tcW w:w="324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9"/>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组合名称</w:t>
            </w:r>
          </w:p>
        </w:tc>
        <w:tc>
          <w:tcPr>
            <w:tcW w:w="308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9"/>
              <w:ind w:left="12"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应收账款计提比例（</w:t>
            </w:r>
            <w:r>
              <w:rPr>
                <w:rFonts w:ascii="华文细黑" w:hAnsi="华文细黑" w:cs="华文细黑" w:eastAsia="华文细黑" w:hint="default"/>
                <w:sz w:val="21"/>
                <w:szCs w:val="21"/>
              </w:rPr>
              <w:t>%</w:t>
            </w:r>
            <w:r>
              <w:rPr>
                <w:rFonts w:ascii="华文细黑" w:hAnsi="华文细黑" w:cs="华文细黑" w:eastAsia="华文细黑" w:hint="default"/>
                <w:sz w:val="21"/>
                <w:szCs w:val="21"/>
              </w:rPr>
              <w:t>）</w:t>
            </w:r>
          </w:p>
        </w:tc>
        <w:tc>
          <w:tcPr>
            <w:tcW w:w="287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9"/>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其他应收款计提比例（</w:t>
            </w:r>
            <w:r>
              <w:rPr>
                <w:rFonts w:ascii="华文细黑" w:hAnsi="华文细黑" w:cs="华文细黑" w:eastAsia="华文细黑" w:hint="default"/>
                <w:sz w:val="21"/>
                <w:szCs w:val="21"/>
              </w:rPr>
              <w:t>%</w:t>
            </w:r>
            <w:r>
              <w:rPr>
                <w:rFonts w:ascii="华文细黑" w:hAnsi="华文细黑" w:cs="华文细黑" w:eastAsia="华文细黑" w:hint="default"/>
                <w:sz w:val="21"/>
                <w:szCs w:val="21"/>
              </w:rPr>
              <w:t>）</w:t>
            </w:r>
          </w:p>
        </w:tc>
      </w:tr>
      <w:tr>
        <w:trPr>
          <w:trHeight w:val="490" w:hRule="exact"/>
        </w:trPr>
        <w:tc>
          <w:tcPr>
            <w:tcW w:w="324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 </w:t>
            </w:r>
            <w:r>
              <w:rPr>
                <w:rFonts w:ascii="华文细黑" w:hAnsi="华文细黑" w:cs="华文细黑" w:eastAsia="华文细黑" w:hint="default"/>
                <w:sz w:val="18"/>
                <w:szCs w:val="18"/>
              </w:rPr>
              <w:t>年以内（含 </w:t>
            </w:r>
            <w:r>
              <w:rPr>
                <w:rFonts w:ascii="华文细黑" w:hAnsi="华文细黑" w:cs="华文细黑" w:eastAsia="华文细黑" w:hint="default"/>
                <w:sz w:val="18"/>
                <w:szCs w:val="18"/>
              </w:rPr>
              <w:t>1</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年，下同）</w:t>
            </w:r>
          </w:p>
        </w:tc>
        <w:tc>
          <w:tcPr>
            <w:tcW w:w="308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0-30</w:t>
            </w:r>
          </w:p>
        </w:tc>
        <w:tc>
          <w:tcPr>
            <w:tcW w:w="287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5</w:t>
            </w:r>
          </w:p>
        </w:tc>
      </w:tr>
      <w:tr>
        <w:trPr>
          <w:trHeight w:val="490" w:hRule="exact"/>
        </w:trPr>
        <w:tc>
          <w:tcPr>
            <w:tcW w:w="324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w:t>
            </w:r>
            <w:r>
              <w:rPr>
                <w:rFonts w:ascii="华文细黑" w:hAnsi="华文细黑" w:cs="华文细黑" w:eastAsia="华文细黑" w:hint="default"/>
                <w:sz w:val="18"/>
                <w:szCs w:val="18"/>
              </w:rPr>
              <w:t>3 </w:t>
            </w:r>
            <w:r>
              <w:rPr>
                <w:rFonts w:ascii="华文细黑" w:hAnsi="华文细黑" w:cs="华文细黑" w:eastAsia="华文细黑" w:hint="default"/>
                <w:sz w:val="18"/>
                <w:szCs w:val="18"/>
              </w:rPr>
              <w:t>个月以内</w:t>
            </w:r>
          </w:p>
        </w:tc>
        <w:tc>
          <w:tcPr>
            <w:tcW w:w="308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 w:right="0"/>
              <w:jc w:val="center"/>
              <w:rPr>
                <w:rFonts w:ascii="华文细黑" w:hAnsi="华文细黑" w:cs="华文细黑" w:eastAsia="华文细黑" w:hint="default"/>
                <w:sz w:val="18"/>
                <w:szCs w:val="18"/>
              </w:rPr>
            </w:pPr>
            <w:r>
              <w:rPr>
                <w:rFonts w:ascii="华文细黑"/>
                <w:sz w:val="18"/>
              </w:rPr>
              <w:t>---</w:t>
            </w:r>
          </w:p>
        </w:tc>
        <w:tc>
          <w:tcPr>
            <w:tcW w:w="287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5</w:t>
            </w:r>
          </w:p>
        </w:tc>
      </w:tr>
      <w:tr>
        <w:trPr>
          <w:trHeight w:val="491" w:hRule="exact"/>
        </w:trPr>
        <w:tc>
          <w:tcPr>
            <w:tcW w:w="324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55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3-6</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个月</w:t>
            </w:r>
          </w:p>
        </w:tc>
        <w:tc>
          <w:tcPr>
            <w:tcW w:w="308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1" w:right="0"/>
              <w:jc w:val="center"/>
              <w:rPr>
                <w:rFonts w:ascii="华文细黑" w:hAnsi="华文细黑" w:cs="华文细黑" w:eastAsia="华文细黑" w:hint="default"/>
                <w:sz w:val="18"/>
                <w:szCs w:val="18"/>
              </w:rPr>
            </w:pPr>
            <w:r>
              <w:rPr>
                <w:rFonts w:ascii="华文细黑"/>
                <w:sz w:val="18"/>
              </w:rPr>
              <w:t>10</w:t>
            </w:r>
          </w:p>
        </w:tc>
        <w:tc>
          <w:tcPr>
            <w:tcW w:w="287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sz w:val="18"/>
              </w:rPr>
              <w:t>5</w:t>
            </w:r>
          </w:p>
        </w:tc>
      </w:tr>
      <w:tr>
        <w:trPr>
          <w:trHeight w:val="490" w:hRule="exact"/>
        </w:trPr>
        <w:tc>
          <w:tcPr>
            <w:tcW w:w="324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5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6-12</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个月</w:t>
            </w:r>
          </w:p>
        </w:tc>
        <w:tc>
          <w:tcPr>
            <w:tcW w:w="308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 w:right="0"/>
              <w:jc w:val="center"/>
              <w:rPr>
                <w:rFonts w:ascii="华文细黑" w:hAnsi="华文细黑" w:cs="华文细黑" w:eastAsia="华文细黑" w:hint="default"/>
                <w:sz w:val="18"/>
                <w:szCs w:val="18"/>
              </w:rPr>
            </w:pPr>
            <w:r>
              <w:rPr>
                <w:rFonts w:ascii="华文细黑"/>
                <w:sz w:val="18"/>
              </w:rPr>
              <w:t>30</w:t>
            </w:r>
          </w:p>
        </w:tc>
        <w:tc>
          <w:tcPr>
            <w:tcW w:w="287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5</w:t>
            </w:r>
          </w:p>
        </w:tc>
      </w:tr>
      <w:tr>
        <w:trPr>
          <w:trHeight w:val="490" w:hRule="exact"/>
        </w:trPr>
        <w:tc>
          <w:tcPr>
            <w:tcW w:w="324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1-2</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年</w:t>
            </w:r>
          </w:p>
        </w:tc>
        <w:tc>
          <w:tcPr>
            <w:tcW w:w="308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1" w:right="0"/>
              <w:jc w:val="center"/>
              <w:rPr>
                <w:rFonts w:ascii="华文细黑" w:hAnsi="华文细黑" w:cs="华文细黑" w:eastAsia="华文细黑" w:hint="default"/>
                <w:sz w:val="18"/>
                <w:szCs w:val="18"/>
              </w:rPr>
            </w:pPr>
            <w:r>
              <w:rPr>
                <w:rFonts w:ascii="华文细黑"/>
                <w:sz w:val="18"/>
              </w:rPr>
              <w:t>70</w:t>
            </w:r>
          </w:p>
        </w:tc>
        <w:tc>
          <w:tcPr>
            <w:tcW w:w="287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sz w:val="18"/>
              </w:rPr>
              <w:t>10</w:t>
            </w:r>
          </w:p>
        </w:tc>
      </w:tr>
      <w:tr>
        <w:trPr>
          <w:trHeight w:val="491" w:hRule="exact"/>
        </w:trPr>
        <w:tc>
          <w:tcPr>
            <w:tcW w:w="324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2-3</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年</w:t>
            </w:r>
          </w:p>
        </w:tc>
        <w:tc>
          <w:tcPr>
            <w:tcW w:w="308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sz w:val="18"/>
              </w:rPr>
              <w:t>100</w:t>
            </w:r>
          </w:p>
        </w:tc>
        <w:tc>
          <w:tcPr>
            <w:tcW w:w="287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sz w:val="18"/>
              </w:rPr>
              <w:t>30</w:t>
            </w:r>
          </w:p>
        </w:tc>
      </w:tr>
      <w:tr>
        <w:trPr>
          <w:trHeight w:val="490" w:hRule="exact"/>
        </w:trPr>
        <w:tc>
          <w:tcPr>
            <w:tcW w:w="324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3-4</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年</w:t>
            </w:r>
          </w:p>
        </w:tc>
        <w:tc>
          <w:tcPr>
            <w:tcW w:w="308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100</w:t>
            </w:r>
          </w:p>
        </w:tc>
        <w:tc>
          <w:tcPr>
            <w:tcW w:w="287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50</w:t>
            </w:r>
          </w:p>
        </w:tc>
      </w:tr>
      <w:tr>
        <w:trPr>
          <w:trHeight w:val="490" w:hRule="exact"/>
        </w:trPr>
        <w:tc>
          <w:tcPr>
            <w:tcW w:w="324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4-5</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年</w:t>
            </w:r>
          </w:p>
        </w:tc>
        <w:tc>
          <w:tcPr>
            <w:tcW w:w="308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100</w:t>
            </w:r>
          </w:p>
        </w:tc>
        <w:tc>
          <w:tcPr>
            <w:tcW w:w="287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80</w:t>
            </w:r>
          </w:p>
        </w:tc>
      </w:tr>
      <w:tr>
        <w:trPr>
          <w:trHeight w:val="491" w:hRule="exact"/>
        </w:trPr>
        <w:tc>
          <w:tcPr>
            <w:tcW w:w="324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5</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年以上</w:t>
            </w:r>
          </w:p>
        </w:tc>
        <w:tc>
          <w:tcPr>
            <w:tcW w:w="308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sz w:val="18"/>
              </w:rPr>
              <w:t>100</w:t>
            </w:r>
          </w:p>
        </w:tc>
        <w:tc>
          <w:tcPr>
            <w:tcW w:w="287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sz w:val="18"/>
              </w:rPr>
              <w:t>100</w:t>
            </w:r>
          </w:p>
        </w:tc>
      </w:tr>
    </w:tbl>
    <w:p>
      <w:pPr>
        <w:spacing w:line="240" w:lineRule="auto" w:before="13"/>
        <w:rPr>
          <w:rFonts w:ascii="华文细黑" w:hAnsi="华文细黑" w:cs="华文细黑" w:eastAsia="华文细黑" w:hint="default"/>
          <w:sz w:val="6"/>
          <w:szCs w:val="6"/>
        </w:rPr>
      </w:pPr>
    </w:p>
    <w:p>
      <w:pPr>
        <w:pStyle w:val="BodyText"/>
        <w:spacing w:line="355" w:lineRule="auto" w:before="10"/>
        <w:ind w:left="620" w:right="1289"/>
        <w:jc w:val="left"/>
      </w:pPr>
      <w:r>
        <w:rPr/>
        <w:t>③</w:t>
      </w:r>
      <w:r>
        <w:rPr>
          <w:spacing w:val="52"/>
        </w:rPr>
        <w:t> </w:t>
      </w:r>
      <w:r>
        <w:rPr/>
        <w:t>单项金额虽不重大但单项计提坏账准备的应收款项</w:t>
      </w:r>
      <w:r>
        <w:rPr/>
        <w:t> </w:t>
      </w:r>
      <w:r>
        <w:rPr>
          <w:spacing w:val="-1"/>
        </w:rPr>
        <w:t>本公司对于单项金额虽不重大但具备以下特征的应收款项，单独进行减值测试，有客观证据表</w:t>
      </w:r>
    </w:p>
    <w:p>
      <w:pPr>
        <w:pStyle w:val="BodyText"/>
        <w:spacing w:line="324" w:lineRule="auto"/>
        <w:ind w:left="200" w:right="1289"/>
        <w:jc w:val="left"/>
      </w:pPr>
      <w:r>
        <w:rPr>
          <w:spacing w:val="-1"/>
        </w:rPr>
        <w:t>明其发生了减值的，根据其未来现金流量现值低于其账面价值的差额，确认减值损失，计提坏账准</w:t>
      </w:r>
      <w:r>
        <w:rPr>
          <w:spacing w:val="-16"/>
        </w:rPr>
        <w:t> </w:t>
      </w:r>
      <w:r>
        <w:rPr>
          <w:spacing w:val="-16"/>
        </w:rPr>
      </w:r>
      <w:r>
        <w:rPr/>
        <w:t>备</w:t>
      </w:r>
    </w:p>
    <w:p>
      <w:pPr>
        <w:pStyle w:val="BodyText"/>
        <w:spacing w:line="357" w:lineRule="auto" w:before="63"/>
        <w:ind w:left="620" w:right="3815"/>
        <w:jc w:val="left"/>
      </w:pPr>
      <w:r>
        <w:rPr>
          <w:rFonts w:ascii="华文细黑" w:hAnsi="华文细黑" w:cs="华文细黑" w:eastAsia="华文细黑" w:hint="default"/>
        </w:rPr>
        <w:t>A</w:t>
      </w:r>
      <w:r>
        <w:rPr/>
        <w:t>．与对方存在争议或涉及诉讼、仲裁的应收款项； </w:t>
      </w:r>
      <w:r>
        <w:rPr>
          <w:rFonts w:ascii="华文细黑" w:hAnsi="华文细黑" w:cs="华文细黑" w:eastAsia="华文细黑" w:hint="default"/>
        </w:rPr>
        <w:t>B</w:t>
      </w:r>
      <w:r>
        <w:rPr/>
        <w:t>．已有明显迹象表明债务人很可能无法履行还款义务的应收款项。</w:t>
      </w:r>
    </w:p>
    <w:p>
      <w:pPr>
        <w:pStyle w:val="BodyText"/>
        <w:spacing w:line="240" w:lineRule="auto" w:before="33"/>
        <w:ind w:left="620" w:right="1289"/>
        <w:jc w:val="left"/>
      </w:pPr>
      <w:r>
        <w:rPr/>
        <w:t>（</w:t>
      </w:r>
      <w:r>
        <w:rPr>
          <w:rFonts w:ascii="华文细黑" w:hAnsi="华文细黑" w:cs="华文细黑" w:eastAsia="华文细黑" w:hint="default"/>
        </w:rPr>
        <w:t>4</w:t>
      </w:r>
      <w:r>
        <w:rPr/>
        <w:t>）坏账准备的转回</w:t>
      </w:r>
    </w:p>
    <w:p>
      <w:pPr>
        <w:pStyle w:val="BodyText"/>
        <w:spacing w:line="319" w:lineRule="auto" w:before="153"/>
        <w:ind w:left="200" w:right="1436" w:firstLine="436"/>
        <w:jc w:val="both"/>
      </w:pPr>
      <w:r>
        <w:rPr>
          <w:spacing w:val="9"/>
          <w:position w:val="1"/>
        </w:rPr>
        <w:t>如有客观证据表明该应收款项</w:t>
      </w:r>
      <w:r>
        <w:rPr>
          <w:spacing w:val="9"/>
        </w:rPr>
        <w:t>价值已恢复，且客观上与确认该损失后发生的事项有关，原</w:t>
      </w:r>
      <w:r>
        <w:rPr/>
        <w:t> </w:t>
      </w:r>
      <w:r>
        <w:rPr>
          <w:spacing w:val="4"/>
        </w:rPr>
        <w:t>确认的减值损失予以转回，计入当期损益。但是，该转回后的账面价值不超过假定不计提减值准</w:t>
      </w:r>
      <w:r>
        <w:rPr>
          <w:spacing w:val="-29"/>
        </w:rPr>
        <w:t> </w:t>
      </w:r>
      <w:r>
        <w:rPr>
          <w:spacing w:val="-29"/>
        </w:rPr>
      </w:r>
      <w:r>
        <w:rPr/>
        <w:t>备情况下该</w:t>
      </w:r>
      <w:r>
        <w:rPr>
          <w:position w:val="1"/>
        </w:rPr>
        <w:t>应收款项</w:t>
      </w:r>
      <w:r>
        <w:rPr/>
        <w:t>在转回日的摊余成本。</w:t>
      </w:r>
    </w:p>
    <w:p>
      <w:pPr>
        <w:pStyle w:val="BodyText"/>
        <w:spacing w:line="240" w:lineRule="auto" w:before="45"/>
        <w:ind w:left="620" w:right="1289"/>
        <w:jc w:val="left"/>
      </w:pPr>
      <w:r>
        <w:rPr/>
        <w:t>本公司向金融机构以不附追索权方式转让应收款项的，按交易款项扣除已转销应收账款的账面</w:t>
      </w:r>
    </w:p>
    <w:p>
      <w:pPr>
        <w:spacing w:after="0" w:line="240" w:lineRule="auto"/>
        <w:jc w:val="left"/>
        <w:sectPr>
          <w:pgSz w:w="11910" w:h="16840"/>
          <w:pgMar w:header="917" w:footer="1019" w:top="1100" w:bottom="1200" w:left="1240" w:right="0"/>
        </w:sectPr>
      </w:pPr>
    </w:p>
    <w:p>
      <w:pPr>
        <w:spacing w:line="240" w:lineRule="auto" w:before="9"/>
        <w:rPr>
          <w:rFonts w:ascii="华文细黑" w:hAnsi="华文细黑" w:cs="华文细黑" w:eastAsia="华文细黑" w:hint="default"/>
          <w:sz w:val="27"/>
          <w:szCs w:val="27"/>
        </w:rPr>
      </w:pPr>
    </w:p>
    <w:p>
      <w:pPr>
        <w:spacing w:line="357" w:lineRule="auto" w:before="10"/>
        <w:ind w:left="560" w:right="6667" w:hanging="421"/>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价值和相关税费后的差额计入当期损益。 </w:t>
      </w:r>
      <w:bookmarkStart w:name="11、存货" w:id="236"/>
      <w:bookmarkEnd w:id="236"/>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11</w:t>
      </w:r>
      <w:r>
        <w:rPr>
          <w:rFonts w:ascii="华文细黑" w:hAnsi="华文细黑" w:cs="华文细黑" w:eastAsia="华文细黑" w:hint="default"/>
          <w:b/>
          <w:bCs/>
          <w:sz w:val="21"/>
          <w:szCs w:val="21"/>
        </w:rPr>
        <w:t>、存货</w:t>
      </w:r>
      <w:r>
        <w:rPr>
          <w:rFonts w:ascii="华文细黑" w:hAnsi="华文细黑" w:cs="华文细黑" w:eastAsia="华文细黑" w:hint="default"/>
          <w:sz w:val="21"/>
          <w:szCs w:val="21"/>
        </w:rPr>
      </w:r>
    </w:p>
    <w:p>
      <w:pPr>
        <w:pStyle w:val="BodyText"/>
        <w:spacing w:line="357" w:lineRule="auto" w:before="31"/>
        <w:ind w:left="678" w:right="4028" w:hanging="118"/>
        <w:jc w:val="left"/>
      </w:pPr>
      <w:r>
        <w:rPr/>
        <w:t>（</w:t>
      </w:r>
      <w:r>
        <w:rPr>
          <w:rFonts w:ascii="华文细黑" w:hAnsi="华文细黑" w:cs="华文细黑" w:eastAsia="华文细黑" w:hint="default"/>
        </w:rPr>
        <w:t>1</w:t>
      </w:r>
      <w:r>
        <w:rPr/>
        <w:t>）存货的分类 存货主要包括原材料、库存商品、在途商品、委托代销商品等。</w:t>
      </w:r>
    </w:p>
    <w:p>
      <w:pPr>
        <w:pStyle w:val="BodyText"/>
        <w:spacing w:line="355" w:lineRule="auto" w:before="33"/>
        <w:ind w:left="560" w:right="1416"/>
        <w:jc w:val="left"/>
      </w:pPr>
      <w:r>
        <w:rPr/>
        <w:t>（</w:t>
      </w:r>
      <w:r>
        <w:rPr>
          <w:rFonts w:ascii="华文细黑" w:hAnsi="华文细黑" w:cs="华文细黑" w:eastAsia="华文细黑" w:hint="default"/>
        </w:rPr>
        <w:t>2</w:t>
      </w:r>
      <w:r>
        <w:rPr/>
        <w:t>）存货取得和发出的计价方法 存货在取得时按实际成本计价，存货成本包括采购成本、加工成本和其他成本。除煤等商品在</w:t>
      </w:r>
    </w:p>
    <w:p>
      <w:pPr>
        <w:pStyle w:val="BodyText"/>
        <w:spacing w:line="292" w:lineRule="exact"/>
        <w:ind w:right="1246"/>
        <w:jc w:val="left"/>
      </w:pPr>
      <w:r>
        <w:rPr/>
        <w:t>领用和发出时按个别认定法计价外，其他存货在领用和发出时按先进先出法计价。</w:t>
      </w:r>
    </w:p>
    <w:p>
      <w:pPr>
        <w:pStyle w:val="BodyText"/>
        <w:spacing w:line="355" w:lineRule="auto" w:before="144"/>
        <w:ind w:left="560" w:right="1246"/>
        <w:jc w:val="left"/>
      </w:pPr>
      <w:r>
        <w:rPr/>
        <w:t>（</w:t>
      </w:r>
      <w:r>
        <w:rPr>
          <w:rFonts w:ascii="华文细黑" w:hAnsi="华文细黑" w:cs="华文细黑" w:eastAsia="华文细黑" w:hint="default"/>
        </w:rPr>
        <w:t>3</w:t>
      </w:r>
      <w:r>
        <w:rPr/>
        <w:t>）存货可变现净值的确认和跌价准备的计提方法 </w:t>
      </w:r>
      <w:r>
        <w:rPr>
          <w:spacing w:val="-1"/>
        </w:rPr>
        <w:t>可变现净值是指在日常活动中，存货的估计售价减去至完工时估计将要发生的成本、估计的销</w:t>
      </w:r>
    </w:p>
    <w:p>
      <w:pPr>
        <w:pStyle w:val="BodyText"/>
        <w:spacing w:line="324" w:lineRule="auto"/>
        <w:ind w:right="1246"/>
        <w:jc w:val="left"/>
      </w:pPr>
      <w:r>
        <w:rPr>
          <w:spacing w:val="-1"/>
        </w:rPr>
        <w:t>售费用以及相关税费后的金额。在确定存货的可变现净值时，以取得的确凿证据为基础，同时考虑</w:t>
      </w:r>
      <w:r>
        <w:rPr>
          <w:spacing w:val="-16"/>
        </w:rPr>
        <w:t> </w:t>
      </w:r>
      <w:r>
        <w:rPr>
          <w:spacing w:val="-16"/>
        </w:rPr>
      </w:r>
      <w:r>
        <w:rPr/>
        <w:t>持有存货的目的以及资产负债表日后事项的影响。</w:t>
      </w:r>
    </w:p>
    <w:p>
      <w:pPr>
        <w:pStyle w:val="BodyText"/>
        <w:spacing w:line="324" w:lineRule="auto" w:before="63"/>
        <w:ind w:right="1246" w:firstLine="420"/>
        <w:jc w:val="left"/>
      </w:pPr>
      <w:r>
        <w:rPr/>
        <w:t>在资产负债表日，存货按照成本与可变现净值孰低计量。当其可变现净值低于成本时，提取存 货跌价准备。存货跌价准备按单个存货项目的成本高于其可变现净值的差额提取。</w:t>
      </w:r>
    </w:p>
    <w:p>
      <w:pPr>
        <w:pStyle w:val="BodyText"/>
        <w:spacing w:line="324" w:lineRule="auto" w:before="63"/>
        <w:ind w:right="1246" w:firstLine="420"/>
        <w:jc w:val="left"/>
      </w:pPr>
      <w:r>
        <w:rPr>
          <w:spacing w:val="-1"/>
        </w:rPr>
        <w:t>计提存货跌价准备后，如果以前减记存货价值的影响因素已经消失，导致存货的可变现净值高</w:t>
      </w:r>
      <w:r>
        <w:rPr/>
        <w:t> 于其账面价值的，在原已计提的存货跌价准备金额内予以转回，转回的金额计入当期损益。</w:t>
      </w:r>
    </w:p>
    <w:p>
      <w:pPr>
        <w:pStyle w:val="BodyText"/>
        <w:spacing w:line="240" w:lineRule="auto" w:before="63"/>
        <w:ind w:left="560" w:right="1246"/>
        <w:jc w:val="left"/>
      </w:pPr>
      <w:r>
        <w:rPr/>
        <w:t>（</w:t>
      </w:r>
      <w:r>
        <w:rPr>
          <w:rFonts w:ascii="华文细黑" w:hAnsi="华文细黑" w:cs="华文细黑" w:eastAsia="华文细黑" w:hint="default"/>
        </w:rPr>
        <w:t>4</w:t>
      </w:r>
      <w:r>
        <w:rPr/>
        <w:t>）存货的盘存制度为永续盘存制。</w:t>
      </w:r>
    </w:p>
    <w:p>
      <w:pPr>
        <w:pStyle w:val="BodyText"/>
        <w:spacing w:line="355" w:lineRule="auto" w:before="145"/>
        <w:ind w:left="560" w:right="2886"/>
        <w:jc w:val="left"/>
        <w:rPr>
          <w:rFonts w:ascii="华文细黑" w:hAnsi="华文细黑" w:cs="华文细黑" w:eastAsia="华文细黑" w:hint="default"/>
        </w:rPr>
      </w:pPr>
      <w:r>
        <w:rPr/>
        <w:t>（</w:t>
      </w:r>
      <w:r>
        <w:rPr>
          <w:rFonts w:ascii="华文细黑" w:hAnsi="华文细黑" w:cs="华文细黑" w:eastAsia="华文细黑" w:hint="default"/>
        </w:rPr>
        <w:t>5</w:t>
      </w:r>
      <w:r>
        <w:rPr/>
        <w:t>）低值易耗品和包装物的摊销方法 低值易耗品于领用时按一次摊销法摊销；包装物于领用时按一次摊销法摊销。 </w:t>
      </w:r>
      <w:bookmarkStart w:name="12、发放贷款及垫款" w:id="237"/>
      <w:bookmarkEnd w:id="237"/>
      <w:r>
        <w:rPr/>
      </w:r>
      <w:r>
        <w:rPr>
          <w:rFonts w:ascii="华文细黑" w:hAnsi="华文细黑" w:cs="华文细黑" w:eastAsia="华文细黑" w:hint="default"/>
          <w:b/>
          <w:bCs/>
        </w:rPr>
        <w:t>12</w:t>
      </w:r>
      <w:r>
        <w:rPr>
          <w:rFonts w:ascii="华文细黑" w:hAnsi="华文细黑" w:cs="华文细黑" w:eastAsia="华文细黑" w:hint="default"/>
          <w:b/>
          <w:bCs/>
        </w:rPr>
        <w:t>、发放贷款及垫款</w:t>
      </w:r>
      <w:r>
        <w:rPr>
          <w:rFonts w:ascii="华文细黑" w:hAnsi="华文细黑" w:cs="华文细黑" w:eastAsia="华文细黑" w:hint="default"/>
        </w:rPr>
      </w:r>
    </w:p>
    <w:p>
      <w:pPr>
        <w:pStyle w:val="BodyText"/>
        <w:spacing w:line="240" w:lineRule="auto" w:before="34"/>
        <w:ind w:left="560" w:right="1246"/>
        <w:jc w:val="left"/>
      </w:pPr>
      <w:r>
        <w:rPr/>
        <w:t>（</w:t>
      </w:r>
      <w:r>
        <w:rPr>
          <w:rFonts w:ascii="华文细黑" w:hAnsi="华文细黑" w:cs="华文细黑" w:eastAsia="华文细黑" w:hint="default"/>
        </w:rPr>
        <w:t>1</w:t>
      </w:r>
      <w:r>
        <w:rPr/>
        <w:t>）短期及中长期贷款的分类依据</w:t>
      </w:r>
    </w:p>
    <w:p>
      <w:pPr>
        <w:pStyle w:val="BodyText"/>
        <w:spacing w:line="240" w:lineRule="auto" w:before="144"/>
        <w:ind w:left="560" w:right="1246"/>
        <w:jc w:val="left"/>
      </w:pPr>
      <w:r>
        <w:rPr/>
        <w:t>按贷款的发放期限确定。凡合同期限在 </w:t>
      </w:r>
      <w:r>
        <w:rPr>
          <w:rFonts w:ascii="华文细黑" w:hAnsi="华文细黑" w:cs="华文细黑" w:eastAsia="华文细黑" w:hint="default"/>
        </w:rPr>
        <w:t>1 </w:t>
      </w:r>
      <w:r>
        <w:rPr/>
        <w:t>年以内（含 </w:t>
      </w:r>
      <w:r>
        <w:rPr>
          <w:rFonts w:ascii="华文细黑" w:hAnsi="华文细黑" w:cs="华文细黑" w:eastAsia="华文细黑" w:hint="default"/>
        </w:rPr>
        <w:t>1</w:t>
      </w:r>
      <w:r>
        <w:rPr>
          <w:rFonts w:ascii="华文细黑" w:hAnsi="华文细黑" w:cs="华文细黑" w:eastAsia="华文细黑" w:hint="default"/>
          <w:spacing w:val="-5"/>
        </w:rPr>
        <w:t> </w:t>
      </w:r>
      <w:r>
        <w:rPr/>
        <w:t>年）的贷款作为短期贷款</w:t>
      </w:r>
      <w:r>
        <w:rPr>
          <w:rFonts w:ascii="华文细黑" w:hAnsi="华文细黑" w:cs="华文细黑" w:eastAsia="华文细黑" w:hint="default"/>
        </w:rPr>
        <w:t>,</w:t>
      </w:r>
      <w:r>
        <w:rPr/>
        <w:t>合同期限在</w:t>
      </w:r>
    </w:p>
    <w:p>
      <w:pPr>
        <w:pStyle w:val="BodyText"/>
        <w:spacing w:line="240" w:lineRule="auto" w:before="103"/>
        <w:ind w:right="1246"/>
        <w:jc w:val="left"/>
      </w:pPr>
      <w:r>
        <w:rPr>
          <w:rFonts w:ascii="华文细黑" w:hAnsi="华文细黑" w:cs="华文细黑" w:eastAsia="华文细黑" w:hint="default"/>
        </w:rPr>
        <w:t>1-5 </w:t>
      </w:r>
      <w:r>
        <w:rPr/>
        <w:t>年的贷款作为中期贷款</w:t>
      </w:r>
      <w:r>
        <w:rPr>
          <w:rFonts w:ascii="华文细黑" w:hAnsi="华文细黑" w:cs="华文细黑" w:eastAsia="华文细黑" w:hint="default"/>
        </w:rPr>
        <w:t>,</w:t>
      </w:r>
      <w:r>
        <w:rPr/>
        <w:t>合同期限在 </w:t>
      </w:r>
      <w:r>
        <w:rPr>
          <w:rFonts w:ascii="华文细黑" w:hAnsi="华文细黑" w:cs="华文细黑" w:eastAsia="华文细黑" w:hint="default"/>
        </w:rPr>
        <w:t>5</w:t>
      </w:r>
      <w:r>
        <w:rPr>
          <w:rFonts w:ascii="华文细黑" w:hAnsi="华文细黑" w:cs="华文细黑" w:eastAsia="华文细黑" w:hint="default"/>
          <w:spacing w:val="-3"/>
        </w:rPr>
        <w:t> </w:t>
      </w:r>
      <w:r>
        <w:rPr/>
        <w:t>年以上的贷款作为长期贷款。</w:t>
      </w:r>
    </w:p>
    <w:p>
      <w:pPr>
        <w:pStyle w:val="BodyText"/>
        <w:spacing w:line="240" w:lineRule="auto" w:before="144"/>
        <w:ind w:left="560" w:right="1246"/>
        <w:jc w:val="left"/>
      </w:pPr>
      <w:r>
        <w:rPr/>
        <w:t>（</w:t>
      </w:r>
      <w:r>
        <w:rPr>
          <w:rFonts w:ascii="华文细黑" w:hAnsi="华文细黑" w:cs="华文细黑" w:eastAsia="华文细黑" w:hint="default"/>
        </w:rPr>
        <w:t>2</w:t>
      </w:r>
      <w:r>
        <w:rPr/>
        <w:t>）非应计贷款的划分依据</w:t>
      </w:r>
    </w:p>
    <w:p>
      <w:pPr>
        <w:pStyle w:val="BodyText"/>
        <w:spacing w:line="240" w:lineRule="auto" w:before="142"/>
        <w:ind w:left="560" w:right="1246"/>
        <w:jc w:val="left"/>
      </w:pPr>
      <w:r>
        <w:rPr/>
        <w:t>系指贷款本金或利息逾期达到或超过 </w:t>
      </w:r>
      <w:r>
        <w:rPr>
          <w:rFonts w:ascii="华文细黑" w:hAnsi="华文细黑" w:cs="华文细黑" w:eastAsia="华文细黑" w:hint="default"/>
        </w:rPr>
        <w:t>90</w:t>
      </w:r>
      <w:r>
        <w:rPr>
          <w:rFonts w:ascii="华文细黑" w:hAnsi="华文细黑" w:cs="华文细黑" w:eastAsia="华文细黑" w:hint="default"/>
          <w:spacing w:val="-3"/>
        </w:rPr>
        <w:t> </w:t>
      </w:r>
      <w:r>
        <w:rPr/>
        <w:t>天没有收回的贷款</w:t>
      </w:r>
      <w:r>
        <w:rPr>
          <w:rFonts w:ascii="华文细黑" w:hAnsi="华文细黑" w:cs="华文细黑" w:eastAsia="华文细黑" w:hint="default"/>
        </w:rPr>
        <w:t>,</w:t>
      </w:r>
      <w:r>
        <w:rPr/>
        <w:t>非应计贷款不计提表内应计利息。</w:t>
      </w:r>
    </w:p>
    <w:p>
      <w:pPr>
        <w:pStyle w:val="BodyText"/>
        <w:spacing w:line="357" w:lineRule="auto" w:before="144"/>
        <w:ind w:left="560" w:right="1510"/>
        <w:jc w:val="left"/>
      </w:pPr>
      <w:r>
        <w:rPr/>
        <w:t>（</w:t>
      </w:r>
      <w:r>
        <w:rPr>
          <w:rFonts w:ascii="华文细黑" w:hAnsi="华文细黑" w:cs="华文细黑" w:eastAsia="华文细黑" w:hint="default"/>
        </w:rPr>
        <w:t>3</w:t>
      </w:r>
      <w:r>
        <w:rPr/>
        <w:t>）自营贷款与委托贷款划分依据 自营贷款系指本公司自主发放并承担风险</w:t>
      </w:r>
      <w:r>
        <w:rPr>
          <w:rFonts w:ascii="华文细黑" w:hAnsi="华文细黑" w:cs="华文细黑" w:eastAsia="华文细黑" w:hint="default"/>
        </w:rPr>
        <w:t>,</w:t>
      </w:r>
      <w:r>
        <w:rPr/>
        <w:t>并由本公司收取本金和利息的贷款</w:t>
      </w:r>
      <w:r>
        <w:rPr>
          <w:rFonts w:ascii="华文细黑" w:hAnsi="华文细黑" w:cs="华文细黑" w:eastAsia="华文细黑" w:hint="default"/>
        </w:rPr>
        <w:t>;</w:t>
      </w:r>
      <w:r>
        <w:rPr/>
        <w:t>委托贷款系指由</w:t>
      </w:r>
    </w:p>
    <w:p>
      <w:pPr>
        <w:pStyle w:val="BodyText"/>
        <w:spacing w:line="324" w:lineRule="auto"/>
        <w:ind w:right="1393"/>
        <w:jc w:val="left"/>
      </w:pPr>
      <w:r>
        <w:rPr>
          <w:spacing w:val="-2"/>
        </w:rPr>
        <w:t>委托人提供资金</w:t>
      </w:r>
      <w:r>
        <w:rPr>
          <w:rFonts w:ascii="华文细黑" w:hAnsi="华文细黑" w:cs="华文细黑" w:eastAsia="华文细黑" w:hint="default"/>
          <w:spacing w:val="-2"/>
        </w:rPr>
        <w:t>,</w:t>
      </w:r>
      <w:r>
        <w:rPr>
          <w:spacing w:val="-2"/>
        </w:rPr>
        <w:t>由本公司根据委托人确定的贷款对象、用途、金额、期限、利率等而代理发放、监</w:t>
      </w:r>
      <w:r>
        <w:rPr>
          <w:spacing w:val="-28"/>
        </w:rPr>
        <w:t> </w:t>
      </w:r>
      <w:r>
        <w:rPr>
          <w:spacing w:val="-28"/>
        </w:rPr>
      </w:r>
      <w:r>
        <w:rPr/>
        <w:t>督使用并协助收回的贷款</w:t>
      </w:r>
      <w:r>
        <w:rPr>
          <w:rFonts w:ascii="华文细黑" w:hAnsi="华文细黑" w:cs="华文细黑" w:eastAsia="华文细黑" w:hint="default"/>
        </w:rPr>
        <w:t>,</w:t>
      </w:r>
      <w:r>
        <w:rPr/>
        <w:t>其风险由委托人承担</w:t>
      </w:r>
      <w:r>
        <w:rPr>
          <w:rFonts w:ascii="华文细黑" w:hAnsi="华文细黑" w:cs="华文细黑" w:eastAsia="华文细黑" w:hint="default"/>
        </w:rPr>
        <w:t>,</w:t>
      </w:r>
      <w:r>
        <w:rPr/>
        <w:t>本公司发放委托贷款时</w:t>
      </w:r>
      <w:r>
        <w:rPr>
          <w:rFonts w:ascii="华文细黑" w:hAnsi="华文细黑" w:cs="华文细黑" w:eastAsia="华文细黑" w:hint="default"/>
        </w:rPr>
        <w:t>,</w:t>
      </w:r>
      <w:r>
        <w:rPr/>
        <w:t>只收取手续费</w:t>
      </w:r>
      <w:r>
        <w:rPr>
          <w:rFonts w:ascii="华文细黑" w:hAnsi="华文细黑" w:cs="华文细黑" w:eastAsia="华文细黑" w:hint="default"/>
        </w:rPr>
        <w:t>,</w:t>
      </w:r>
      <w:r>
        <w:rPr/>
        <w:t>不代垫资金。</w:t>
      </w:r>
    </w:p>
    <w:p>
      <w:pPr>
        <w:pStyle w:val="BodyText"/>
        <w:spacing w:line="240" w:lineRule="auto" w:before="64"/>
        <w:ind w:left="560" w:right="1246"/>
        <w:jc w:val="left"/>
      </w:pPr>
      <w:r>
        <w:rPr/>
        <w:t>（</w:t>
      </w:r>
      <w:r>
        <w:rPr>
          <w:rFonts w:ascii="华文细黑" w:hAnsi="华文细黑" w:cs="华文细黑" w:eastAsia="华文细黑" w:hint="default"/>
        </w:rPr>
        <w:t>4</w:t>
      </w:r>
      <w:r>
        <w:rPr/>
        <w:t>）计提贷款损失准备的范围和方法</w:t>
      </w:r>
    </w:p>
    <w:p>
      <w:pPr>
        <w:pStyle w:val="BodyText"/>
        <w:spacing w:line="355" w:lineRule="auto" w:before="144"/>
        <w:ind w:left="560" w:right="1246"/>
        <w:jc w:val="left"/>
      </w:pPr>
      <w:r>
        <w:rPr/>
        <w:t>①贷款损失准备的核算方法 </w:t>
      </w:r>
      <w:r>
        <w:rPr>
          <w:spacing w:val="-3"/>
        </w:rPr>
        <w:t>贷款损失准备计提范围为本公司承担风险和损失的贷款（含抵押、质押、保证、信用贷款）。</w:t>
      </w:r>
      <w:r>
        <w:rPr>
          <w:spacing w:val="-35"/>
        </w:rPr>
        <w:t> </w:t>
      </w:r>
      <w:r>
        <w:rPr>
          <w:spacing w:val="-35"/>
        </w:rPr>
      </w:r>
      <w:r>
        <w:rPr>
          <w:spacing w:val="-2"/>
        </w:rPr>
        <w:t>贷款损失准备采用备抵法核算。贷款损失准备计提方法</w:t>
      </w:r>
      <w:r>
        <w:rPr>
          <w:rFonts w:ascii="华文细黑" w:hAnsi="华文细黑" w:cs="华文细黑" w:eastAsia="华文细黑" w:hint="default"/>
          <w:spacing w:val="-2"/>
        </w:rPr>
        <w:t>:</w:t>
      </w:r>
      <w:r>
        <w:rPr>
          <w:spacing w:val="-2"/>
        </w:rPr>
        <w:t>本公司根据信贷资产按风险分类（五级</w:t>
      </w:r>
    </w:p>
    <w:p>
      <w:pPr>
        <w:spacing w:after="0" w:line="355" w:lineRule="auto"/>
        <w:jc w:val="left"/>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324" w:lineRule="auto" w:before="10"/>
        <w:ind w:right="1510"/>
        <w:jc w:val="left"/>
      </w:pPr>
      <w:r>
        <w:rPr/>
        <w:t>分类）的结果为基础</w:t>
      </w:r>
      <w:r>
        <w:rPr>
          <w:rFonts w:ascii="华文细黑" w:hAnsi="华文细黑" w:cs="华文细黑" w:eastAsia="华文细黑" w:hint="default"/>
        </w:rPr>
        <w:t>,</w:t>
      </w:r>
      <w:r>
        <w:rPr/>
        <w:t>结合实际情况充分评估可能存在的损失</w:t>
      </w:r>
      <w:r>
        <w:rPr>
          <w:rFonts w:ascii="华文细黑" w:hAnsi="华文细黑" w:cs="华文细黑" w:eastAsia="华文细黑" w:hint="default"/>
        </w:rPr>
        <w:t>,</w:t>
      </w:r>
      <w:r>
        <w:rPr/>
        <w:t>分析确定关注类及以下评级的信贷资 产应计提贷款损失准备总额。关注类及以下评级的信贷资产的贷款损失准备计提标准如下：</w:t>
      </w:r>
    </w:p>
    <w:tbl>
      <w:tblPr>
        <w:tblW w:w="0" w:type="auto"/>
        <w:jc w:val="left"/>
        <w:tblInd w:w="112" w:type="dxa"/>
        <w:tblLayout w:type="fixed"/>
        <w:tblCellMar>
          <w:top w:w="0" w:type="dxa"/>
          <w:left w:w="0" w:type="dxa"/>
          <w:bottom w:w="0" w:type="dxa"/>
          <w:right w:w="0" w:type="dxa"/>
        </w:tblCellMar>
        <w:tblLook w:val="01E0"/>
      </w:tblPr>
      <w:tblGrid>
        <w:gridCol w:w="3057"/>
        <w:gridCol w:w="6016"/>
      </w:tblGrid>
      <w:tr>
        <w:trPr>
          <w:trHeight w:val="490" w:hRule="exact"/>
        </w:trPr>
        <w:tc>
          <w:tcPr>
            <w:tcW w:w="305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5"/>
              <w:ind w:left="1"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项目</w:t>
            </w:r>
          </w:p>
        </w:tc>
        <w:tc>
          <w:tcPr>
            <w:tcW w:w="60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5"/>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计提比例</w:t>
            </w:r>
            <w:r>
              <w:rPr>
                <w:rFonts w:ascii="华文细黑" w:hAnsi="华文细黑" w:cs="华文细黑" w:eastAsia="华文细黑" w:hint="default"/>
                <w:sz w:val="21"/>
                <w:szCs w:val="21"/>
              </w:rPr>
              <w:t>(%)</w:t>
            </w:r>
          </w:p>
        </w:tc>
      </w:tr>
      <w:tr>
        <w:trPr>
          <w:trHeight w:val="491" w:hRule="exact"/>
        </w:trPr>
        <w:tc>
          <w:tcPr>
            <w:tcW w:w="305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3"/>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正常</w:t>
            </w:r>
          </w:p>
        </w:tc>
        <w:tc>
          <w:tcPr>
            <w:tcW w:w="60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3"/>
              <w:ind w:right="1"/>
              <w:jc w:val="center"/>
              <w:rPr>
                <w:rFonts w:ascii="华文细黑" w:hAnsi="华文细黑" w:cs="华文细黑" w:eastAsia="华文细黑" w:hint="default"/>
                <w:sz w:val="18"/>
                <w:szCs w:val="18"/>
              </w:rPr>
            </w:pPr>
            <w:r>
              <w:rPr>
                <w:rFonts w:ascii="华文细黑"/>
                <w:sz w:val="18"/>
              </w:rPr>
              <w:t>1.5</w:t>
            </w:r>
          </w:p>
        </w:tc>
      </w:tr>
      <w:tr>
        <w:trPr>
          <w:trHeight w:val="490" w:hRule="exact"/>
        </w:trPr>
        <w:tc>
          <w:tcPr>
            <w:tcW w:w="305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关注</w:t>
            </w:r>
          </w:p>
        </w:tc>
        <w:tc>
          <w:tcPr>
            <w:tcW w:w="60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1"/>
              <w:ind w:right="0"/>
              <w:jc w:val="center"/>
              <w:rPr>
                <w:rFonts w:ascii="华文细黑" w:hAnsi="华文细黑" w:cs="华文细黑" w:eastAsia="华文细黑" w:hint="default"/>
                <w:sz w:val="18"/>
                <w:szCs w:val="18"/>
              </w:rPr>
            </w:pPr>
            <w:r>
              <w:rPr>
                <w:rFonts w:ascii="华文细黑"/>
                <w:sz w:val="18"/>
              </w:rPr>
              <w:t>3</w:t>
            </w:r>
          </w:p>
        </w:tc>
      </w:tr>
      <w:tr>
        <w:trPr>
          <w:trHeight w:val="490" w:hRule="exact"/>
        </w:trPr>
        <w:tc>
          <w:tcPr>
            <w:tcW w:w="305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次级</w:t>
            </w:r>
          </w:p>
        </w:tc>
        <w:tc>
          <w:tcPr>
            <w:tcW w:w="60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1"/>
              <w:ind w:right="1"/>
              <w:jc w:val="center"/>
              <w:rPr>
                <w:rFonts w:ascii="华文细黑" w:hAnsi="华文细黑" w:cs="华文细黑" w:eastAsia="华文细黑" w:hint="default"/>
                <w:sz w:val="18"/>
                <w:szCs w:val="18"/>
              </w:rPr>
            </w:pPr>
            <w:r>
              <w:rPr>
                <w:rFonts w:ascii="华文细黑"/>
                <w:sz w:val="18"/>
              </w:rPr>
              <w:t>30</w:t>
            </w:r>
          </w:p>
        </w:tc>
      </w:tr>
      <w:tr>
        <w:trPr>
          <w:trHeight w:val="491" w:hRule="exact"/>
        </w:trPr>
        <w:tc>
          <w:tcPr>
            <w:tcW w:w="305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2"/>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可疑</w:t>
            </w:r>
          </w:p>
        </w:tc>
        <w:tc>
          <w:tcPr>
            <w:tcW w:w="60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2"/>
              <w:ind w:right="1"/>
              <w:jc w:val="center"/>
              <w:rPr>
                <w:rFonts w:ascii="华文细黑" w:hAnsi="华文细黑" w:cs="华文细黑" w:eastAsia="华文细黑" w:hint="default"/>
                <w:sz w:val="18"/>
                <w:szCs w:val="18"/>
              </w:rPr>
            </w:pPr>
            <w:r>
              <w:rPr>
                <w:rFonts w:ascii="华文细黑"/>
                <w:sz w:val="18"/>
              </w:rPr>
              <w:t>60</w:t>
            </w:r>
          </w:p>
        </w:tc>
      </w:tr>
      <w:tr>
        <w:trPr>
          <w:trHeight w:val="490" w:hRule="exact"/>
        </w:trPr>
        <w:tc>
          <w:tcPr>
            <w:tcW w:w="305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损失</w:t>
            </w:r>
          </w:p>
        </w:tc>
        <w:tc>
          <w:tcPr>
            <w:tcW w:w="60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1"/>
              <w:ind w:right="0"/>
              <w:jc w:val="center"/>
              <w:rPr>
                <w:rFonts w:ascii="华文细黑" w:hAnsi="华文细黑" w:cs="华文细黑" w:eastAsia="华文细黑" w:hint="default"/>
                <w:sz w:val="18"/>
                <w:szCs w:val="18"/>
              </w:rPr>
            </w:pPr>
            <w:r>
              <w:rPr>
                <w:rFonts w:ascii="华文细黑"/>
                <w:sz w:val="18"/>
              </w:rPr>
              <w:t>100</w:t>
            </w:r>
          </w:p>
        </w:tc>
      </w:tr>
    </w:tbl>
    <w:p>
      <w:pPr>
        <w:spacing w:line="240" w:lineRule="auto" w:before="9"/>
        <w:rPr>
          <w:rFonts w:ascii="华文细黑" w:hAnsi="华文细黑" w:cs="华文细黑" w:eastAsia="华文细黑" w:hint="default"/>
          <w:sz w:val="6"/>
          <w:szCs w:val="6"/>
        </w:rPr>
      </w:pPr>
    </w:p>
    <w:p>
      <w:pPr>
        <w:pStyle w:val="BodyText"/>
        <w:spacing w:line="324" w:lineRule="auto" w:before="10"/>
        <w:ind w:right="1438" w:firstLine="420"/>
        <w:jc w:val="both"/>
      </w:pPr>
      <w:r>
        <w:rPr>
          <w:spacing w:val="-2"/>
        </w:rPr>
        <w:t>提取的贷款损失准备计入当期损益。发生贷款损失</w:t>
      </w:r>
      <w:r>
        <w:rPr>
          <w:rFonts w:ascii="华文细黑" w:hAnsi="华文细黑" w:cs="华文细黑" w:eastAsia="华文细黑" w:hint="default"/>
          <w:spacing w:val="-2"/>
        </w:rPr>
        <w:t>,</w:t>
      </w:r>
      <w:r>
        <w:rPr>
          <w:spacing w:val="-2"/>
        </w:rPr>
        <w:t>冲减已计提的贷款损失准备。已核销的贷款</w:t>
      </w:r>
      <w:r>
        <w:rPr/>
        <w:t> 损失以后又收回的</w:t>
      </w:r>
      <w:r>
        <w:rPr>
          <w:rFonts w:ascii="华文细黑" w:hAnsi="华文细黑" w:cs="华文细黑" w:eastAsia="华文细黑" w:hint="default"/>
        </w:rPr>
        <w:t>,</w:t>
      </w:r>
      <w:r>
        <w:rPr/>
        <w:t>其核销的贷款损失准备则予以转回。</w:t>
      </w:r>
    </w:p>
    <w:p>
      <w:pPr>
        <w:pStyle w:val="BodyText"/>
        <w:spacing w:line="355" w:lineRule="auto" w:before="64"/>
        <w:ind w:left="560" w:right="1246"/>
        <w:jc w:val="left"/>
      </w:pPr>
      <w:r>
        <w:rPr/>
        <w:t>②贷款损失的确认标准 </w:t>
      </w:r>
      <w:r>
        <w:rPr>
          <w:spacing w:val="-1"/>
        </w:rPr>
        <w:t>公司经采取所有可能的措施和实施必要的程序之后，凡符合下列条件之一，造成公司确实无法</w:t>
      </w:r>
    </w:p>
    <w:p>
      <w:pPr>
        <w:pStyle w:val="BodyText"/>
        <w:spacing w:line="292" w:lineRule="exact"/>
        <w:ind w:right="1246"/>
        <w:jc w:val="left"/>
        <w:rPr>
          <w:rFonts w:ascii="华文细黑" w:hAnsi="华文细黑" w:cs="华文细黑" w:eastAsia="华文细黑" w:hint="default"/>
        </w:rPr>
      </w:pPr>
      <w:r>
        <w:rPr/>
        <w:t>收回的债权列为贷款损失</w:t>
      </w:r>
      <w:r>
        <w:rPr>
          <w:rFonts w:ascii="华文细黑" w:hAnsi="华文细黑" w:cs="华文细黑" w:eastAsia="华文细黑" w:hint="default"/>
        </w:rPr>
        <w:t>:</w:t>
      </w:r>
    </w:p>
    <w:p>
      <w:pPr>
        <w:pStyle w:val="BodyText"/>
        <w:spacing w:line="324" w:lineRule="auto" w:before="142"/>
        <w:ind w:right="1438" w:firstLine="420"/>
        <w:jc w:val="both"/>
      </w:pPr>
      <w:r>
        <w:rPr>
          <w:rFonts w:ascii="华文细黑" w:hAnsi="华文细黑" w:cs="华文细黑" w:eastAsia="华文细黑" w:hint="default"/>
          <w:spacing w:val="-2"/>
        </w:rPr>
        <w:t>A</w:t>
      </w:r>
      <w:r>
        <w:rPr>
          <w:spacing w:val="-2"/>
        </w:rPr>
        <w:t>．借款人和担保人依法宣告破产、关闭、解散或撤销</w:t>
      </w:r>
      <w:r>
        <w:rPr>
          <w:rFonts w:ascii="华文细黑" w:hAnsi="华文细黑" w:cs="华文细黑" w:eastAsia="华文细黑" w:hint="default"/>
          <w:spacing w:val="-2"/>
        </w:rPr>
        <w:t>,</w:t>
      </w:r>
      <w:r>
        <w:rPr>
          <w:spacing w:val="-2"/>
        </w:rPr>
        <w:t>并终止法人资格</w:t>
      </w:r>
      <w:r>
        <w:rPr>
          <w:rFonts w:ascii="华文细黑" w:hAnsi="华文细黑" w:cs="华文细黑" w:eastAsia="华文细黑" w:hint="default"/>
          <w:spacing w:val="-2"/>
        </w:rPr>
        <w:t>,</w:t>
      </w:r>
      <w:r>
        <w:rPr>
          <w:spacing w:val="-2"/>
        </w:rPr>
        <w:t>本公司对借款人和担保</w:t>
      </w:r>
      <w:r>
        <w:rPr/>
        <w:t> 人进行追偿后</w:t>
      </w:r>
      <w:r>
        <w:rPr>
          <w:rFonts w:ascii="华文细黑" w:hAnsi="华文细黑" w:cs="华文细黑" w:eastAsia="华文细黑" w:hint="default"/>
        </w:rPr>
        <w:t>,</w:t>
      </w:r>
      <w:r>
        <w:rPr/>
        <w:t>未能收回的债权；</w:t>
      </w:r>
    </w:p>
    <w:p>
      <w:pPr>
        <w:pStyle w:val="BodyText"/>
        <w:spacing w:line="324" w:lineRule="auto" w:before="63"/>
        <w:ind w:right="1438" w:firstLine="420"/>
        <w:jc w:val="both"/>
      </w:pPr>
      <w:r>
        <w:rPr>
          <w:rFonts w:ascii="华文细黑" w:hAnsi="华文细黑" w:cs="华文细黑" w:eastAsia="华文细黑" w:hint="default"/>
          <w:spacing w:val="-1"/>
        </w:rPr>
        <w:t>B</w:t>
      </w:r>
      <w:r>
        <w:rPr>
          <w:spacing w:val="-1"/>
        </w:rPr>
        <w:t>．借款人死亡</w:t>
      </w:r>
      <w:r>
        <w:rPr>
          <w:rFonts w:ascii="华文细黑" w:hAnsi="华文细黑" w:cs="华文细黑" w:eastAsia="华文细黑" w:hint="default"/>
          <w:spacing w:val="-1"/>
        </w:rPr>
        <w:t>,</w:t>
      </w:r>
      <w:r>
        <w:rPr>
          <w:spacing w:val="-1"/>
        </w:rPr>
        <w:t>或者依照《中华人民共和国民法通则》的规定宣告失踪或者死亡</w:t>
      </w:r>
      <w:r>
        <w:rPr>
          <w:rFonts w:ascii="华文细黑" w:hAnsi="华文细黑" w:cs="华文细黑" w:eastAsia="华文细黑" w:hint="default"/>
          <w:spacing w:val="-1"/>
        </w:rPr>
        <w:t>,</w:t>
      </w:r>
      <w:r>
        <w:rPr>
          <w:spacing w:val="-1"/>
        </w:rPr>
        <w:t>本公司依法对</w:t>
      </w:r>
      <w:r>
        <w:rPr/>
        <w:t> 其财产或者遗产进行清偿</w:t>
      </w:r>
      <w:r>
        <w:rPr>
          <w:rFonts w:ascii="华文细黑" w:hAnsi="华文细黑" w:cs="华文细黑" w:eastAsia="华文细黑" w:hint="default"/>
        </w:rPr>
        <w:t>,</w:t>
      </w:r>
      <w:r>
        <w:rPr/>
        <w:t>并对担保人进行追偿后</w:t>
      </w:r>
      <w:r>
        <w:rPr>
          <w:rFonts w:ascii="华文细黑" w:hAnsi="华文细黑" w:cs="华文细黑" w:eastAsia="华文细黑" w:hint="default"/>
        </w:rPr>
        <w:t>,</w:t>
      </w:r>
      <w:r>
        <w:rPr/>
        <w:t>未能收回的债权；</w:t>
      </w:r>
    </w:p>
    <w:p>
      <w:pPr>
        <w:pStyle w:val="BodyText"/>
        <w:spacing w:line="324" w:lineRule="auto" w:before="63"/>
        <w:ind w:right="1491" w:firstLine="420"/>
        <w:jc w:val="left"/>
      </w:pPr>
      <w:r>
        <w:rPr>
          <w:rFonts w:ascii="华文细黑" w:hAnsi="华文细黑" w:cs="华文细黑" w:eastAsia="华文细黑" w:hint="default"/>
        </w:rPr>
        <w:t>C</w:t>
      </w:r>
      <w:r>
        <w:rPr/>
        <w:t>．借款人遭受重大自然灾害或者意外事故</w:t>
      </w:r>
      <w:r>
        <w:rPr>
          <w:rFonts w:ascii="华文细黑" w:hAnsi="华文细黑" w:cs="华文细黑" w:eastAsia="华文细黑" w:hint="default"/>
        </w:rPr>
        <w:t>,</w:t>
      </w:r>
      <w:r>
        <w:rPr/>
        <w:t>损失巨大且不能获得保险补偿</w:t>
      </w:r>
      <w:r>
        <w:rPr>
          <w:rFonts w:ascii="华文细黑" w:hAnsi="华文细黑" w:cs="华文细黑" w:eastAsia="华文细黑" w:hint="default"/>
        </w:rPr>
        <w:t>,</w:t>
      </w:r>
      <w:r>
        <w:rPr/>
        <w:t>或者已保险赔偿后</w:t>
      </w:r>
      <w:r>
        <w:rPr>
          <w:rFonts w:ascii="华文细黑" w:hAnsi="华文细黑" w:cs="华文细黑" w:eastAsia="华文细黑" w:hint="default"/>
        </w:rPr>
        <w:t>, </w:t>
      </w:r>
      <w:r>
        <w:rPr/>
        <w:t>确实无力偿还的部分或全部债务</w:t>
      </w:r>
      <w:r>
        <w:rPr>
          <w:rFonts w:ascii="华文细黑" w:hAnsi="华文细黑" w:cs="华文细黑" w:eastAsia="华文细黑" w:hint="default"/>
        </w:rPr>
        <w:t>,</w:t>
      </w:r>
      <w:r>
        <w:rPr/>
        <w:t>本公司对其财产进行清偿和对担保人进行追偿后</w:t>
      </w:r>
      <w:r>
        <w:rPr>
          <w:rFonts w:ascii="华文细黑" w:hAnsi="华文细黑" w:cs="华文细黑" w:eastAsia="华文细黑" w:hint="default"/>
        </w:rPr>
        <w:t>,</w:t>
      </w:r>
      <w:r>
        <w:rPr/>
        <w:t>未能收回的债 权；</w:t>
      </w:r>
    </w:p>
    <w:p>
      <w:pPr>
        <w:pStyle w:val="BodyText"/>
        <w:spacing w:line="324" w:lineRule="auto" w:before="64"/>
        <w:ind w:right="1438" w:firstLine="420"/>
        <w:jc w:val="both"/>
      </w:pPr>
      <w:r>
        <w:rPr>
          <w:rFonts w:ascii="华文细黑" w:hAnsi="华文细黑" w:cs="华文细黑" w:eastAsia="华文细黑" w:hint="default"/>
          <w:spacing w:val="-2"/>
        </w:rPr>
        <w:t>D</w:t>
      </w:r>
      <w:r>
        <w:rPr>
          <w:spacing w:val="-2"/>
        </w:rPr>
        <w:t>．借款人和担保人虽未依法宣告破产、关闭、解散</w:t>
      </w:r>
      <w:r>
        <w:rPr>
          <w:rFonts w:ascii="华文细黑" w:hAnsi="华文细黑" w:cs="华文细黑" w:eastAsia="华文细黑" w:hint="default"/>
          <w:spacing w:val="-2"/>
        </w:rPr>
        <w:t>,</w:t>
      </w:r>
      <w:r>
        <w:rPr>
          <w:spacing w:val="-2"/>
        </w:rPr>
        <w:t>但已完全停止经营活动</w:t>
      </w:r>
      <w:r>
        <w:rPr>
          <w:rFonts w:ascii="华文细黑" w:hAnsi="华文细黑" w:cs="华文细黑" w:eastAsia="华文细黑" w:hint="default"/>
          <w:spacing w:val="-2"/>
        </w:rPr>
        <w:t>,</w:t>
      </w:r>
      <w:r>
        <w:rPr>
          <w:spacing w:val="-2"/>
        </w:rPr>
        <w:t>被县级及县级以上</w:t>
      </w:r>
      <w:r>
        <w:rPr/>
        <w:t> 工商行政管理部门依法注销、吊销营业执照</w:t>
      </w:r>
      <w:r>
        <w:rPr>
          <w:rFonts w:ascii="华文细黑" w:hAnsi="华文细黑" w:cs="华文细黑" w:eastAsia="华文细黑" w:hint="default"/>
        </w:rPr>
        <w:t>,</w:t>
      </w:r>
      <w:r>
        <w:rPr/>
        <w:t>终止法人资格</w:t>
      </w:r>
      <w:r>
        <w:rPr>
          <w:rFonts w:ascii="华文细黑" w:hAnsi="华文细黑" w:cs="华文细黑" w:eastAsia="华文细黑" w:hint="default"/>
        </w:rPr>
        <w:t>,</w:t>
      </w:r>
      <w:r>
        <w:rPr/>
        <w:t>本公司对借款人和担保人进行追偿后</w:t>
      </w:r>
      <w:r>
        <w:rPr>
          <w:rFonts w:ascii="华文细黑" w:hAnsi="华文细黑" w:cs="华文细黑" w:eastAsia="华文细黑" w:hint="default"/>
        </w:rPr>
        <w:t>,</w:t>
      </w:r>
      <w:r>
        <w:rPr/>
        <w:t>未 能收回的债权；</w:t>
      </w:r>
    </w:p>
    <w:p>
      <w:pPr>
        <w:pStyle w:val="BodyText"/>
        <w:spacing w:line="324" w:lineRule="auto" w:before="64"/>
        <w:ind w:right="1473" w:firstLine="420"/>
        <w:jc w:val="both"/>
      </w:pPr>
      <w:r>
        <w:rPr>
          <w:rFonts w:ascii="华文细黑" w:hAnsi="华文细黑" w:cs="华文细黑" w:eastAsia="华文细黑" w:hint="default"/>
        </w:rPr>
        <w:t>E</w:t>
      </w:r>
      <w:r>
        <w:rPr/>
        <w:t>．借款人和担保人虽未依法宣告破产、关闭、解散</w:t>
      </w:r>
      <w:r>
        <w:rPr>
          <w:rFonts w:ascii="华文细黑" w:hAnsi="华文细黑" w:cs="华文细黑" w:eastAsia="华文细黑" w:hint="default"/>
        </w:rPr>
        <w:t>,</w:t>
      </w:r>
      <w:r>
        <w:rPr/>
        <w:t>但已完全停止经营活动或者下落不明、未 进行工商登记或连续两年以上未参加工商年检</w:t>
      </w:r>
      <w:r>
        <w:rPr>
          <w:rFonts w:ascii="华文细黑" w:hAnsi="华文细黑" w:cs="华文细黑" w:eastAsia="华文细黑" w:hint="default"/>
        </w:rPr>
        <w:t>,</w:t>
      </w:r>
      <w:r>
        <w:rPr/>
        <w:t>本公司对借款人和担保人进行追偿后</w:t>
      </w:r>
      <w:r>
        <w:rPr>
          <w:rFonts w:ascii="华文细黑" w:hAnsi="华文细黑" w:cs="华文细黑" w:eastAsia="华文细黑" w:hint="default"/>
        </w:rPr>
        <w:t>,</w:t>
      </w:r>
      <w:r>
        <w:rPr/>
        <w:t>未能收回的债 权；</w:t>
      </w:r>
    </w:p>
    <w:p>
      <w:pPr>
        <w:pStyle w:val="BodyText"/>
        <w:spacing w:line="324" w:lineRule="auto" w:before="63"/>
        <w:ind w:right="1520" w:firstLine="420"/>
        <w:jc w:val="both"/>
      </w:pPr>
      <w:r>
        <w:rPr>
          <w:rFonts w:ascii="华文细黑" w:hAnsi="华文细黑" w:cs="华文细黑" w:eastAsia="华文细黑" w:hint="default"/>
        </w:rPr>
        <w:t>F</w:t>
      </w:r>
      <w:r>
        <w:rPr/>
        <w:t>．借款人触犯刑律</w:t>
      </w:r>
      <w:r>
        <w:rPr>
          <w:rFonts w:ascii="华文细黑" w:hAnsi="华文细黑" w:cs="华文细黑" w:eastAsia="华文细黑" w:hint="default"/>
        </w:rPr>
        <w:t>,</w:t>
      </w:r>
      <w:r>
        <w:rPr/>
        <w:t>依法受到制裁</w:t>
      </w:r>
      <w:r>
        <w:rPr>
          <w:rFonts w:ascii="华文细黑" w:hAnsi="华文细黑" w:cs="华文细黑" w:eastAsia="华文细黑" w:hint="default"/>
        </w:rPr>
        <w:t>,</w:t>
      </w:r>
      <w:r>
        <w:rPr/>
        <w:t>其财产不足归还所借债务</w:t>
      </w:r>
      <w:r>
        <w:rPr>
          <w:rFonts w:ascii="华文细黑" w:hAnsi="华文细黑" w:cs="华文细黑" w:eastAsia="华文细黑" w:hint="default"/>
        </w:rPr>
        <w:t>,</w:t>
      </w:r>
      <w:r>
        <w:rPr/>
        <w:t>又无其他债务承担者</w:t>
      </w:r>
      <w:r>
        <w:rPr>
          <w:rFonts w:ascii="华文细黑" w:hAnsi="华文细黑" w:cs="华文细黑" w:eastAsia="华文细黑" w:hint="default"/>
        </w:rPr>
        <w:t>,</w:t>
      </w:r>
      <w:r>
        <w:rPr/>
        <w:t>本公司经追 偿后确实无法收回的债权；</w:t>
      </w:r>
    </w:p>
    <w:p>
      <w:pPr>
        <w:pStyle w:val="BodyText"/>
        <w:spacing w:line="324" w:lineRule="auto" w:before="63"/>
        <w:ind w:right="1379" w:firstLine="420"/>
        <w:jc w:val="both"/>
      </w:pPr>
      <w:r>
        <w:rPr>
          <w:rFonts w:ascii="华文细黑" w:hAnsi="华文细黑" w:cs="华文细黑" w:eastAsia="华文细黑" w:hint="default"/>
          <w:spacing w:val="-3"/>
        </w:rPr>
        <w:t>G</w:t>
      </w:r>
      <w:r>
        <w:rPr>
          <w:spacing w:val="-3"/>
        </w:rPr>
        <w:t>．由于借款人和担保人不能偿还到期债务</w:t>
      </w:r>
      <w:r>
        <w:rPr>
          <w:rFonts w:ascii="华文细黑" w:hAnsi="华文细黑" w:cs="华文细黑" w:eastAsia="华文细黑" w:hint="default"/>
          <w:spacing w:val="-3"/>
        </w:rPr>
        <w:t>,</w:t>
      </w:r>
      <w:r>
        <w:rPr>
          <w:spacing w:val="-3"/>
        </w:rPr>
        <w:t>本公司诉诸法律</w:t>
      </w:r>
      <w:r>
        <w:rPr>
          <w:rFonts w:ascii="华文细黑" w:hAnsi="华文细黑" w:cs="华文细黑" w:eastAsia="华文细黑" w:hint="default"/>
          <w:spacing w:val="-3"/>
        </w:rPr>
        <w:t>,</w:t>
      </w:r>
      <w:r>
        <w:rPr>
          <w:spacing w:val="-3"/>
        </w:rPr>
        <w:t>经法院对借款人和担保人强制执行</w:t>
      </w:r>
      <w:r>
        <w:rPr>
          <w:rFonts w:ascii="华文细黑" w:hAnsi="华文细黑" w:cs="华文细黑" w:eastAsia="华文细黑" w:hint="default"/>
          <w:spacing w:val="-3"/>
        </w:rPr>
        <w:t>,</w:t>
      </w:r>
      <w:r>
        <w:rPr>
          <w:rFonts w:ascii="华文细黑" w:hAnsi="华文细黑" w:cs="华文细黑" w:eastAsia="华文细黑" w:hint="default"/>
        </w:rPr>
        <w:t> </w:t>
      </w:r>
      <w:r>
        <w:rPr/>
        <w:t>借款人和担保人均无财产可执行</w:t>
      </w:r>
      <w:r>
        <w:rPr>
          <w:rFonts w:ascii="华文细黑" w:hAnsi="华文细黑" w:cs="华文细黑" w:eastAsia="华文细黑" w:hint="default"/>
        </w:rPr>
        <w:t>,</w:t>
      </w:r>
      <w:r>
        <w:rPr/>
        <w:t>法院裁定终结执行或终止执行后</w:t>
      </w:r>
      <w:r>
        <w:rPr>
          <w:rFonts w:ascii="华文细黑" w:hAnsi="华文细黑" w:cs="华文细黑" w:eastAsia="华文细黑" w:hint="default"/>
        </w:rPr>
        <w:t>,</w:t>
      </w:r>
      <w:r>
        <w:rPr/>
        <w:t>本公司仍无法收回的债权；</w:t>
      </w:r>
    </w:p>
    <w:p>
      <w:pPr>
        <w:pStyle w:val="BodyText"/>
        <w:spacing w:line="324" w:lineRule="auto" w:before="63"/>
        <w:ind w:right="1436" w:firstLine="420"/>
        <w:jc w:val="both"/>
      </w:pPr>
      <w:r>
        <w:rPr>
          <w:rFonts w:ascii="华文细黑" w:hAnsi="华文细黑" w:cs="华文细黑" w:eastAsia="华文细黑" w:hint="default"/>
          <w:spacing w:val="-2"/>
        </w:rPr>
        <w:t>H</w:t>
      </w:r>
      <w:r>
        <w:rPr>
          <w:spacing w:val="-2"/>
        </w:rPr>
        <w:t>．对借款人和担保人诉诸法律后</w:t>
      </w:r>
      <w:r>
        <w:rPr>
          <w:rFonts w:ascii="华文细黑" w:hAnsi="华文细黑" w:cs="华文细黑" w:eastAsia="华文细黑" w:hint="default"/>
          <w:spacing w:val="-2"/>
        </w:rPr>
        <w:t>,</w:t>
      </w:r>
      <w:r>
        <w:rPr>
          <w:spacing w:val="-2"/>
        </w:rPr>
        <w:t>因借款人和担保人主体资格不符或消亡等原因</w:t>
      </w:r>
      <w:r>
        <w:rPr>
          <w:rFonts w:ascii="华文细黑" w:hAnsi="华文细黑" w:cs="华文细黑" w:eastAsia="华文细黑" w:hint="default"/>
          <w:spacing w:val="-2"/>
        </w:rPr>
        <w:t>,</w:t>
      </w:r>
      <w:r>
        <w:rPr>
          <w:spacing w:val="-2"/>
        </w:rPr>
        <w:t>被法院驳回起</w:t>
      </w:r>
      <w:r>
        <w:rPr/>
        <w:t> </w:t>
      </w:r>
      <w:r>
        <w:rPr>
          <w:spacing w:val="-2"/>
        </w:rPr>
        <w:t>诉或裁定免除</w:t>
      </w:r>
      <w:r>
        <w:rPr>
          <w:rFonts w:ascii="华文细黑" w:hAnsi="华文细黑" w:cs="华文细黑" w:eastAsia="华文细黑" w:hint="default"/>
          <w:spacing w:val="-2"/>
        </w:rPr>
        <w:t>(</w:t>
      </w:r>
      <w:r>
        <w:rPr>
          <w:spacing w:val="-2"/>
        </w:rPr>
        <w:t>或部分免除</w:t>
      </w:r>
      <w:r>
        <w:rPr>
          <w:rFonts w:ascii="华文细黑" w:hAnsi="华文细黑" w:cs="华文细黑" w:eastAsia="华文细黑" w:hint="default"/>
          <w:spacing w:val="-2"/>
        </w:rPr>
        <w:t>)</w:t>
      </w:r>
      <w:r>
        <w:rPr>
          <w:spacing w:val="-2"/>
        </w:rPr>
        <w:t>债务人责任</w:t>
      </w:r>
      <w:r>
        <w:rPr>
          <w:rFonts w:ascii="华文细黑" w:hAnsi="华文细黑" w:cs="华文细黑" w:eastAsia="华文细黑" w:hint="default"/>
          <w:spacing w:val="-2"/>
        </w:rPr>
        <w:t>;</w:t>
      </w:r>
      <w:r>
        <w:rPr>
          <w:spacing w:val="-2"/>
        </w:rPr>
        <w:t>或借款合同、担保合同等权利凭证遗失或丧失诉讼时效</w:t>
      </w:r>
      <w:r>
        <w:rPr>
          <w:rFonts w:ascii="华文细黑" w:hAnsi="华文细黑" w:cs="华文细黑" w:eastAsia="华文细黑" w:hint="default"/>
          <w:spacing w:val="-2"/>
        </w:rPr>
        <w:t>,</w:t>
      </w:r>
      <w:r>
        <w:rPr>
          <w:spacing w:val="-2"/>
        </w:rPr>
        <w:t>法院</w:t>
      </w:r>
    </w:p>
    <w:p>
      <w:pPr>
        <w:spacing w:after="0" w:line="324" w:lineRule="auto"/>
        <w:jc w:val="both"/>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240" w:lineRule="auto" w:before="10"/>
        <w:ind w:right="1246"/>
        <w:jc w:val="left"/>
      </w:pPr>
      <w:r>
        <w:rPr/>
        <w:t>不予受理或不予支持</w:t>
      </w:r>
      <w:r>
        <w:rPr>
          <w:rFonts w:ascii="华文细黑" w:hAnsi="华文细黑" w:cs="华文细黑" w:eastAsia="华文细黑" w:hint="default"/>
        </w:rPr>
        <w:t>,</w:t>
      </w:r>
      <w:r>
        <w:rPr/>
        <w:t>本公司经追偿后无法收回的债权；</w:t>
      </w:r>
    </w:p>
    <w:p>
      <w:pPr>
        <w:pStyle w:val="BodyText"/>
        <w:spacing w:line="324" w:lineRule="auto" w:before="144"/>
        <w:ind w:right="1425" w:firstLine="420"/>
        <w:jc w:val="left"/>
      </w:pPr>
      <w:r>
        <w:rPr>
          <w:rFonts w:ascii="华文细黑" w:hAnsi="华文细黑" w:cs="华文细黑" w:eastAsia="华文细黑" w:hint="default"/>
          <w:spacing w:val="-8"/>
        </w:rPr>
        <w:t>I</w:t>
      </w:r>
      <w:r>
        <w:rPr>
          <w:spacing w:val="-8"/>
        </w:rPr>
        <w:t>．由于上述 </w:t>
      </w:r>
      <w:r>
        <w:rPr>
          <w:rFonts w:ascii="华文细黑" w:hAnsi="华文细黑" w:cs="华文细黑" w:eastAsia="华文细黑" w:hint="default"/>
        </w:rPr>
        <w:t>A </w:t>
      </w:r>
      <w:r>
        <w:rPr/>
        <w:t>至 </w:t>
      </w:r>
      <w:r>
        <w:rPr>
          <w:rFonts w:ascii="华文细黑" w:hAnsi="华文细黑" w:cs="华文细黑" w:eastAsia="华文细黑" w:hint="default"/>
        </w:rPr>
        <w:t>H</w:t>
      </w:r>
      <w:r>
        <w:rPr>
          <w:rFonts w:ascii="华文细黑" w:hAnsi="华文细黑" w:cs="华文细黑" w:eastAsia="华文细黑" w:hint="default"/>
          <w:spacing w:val="4"/>
        </w:rPr>
        <w:t> </w:t>
      </w:r>
      <w:r>
        <w:rPr/>
        <w:t>项原因借款人不能偿还到期债务</w:t>
      </w:r>
      <w:r>
        <w:rPr>
          <w:rFonts w:ascii="华文细黑" w:hAnsi="华文细黑" w:cs="华文细黑" w:eastAsia="华文细黑" w:hint="default"/>
        </w:rPr>
        <w:t>,</w:t>
      </w:r>
      <w:r>
        <w:rPr/>
        <w:t>本公司依法取得抵债资产</w:t>
      </w:r>
      <w:r>
        <w:rPr>
          <w:rFonts w:ascii="华文细黑" w:hAnsi="华文细黑" w:cs="华文细黑" w:eastAsia="华文细黑" w:hint="default"/>
        </w:rPr>
        <w:t>,</w:t>
      </w:r>
      <w:r>
        <w:rPr/>
        <w:t>抵债金额小于贷 款本息的差额</w:t>
      </w:r>
      <w:r>
        <w:rPr>
          <w:rFonts w:ascii="华文细黑" w:hAnsi="华文细黑" w:cs="华文细黑" w:eastAsia="华文细黑" w:hint="default"/>
        </w:rPr>
        <w:t>,</w:t>
      </w:r>
      <w:r>
        <w:rPr/>
        <w:t>经追偿后仍无法收回的债权；</w:t>
      </w:r>
    </w:p>
    <w:p>
      <w:pPr>
        <w:pStyle w:val="BodyText"/>
        <w:spacing w:line="355" w:lineRule="auto" w:before="65"/>
        <w:ind w:left="560" w:right="1246"/>
        <w:jc w:val="left"/>
      </w:pPr>
      <w:r>
        <w:rPr/>
        <w:t>以上确实不能收回的贷款</w:t>
      </w:r>
      <w:r>
        <w:rPr>
          <w:rFonts w:ascii="华文细黑" w:hAnsi="华文细黑" w:cs="华文细黑" w:eastAsia="华文细黑" w:hint="default"/>
        </w:rPr>
        <w:t>,</w:t>
      </w:r>
      <w:r>
        <w:rPr/>
        <w:t>按审批权限报经董事会或股东大会批准后作为贷款损失核销。 </w:t>
      </w:r>
      <w:bookmarkStart w:name="13、持有待售资产和处置组" w:id="238"/>
      <w:bookmarkEnd w:id="238"/>
      <w:r>
        <w:rPr/>
      </w:r>
      <w:r>
        <w:rPr>
          <w:rFonts w:ascii="华文细黑" w:hAnsi="华文细黑" w:cs="华文细黑" w:eastAsia="华文细黑" w:hint="default"/>
          <w:b/>
          <w:bCs/>
        </w:rPr>
        <w:t>13</w:t>
      </w:r>
      <w:r>
        <w:rPr>
          <w:rFonts w:ascii="华文细黑" w:hAnsi="华文细黑" w:cs="华文细黑" w:eastAsia="华文细黑" w:hint="default"/>
          <w:b/>
          <w:bCs/>
        </w:rPr>
        <w:t>、持有待售资产和处置组</w:t>
      </w:r>
      <w:r>
        <w:rPr>
          <w:rFonts w:ascii="华文细黑" w:hAnsi="华文细黑" w:cs="华文细黑" w:eastAsia="华文细黑" w:hint="default"/>
          <w:b/>
          <w:bCs/>
          <w:w w:val="99"/>
        </w:rPr>
        <w:t> </w:t>
      </w:r>
      <w:r>
        <w:rPr>
          <w:spacing w:val="-1"/>
        </w:rPr>
        <w:t>本公司若主要通过出售（包括具有商业实质的非货币性资产交换，下同）而非持续使用一项非</w:t>
      </w:r>
    </w:p>
    <w:p>
      <w:pPr>
        <w:pStyle w:val="BodyText"/>
        <w:spacing w:line="324" w:lineRule="auto"/>
        <w:ind w:right="1246"/>
        <w:jc w:val="left"/>
      </w:pPr>
      <w:r>
        <w:rPr>
          <w:spacing w:val="-3"/>
        </w:rPr>
        <w:t>流动资产或处置组收回其账面价值的，则将其划分为持有待售类别。具体标准为同时满足以下条件：</w:t>
      </w:r>
      <w:r>
        <w:rPr>
          <w:spacing w:val="-29"/>
        </w:rPr>
        <w:t> </w:t>
      </w:r>
      <w:r>
        <w:rPr>
          <w:spacing w:val="-29"/>
        </w:rPr>
      </w:r>
      <w:r>
        <w:rPr/>
        <w:t>某项非流动资产或处置组根据类似交易中出售此类资产或处置组的惯例，在当前状况下即可立即出</w:t>
      </w:r>
      <w:r>
        <w:rPr/>
        <w:t> 售；本公司已经就出售计划作出决议且获得确定的购买承诺；预计出售将在一年内完成。其中，处 置组是指在一项交易中作为整体通过出售或其他方式一并处置的一组资产，以及在该交易中转让的 与这些资产直接相关的负债。处置组所属的资产组或资产组组合按照《企业会计准则第 </w:t>
      </w:r>
      <w:r>
        <w:rPr>
          <w:rFonts w:ascii="华文细黑" w:hAnsi="华文细黑" w:cs="华文细黑" w:eastAsia="华文细黑" w:hint="default"/>
        </w:rPr>
        <w:t>8</w:t>
      </w:r>
      <w:r>
        <w:rPr>
          <w:rFonts w:ascii="华文细黑" w:hAnsi="华文细黑" w:cs="华文细黑" w:eastAsia="华文细黑" w:hint="default"/>
          <w:spacing w:val="52"/>
        </w:rPr>
        <w:t> </w:t>
      </w:r>
      <w:r>
        <w:rPr/>
        <w:t>号—— 资产减值》分摊了企业合并中取得的商誉的，该处置组应当包含分摊至处置组的商誉。</w:t>
      </w:r>
    </w:p>
    <w:p>
      <w:pPr>
        <w:pStyle w:val="BodyText"/>
        <w:spacing w:line="324" w:lineRule="auto" w:before="64"/>
        <w:ind w:right="1416" w:firstLine="420"/>
        <w:jc w:val="left"/>
      </w:pPr>
      <w:r>
        <w:rPr/>
        <w:t>本公司初始计量或在资产负债表日重新计量划分为持有待售的非流动资产和处置组时，其账面 价值高于公允价值减去出售费用后的净额的，将账面价值减记至公允价值减去出售费用后的净额， 减记的金额确认为资产减值损失，计入当期损益，同时计提持有待售资产减值准备。对于处置组， 所确认的资产减值损失先抵减处置组中商誉的账面价值，再按比例抵减该处置组内适用《企业会计 准则第 </w:t>
      </w:r>
      <w:r>
        <w:rPr>
          <w:rFonts w:ascii="华文细黑" w:hAnsi="华文细黑" w:cs="华文细黑" w:eastAsia="华文细黑" w:hint="default"/>
        </w:rPr>
        <w:t>42 </w:t>
      </w:r>
      <w:r>
        <w:rPr>
          <w:spacing w:val="-6"/>
        </w:rPr>
        <w:t>号——持有待售的非流动资产、处置组和终止经营》（以下简称“持有待售准则”）的计</w:t>
      </w:r>
      <w:r>
        <w:rPr>
          <w:spacing w:val="-35"/>
        </w:rPr>
        <w:t> </w:t>
      </w:r>
      <w:r>
        <w:rPr>
          <w:spacing w:val="-35"/>
        </w:rPr>
      </w:r>
      <w:r>
        <w:rPr/>
        <w:t>量规定的各项非流动资产的账面价值。后续资产负债表日持有待售的处置组公允价值减去出售费用</w:t>
      </w:r>
      <w:r>
        <w:rPr/>
        <w:t> 后的净额增加的，以前减记的金额应当予以恢复，并在划分为持有待售类别后适用持有待售准则计 量规定的非流动资产确认的资产减值损失金额内转回，转回金额计入当期损益，并根据处置组中除 商誉外适用持有待售准则计量规定的各项非流动资产账面价值所占比重按比例增加其账面价值；已 抵减的商誉账面价值，以及适用持有待售准则计量规定的非流动资产在划分为持有待售类别前确认 的资产减值损失不得转回。</w:t>
      </w:r>
    </w:p>
    <w:p>
      <w:pPr>
        <w:pStyle w:val="BodyText"/>
        <w:spacing w:line="324" w:lineRule="auto" w:before="64"/>
        <w:ind w:right="1246" w:firstLine="420"/>
        <w:jc w:val="left"/>
      </w:pPr>
      <w:r>
        <w:rPr/>
        <w:t>持有待售的非流动资产或处置组中的非流动资产不计提折旧或摊销，持有待售的处置组中负债 的利息和其他费用继续予以确认。</w:t>
      </w:r>
    </w:p>
    <w:p>
      <w:pPr>
        <w:pStyle w:val="BodyText"/>
        <w:spacing w:line="324" w:lineRule="auto" w:before="64"/>
        <w:ind w:right="1436" w:firstLine="420"/>
        <w:jc w:val="both"/>
      </w:pPr>
      <w:r>
        <w:rPr/>
        <w:t>非流动资产或处置组不再满足持有待售类别的划分条件时，本公司不再将其继续划分为持有待 </w:t>
      </w:r>
      <w:r>
        <w:rPr>
          <w:spacing w:val="-3"/>
        </w:rPr>
        <w:t>售类别或将非流动资产从持有待售的处置组中移除，并按照以下两者孰低计量：（</w:t>
      </w:r>
      <w:r>
        <w:rPr>
          <w:rFonts w:ascii="华文细黑" w:hAnsi="华文细黑" w:cs="华文细黑" w:eastAsia="华文细黑" w:hint="default"/>
          <w:spacing w:val="-3"/>
        </w:rPr>
        <w:t>1</w:t>
      </w:r>
      <w:r>
        <w:rPr>
          <w:spacing w:val="-3"/>
        </w:rPr>
        <w:t>）划分为持有待</w:t>
      </w:r>
      <w:r>
        <w:rPr>
          <w:spacing w:val="-41"/>
        </w:rPr>
        <w:t> </w:t>
      </w:r>
      <w:r>
        <w:rPr>
          <w:spacing w:val="-41"/>
        </w:rPr>
      </w:r>
      <w:r>
        <w:rPr/>
        <w:t>售类别前的账面价值，按照假定不划分为持有待售类别情况下本应确认的折旧、摊销或减值等进行</w:t>
      </w:r>
      <w:r>
        <w:rPr/>
        <w:t> </w:t>
      </w:r>
      <w:r>
        <w:rPr>
          <w:spacing w:val="-7"/>
        </w:rPr>
        <w:t>调整后的金额；（</w:t>
      </w:r>
      <w:r>
        <w:rPr>
          <w:rFonts w:ascii="华文细黑" w:hAnsi="华文细黑" w:cs="华文细黑" w:eastAsia="华文细黑" w:hint="default"/>
          <w:spacing w:val="-7"/>
        </w:rPr>
        <w:t>2</w:t>
      </w:r>
      <w:r>
        <w:rPr>
          <w:spacing w:val="-7"/>
        </w:rPr>
        <w:t>）可收回金额。</w:t>
      </w:r>
    </w:p>
    <w:p>
      <w:pPr>
        <w:pStyle w:val="BodyText"/>
        <w:spacing w:line="357" w:lineRule="auto" w:before="63"/>
        <w:ind w:left="560" w:right="1416"/>
        <w:jc w:val="left"/>
      </w:pPr>
      <w:bookmarkStart w:name="14、长期股权投资" w:id="239"/>
      <w:bookmarkEnd w:id="239"/>
      <w:r>
        <w:rPr/>
      </w:r>
      <w:r>
        <w:rPr>
          <w:rFonts w:ascii="华文细黑" w:hAnsi="华文细黑" w:cs="华文细黑" w:eastAsia="华文细黑" w:hint="default"/>
          <w:b/>
          <w:bCs/>
        </w:rPr>
        <w:t>14</w:t>
      </w:r>
      <w:r>
        <w:rPr>
          <w:rFonts w:ascii="华文细黑" w:hAnsi="华文细黑" w:cs="华文细黑" w:eastAsia="华文细黑" w:hint="default"/>
          <w:b/>
          <w:bCs/>
        </w:rPr>
        <w:t>、长期股权投资</w:t>
      </w:r>
      <w:r>
        <w:rPr>
          <w:rFonts w:ascii="华文细黑" w:hAnsi="华文细黑" w:cs="华文细黑" w:eastAsia="华文细黑" w:hint="default"/>
          <w:b/>
          <w:bCs/>
          <w:w w:val="99"/>
        </w:rPr>
        <w:t> </w:t>
      </w:r>
      <w:r>
        <w:rPr/>
        <w:t>本部分所指的长期股权投资是指本公司对被投资单位具有控制、共同控制或重大影响的长期股</w:t>
      </w:r>
    </w:p>
    <w:p>
      <w:pPr>
        <w:pStyle w:val="BodyText"/>
        <w:spacing w:line="324" w:lineRule="auto"/>
        <w:ind w:right="1246"/>
        <w:jc w:val="left"/>
      </w:pPr>
      <w:r>
        <w:rPr>
          <w:spacing w:val="-1"/>
        </w:rPr>
        <w:t>权投资。本公司对被投资单位不具有控制、共同控制或重大影响的长期股权投资，作为可供出售金</w:t>
      </w:r>
      <w:r>
        <w:rPr>
          <w:spacing w:val="-16"/>
        </w:rPr>
        <w:t> </w:t>
      </w:r>
      <w:r>
        <w:rPr>
          <w:spacing w:val="-16"/>
        </w:rPr>
      </w:r>
      <w:r>
        <w:rPr/>
        <w:t>融资产或以公允价值计量且其变动计入当期损益的金融资产核算，其会计政策详见附注四、</w:t>
      </w:r>
      <w:r>
        <w:rPr>
          <w:rFonts w:ascii="华文细黑" w:hAnsi="华文细黑" w:cs="华文细黑" w:eastAsia="华文细黑" w:hint="default"/>
        </w:rPr>
        <w:t>9</w:t>
      </w:r>
      <w:r>
        <w:rPr/>
        <w:t>“金</w:t>
      </w:r>
    </w:p>
    <w:p>
      <w:pPr>
        <w:spacing w:after="0" w:line="324" w:lineRule="auto"/>
        <w:jc w:val="left"/>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240" w:lineRule="auto" w:before="10"/>
        <w:ind w:right="1246"/>
        <w:jc w:val="left"/>
      </w:pPr>
      <w:r>
        <w:rPr/>
        <w:t>融工具</w:t>
      </w:r>
      <w:r>
        <w:rPr>
          <w:spacing w:val="-105"/>
        </w:rPr>
        <w:t>”</w:t>
      </w:r>
      <w:r>
        <w:rPr/>
        <w:t>。</w:t>
      </w:r>
    </w:p>
    <w:p>
      <w:pPr>
        <w:pStyle w:val="BodyText"/>
        <w:spacing w:line="324" w:lineRule="auto" w:before="144"/>
        <w:ind w:right="1438" w:firstLine="420"/>
        <w:jc w:val="both"/>
      </w:pPr>
      <w:r>
        <w:rPr>
          <w:spacing w:val="-1"/>
        </w:rPr>
        <w:t>共同控制，是指本公司按照相关约定对某项安排所共有的控制，并且该安排的相关活动必须经</w:t>
      </w:r>
      <w:r>
        <w:rPr/>
        <w:t> </w:t>
      </w:r>
      <w:r>
        <w:rPr>
          <w:spacing w:val="-1"/>
        </w:rPr>
        <w:t>过分享控制权的参与方一致同意后才能决策。重大影响，是指本公司对被投资单位的财务和经营政</w:t>
      </w:r>
      <w:r>
        <w:rPr>
          <w:spacing w:val="-16"/>
        </w:rPr>
        <w:t> </w:t>
      </w:r>
      <w:r>
        <w:rPr>
          <w:spacing w:val="-16"/>
        </w:rPr>
      </w:r>
      <w:r>
        <w:rPr/>
        <w:t>策有参与决策的权力，但并不能够控制或者与其他方一起共同控制这些政策的制定。</w:t>
      </w:r>
    </w:p>
    <w:p>
      <w:pPr>
        <w:pStyle w:val="BodyText"/>
        <w:spacing w:line="357" w:lineRule="auto" w:before="64"/>
        <w:ind w:left="560" w:right="1416"/>
        <w:jc w:val="left"/>
      </w:pPr>
      <w:r>
        <w:rPr/>
        <w:t>（</w:t>
      </w:r>
      <w:r>
        <w:rPr>
          <w:rFonts w:ascii="华文细黑" w:hAnsi="华文细黑" w:cs="华文细黑" w:eastAsia="华文细黑" w:hint="default"/>
        </w:rPr>
        <w:t>1</w:t>
      </w:r>
      <w:r>
        <w:rPr/>
        <w:t>）投资成本的确定 对于同一控制下的企业合并取得的长期股权投资，在合并日按照被合并方股东权益在最终控制</w:t>
      </w:r>
    </w:p>
    <w:p>
      <w:pPr>
        <w:pStyle w:val="BodyText"/>
        <w:spacing w:line="324" w:lineRule="auto"/>
        <w:ind w:right="1416"/>
        <w:jc w:val="left"/>
      </w:pPr>
      <w:r>
        <w:rPr/>
        <w:t>方合并财务报表中的账面价值的份额作为长期股权投资的初始投资成本。长期股权投资初始投资成 本与支付的现金、转让的非现金资产以及所承担债务账面价值之间的差额，调整资本公积；资本公 积不足冲减的，调整留存收益。以发行权益性证券作为合并对价的，在合并日按照被合并方股东权 益在最终控制方合并财务报表中的账面价值的份额作为长期股权投资的初始投资成本，按照发行股 份的面值总额作为股本，长期股权投资初始投资成本与所发行股份面值总额之间的差额，调整资本 公积；资本公积不足冲减的，调整留存收益。通过多次交易分步取得同一控制下被合并方的股权， 最终形成同一控制下企业合并的，应分别是否属于“一揽子交易”进行处理：属于“一揽子交易” 的，将各项交易作为一项取得控制权的交易进行会计处理。不属于“一揽子交易”的，在合并日按 照应享有被合并方股东权益在最终控制方合并财务报表中的账面价值的份额作为长期股权投资的 初始投资成本，长期股权投资初始投资成本与达到合并前的长期股权投资账面价值加上合并日进一 步取得股份新支付对价的账面价值之和的差额，调整资本公积；资本公积不足冲减的，调整留存收 益。合并日之前持有的股权投资因采用权益法核算或为可供出售金融资产而确认的其他综合收益， 暂不进行会计处理。</w:t>
      </w:r>
    </w:p>
    <w:p>
      <w:pPr>
        <w:pStyle w:val="BodyText"/>
        <w:spacing w:line="324" w:lineRule="auto" w:before="64"/>
        <w:ind w:right="1437" w:firstLine="420"/>
        <w:jc w:val="both"/>
      </w:pPr>
      <w:r>
        <w:rPr/>
        <w:t>对于非同一控制下的企业合并取得的长期股权投资，在购买日按照合并成本作为长期股权投资 的初始投资成本，合并成本包括购买方付出的资产、发生或承担的负债、发行的权益性证券的公允 价值之和。通过多次交易分步取得被购买方的股权，最终形成非同一控制下的企业合并的，应分别 </w:t>
      </w:r>
      <w:r>
        <w:rPr>
          <w:spacing w:val="-1"/>
        </w:rPr>
        <w:t>是否属于“一揽子交易”进行处理：属于“一揽子交易”的，将各项交易作为一项取得控制权的交</w:t>
      </w:r>
      <w:r>
        <w:rPr>
          <w:spacing w:val="-20"/>
        </w:rPr>
        <w:t> </w:t>
      </w:r>
      <w:r>
        <w:rPr>
          <w:spacing w:val="-20"/>
        </w:rPr>
      </w:r>
      <w:r>
        <w:rPr>
          <w:spacing w:val="-1"/>
        </w:rPr>
        <w:t>易进行会计处理。不属于“一揽子交易”的，按照原持有被购买方的股权投资账面价值加上新增投</w:t>
      </w:r>
      <w:r>
        <w:rPr>
          <w:spacing w:val="-17"/>
        </w:rPr>
        <w:t> </w:t>
      </w:r>
      <w:r>
        <w:rPr>
          <w:spacing w:val="-17"/>
        </w:rPr>
      </w:r>
      <w:r>
        <w:rPr/>
        <w:t>资成本之和，作为改按成本法核算的长期股权投资的初始投资成本。原持有的股权采用权益法核算</w:t>
      </w:r>
      <w:r>
        <w:rPr/>
        <w:t> 的，相关其他综合收益暂不进行会计处理。原持有股权投资为可供出售金融资产的，其公允价值与 账面价值之间的差额，以及原计入其他综合收益的累计公允价值变动转入当期损益。</w:t>
      </w:r>
    </w:p>
    <w:p>
      <w:pPr>
        <w:pStyle w:val="BodyText"/>
        <w:spacing w:line="324" w:lineRule="auto" w:before="64"/>
        <w:ind w:right="1438" w:firstLine="420"/>
        <w:jc w:val="both"/>
      </w:pPr>
      <w:r>
        <w:rPr>
          <w:spacing w:val="-1"/>
        </w:rPr>
        <w:t>合并方或购买方为企业合并发生的审计、法律服务、评估咨询等中介费用以及其他相关管理费</w:t>
      </w:r>
      <w:r>
        <w:rPr/>
        <w:t> 用，于发生时计入当期损益。</w:t>
      </w:r>
    </w:p>
    <w:p>
      <w:pPr>
        <w:pStyle w:val="BodyText"/>
        <w:spacing w:line="324" w:lineRule="auto" w:before="64"/>
        <w:ind w:right="1434" w:firstLine="420"/>
        <w:jc w:val="both"/>
      </w:pPr>
      <w:r>
        <w:rPr/>
        <w:t>除企业合并形成的长期股权投资外的其他股权投资，按成本进行初始计量，该成本视长期股权 投资取得方式的不同，分别按照本公司实际支付的现金购买价款、本公司发行的权益性证券的公允 价值、投资合同或协议约定的价值、非货币性资产交换交易中换出资产的公允价值或原账面价值、 该项长期股权投资自身的公允价值等方式确定。与取得长期股权投资直接相关的费用、税金及其他 必要支出也计入投资成本。对于因追加投资能够对被投资单位实施重大影响或实施共同控制但不构</w:t>
      </w:r>
    </w:p>
    <w:p>
      <w:pPr>
        <w:spacing w:after="0" w:line="324" w:lineRule="auto"/>
        <w:jc w:val="both"/>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324" w:lineRule="auto" w:before="10"/>
        <w:ind w:right="1246"/>
        <w:jc w:val="left"/>
      </w:pPr>
      <w:r>
        <w:rPr/>
        <w:t>成控制的，长期股权投资成本为按照《企业会计准则第 </w:t>
      </w:r>
      <w:r>
        <w:rPr>
          <w:rFonts w:ascii="华文细黑" w:hAnsi="华文细黑" w:cs="华文细黑" w:eastAsia="华文细黑" w:hint="default"/>
        </w:rPr>
        <w:t>22</w:t>
      </w:r>
      <w:r>
        <w:rPr>
          <w:rFonts w:ascii="华文细黑" w:hAnsi="华文细黑" w:cs="华文细黑" w:eastAsia="华文细黑" w:hint="default"/>
          <w:spacing w:val="25"/>
        </w:rPr>
        <w:t> </w:t>
      </w:r>
      <w:r>
        <w:rPr/>
        <w:t>号——金融工具确认和计量》确定的原 持有股权投资的公允价值加上新增投资成本之和。</w:t>
      </w:r>
    </w:p>
    <w:p>
      <w:pPr>
        <w:pStyle w:val="BodyText"/>
        <w:spacing w:line="357" w:lineRule="auto" w:before="64"/>
        <w:ind w:left="560" w:right="1416"/>
        <w:jc w:val="left"/>
      </w:pPr>
      <w:r>
        <w:rPr/>
        <w:t>（</w:t>
      </w:r>
      <w:r>
        <w:rPr>
          <w:rFonts w:ascii="华文细黑" w:hAnsi="华文细黑" w:cs="华文细黑" w:eastAsia="华文细黑" w:hint="default"/>
        </w:rPr>
        <w:t>2</w:t>
      </w:r>
      <w:r>
        <w:rPr/>
        <w:t>）后续计量及损益确认方法 对被投资单位具有共同控制（构成共同经营者除外）或重大影响的长期股权投资，采用权益法</w:t>
      </w:r>
    </w:p>
    <w:p>
      <w:pPr>
        <w:pStyle w:val="BodyText"/>
        <w:spacing w:line="289" w:lineRule="exact"/>
        <w:ind w:right="1246"/>
        <w:jc w:val="left"/>
      </w:pPr>
      <w:r>
        <w:rPr/>
        <w:t>核算。此外，公司财务报表采用成本法核算能够对被投资单位实施控制的长期股权投资。</w:t>
      </w:r>
    </w:p>
    <w:p>
      <w:pPr>
        <w:pStyle w:val="BodyText"/>
        <w:spacing w:line="355" w:lineRule="auto" w:before="144"/>
        <w:ind w:left="560" w:right="1246"/>
        <w:jc w:val="left"/>
      </w:pPr>
      <w:r>
        <w:rPr/>
        <w:t>①</w:t>
      </w:r>
      <w:r>
        <w:rPr>
          <w:spacing w:val="52"/>
        </w:rPr>
        <w:t> </w:t>
      </w:r>
      <w:r>
        <w:rPr/>
        <w:t>成本法核算的长期股权投资</w:t>
      </w:r>
      <w:r>
        <w:rPr/>
        <w:t> </w:t>
      </w:r>
      <w:r>
        <w:rPr>
          <w:spacing w:val="-1"/>
        </w:rPr>
        <w:t>采用成本法核算时，长期股权投资按初始投资成本计价，追加或收回投资调整长期股权投资的</w:t>
      </w:r>
    </w:p>
    <w:p>
      <w:pPr>
        <w:pStyle w:val="BodyText"/>
        <w:spacing w:line="324" w:lineRule="auto"/>
        <w:ind w:right="1416"/>
        <w:jc w:val="left"/>
      </w:pPr>
      <w:r>
        <w:rPr/>
        <w:t>成本。除取得投资时实际支付的价款或者对价中包含的已宣告但尚未发放的现金股利或者利润外， 当期投资收益按照享有被投资单位宣告发放的现金股利或利润确认。</w:t>
      </w:r>
    </w:p>
    <w:p>
      <w:pPr>
        <w:pStyle w:val="BodyText"/>
        <w:spacing w:line="355" w:lineRule="auto" w:before="64"/>
        <w:ind w:left="560" w:right="1416"/>
        <w:jc w:val="left"/>
      </w:pPr>
      <w:r>
        <w:rPr/>
        <w:t>②</w:t>
      </w:r>
      <w:r>
        <w:rPr>
          <w:spacing w:val="52"/>
        </w:rPr>
        <w:t> </w:t>
      </w:r>
      <w:r>
        <w:rPr/>
        <w:t>权益法核算的长期股权投资</w:t>
      </w:r>
      <w:r>
        <w:rPr/>
        <w:t> 采用权益法核算时，长期股权投资的初始投资成本大于投资时应享有被投资单位可辨认净资产</w:t>
      </w:r>
    </w:p>
    <w:p>
      <w:pPr>
        <w:pStyle w:val="BodyText"/>
        <w:spacing w:line="324" w:lineRule="auto"/>
        <w:ind w:right="1246"/>
        <w:jc w:val="left"/>
      </w:pPr>
      <w:r>
        <w:rPr>
          <w:spacing w:val="-1"/>
        </w:rPr>
        <w:t>公允价值份额的，不调整长期股权投资的初始投资成本；初始投资成本小于投资时应享有被投资单</w:t>
      </w:r>
      <w:r>
        <w:rPr>
          <w:spacing w:val="-16"/>
        </w:rPr>
        <w:t> </w:t>
      </w:r>
      <w:r>
        <w:rPr>
          <w:spacing w:val="-16"/>
        </w:rPr>
      </w:r>
      <w:r>
        <w:rPr/>
        <w:t>位可辨认净资产公允价值份额的，其差额计入当期损益，同时调整长期股权投资的成本。</w:t>
      </w:r>
    </w:p>
    <w:p>
      <w:pPr>
        <w:pStyle w:val="BodyText"/>
        <w:spacing w:line="324" w:lineRule="auto" w:before="64"/>
        <w:ind w:right="1416" w:firstLine="420"/>
        <w:jc w:val="left"/>
      </w:pPr>
      <w:r>
        <w:rPr/>
        <w:t>采用权益法核算时，按照应享有或应分担的被投资单位实现的净损益和其他综合收益的份额， 分别确认投资收益和其他综合收益，同时调整长期股权投资的账面价值；按照被投资单位宣告分派 的利润或现金股利计算应享有的部分，相应减少长期股权投资的账面价值；对于被投资单位除净损 益、其他综合收益和利润分配以外所有者权益的其他变动，调整长期股权投资的账面价值并计入资 本公积。在确认应享有被投资单位净损益的份额时，以取得投资时被投资单位各项可辨认资产等的 公允价值为基础，对被投资单位的净利润进行调整后确认。被投资单位采用的会计政策及会计期间 与本公司不一致的，按照本公司的会计政策及会计期间对被投资单位的财务报表进行调整，并据以 确认投资收益和其他综合收益。对于本公司与联营企业及合营企业之间发生的交易，投出或出售的 资产不构成业务的，未实现内部交易损益按照享有的比例计算归属于本公司的部分予以抵销，在此 基础上确认投资损益。但本公司与被投资单位发生的未实现内部交易损失，属于所转让资产减值损 失的，不予以抵销。本公司向合营企业或联营企业投出的资产构成业务的，投资方因此取得长期股 权投资但未取得控制权的，以投出业务的公允价值作为新增长期股权投资的初始投资成本，初始投 资成本与投出业务的账面价值之差，全额计入当期损益。本公司向合营企业或联营企业出售的资产 构成业务的，取得的对价与业务的账面价值之差，全额计入当期损益。本公司自联营企业及合营企 业购入的资产构成业务的，按《企业会计准则第 </w:t>
      </w:r>
      <w:r>
        <w:rPr>
          <w:rFonts w:ascii="华文细黑" w:hAnsi="华文细黑" w:cs="华文细黑" w:eastAsia="华文细黑" w:hint="default"/>
        </w:rPr>
        <w:t>20</w:t>
      </w:r>
      <w:r>
        <w:rPr>
          <w:rFonts w:ascii="华文细黑" w:hAnsi="华文细黑" w:cs="华文细黑" w:eastAsia="华文细黑" w:hint="default"/>
          <w:spacing w:val="-1"/>
        </w:rPr>
        <w:t> </w:t>
      </w:r>
      <w:r>
        <w:rPr/>
        <w:t>号——企业合并》的规定进行会计处理，全额 确认与交易相关的利得或损失。</w:t>
      </w:r>
    </w:p>
    <w:p>
      <w:pPr>
        <w:pStyle w:val="BodyText"/>
        <w:spacing w:line="324" w:lineRule="auto" w:before="63"/>
        <w:ind w:right="1246" w:firstLine="420"/>
        <w:jc w:val="left"/>
      </w:pPr>
      <w:r>
        <w:rPr/>
        <w:t>在确认应分担被投资单位发生的净亏损时，以长期股权投资的账面价值和其他实质上构成对被 </w:t>
      </w:r>
      <w:r>
        <w:rPr>
          <w:spacing w:val="-3"/>
        </w:rPr>
        <w:t>投资单位净投资的长期权益减记至零为限。此外，如本公司对被投资单位负有承担额外损失的义务，</w:t>
      </w:r>
      <w:r>
        <w:rPr>
          <w:spacing w:val="-29"/>
        </w:rPr>
        <w:t> </w:t>
      </w:r>
      <w:r>
        <w:rPr>
          <w:spacing w:val="-29"/>
        </w:rPr>
      </w:r>
      <w:r>
        <w:rPr/>
        <w:t>则按预计承担的义务确认预计负债，计入当期投资损失。被投资单位以后期间实现净利润的，本公</w:t>
      </w:r>
      <w:r>
        <w:rPr/>
        <w:t> 司在收益分享额弥补未确认的亏损分担额后，恢复确认收益分享额。</w:t>
      </w:r>
    </w:p>
    <w:p>
      <w:pPr>
        <w:spacing w:after="0" w:line="324" w:lineRule="auto"/>
        <w:jc w:val="left"/>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324" w:lineRule="auto" w:before="10"/>
        <w:ind w:right="1437" w:firstLine="420"/>
        <w:jc w:val="both"/>
      </w:pPr>
      <w:r>
        <w:rPr/>
        <w:t>对于本公司首次执行新会计准则之前已经持有的对联营企业和合营企业的长期股权投资，如存 在与该投资相关的股权投资借方差额，按原剩余期限直线摊销的金额计入当期损益。</w:t>
      </w:r>
    </w:p>
    <w:p>
      <w:pPr>
        <w:pStyle w:val="BodyText"/>
        <w:spacing w:line="357" w:lineRule="auto" w:before="64"/>
        <w:ind w:left="560" w:right="1416"/>
        <w:jc w:val="left"/>
      </w:pPr>
      <w:r>
        <w:rPr/>
        <w:t>③</w:t>
      </w:r>
      <w:r>
        <w:rPr>
          <w:spacing w:val="52"/>
        </w:rPr>
        <w:t> </w:t>
      </w:r>
      <w:r>
        <w:rPr/>
        <w:t>收购少数股权</w:t>
      </w:r>
      <w:r>
        <w:rPr/>
        <w:t> 在编制合并财务报表时，因购买少数股权新增的长期股权投资与按照新增持股比例计算应享有</w:t>
      </w:r>
    </w:p>
    <w:p>
      <w:pPr>
        <w:pStyle w:val="BodyText"/>
        <w:spacing w:line="324" w:lineRule="auto"/>
        <w:ind w:right="1438"/>
        <w:jc w:val="both"/>
      </w:pPr>
      <w:r>
        <w:rPr>
          <w:spacing w:val="-1"/>
        </w:rPr>
        <w:t>子公司自购买日（或合并日）开始持续计算的净资产份额之间的差额，调整资本公积，资本公积不</w:t>
      </w:r>
      <w:r>
        <w:rPr>
          <w:spacing w:val="-18"/>
        </w:rPr>
        <w:t> </w:t>
      </w:r>
      <w:r>
        <w:rPr>
          <w:spacing w:val="-18"/>
        </w:rPr>
      </w:r>
      <w:r>
        <w:rPr/>
        <w:t>足冲减的，调整留存收益。</w:t>
      </w:r>
    </w:p>
    <w:p>
      <w:pPr>
        <w:pStyle w:val="BodyText"/>
        <w:spacing w:line="357" w:lineRule="auto" w:before="64"/>
        <w:ind w:left="560" w:right="1246"/>
        <w:jc w:val="left"/>
      </w:pPr>
      <w:r>
        <w:rPr/>
        <w:t>④</w:t>
      </w:r>
      <w:r>
        <w:rPr>
          <w:spacing w:val="52"/>
        </w:rPr>
        <w:t> </w:t>
      </w:r>
      <w:r>
        <w:rPr/>
        <w:t>处置长期股权投资</w:t>
      </w:r>
      <w:r>
        <w:rPr/>
        <w:t> </w:t>
      </w:r>
      <w:r>
        <w:rPr>
          <w:spacing w:val="-1"/>
        </w:rPr>
        <w:t>在合并财务报表中，母公司在不丧失控制权的情况下部分处置对子公司的长期股权投资，处置</w:t>
      </w:r>
    </w:p>
    <w:p>
      <w:pPr>
        <w:pStyle w:val="BodyText"/>
        <w:spacing w:line="324" w:lineRule="auto"/>
        <w:ind w:right="1436"/>
        <w:jc w:val="both"/>
      </w:pPr>
      <w:r>
        <w:rPr/>
        <w:t>价款与处置长期股权投资相对应享有子公司净资产的差额计入股东权益；母公司部分处置对子公司 </w:t>
      </w:r>
      <w:r>
        <w:rPr>
          <w:spacing w:val="-6"/>
        </w:rPr>
        <w:t>的长期股权投资导致丧失对子公司控制权的，按本附注四、</w:t>
      </w:r>
      <w:r>
        <w:rPr>
          <w:rFonts w:ascii="华文细黑" w:hAnsi="华文细黑" w:cs="华文细黑" w:eastAsia="华文细黑" w:hint="default"/>
          <w:spacing w:val="-6"/>
        </w:rPr>
        <w:t>5</w:t>
      </w:r>
      <w:r>
        <w:rPr>
          <w:spacing w:val="-6"/>
        </w:rPr>
        <w:t>、（</w:t>
      </w:r>
      <w:r>
        <w:rPr>
          <w:rFonts w:ascii="华文细黑" w:hAnsi="华文细黑" w:cs="华文细黑" w:eastAsia="华文细黑" w:hint="default"/>
          <w:spacing w:val="-6"/>
        </w:rPr>
        <w:t>2</w:t>
      </w:r>
      <w:r>
        <w:rPr>
          <w:spacing w:val="-6"/>
        </w:rPr>
        <w:t>）“合并财务报表编制的方法”中</w:t>
      </w:r>
      <w:r>
        <w:rPr>
          <w:spacing w:val="-21"/>
        </w:rPr>
        <w:t> </w:t>
      </w:r>
      <w:r>
        <w:rPr>
          <w:spacing w:val="-21"/>
        </w:rPr>
      </w:r>
      <w:r>
        <w:rPr/>
        <w:t>所述的相关会计政策处理。</w:t>
      </w:r>
    </w:p>
    <w:p>
      <w:pPr>
        <w:pStyle w:val="BodyText"/>
        <w:spacing w:line="324" w:lineRule="auto" w:before="63"/>
        <w:ind w:right="1437" w:firstLine="420"/>
        <w:jc w:val="both"/>
      </w:pPr>
      <w:r>
        <w:rPr/>
        <w:t>其他情形下的长期股权投资处置，对于处置的股权，其账面价值与实际取得价款的差额，计入 当期损益。</w:t>
      </w:r>
    </w:p>
    <w:p>
      <w:pPr>
        <w:pStyle w:val="BodyText"/>
        <w:spacing w:line="324" w:lineRule="auto" w:before="63"/>
        <w:ind w:right="1246" w:firstLine="420"/>
        <w:jc w:val="left"/>
      </w:pPr>
      <w:r>
        <w:rPr>
          <w:spacing w:val="-1"/>
        </w:rPr>
        <w:t>采用权益法核算的长期股权投资，处置后的剩余股权仍采用权益法核算的，在处置时将原计入</w:t>
      </w:r>
      <w:r>
        <w:rPr/>
        <w:t> 股东权益的其他综合收益部分按相应的比例采用与被投资单位直接处置相关资产或负债相同的基 </w:t>
      </w:r>
      <w:r>
        <w:rPr>
          <w:spacing w:val="-1"/>
        </w:rPr>
        <w:t>础进行会计处理。因被投资方除净损益、其他综合收益和利润分配以外的其他所有者权益变动而确</w:t>
      </w:r>
      <w:r>
        <w:rPr>
          <w:spacing w:val="-16"/>
        </w:rPr>
        <w:t> </w:t>
      </w:r>
      <w:r>
        <w:rPr>
          <w:spacing w:val="-16"/>
        </w:rPr>
      </w:r>
      <w:r>
        <w:rPr/>
        <w:t>认的所有者权益，按比例结转入当期损益。</w:t>
      </w:r>
    </w:p>
    <w:p>
      <w:pPr>
        <w:pStyle w:val="BodyText"/>
        <w:spacing w:line="324" w:lineRule="auto" w:before="65"/>
        <w:ind w:right="1437" w:firstLine="420"/>
        <w:jc w:val="both"/>
      </w:pPr>
      <w:r>
        <w:rPr/>
        <w:t>采用成本法核算的长期股权投资，处置后剩余股权仍采用成本法核算的，其在取得对被投资单 位的控制之前因采用权益法核算或金融工具确认和计量准则核算而确认的其他综合收益，采用与被 投资单位直接处置相关资产或负债相同的基础进行会计处理，并按比例结转当期损益；因采用权益 法核算而确认的被投资单位净资产中除净损益、其他综合收益和利润分配以外的其他所有者权益变 动按比例结转当期损益。</w:t>
      </w:r>
    </w:p>
    <w:p>
      <w:pPr>
        <w:pStyle w:val="BodyText"/>
        <w:spacing w:line="324" w:lineRule="auto" w:before="64"/>
        <w:ind w:right="1437" w:firstLine="420"/>
        <w:jc w:val="both"/>
      </w:pPr>
      <w:r>
        <w:rPr/>
        <w:t>本公司因处置部分股权投资丧失了对被投资单位的控制的，在编制个别财务报表时，处置后的 剩余股权能够对被投资单位实施共同控制或施加重大影响的，改按权益法核算，并对该剩余股权视 同自取得时即采用权益法核算进行调整；处置后的剩余股权不能对被投资单位实施共同控制或施加 重大影响的，改按金融工具确认和计量准则的有关规定进行会计处理，其在丧失控制之日的公允价 值与账面价值之间的差额计入当期损益。对于本公司取得对被投资单位的控制之前，因采用权益法 核算或金融工具确认和计量准则核算而确认的其他综合收益，在丧失对被投资单位控制时采用与被 投资单位直接处置相关资产或负债相同的基础进行会计处理，因采用权益法核算而确认的被投资单 位净资产中除净损益、其他综合收益和利润分配以外的其他所有者权益变动在丧失对被投资单位控 制时结转入当期损益。其中，处置后的剩余股权采用权益法核算的，其他综合收益和其他所有者权 益按比例结转；处置后的剩余股权改按金融工具确认和计量准则进行会计处理的，其他综合收益和 其他所有者权益全部结转。</w:t>
      </w:r>
    </w:p>
    <w:p>
      <w:pPr>
        <w:spacing w:after="0" w:line="324" w:lineRule="auto"/>
        <w:jc w:val="both"/>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324" w:lineRule="auto" w:before="10"/>
        <w:ind w:right="1434" w:firstLine="420"/>
        <w:jc w:val="both"/>
      </w:pPr>
      <w:r>
        <w:rPr/>
        <w:t>本公司因处置部分股权投资丧失了对被投资单位的共同控制或重大影响的，处置后的剩余股权 改按金融工具确认和计量准则核算，其在丧失共同控制或重大影响之日的公允价值与账面价值之间 的差额计入当期损益。原股权投资因采用权益法核算而确认的其他综合收益，在终止采用权益法核 算时采用与被投资单位直接处置相关资产或负债相同的基础进行会计处理，因被投资方除净损益、 其他综合收益和利润分配以外的其他所有者权益变动而确认的所有者权益，在终止采用权益法时全 部转入当期投资收益。</w:t>
      </w:r>
    </w:p>
    <w:p>
      <w:pPr>
        <w:pStyle w:val="BodyText"/>
        <w:spacing w:line="324" w:lineRule="auto" w:before="63"/>
        <w:ind w:right="1437" w:firstLine="420"/>
        <w:jc w:val="both"/>
      </w:pPr>
      <w:r>
        <w:rPr/>
        <w:t>本公司通过多次交易分步处置对子公司股权投资直至丧失控制权，如果上述交易属于一揽子交 易的，将各项交易作为一项处置子公司股权投资并丧失控制权的交易进行会计处理，在丧失控制权 之前每一次处置价款与所处置的股权对应的长期股权投资账面价值之间的差额，先确认为其他综合 收益，到丧失控制权时再一并转入丧失控制权的当期损益。</w:t>
      </w:r>
    </w:p>
    <w:p>
      <w:pPr>
        <w:pStyle w:val="Heading5"/>
        <w:spacing w:line="240" w:lineRule="auto" w:before="64"/>
        <w:ind w:left="560" w:right="1246"/>
        <w:jc w:val="left"/>
        <w:rPr>
          <w:b w:val="0"/>
          <w:bCs w:val="0"/>
        </w:rPr>
      </w:pPr>
      <w:bookmarkStart w:name="15、固定资产" w:id="240"/>
      <w:bookmarkEnd w:id="240"/>
      <w:r>
        <w:rPr>
          <w:b w:val="0"/>
          <w:bCs w:val="0"/>
        </w:rPr>
      </w:r>
      <w:r>
        <w:rPr>
          <w:rFonts w:ascii="华文细黑" w:hAnsi="华文细黑" w:cs="华文细黑" w:eastAsia="华文细黑" w:hint="default"/>
        </w:rPr>
        <w:t>15</w:t>
      </w:r>
      <w:r>
        <w:rPr/>
        <w:t>、固定资产</w:t>
      </w:r>
      <w:r>
        <w:rPr>
          <w:b w:val="0"/>
          <w:bCs w:val="0"/>
        </w:rPr>
      </w:r>
    </w:p>
    <w:p>
      <w:pPr>
        <w:pStyle w:val="BodyText"/>
        <w:spacing w:line="355" w:lineRule="auto" w:before="144"/>
        <w:ind w:left="560" w:right="1246"/>
        <w:jc w:val="left"/>
      </w:pPr>
      <w:r>
        <w:rPr/>
        <w:t>（</w:t>
      </w:r>
      <w:r>
        <w:rPr>
          <w:rFonts w:ascii="华文细黑" w:hAnsi="华文细黑" w:cs="华文细黑" w:eastAsia="华文细黑" w:hint="default"/>
        </w:rPr>
        <w:t>1</w:t>
      </w:r>
      <w:r>
        <w:rPr/>
        <w:t>）固定资产确认条件 </w:t>
      </w:r>
      <w:r>
        <w:rPr>
          <w:spacing w:val="-1"/>
        </w:rPr>
        <w:t>固定资产是指为生产商品、提供劳务、出租或经营管理而持有的，使用寿命超过一个会计年度</w:t>
      </w:r>
    </w:p>
    <w:p>
      <w:pPr>
        <w:pStyle w:val="BodyText"/>
        <w:spacing w:line="324" w:lineRule="auto"/>
        <w:ind w:right="1246"/>
        <w:jc w:val="left"/>
      </w:pPr>
      <w:r>
        <w:rPr>
          <w:spacing w:val="-1"/>
        </w:rPr>
        <w:t>的有形资产。固定资产仅在与其有关的经济利益很可能流入本公司，且其成本能够可靠地计量时才</w:t>
      </w:r>
      <w:r>
        <w:rPr>
          <w:spacing w:val="-16"/>
        </w:rPr>
        <w:t> </w:t>
      </w:r>
      <w:r>
        <w:rPr>
          <w:spacing w:val="-16"/>
        </w:rPr>
      </w:r>
      <w:r>
        <w:rPr/>
        <w:t>予以确认。固定资产按成本并考虑预计弃置费用因素的影响进行初始计量。</w:t>
      </w:r>
    </w:p>
    <w:p>
      <w:pPr>
        <w:pStyle w:val="BodyText"/>
        <w:spacing w:line="355" w:lineRule="auto" w:before="64"/>
        <w:ind w:left="560" w:right="1246"/>
        <w:jc w:val="left"/>
      </w:pPr>
      <w:r>
        <w:rPr/>
        <w:t>（</w:t>
      </w:r>
      <w:r>
        <w:rPr>
          <w:rFonts w:ascii="华文细黑" w:hAnsi="华文细黑" w:cs="华文细黑" w:eastAsia="华文细黑" w:hint="default"/>
        </w:rPr>
        <w:t>2</w:t>
      </w:r>
      <w:r>
        <w:rPr/>
        <w:t>）各类固定资产的折旧方法 </w:t>
      </w:r>
      <w:r>
        <w:rPr>
          <w:spacing w:val="-1"/>
        </w:rPr>
        <w:t>固定资产从达到预定可使用状态的次月起，采用年限平均法在使用寿命内计提折旧。各类固定</w:t>
      </w:r>
    </w:p>
    <w:p>
      <w:pPr>
        <w:pStyle w:val="BodyText"/>
        <w:spacing w:line="292" w:lineRule="exact"/>
        <w:ind w:right="1246"/>
        <w:jc w:val="left"/>
      </w:pPr>
      <w:r>
        <w:rPr/>
        <w:t>资产的使用寿命、预计净残值和年折旧率如下：</w:t>
      </w:r>
    </w:p>
    <w:p>
      <w:pPr>
        <w:spacing w:line="240" w:lineRule="auto" w:before="5"/>
        <w:rPr>
          <w:rFonts w:ascii="华文细黑" w:hAnsi="华文细黑" w:cs="华文细黑" w:eastAsia="华文细黑" w:hint="default"/>
          <w:sz w:val="5"/>
          <w:szCs w:val="5"/>
        </w:rPr>
      </w:pPr>
    </w:p>
    <w:tbl>
      <w:tblPr>
        <w:tblW w:w="0" w:type="auto"/>
        <w:jc w:val="left"/>
        <w:tblInd w:w="135" w:type="dxa"/>
        <w:tblLayout w:type="fixed"/>
        <w:tblCellMar>
          <w:top w:w="0" w:type="dxa"/>
          <w:left w:w="0" w:type="dxa"/>
          <w:bottom w:w="0" w:type="dxa"/>
          <w:right w:w="0" w:type="dxa"/>
        </w:tblCellMar>
        <w:tblLook w:val="01E0"/>
      </w:tblPr>
      <w:tblGrid>
        <w:gridCol w:w="2555"/>
        <w:gridCol w:w="1845"/>
        <w:gridCol w:w="1708"/>
        <w:gridCol w:w="1407"/>
        <w:gridCol w:w="1591"/>
      </w:tblGrid>
      <w:tr>
        <w:trPr>
          <w:trHeight w:val="490" w:hRule="exact"/>
        </w:trPr>
        <w:tc>
          <w:tcPr>
            <w:tcW w:w="255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9"/>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类别</w:t>
            </w:r>
          </w:p>
        </w:tc>
        <w:tc>
          <w:tcPr>
            <w:tcW w:w="18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9"/>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折旧方法</w:t>
            </w:r>
          </w:p>
        </w:tc>
        <w:tc>
          <w:tcPr>
            <w:tcW w:w="17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9"/>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折旧年限（年）</w:t>
            </w:r>
          </w:p>
        </w:tc>
        <w:tc>
          <w:tcPr>
            <w:tcW w:w="140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9"/>
              <w:ind w:left="22"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残值率（</w:t>
            </w:r>
            <w:r>
              <w:rPr>
                <w:rFonts w:ascii="华文细黑" w:hAnsi="华文细黑" w:cs="华文细黑" w:eastAsia="华文细黑" w:hint="default"/>
                <w:sz w:val="21"/>
                <w:szCs w:val="21"/>
              </w:rPr>
              <w:t>%</w:t>
            </w:r>
            <w:r>
              <w:rPr>
                <w:rFonts w:ascii="华文细黑" w:hAnsi="华文细黑" w:cs="华文细黑" w:eastAsia="华文细黑" w:hint="default"/>
                <w:sz w:val="21"/>
                <w:szCs w:val="21"/>
              </w:rPr>
              <w:t>）</w:t>
            </w:r>
          </w:p>
        </w:tc>
        <w:tc>
          <w:tcPr>
            <w:tcW w:w="159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9"/>
              <w:ind w:left="47"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年折旧率（</w:t>
            </w:r>
            <w:r>
              <w:rPr>
                <w:rFonts w:ascii="华文细黑" w:hAnsi="华文细黑" w:cs="华文细黑" w:eastAsia="华文细黑" w:hint="default"/>
                <w:sz w:val="21"/>
                <w:szCs w:val="21"/>
              </w:rPr>
              <w:t>%</w:t>
            </w:r>
            <w:r>
              <w:rPr>
                <w:rFonts w:ascii="华文细黑" w:hAnsi="华文细黑" w:cs="华文细黑" w:eastAsia="华文细黑" w:hint="default"/>
                <w:sz w:val="21"/>
                <w:szCs w:val="21"/>
              </w:rPr>
              <w:t>）</w:t>
            </w:r>
          </w:p>
        </w:tc>
      </w:tr>
      <w:tr>
        <w:trPr>
          <w:trHeight w:val="490" w:hRule="exact"/>
        </w:trPr>
        <w:tc>
          <w:tcPr>
            <w:tcW w:w="255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房屋及建筑物</w:t>
            </w:r>
          </w:p>
        </w:tc>
        <w:tc>
          <w:tcPr>
            <w:tcW w:w="18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年限平均法</w:t>
            </w:r>
          </w:p>
        </w:tc>
        <w:tc>
          <w:tcPr>
            <w:tcW w:w="1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sz w:val="18"/>
              </w:rPr>
              <w:t>20</w:t>
            </w:r>
          </w:p>
        </w:tc>
        <w:tc>
          <w:tcPr>
            <w:tcW w:w="140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5</w:t>
            </w:r>
          </w:p>
        </w:tc>
        <w:tc>
          <w:tcPr>
            <w:tcW w:w="15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sz w:val="18"/>
              </w:rPr>
              <w:t>4.75</w:t>
            </w:r>
          </w:p>
        </w:tc>
      </w:tr>
      <w:tr>
        <w:trPr>
          <w:trHeight w:val="490" w:hRule="exact"/>
        </w:trPr>
        <w:tc>
          <w:tcPr>
            <w:tcW w:w="255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运输设备</w:t>
            </w:r>
          </w:p>
        </w:tc>
        <w:tc>
          <w:tcPr>
            <w:tcW w:w="18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年限平均法</w:t>
            </w:r>
          </w:p>
        </w:tc>
        <w:tc>
          <w:tcPr>
            <w:tcW w:w="1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5-10</w:t>
            </w:r>
          </w:p>
        </w:tc>
        <w:tc>
          <w:tcPr>
            <w:tcW w:w="140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5</w:t>
            </w:r>
          </w:p>
        </w:tc>
        <w:tc>
          <w:tcPr>
            <w:tcW w:w="15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9.5-19.00</w:t>
            </w:r>
          </w:p>
        </w:tc>
      </w:tr>
      <w:tr>
        <w:trPr>
          <w:trHeight w:val="491" w:hRule="exact"/>
        </w:trPr>
        <w:tc>
          <w:tcPr>
            <w:tcW w:w="255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电子设备</w:t>
            </w:r>
          </w:p>
        </w:tc>
        <w:tc>
          <w:tcPr>
            <w:tcW w:w="18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年限平均法</w:t>
            </w:r>
          </w:p>
        </w:tc>
        <w:tc>
          <w:tcPr>
            <w:tcW w:w="1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sz w:val="18"/>
              </w:rPr>
              <w:t>3-5</w:t>
            </w:r>
          </w:p>
        </w:tc>
        <w:tc>
          <w:tcPr>
            <w:tcW w:w="140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sz w:val="18"/>
              </w:rPr>
              <w:t>5</w:t>
            </w:r>
          </w:p>
        </w:tc>
        <w:tc>
          <w:tcPr>
            <w:tcW w:w="15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sz w:val="18"/>
              </w:rPr>
              <w:t>19-31.67</w:t>
            </w:r>
          </w:p>
        </w:tc>
      </w:tr>
      <w:tr>
        <w:trPr>
          <w:trHeight w:val="490" w:hRule="exact"/>
        </w:trPr>
        <w:tc>
          <w:tcPr>
            <w:tcW w:w="255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其他设备</w:t>
            </w:r>
          </w:p>
        </w:tc>
        <w:tc>
          <w:tcPr>
            <w:tcW w:w="18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年限平均法</w:t>
            </w:r>
          </w:p>
        </w:tc>
        <w:tc>
          <w:tcPr>
            <w:tcW w:w="1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sz w:val="18"/>
              </w:rPr>
              <w:t>3-5</w:t>
            </w:r>
          </w:p>
        </w:tc>
        <w:tc>
          <w:tcPr>
            <w:tcW w:w="140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5</w:t>
            </w:r>
          </w:p>
        </w:tc>
        <w:tc>
          <w:tcPr>
            <w:tcW w:w="15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19-31.67</w:t>
            </w:r>
          </w:p>
        </w:tc>
      </w:tr>
    </w:tbl>
    <w:p>
      <w:pPr>
        <w:spacing w:line="240" w:lineRule="auto" w:before="12"/>
        <w:rPr>
          <w:rFonts w:ascii="华文细黑" w:hAnsi="华文细黑" w:cs="华文细黑" w:eastAsia="华文细黑" w:hint="default"/>
          <w:sz w:val="6"/>
          <w:szCs w:val="6"/>
        </w:rPr>
      </w:pPr>
    </w:p>
    <w:p>
      <w:pPr>
        <w:pStyle w:val="BodyText"/>
        <w:spacing w:line="324" w:lineRule="auto" w:before="10"/>
        <w:ind w:right="1246" w:firstLine="420"/>
        <w:jc w:val="left"/>
      </w:pPr>
      <w:r>
        <w:rPr/>
        <w:t>预计净残值是指假定固定资产预计使用寿命已满并处于使用寿命终了时的预期状态，本公司目 前从该项资产处置中获得的扣除预计处置费用后的金额。</w:t>
      </w:r>
    </w:p>
    <w:p>
      <w:pPr>
        <w:pStyle w:val="BodyText"/>
        <w:spacing w:line="355" w:lineRule="auto" w:before="64"/>
        <w:ind w:left="560" w:right="2554"/>
        <w:jc w:val="left"/>
      </w:pPr>
      <w:r>
        <w:rPr/>
        <w:t>（</w:t>
      </w:r>
      <w:r>
        <w:rPr>
          <w:rFonts w:ascii="华文细黑" w:hAnsi="华文细黑" w:cs="华文细黑" w:eastAsia="华文细黑" w:hint="default"/>
        </w:rPr>
        <w:t>3</w:t>
      </w:r>
      <w:r>
        <w:rPr/>
        <w:t>）固定资产的减值测试方法及减值准备计提方法 </w:t>
      </w:r>
      <w:r>
        <w:rPr>
          <w:spacing w:val="-3"/>
        </w:rPr>
        <w:t>固定资产的减值测试方法和减值准备计提方法详见附注四、</w:t>
      </w:r>
      <w:r>
        <w:rPr>
          <w:rFonts w:ascii="华文细黑" w:hAnsi="华文细黑" w:cs="华文细黑" w:eastAsia="华文细黑" w:hint="default"/>
          <w:spacing w:val="-3"/>
        </w:rPr>
        <w:t>20</w:t>
      </w:r>
      <w:r>
        <w:rPr>
          <w:spacing w:val="-3"/>
        </w:rPr>
        <w:t>“长期资产减值”。</w:t>
      </w:r>
    </w:p>
    <w:p>
      <w:pPr>
        <w:pStyle w:val="BodyText"/>
        <w:spacing w:line="357" w:lineRule="auto" w:before="35"/>
        <w:ind w:left="560" w:right="1626"/>
        <w:jc w:val="left"/>
      </w:pPr>
      <w:r>
        <w:rPr/>
        <w:t>（</w:t>
      </w:r>
      <w:r>
        <w:rPr>
          <w:rFonts w:ascii="华文细黑" w:hAnsi="华文细黑" w:cs="华文细黑" w:eastAsia="华文细黑" w:hint="default"/>
        </w:rPr>
        <w:t>4</w:t>
      </w:r>
      <w:r>
        <w:rPr/>
        <w:t>）融资租入固定资产的认定依据及计价方法 融资租赁为实质上转移了与资产所有权有关的全部风险和报酬的租赁，其所有权最终可能转</w:t>
      </w:r>
    </w:p>
    <w:p>
      <w:pPr>
        <w:pStyle w:val="BodyText"/>
        <w:spacing w:line="324" w:lineRule="auto"/>
        <w:ind w:right="1437"/>
        <w:jc w:val="both"/>
      </w:pPr>
      <w:r>
        <w:rPr/>
        <w:t>移，也可能不转移。以融资租赁方式租入的固定资产采用与自有固定资产一致的政策计提租赁资产 折旧。能够合理确定租赁期届满时取得租赁资产所有权的，在租赁资产使用寿命内计提折旧；无法 合理确定租赁期届满能够取得租赁资产所有权的，在租赁期与租赁资产使用寿命两者中较短的期间</w:t>
      </w:r>
    </w:p>
    <w:p>
      <w:pPr>
        <w:spacing w:after="0" w:line="324" w:lineRule="auto"/>
        <w:jc w:val="both"/>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240" w:lineRule="auto" w:before="10"/>
        <w:ind w:right="0"/>
        <w:jc w:val="both"/>
      </w:pPr>
      <w:r>
        <w:rPr/>
        <w:t>内计提折旧。</w:t>
      </w:r>
    </w:p>
    <w:p>
      <w:pPr>
        <w:pStyle w:val="BodyText"/>
        <w:spacing w:line="355" w:lineRule="auto" w:before="144"/>
        <w:ind w:left="560" w:right="1416"/>
        <w:jc w:val="left"/>
      </w:pPr>
      <w:r>
        <w:rPr/>
        <w:t>（</w:t>
      </w:r>
      <w:r>
        <w:rPr>
          <w:rFonts w:ascii="华文细黑" w:hAnsi="华文细黑" w:cs="华文细黑" w:eastAsia="华文细黑" w:hint="default"/>
        </w:rPr>
        <w:t>5</w:t>
      </w:r>
      <w:r>
        <w:rPr/>
        <w:t>）其他说明 与固定资产有关的后续支出，如果与该固定资产有关的经济利益很可能流入且其成本能可靠地</w:t>
      </w:r>
    </w:p>
    <w:p>
      <w:pPr>
        <w:pStyle w:val="BodyText"/>
        <w:spacing w:line="324" w:lineRule="auto"/>
        <w:ind w:right="1439"/>
        <w:jc w:val="both"/>
      </w:pPr>
      <w:r>
        <w:rPr>
          <w:spacing w:val="-1"/>
        </w:rPr>
        <w:t>计量，则计入固定资产成本，并终止确认被替换部分的账面价值。除此以外的其他后续支出，在发</w:t>
      </w:r>
      <w:r>
        <w:rPr>
          <w:spacing w:val="-18"/>
        </w:rPr>
        <w:t> </w:t>
      </w:r>
      <w:r>
        <w:rPr>
          <w:spacing w:val="-18"/>
        </w:rPr>
      </w:r>
      <w:r>
        <w:rPr/>
        <w:t>生时计入当期损益。</w:t>
      </w:r>
    </w:p>
    <w:p>
      <w:pPr>
        <w:pStyle w:val="BodyText"/>
        <w:spacing w:line="340" w:lineRule="auto" w:before="64"/>
        <w:ind w:right="1435" w:firstLine="420"/>
        <w:jc w:val="right"/>
      </w:pPr>
      <w:r>
        <w:rPr/>
        <w:t>当固定资产处于处置状态或预期通过使用或处置不能产生经济利益时，终止确认该固定资产。 固定资产出售、转让、报废或毁损的处置收入扣除其账面价值和相关税费后的差额计入当期损益。 </w:t>
      </w:r>
      <w:r>
        <w:rPr>
          <w:spacing w:val="-1"/>
        </w:rPr>
        <w:t>本公司至少于年度终了对固定资产的使用寿命、预计净残值和折旧方法进行复核，如发生改变</w:t>
      </w:r>
    </w:p>
    <w:p>
      <w:pPr>
        <w:spacing w:line="357" w:lineRule="auto" w:before="8"/>
        <w:ind w:left="560" w:right="7927" w:hanging="421"/>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则作为会计估计变更处理。 </w:t>
      </w:r>
      <w:bookmarkStart w:name="16、在建工程" w:id="241"/>
      <w:bookmarkEnd w:id="241"/>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16</w:t>
      </w:r>
      <w:r>
        <w:rPr>
          <w:rFonts w:ascii="华文细黑" w:hAnsi="华文细黑" w:cs="华文细黑" w:eastAsia="华文细黑" w:hint="default"/>
          <w:b/>
          <w:bCs/>
          <w:sz w:val="21"/>
          <w:szCs w:val="21"/>
        </w:rPr>
        <w:t>、在建工程</w:t>
      </w:r>
      <w:r>
        <w:rPr>
          <w:rFonts w:ascii="华文细黑" w:hAnsi="华文细黑" w:cs="华文细黑" w:eastAsia="华文细黑" w:hint="default"/>
          <w:sz w:val="21"/>
          <w:szCs w:val="21"/>
        </w:rPr>
      </w:r>
    </w:p>
    <w:p>
      <w:pPr>
        <w:pStyle w:val="BodyText"/>
        <w:spacing w:line="324" w:lineRule="auto" w:before="31"/>
        <w:ind w:right="1437" w:firstLine="420"/>
        <w:jc w:val="both"/>
      </w:pPr>
      <w:r>
        <w:rPr/>
        <w:t>在建工程成本按实际工程支出确定，包括在建期间发生的各项工程支出、工程达到预定可使用 状态前的资本化的借款费用以及其他相关费用等。在建工程在达到预定可使用状态后结转为固定资 产。</w:t>
      </w:r>
    </w:p>
    <w:p>
      <w:pPr>
        <w:pStyle w:val="BodyText"/>
        <w:spacing w:line="355" w:lineRule="auto" w:before="64"/>
        <w:ind w:left="560" w:right="1416" w:firstLine="420"/>
        <w:jc w:val="left"/>
      </w:pPr>
      <w:r>
        <w:rPr>
          <w:spacing w:val="-3"/>
        </w:rPr>
        <w:t>在建工程的减值测试方法和减值准备计提方法详见附注四、</w:t>
      </w:r>
      <w:r>
        <w:rPr>
          <w:rFonts w:ascii="华文细黑" w:hAnsi="华文细黑" w:cs="华文细黑" w:eastAsia="华文细黑" w:hint="default"/>
          <w:spacing w:val="-3"/>
        </w:rPr>
        <w:t>20</w:t>
      </w:r>
      <w:r>
        <w:rPr>
          <w:spacing w:val="-3"/>
        </w:rPr>
        <w:t>“长期资产减值”。</w:t>
      </w:r>
      <w:r>
        <w:rPr/>
        <w:t> </w:t>
      </w:r>
      <w:bookmarkStart w:name="17、借款费用" w:id="242"/>
      <w:bookmarkEnd w:id="242"/>
      <w:r>
        <w:rPr/>
      </w:r>
      <w:r>
        <w:rPr>
          <w:rFonts w:ascii="华文细黑" w:hAnsi="华文细黑" w:cs="华文细黑" w:eastAsia="华文细黑" w:hint="default"/>
          <w:b/>
          <w:bCs/>
        </w:rPr>
        <w:t>17</w:t>
      </w:r>
      <w:r>
        <w:rPr>
          <w:rFonts w:ascii="华文细黑" w:hAnsi="华文细黑" w:cs="华文细黑" w:eastAsia="华文细黑" w:hint="default"/>
          <w:b/>
          <w:bCs/>
        </w:rPr>
        <w:t>、借款费用</w:t>
      </w:r>
      <w:r>
        <w:rPr>
          <w:rFonts w:ascii="华文细黑" w:hAnsi="华文细黑" w:cs="华文细黑" w:eastAsia="华文细黑" w:hint="default"/>
          <w:b/>
          <w:bCs/>
          <w:w w:val="99"/>
        </w:rPr>
        <w:t> </w:t>
      </w:r>
      <w:r>
        <w:rPr/>
        <w:t>借款费用包括借款利息、折价或溢价的摊销、辅助费用以及因外币借款而发生的汇兑差额等。</w:t>
      </w:r>
    </w:p>
    <w:p>
      <w:pPr>
        <w:pStyle w:val="BodyText"/>
        <w:spacing w:line="324" w:lineRule="auto"/>
        <w:ind w:right="1434"/>
        <w:jc w:val="both"/>
      </w:pPr>
      <w:r>
        <w:rPr/>
        <w:t>可直接归属于符合资本化条件的资产的购建或者生产的借款费用，在资产支出已经发生、借款费用 已经发生、为使资产达到预定可使用或可销售状态所必要的购建或生产活动已经开始时，开始资本 化；构建或者生产的符合资本化条件的资产达到预定可使用状态或者可销售状态时，停止资本化。 其余借款费用在发生当期确认为费用。</w:t>
      </w:r>
    </w:p>
    <w:p>
      <w:pPr>
        <w:pStyle w:val="BodyText"/>
        <w:spacing w:line="324" w:lineRule="auto" w:before="64"/>
        <w:ind w:right="1437" w:firstLine="420"/>
        <w:jc w:val="both"/>
      </w:pPr>
      <w:r>
        <w:rPr/>
        <w:t>专门借款当期实际发生的利息费用，减去尚未动用的借款资金存入银行取得的利息收入或进行 暂时性投资取得的投资收益后的金额予以资本化；一般借款根据累计资产支出超过专门借款部分的 资产支出加权平均数乘以所占用一般借款的资本化率，确定资本化金额。资本化率根据一般借款的 加权平均利率计算确定。</w:t>
      </w:r>
    </w:p>
    <w:p>
      <w:pPr>
        <w:pStyle w:val="BodyText"/>
        <w:spacing w:line="324" w:lineRule="auto" w:before="64"/>
        <w:ind w:right="1438" w:firstLine="420"/>
        <w:jc w:val="both"/>
      </w:pPr>
      <w:r>
        <w:rPr>
          <w:spacing w:val="-1"/>
        </w:rPr>
        <w:t>资本化期间内，外币专门借款的汇兑差额全部予以资本化；外币一般借款的汇兑差额计入当期</w:t>
      </w:r>
      <w:r>
        <w:rPr/>
        <w:t> 损益。</w:t>
      </w:r>
    </w:p>
    <w:p>
      <w:pPr>
        <w:pStyle w:val="BodyText"/>
        <w:spacing w:line="324" w:lineRule="auto" w:before="64"/>
        <w:ind w:right="1626" w:firstLine="420"/>
        <w:jc w:val="left"/>
      </w:pPr>
      <w:r>
        <w:rPr/>
        <w:t>符合资本化条件的资产指需要经过相当长时间的购建或者生产活动才能达到预定可使用或可 销售状态的固定资产、投资性房地产和存货等资产。</w:t>
      </w:r>
    </w:p>
    <w:p>
      <w:pPr>
        <w:pStyle w:val="BodyText"/>
        <w:spacing w:line="324" w:lineRule="auto" w:before="64"/>
        <w:ind w:right="1438" w:firstLine="420"/>
        <w:jc w:val="both"/>
      </w:pPr>
      <w:r>
        <w:rPr/>
        <w:t>如果符合资本化条件的资产在购建或生产过程中发生非正常中断、并且中断时间连续超过 </w:t>
      </w:r>
      <w:r>
        <w:rPr>
          <w:rFonts w:ascii="华文细黑" w:hAnsi="华文细黑" w:cs="华文细黑" w:eastAsia="华文细黑" w:hint="default"/>
        </w:rPr>
        <w:t>3</w:t>
      </w:r>
      <w:r>
        <w:rPr>
          <w:rFonts w:ascii="华文细黑" w:hAnsi="华文细黑" w:cs="华文细黑" w:eastAsia="华文细黑" w:hint="default"/>
          <w:spacing w:val="-16"/>
        </w:rPr>
        <w:t> </w:t>
      </w:r>
      <w:r>
        <w:rPr/>
        <w:t>个 月的，暂停借款费用的资本化，直至资产的购建或生产活动重新开始。</w:t>
      </w:r>
    </w:p>
    <w:p>
      <w:pPr>
        <w:pStyle w:val="Heading5"/>
        <w:spacing w:line="240" w:lineRule="auto" w:before="65"/>
        <w:ind w:left="560" w:right="1246"/>
        <w:jc w:val="left"/>
        <w:rPr>
          <w:b w:val="0"/>
          <w:bCs w:val="0"/>
        </w:rPr>
      </w:pPr>
      <w:bookmarkStart w:name="18、无形资产" w:id="243"/>
      <w:bookmarkEnd w:id="243"/>
      <w:r>
        <w:rPr>
          <w:b w:val="0"/>
          <w:bCs w:val="0"/>
        </w:rPr>
      </w:r>
      <w:r>
        <w:rPr>
          <w:rFonts w:ascii="华文细黑" w:hAnsi="华文细黑" w:cs="华文细黑" w:eastAsia="华文细黑" w:hint="default"/>
        </w:rPr>
        <w:t>18</w:t>
      </w:r>
      <w:r>
        <w:rPr/>
        <w:t>、无形资产</w:t>
      </w:r>
      <w:r>
        <w:rPr>
          <w:b w:val="0"/>
          <w:bCs w:val="0"/>
        </w:rPr>
      </w:r>
    </w:p>
    <w:p>
      <w:pPr>
        <w:pStyle w:val="BodyText"/>
        <w:spacing w:line="357" w:lineRule="auto" w:before="142"/>
        <w:ind w:left="560" w:right="3096"/>
        <w:jc w:val="left"/>
      </w:pPr>
      <w:r>
        <w:rPr/>
        <w:t>（</w:t>
      </w:r>
      <w:r>
        <w:rPr>
          <w:rFonts w:ascii="华文细黑" w:hAnsi="华文细黑" w:cs="华文细黑" w:eastAsia="华文细黑" w:hint="default"/>
        </w:rPr>
        <w:t>1</w:t>
      </w:r>
      <w:r>
        <w:rPr/>
        <w:t>）无形资产 无形资产是指本公司拥有或者控制的没有实物形态的可辨认非货币性资产。</w:t>
      </w:r>
    </w:p>
    <w:p>
      <w:pPr>
        <w:spacing w:after="0" w:line="357" w:lineRule="auto"/>
        <w:jc w:val="left"/>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324" w:lineRule="auto" w:before="10"/>
        <w:ind w:right="1437" w:firstLine="420"/>
        <w:jc w:val="both"/>
      </w:pPr>
      <w:r>
        <w:rPr/>
        <w:t>无形资产按成本进行初始计量。与无形资产有关的支出，如果相关的经济利益很可能流入本公 司且其成本能可靠地计量，则计入无形资产成本。除此以外的其他项目的支出，在发生时计入当期 损益。</w:t>
      </w:r>
    </w:p>
    <w:p>
      <w:pPr>
        <w:pStyle w:val="BodyText"/>
        <w:spacing w:line="324" w:lineRule="auto" w:before="63"/>
        <w:ind w:right="1438" w:firstLine="420"/>
        <w:jc w:val="both"/>
      </w:pPr>
      <w:r>
        <w:rPr>
          <w:spacing w:val="-1"/>
        </w:rPr>
        <w:t>取得的土地使用权通常作为无形资产核算。自行开发建造厂房等建筑物，相关的土地使用权支</w:t>
      </w:r>
      <w:r>
        <w:rPr/>
        <w:t> </w:t>
      </w:r>
      <w:r>
        <w:rPr>
          <w:spacing w:val="-1"/>
        </w:rPr>
        <w:t>出和建筑物建造成本则分别作为无形资产和固定资产核算。如为外购的房屋及建筑物，则将有关价</w:t>
      </w:r>
      <w:r>
        <w:rPr>
          <w:spacing w:val="-16"/>
        </w:rPr>
        <w:t> </w:t>
      </w:r>
      <w:r>
        <w:rPr>
          <w:spacing w:val="-16"/>
        </w:rPr>
      </w:r>
      <w:r>
        <w:rPr/>
        <w:t>款在土地使用权和建筑物之间进行分配，难以合理分配的，全部作为固定资产处理。</w:t>
      </w:r>
    </w:p>
    <w:p>
      <w:pPr>
        <w:pStyle w:val="BodyText"/>
        <w:spacing w:line="324" w:lineRule="auto" w:before="64"/>
        <w:ind w:right="1437" w:firstLine="420"/>
        <w:jc w:val="both"/>
      </w:pPr>
      <w:r>
        <w:rPr/>
        <w:t>使用寿命有限的无形资产自可供使用时起，对其原值减去预计净残值和已计提的减值准备累计 金额在其预计使用寿命内采用直线法分期平均摊销。使用寿命不确定的无形资产不予摊销。</w:t>
      </w:r>
    </w:p>
    <w:p>
      <w:pPr>
        <w:pStyle w:val="BodyText"/>
        <w:spacing w:line="324" w:lineRule="auto" w:before="64"/>
        <w:ind w:right="1437" w:firstLine="840"/>
        <w:jc w:val="both"/>
      </w:pPr>
      <w:r>
        <w:rPr/>
        <w:t>期末，对使用寿命有限的无形资产的使用寿命和摊销方法进行复核，如发生变更则作为会 计估计变更处理。此外，还对使用寿命不确定的无形资产的使用寿命进行复核，如果有证据表明该 无形资产为企业带来经济利益的期限是可预见的，则估计其使用寿命并按照使用寿命有限的无形资 产的摊销政策进行摊销。</w:t>
      </w:r>
    </w:p>
    <w:p>
      <w:pPr>
        <w:pStyle w:val="BodyText"/>
        <w:spacing w:line="357" w:lineRule="auto" w:before="63"/>
        <w:ind w:left="560" w:right="3726"/>
        <w:jc w:val="left"/>
      </w:pPr>
      <w:r>
        <w:rPr/>
        <w:t>（</w:t>
      </w:r>
      <w:r>
        <w:rPr>
          <w:rFonts w:ascii="华文细黑" w:hAnsi="华文细黑" w:cs="华文细黑" w:eastAsia="华文细黑" w:hint="default"/>
        </w:rPr>
        <w:t>2</w:t>
      </w:r>
      <w:r>
        <w:rPr/>
        <w:t>）研究与开发支出 本公司内部研究开发项目的支出分为研究阶段支出与开发阶段支出。 研究阶段的支出，于发生时计入当期损益。</w:t>
      </w:r>
    </w:p>
    <w:p>
      <w:pPr>
        <w:pStyle w:val="BodyText"/>
        <w:spacing w:line="324" w:lineRule="auto" w:before="31"/>
        <w:ind w:right="1438" w:firstLine="420"/>
        <w:jc w:val="both"/>
      </w:pPr>
      <w:r>
        <w:rPr>
          <w:spacing w:val="-1"/>
        </w:rPr>
        <w:t>开发阶段的支出同时满足下列条件的，确认为无形资产，不能满足下述条件的开发阶段的支出</w:t>
      </w:r>
      <w:r>
        <w:rPr/>
        <w:t> 计入当期损益：</w:t>
      </w:r>
    </w:p>
    <w:p>
      <w:pPr>
        <w:pStyle w:val="BodyText"/>
        <w:spacing w:line="240" w:lineRule="auto" w:before="63"/>
        <w:ind w:left="560" w:right="1246"/>
        <w:jc w:val="left"/>
      </w:pPr>
      <w:r>
        <w:rPr/>
        <w:t>①</w:t>
      </w:r>
      <w:r>
        <w:rPr>
          <w:spacing w:val="50"/>
        </w:rPr>
        <w:t> </w:t>
      </w:r>
      <w:r>
        <w:rPr/>
        <w:t>完成该无形资产以使其能够使用或出售在技术上具有可行性；</w:t>
      </w:r>
    </w:p>
    <w:p>
      <w:pPr>
        <w:pStyle w:val="BodyText"/>
        <w:spacing w:line="240" w:lineRule="auto" w:before="144"/>
        <w:ind w:left="560" w:right="1246"/>
        <w:jc w:val="left"/>
      </w:pPr>
      <w:r>
        <w:rPr/>
        <w:t>②</w:t>
      </w:r>
      <w:r>
        <w:rPr>
          <w:spacing w:val="50"/>
        </w:rPr>
        <w:t> </w:t>
      </w:r>
      <w:r>
        <w:rPr/>
        <w:t>具有完成该无形资产并使用或出售的意图；</w:t>
      </w:r>
    </w:p>
    <w:p>
      <w:pPr>
        <w:pStyle w:val="BodyText"/>
        <w:spacing w:line="324" w:lineRule="auto" w:before="144"/>
        <w:ind w:right="1523" w:firstLine="420"/>
        <w:jc w:val="left"/>
      </w:pPr>
      <w:r>
        <w:rPr/>
        <w:t>③</w:t>
      </w:r>
      <w:r>
        <w:rPr>
          <w:spacing w:val="50"/>
        </w:rPr>
        <w:t> </w:t>
      </w:r>
      <w:r>
        <w:rPr/>
        <w:t>无形资产产生经济利益的方式，包括能够证明运用该无形资产生产的产品存在市场或无形</w:t>
      </w:r>
      <w:r>
        <w:rPr/>
        <w:t> 资产自身存在市场，无形资产将在内部使用的，能够证明其有用性；</w:t>
      </w:r>
    </w:p>
    <w:p>
      <w:pPr>
        <w:pStyle w:val="BodyText"/>
        <w:spacing w:line="324" w:lineRule="auto" w:before="64"/>
        <w:ind w:right="1523" w:firstLine="420"/>
        <w:jc w:val="left"/>
      </w:pPr>
      <w:r>
        <w:rPr/>
        <w:t>④</w:t>
      </w:r>
      <w:r>
        <w:rPr>
          <w:spacing w:val="50"/>
        </w:rPr>
        <w:t> </w:t>
      </w:r>
      <w:r>
        <w:rPr/>
        <w:t>有足够的技术、财务资源和其他资源支持，以完成该无形资产的开发，并有能力使用或出</w:t>
      </w:r>
      <w:r>
        <w:rPr/>
        <w:t> 售该无形资产；</w:t>
      </w:r>
    </w:p>
    <w:p>
      <w:pPr>
        <w:pStyle w:val="BodyText"/>
        <w:spacing w:line="355" w:lineRule="auto" w:before="64"/>
        <w:ind w:left="560" w:right="2466"/>
        <w:jc w:val="left"/>
      </w:pPr>
      <w:r>
        <w:rPr/>
        <w:t>⑤</w:t>
      </w:r>
      <w:r>
        <w:rPr>
          <w:spacing w:val="52"/>
        </w:rPr>
        <w:t> </w:t>
      </w:r>
      <w:r>
        <w:rPr/>
        <w:t>归属于该无形资产开发阶段的支出能够可靠地计量。</w:t>
      </w:r>
      <w:r>
        <w:rPr/>
        <w:t> 无法区分研究阶段支出和开发阶段支出的，将发生的研发支出全部计入当期损益。</w:t>
      </w:r>
    </w:p>
    <w:p>
      <w:pPr>
        <w:pStyle w:val="BodyText"/>
        <w:spacing w:line="355" w:lineRule="auto" w:before="35"/>
        <w:ind w:left="560" w:right="1416"/>
        <w:jc w:val="left"/>
      </w:pPr>
      <w:r>
        <w:rPr/>
        <w:t>（</w:t>
      </w:r>
      <w:r>
        <w:rPr>
          <w:rFonts w:ascii="华文细黑" w:hAnsi="华文细黑" w:cs="华文细黑" w:eastAsia="华文细黑" w:hint="default"/>
        </w:rPr>
        <w:t>3</w:t>
      </w:r>
      <w:r>
        <w:rPr/>
        <w:t>）无形资产的减值测试方法及减值准备计提方法 </w:t>
      </w:r>
      <w:r>
        <w:rPr>
          <w:spacing w:val="-3"/>
        </w:rPr>
        <w:t>无形资产的减值测试方法和减值准备计提方法详见附注四、</w:t>
      </w:r>
      <w:r>
        <w:rPr>
          <w:rFonts w:ascii="华文细黑" w:hAnsi="华文细黑" w:cs="华文细黑" w:eastAsia="华文细黑" w:hint="default"/>
          <w:spacing w:val="-3"/>
        </w:rPr>
        <w:t>20</w:t>
      </w:r>
      <w:r>
        <w:rPr>
          <w:spacing w:val="-3"/>
        </w:rPr>
        <w:t>“长期资产减值”。</w:t>
      </w:r>
      <w:r>
        <w:rPr>
          <w:spacing w:val="-47"/>
        </w:rPr>
        <w:t> </w:t>
      </w:r>
      <w:r>
        <w:rPr>
          <w:spacing w:val="-47"/>
        </w:rPr>
      </w:r>
      <w:bookmarkStart w:name="19、长期待摊费用" w:id="244"/>
      <w:bookmarkEnd w:id="244"/>
      <w:r>
        <w:rPr>
          <w:spacing w:val="-47"/>
        </w:rPr>
      </w:r>
      <w:r>
        <w:rPr>
          <w:rFonts w:ascii="华文细黑" w:hAnsi="华文细黑" w:cs="华文细黑" w:eastAsia="华文细黑" w:hint="default"/>
          <w:b/>
          <w:bCs/>
        </w:rPr>
        <w:t>19</w:t>
      </w:r>
      <w:r>
        <w:rPr>
          <w:rFonts w:ascii="华文细黑" w:hAnsi="华文细黑" w:cs="华文细黑" w:eastAsia="华文细黑" w:hint="default"/>
          <w:b/>
          <w:bCs/>
        </w:rPr>
        <w:t>、长期待摊费用</w:t>
      </w:r>
      <w:r>
        <w:rPr>
          <w:rFonts w:ascii="华文细黑" w:hAnsi="华文细黑" w:cs="华文细黑" w:eastAsia="华文细黑" w:hint="default"/>
          <w:b/>
          <w:bCs/>
          <w:w w:val="99"/>
        </w:rPr>
        <w:t> </w:t>
      </w:r>
      <w:r>
        <w:rPr/>
        <w:t>长期待摊费用为已经发生但应由报告期和以后各期负担的分摊期限在一年以上的各项费用。本</w:t>
      </w:r>
    </w:p>
    <w:p>
      <w:pPr>
        <w:pStyle w:val="BodyText"/>
        <w:spacing w:line="357" w:lineRule="auto"/>
        <w:ind w:left="560" w:right="1416" w:hanging="421"/>
        <w:jc w:val="left"/>
      </w:pPr>
      <w:r>
        <w:rPr/>
        <w:t>公司的长期待摊费用主要包括装修费。长期待摊费用在预计受益期间按直线法摊销。 </w:t>
      </w:r>
      <w:bookmarkStart w:name="20、长期资产减值" w:id="245"/>
      <w:bookmarkEnd w:id="245"/>
      <w:r>
        <w:rPr/>
      </w:r>
      <w:r>
        <w:rPr>
          <w:rFonts w:ascii="华文细黑" w:hAnsi="华文细黑" w:cs="华文细黑" w:eastAsia="华文细黑" w:hint="default"/>
          <w:b/>
          <w:bCs/>
        </w:rPr>
        <w:t>20</w:t>
      </w:r>
      <w:r>
        <w:rPr>
          <w:rFonts w:ascii="华文细黑" w:hAnsi="华文细黑" w:cs="华文细黑" w:eastAsia="华文细黑" w:hint="default"/>
          <w:b/>
          <w:bCs/>
        </w:rPr>
        <w:t>、长期资产减值</w:t>
      </w:r>
      <w:r>
        <w:rPr>
          <w:rFonts w:ascii="华文细黑" w:hAnsi="华文细黑" w:cs="华文细黑" w:eastAsia="华文细黑" w:hint="default"/>
          <w:b/>
          <w:bCs/>
          <w:w w:val="99"/>
        </w:rPr>
        <w:t> </w:t>
      </w:r>
      <w:r>
        <w:rPr/>
        <w:t>对于固定资产、在建工程、使用寿命有限的无形资产、以成本模式计量的投资性房地产及对子</w:t>
      </w:r>
    </w:p>
    <w:p>
      <w:pPr>
        <w:spacing w:after="0" w:line="357" w:lineRule="auto"/>
        <w:jc w:val="left"/>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324" w:lineRule="auto" w:before="10"/>
        <w:ind w:right="1438"/>
        <w:jc w:val="both"/>
      </w:pPr>
      <w:r>
        <w:rPr>
          <w:spacing w:val="-1"/>
        </w:rPr>
        <w:t>公司、合营企业、联营企业的长期股权投资等非流动非金融资产，本公司于资产负债表日判断是否</w:t>
      </w:r>
      <w:r>
        <w:rPr>
          <w:spacing w:val="-16"/>
        </w:rPr>
        <w:t> </w:t>
      </w:r>
      <w:r>
        <w:rPr>
          <w:spacing w:val="-16"/>
        </w:rPr>
      </w:r>
      <w:r>
        <w:rPr>
          <w:spacing w:val="-1"/>
        </w:rPr>
        <w:t>存在减值迹象。如存在减值迹象的，则估计其可收回金额，进行减值测试。商誉、使用寿命不确定</w:t>
      </w:r>
      <w:r>
        <w:rPr>
          <w:spacing w:val="-19"/>
        </w:rPr>
        <w:t> </w:t>
      </w:r>
      <w:r>
        <w:rPr>
          <w:spacing w:val="-19"/>
        </w:rPr>
      </w:r>
      <w:r>
        <w:rPr/>
        <w:t>的无形资产和尚未达到可使用状态的无形资产，无论是否存在减值迹象，每年均进行减值测试。</w:t>
      </w:r>
    </w:p>
    <w:p>
      <w:pPr>
        <w:pStyle w:val="BodyText"/>
        <w:spacing w:line="324" w:lineRule="auto" w:before="63"/>
        <w:ind w:right="1437" w:firstLine="420"/>
        <w:jc w:val="both"/>
      </w:pPr>
      <w:r>
        <w:rPr/>
        <w:t>减值测试结果表明资产的可收回金额低于其账面价值的，按其差额计提减值准备并计入减值损 失。可收回金额为资产的公允价值减去处置费用后的净额与资产预计未来现金流量的现值两者之间 的较高者。资产的公允价值根据公平交易中销售协议价格确定；不存在销售协议但存在资产活跃市 场的，公允价值按照该资产的买方出价确定；不存在销售协议和资产活跃市场的，则以可获取的最 佳信息为基础估计资产的公允价值。处置费用包括与资产处置有关的法律费用、相关税费、搬运费 以及为使资产达到可销售状态所发生的直接费用。资产预计未来现金流量的现值，按照资产在持续 使用过程中和最终处置时所产生的预计未来现金流量，选择恰当的折现率对其进行折现后的金额加 以确定。资产减值准备按单项资产为基础计算并确认，如果难以对单项资产的可收回金额进行估计 的，以该资产所属的资产组确定资产组的可收回金额。资产组是能够独立产生现金流入的最小资产 组合。</w:t>
      </w:r>
    </w:p>
    <w:p>
      <w:pPr>
        <w:pStyle w:val="BodyText"/>
        <w:spacing w:line="324" w:lineRule="auto" w:before="64"/>
        <w:ind w:right="1437" w:firstLine="420"/>
        <w:jc w:val="both"/>
      </w:pPr>
      <w:r>
        <w:rPr/>
        <w:t>在财务报表中单独列示的商誉，在进行减值测试时，将商誉的账面价值分摊至预期从企业合并 的协同效应中受益的资产组或资产组组合。测试结果表明包含分摊的商誉的资产组或资产组组合的 可收回金额低于其账面价值的，确认相应的减值损失。减值损失金额先抵减分摊至该资产组或资产 组组合的商誉的账面价值，再根据资产组或资产组组合中除商誉以外的其他各项资产的账面价值所 占比重，按比例抵减其他各项资产的账面价值。</w:t>
      </w:r>
    </w:p>
    <w:p>
      <w:pPr>
        <w:pStyle w:val="BodyText"/>
        <w:spacing w:line="355" w:lineRule="auto" w:before="64"/>
        <w:ind w:left="560" w:right="3306"/>
        <w:jc w:val="left"/>
      </w:pPr>
      <w:r>
        <w:rPr/>
        <w:t>上述资产减值损失一经确认，以后期间不予转回价值得以恢复的部分。 </w:t>
      </w:r>
      <w:bookmarkStart w:name="21、职工薪酬" w:id="246"/>
      <w:bookmarkEnd w:id="246"/>
      <w:r>
        <w:rPr/>
      </w:r>
      <w:r>
        <w:rPr>
          <w:rFonts w:ascii="华文细黑" w:hAnsi="华文细黑" w:cs="华文细黑" w:eastAsia="华文细黑" w:hint="default"/>
          <w:b/>
          <w:bCs/>
        </w:rPr>
        <w:t>21</w:t>
      </w:r>
      <w:r>
        <w:rPr>
          <w:rFonts w:ascii="华文细黑" w:hAnsi="华文细黑" w:cs="华文细黑" w:eastAsia="华文细黑" w:hint="default"/>
          <w:b/>
          <w:bCs/>
        </w:rPr>
        <w:t>、职工薪酬</w:t>
      </w:r>
      <w:r>
        <w:rPr>
          <w:rFonts w:ascii="华文细黑" w:hAnsi="华文细黑" w:cs="华文细黑" w:eastAsia="华文细黑" w:hint="default"/>
          <w:b/>
          <w:bCs/>
          <w:w w:val="99"/>
        </w:rPr>
        <w:t> </w:t>
      </w:r>
      <w:r>
        <w:rPr/>
        <w:t>本公司职工薪酬主要包括短期职工薪酬、离职后福利、辞退福利。其中：</w:t>
      </w:r>
    </w:p>
    <w:p>
      <w:pPr>
        <w:pStyle w:val="BodyText"/>
        <w:spacing w:line="324" w:lineRule="auto" w:before="35"/>
        <w:ind w:right="1438" w:firstLine="420"/>
        <w:jc w:val="both"/>
      </w:pPr>
      <w:r>
        <w:rPr>
          <w:spacing w:val="-1"/>
        </w:rPr>
        <w:t>短期薪酬主要包括工资、奖金、津贴和补贴、职工福利费、医疗保险费、生育保险费、工伤保</w:t>
      </w:r>
      <w:r>
        <w:rPr/>
        <w:t> </w:t>
      </w:r>
      <w:r>
        <w:rPr>
          <w:spacing w:val="-1"/>
        </w:rPr>
        <w:t>险费、住房公积金、工会经费和职工教育经费、非货币性福利等。本公司在职工为本公司提供服务</w:t>
      </w:r>
      <w:r>
        <w:rPr>
          <w:spacing w:val="-18"/>
        </w:rPr>
        <w:t> </w:t>
      </w:r>
      <w:r>
        <w:rPr>
          <w:spacing w:val="-18"/>
        </w:rPr>
      </w:r>
      <w:r>
        <w:rPr>
          <w:spacing w:val="-1"/>
        </w:rPr>
        <w:t>的会计期间将实际发生的短期职工薪酬确认为负债，并计入当期损益或相关资产成本。其中非货币</w:t>
      </w:r>
      <w:r>
        <w:rPr>
          <w:spacing w:val="-16"/>
        </w:rPr>
        <w:t> </w:t>
      </w:r>
      <w:r>
        <w:rPr>
          <w:spacing w:val="-16"/>
        </w:rPr>
      </w:r>
      <w:r>
        <w:rPr/>
        <w:t>性福利按公允价值计量。</w:t>
      </w:r>
    </w:p>
    <w:p>
      <w:pPr>
        <w:pStyle w:val="BodyText"/>
        <w:spacing w:line="324" w:lineRule="auto" w:before="64"/>
        <w:ind w:right="1246" w:firstLine="420"/>
        <w:jc w:val="left"/>
      </w:pPr>
      <w:r>
        <w:rPr>
          <w:spacing w:val="-3"/>
        </w:rPr>
        <w:t>离职后福利主要包括基本养老保险、失业保险以及年金等。离职后福利计划包括设定提存计划。</w:t>
      </w:r>
      <w:r>
        <w:rPr/>
        <w:t> 采用设定提存计划的，相应的应缴存金额于发生时计入相关资产成本或当期损益。</w:t>
      </w:r>
    </w:p>
    <w:p>
      <w:pPr>
        <w:pStyle w:val="BodyText"/>
        <w:spacing w:line="324" w:lineRule="auto" w:before="64"/>
        <w:ind w:right="1437" w:firstLine="420"/>
        <w:jc w:val="both"/>
      </w:pPr>
      <w:r>
        <w:rPr/>
        <w:t>在职工劳动合同到期之前解除与职工的劳动关系，或为鼓励职工自愿接受裁减而提出给予补偿 的建议，在本公司不能单方面撤回因解除劳动关系计划或裁减建议所提供的辞退福利时，和本公司 确认与涉及支付辞退福利的重组相关的成本两者孰早日，确认辞退福利产生的职工薪酬负债，并计 入当期损益。但辞退福利预期在年度报告期结束后十二个月不能完全支付的，按照其他长期职工薪 酬处理。</w:t>
      </w:r>
    </w:p>
    <w:p>
      <w:pPr>
        <w:pStyle w:val="BodyText"/>
        <w:spacing w:line="240" w:lineRule="auto" w:before="64"/>
        <w:ind w:left="560" w:right="1246"/>
        <w:jc w:val="left"/>
      </w:pPr>
      <w:r>
        <w:rPr/>
        <w:t>职工内部退休计划采用与上述辞退福利相同的原则处理。本公司将自职工停止提供服务日至正</w:t>
      </w:r>
    </w:p>
    <w:p>
      <w:pPr>
        <w:spacing w:after="0" w:line="240" w:lineRule="auto"/>
        <w:jc w:val="left"/>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324" w:lineRule="auto" w:before="10"/>
        <w:ind w:right="1439"/>
        <w:jc w:val="both"/>
      </w:pPr>
      <w:r>
        <w:rPr>
          <w:spacing w:val="-1"/>
        </w:rPr>
        <w:t>常退休日的期间拟支付的内退人员工资和缴纳的社会保险费等，在符合预计负债确认条件时，计入</w:t>
      </w:r>
      <w:r>
        <w:rPr>
          <w:spacing w:val="-16"/>
        </w:rPr>
        <w:t> </w:t>
      </w:r>
      <w:r>
        <w:rPr>
          <w:spacing w:val="-16"/>
        </w:rPr>
      </w:r>
      <w:r>
        <w:rPr>
          <w:spacing w:val="-10"/>
        </w:rPr>
        <w:t>当期损益（辞退福利）。</w:t>
      </w:r>
    </w:p>
    <w:p>
      <w:pPr>
        <w:pStyle w:val="BodyText"/>
        <w:spacing w:line="324" w:lineRule="auto" w:before="64"/>
        <w:ind w:right="1438" w:firstLine="420"/>
        <w:jc w:val="both"/>
      </w:pPr>
      <w:r>
        <w:rPr>
          <w:spacing w:val="-1"/>
        </w:rPr>
        <w:t>本公司向职工提供的其他长期职工福利，符合设定提存计划的，按照设定提存计划进行会计处</w:t>
      </w:r>
      <w:r>
        <w:rPr/>
        <w:t> 理，除此之外按照设定受益计划进行会计处理。</w:t>
      </w:r>
    </w:p>
    <w:p>
      <w:pPr>
        <w:pStyle w:val="BodyText"/>
        <w:spacing w:line="357" w:lineRule="auto" w:before="64"/>
        <w:ind w:left="560" w:right="1426"/>
        <w:jc w:val="left"/>
      </w:pPr>
      <w:bookmarkStart w:name="22、预计负债" w:id="247"/>
      <w:bookmarkEnd w:id="247"/>
      <w:r>
        <w:rPr/>
      </w:r>
      <w:r>
        <w:rPr>
          <w:rFonts w:ascii="华文细黑" w:hAnsi="华文细黑" w:cs="华文细黑" w:eastAsia="华文细黑" w:hint="default"/>
          <w:b/>
          <w:bCs/>
        </w:rPr>
        <w:t>22</w:t>
      </w:r>
      <w:r>
        <w:rPr>
          <w:rFonts w:ascii="华文细黑" w:hAnsi="华文细黑" w:cs="华文细黑" w:eastAsia="华文细黑" w:hint="default"/>
          <w:b/>
          <w:bCs/>
        </w:rPr>
        <w:t>、预计负债</w:t>
      </w:r>
      <w:r>
        <w:rPr>
          <w:rFonts w:ascii="华文细黑" w:hAnsi="华文细黑" w:cs="华文细黑" w:eastAsia="华文细黑" w:hint="default"/>
          <w:b/>
          <w:bCs/>
          <w:w w:val="99"/>
        </w:rPr>
        <w:t> </w:t>
      </w:r>
      <w:r>
        <w:rPr>
          <w:spacing w:val="-3"/>
        </w:rPr>
        <w:t>当与或有事项相关的义务同时符合以下条件，确认为预计负债：（</w:t>
      </w:r>
      <w:r>
        <w:rPr>
          <w:rFonts w:ascii="华文细黑" w:hAnsi="华文细黑" w:cs="华文细黑" w:eastAsia="华文细黑" w:hint="default"/>
          <w:spacing w:val="-3"/>
        </w:rPr>
        <w:t>1</w:t>
      </w:r>
      <w:r>
        <w:rPr>
          <w:spacing w:val="-3"/>
        </w:rPr>
        <w:t>）该义务是本公司承担的现</w:t>
      </w:r>
    </w:p>
    <w:p>
      <w:pPr>
        <w:pStyle w:val="BodyText"/>
        <w:spacing w:line="357" w:lineRule="auto"/>
        <w:ind w:left="560" w:right="1246" w:hanging="421"/>
        <w:jc w:val="left"/>
      </w:pPr>
      <w:r>
        <w:rPr>
          <w:spacing w:val="-6"/>
        </w:rPr>
        <w:t>时义务；（</w:t>
      </w:r>
      <w:r>
        <w:rPr>
          <w:rFonts w:ascii="华文细黑" w:hAnsi="华文细黑" w:cs="华文细黑" w:eastAsia="华文细黑" w:hint="default"/>
          <w:spacing w:val="-6"/>
        </w:rPr>
        <w:t>2</w:t>
      </w:r>
      <w:r>
        <w:rPr>
          <w:spacing w:val="-6"/>
        </w:rPr>
        <w:t>）履行该义务很可能导致经济利益流出；（</w:t>
      </w:r>
      <w:r>
        <w:rPr>
          <w:rFonts w:ascii="华文细黑" w:hAnsi="华文细黑" w:cs="华文细黑" w:eastAsia="华文细黑" w:hint="default"/>
          <w:spacing w:val="-6"/>
        </w:rPr>
        <w:t>3</w:t>
      </w:r>
      <w:r>
        <w:rPr>
          <w:spacing w:val="-6"/>
        </w:rPr>
        <w:t>）该义务的金额能够可靠地计量。</w:t>
      </w:r>
      <w:r>
        <w:rPr>
          <w:spacing w:val="-21"/>
        </w:rPr>
        <w:t> </w:t>
      </w:r>
      <w:r>
        <w:rPr>
          <w:spacing w:val="-21"/>
        </w:rPr>
      </w:r>
      <w:r>
        <w:rPr>
          <w:spacing w:val="-1"/>
        </w:rPr>
        <w:t>在资产负债表日，考虑与或有事项有关的风险、不确定性和货币时间价值等因素，按照履行相</w:t>
      </w:r>
    </w:p>
    <w:p>
      <w:pPr>
        <w:pStyle w:val="BodyText"/>
        <w:spacing w:line="357" w:lineRule="auto"/>
        <w:ind w:left="560" w:right="1626" w:hanging="421"/>
        <w:jc w:val="left"/>
      </w:pPr>
      <w:r>
        <w:rPr/>
        <w:t>关现时义务所需支出的最佳估计数对预计负债进行计量。 如果清偿预计负债所需支出全部或部分预期由第三方补偿的，补偿金额在基本确定能够收到</w:t>
      </w:r>
    </w:p>
    <w:p>
      <w:pPr>
        <w:pStyle w:val="BodyText"/>
        <w:spacing w:line="357" w:lineRule="auto"/>
        <w:ind w:left="560" w:right="3727" w:hanging="421"/>
        <w:jc w:val="left"/>
        <w:rPr>
          <w:rFonts w:ascii="华文细黑" w:hAnsi="华文细黑" w:cs="华文细黑" w:eastAsia="华文细黑" w:hint="default"/>
        </w:rPr>
      </w:pPr>
      <w:r>
        <w:rPr/>
        <w:t>时，作为资产单独确认，且确认的补偿金额不超过预计负债的账面价值。 </w:t>
      </w:r>
      <w:bookmarkStart w:name="23、股份支付" w:id="248"/>
      <w:bookmarkEnd w:id="248"/>
      <w:r>
        <w:rPr/>
      </w:r>
      <w:r>
        <w:rPr>
          <w:rFonts w:ascii="华文细黑" w:hAnsi="华文细黑" w:cs="华文细黑" w:eastAsia="华文细黑" w:hint="default"/>
          <w:b/>
          <w:bCs/>
        </w:rPr>
        <w:t>23</w:t>
      </w:r>
      <w:r>
        <w:rPr>
          <w:rFonts w:ascii="华文细黑" w:hAnsi="华文细黑" w:cs="华文细黑" w:eastAsia="华文细黑" w:hint="default"/>
          <w:b/>
          <w:bCs/>
        </w:rPr>
        <w:t>、股份支付</w:t>
      </w:r>
      <w:r>
        <w:rPr>
          <w:rFonts w:ascii="华文细黑" w:hAnsi="华文细黑" w:cs="华文细黑" w:eastAsia="华文细黑" w:hint="default"/>
        </w:rPr>
      </w:r>
    </w:p>
    <w:p>
      <w:pPr>
        <w:pStyle w:val="BodyText"/>
        <w:spacing w:line="357" w:lineRule="auto" w:before="31"/>
        <w:ind w:left="560" w:right="1626"/>
        <w:jc w:val="left"/>
      </w:pPr>
      <w:r>
        <w:rPr/>
        <w:t>（</w:t>
      </w:r>
      <w:r>
        <w:rPr>
          <w:rFonts w:ascii="华文细黑" w:hAnsi="华文细黑" w:cs="华文细黑" w:eastAsia="华文细黑" w:hint="default"/>
        </w:rPr>
        <w:t>1</w:t>
      </w:r>
      <w:r>
        <w:rPr/>
        <w:t>）股份支付的会计处理方法 股份支付是为了获取职工或其他方提供服务而授予权益工具或者承担以权益工具为基础确定</w:t>
      </w:r>
    </w:p>
    <w:p>
      <w:pPr>
        <w:pStyle w:val="BodyText"/>
        <w:spacing w:line="289" w:lineRule="exact"/>
        <w:ind w:right="0"/>
        <w:jc w:val="both"/>
      </w:pPr>
      <w:r>
        <w:rPr/>
        <w:t>的负债的交易。股份支付分为以权益结算的股份支付和以现金结算的股份支付。</w:t>
      </w:r>
    </w:p>
    <w:p>
      <w:pPr>
        <w:pStyle w:val="BodyText"/>
        <w:spacing w:line="357" w:lineRule="auto" w:before="144"/>
        <w:ind w:left="560" w:right="1416"/>
        <w:jc w:val="left"/>
      </w:pPr>
      <w:r>
        <w:rPr/>
        <w:t>①</w:t>
      </w:r>
      <w:r>
        <w:rPr>
          <w:spacing w:val="52"/>
        </w:rPr>
        <w:t> </w:t>
      </w:r>
      <w:r>
        <w:rPr/>
        <w:t>以权益结算的股份支付</w:t>
      </w:r>
      <w:r>
        <w:rPr/>
        <w:t> 用以换取职工提供的服务的权益结算的股份支付，以授予职工权益工具在授予日的公允价值计</w:t>
      </w:r>
    </w:p>
    <w:p>
      <w:pPr>
        <w:pStyle w:val="BodyText"/>
        <w:spacing w:line="324" w:lineRule="auto"/>
        <w:ind w:right="1438"/>
        <w:jc w:val="both"/>
      </w:pPr>
      <w:r>
        <w:rPr>
          <w:spacing w:val="-1"/>
        </w:rPr>
        <w:t>量。该公允价值的金额在完成等待期内的服务或达到规定业绩条件才可行权的情况下，在等待期内</w:t>
      </w:r>
      <w:r>
        <w:rPr>
          <w:spacing w:val="-16"/>
        </w:rPr>
        <w:t> </w:t>
      </w:r>
      <w:r>
        <w:rPr>
          <w:spacing w:val="-16"/>
        </w:rPr>
      </w:r>
      <w:r>
        <w:rPr>
          <w:spacing w:val="-3"/>
        </w:rPr>
        <w:t>以对可行权权益工具数量的最佳估计为基础，按直线法计算计入相关成本或费用</w:t>
      </w:r>
      <w:r>
        <w:rPr>
          <w:rFonts w:ascii="华文细黑" w:hAnsi="华文细黑" w:cs="华文细黑" w:eastAsia="华文细黑" w:hint="default"/>
          <w:spacing w:val="-3"/>
        </w:rPr>
        <w:t>/</w:t>
      </w:r>
      <w:r>
        <w:rPr>
          <w:spacing w:val="-3"/>
        </w:rPr>
        <w:t>在授予后立即可行</w:t>
      </w:r>
      <w:r>
        <w:rPr>
          <w:spacing w:val="-18"/>
        </w:rPr>
        <w:t> </w:t>
      </w:r>
      <w:r>
        <w:rPr/>
        <w:t>权时，在授予日计入相关成本或费用，相应增加资本公积。</w:t>
      </w:r>
    </w:p>
    <w:p>
      <w:pPr>
        <w:pStyle w:val="BodyText"/>
        <w:spacing w:line="324" w:lineRule="auto" w:before="63"/>
        <w:ind w:right="1437" w:firstLine="420"/>
        <w:jc w:val="both"/>
      </w:pPr>
      <w:r>
        <w:rPr/>
        <w:t>在等待期内每个资产负债表日，本公司根据最新取得的可行权职工人数变动等后续信息做出最 佳估计，修正预计可行权的权益工具数量。上述估计的影响计入当期相关成本或费用，并相应调整 资本公积。</w:t>
      </w:r>
    </w:p>
    <w:p>
      <w:pPr>
        <w:pStyle w:val="BodyText"/>
        <w:spacing w:line="324" w:lineRule="auto" w:before="64"/>
        <w:ind w:right="1438" w:firstLine="420"/>
        <w:jc w:val="both"/>
      </w:pPr>
      <w:r>
        <w:rPr>
          <w:spacing w:val="-1"/>
        </w:rPr>
        <w:t>用以换取其他方服务的权益结算的股份支付，如果其他方服务的公允价值能够可靠计量，按照</w:t>
      </w:r>
      <w:r>
        <w:rPr/>
        <w:t> </w:t>
      </w:r>
      <w:r>
        <w:rPr>
          <w:spacing w:val="-1"/>
        </w:rPr>
        <w:t>其他方服务在取得日的公允价值计量，如果其他方服务的公允价值不能可靠计量，但权益工具的公</w:t>
      </w:r>
      <w:r>
        <w:rPr>
          <w:spacing w:val="-16"/>
        </w:rPr>
        <w:t> </w:t>
      </w:r>
      <w:r>
        <w:rPr>
          <w:spacing w:val="-16"/>
        </w:rPr>
      </w:r>
      <w:r>
        <w:rPr>
          <w:spacing w:val="-1"/>
        </w:rPr>
        <w:t>允价值能够可靠计量的，按照权益工具在服务取得日的公允价值计量，计入相关成本或费用，相应</w:t>
      </w:r>
      <w:r>
        <w:rPr>
          <w:spacing w:val="-16"/>
        </w:rPr>
        <w:t> </w:t>
      </w:r>
      <w:r>
        <w:rPr>
          <w:spacing w:val="-16"/>
        </w:rPr>
      </w:r>
      <w:r>
        <w:rPr/>
        <w:t>增加股东权益。</w:t>
      </w:r>
    </w:p>
    <w:p>
      <w:pPr>
        <w:pStyle w:val="BodyText"/>
        <w:spacing w:line="357" w:lineRule="auto" w:before="63"/>
        <w:ind w:left="560" w:right="1416"/>
        <w:jc w:val="left"/>
      </w:pPr>
      <w:r>
        <w:rPr/>
        <w:t>②</w:t>
      </w:r>
      <w:r>
        <w:rPr>
          <w:spacing w:val="52"/>
        </w:rPr>
        <w:t> </w:t>
      </w:r>
      <w:r>
        <w:rPr/>
        <w:t>以现金结算的股份支付</w:t>
      </w:r>
      <w:r>
        <w:rPr/>
        <w:t> 以现金结算的股份支付，按照本公司承担的以股份或其他权益工具为基础确定的负债的公允价</w:t>
      </w:r>
    </w:p>
    <w:p>
      <w:pPr>
        <w:pStyle w:val="BodyText"/>
        <w:spacing w:line="324" w:lineRule="auto"/>
        <w:ind w:right="1438"/>
        <w:jc w:val="both"/>
      </w:pPr>
      <w:r>
        <w:rPr>
          <w:spacing w:val="-1"/>
        </w:rPr>
        <w:t>值计量。如授予后立即可行权，在授予日计入相关成本或费用，相应增加负债；如须完成等待期内</w:t>
      </w:r>
      <w:r>
        <w:rPr>
          <w:spacing w:val="-17"/>
        </w:rPr>
        <w:t> </w:t>
      </w:r>
      <w:r>
        <w:rPr>
          <w:spacing w:val="-17"/>
        </w:rPr>
      </w:r>
      <w:r>
        <w:rPr>
          <w:spacing w:val="-1"/>
        </w:rPr>
        <w:t>的服务或达到规定业绩条件以后才可行权，在等待期的每个资产负债表日，以对可行权情况的最佳</w:t>
      </w:r>
      <w:r>
        <w:rPr>
          <w:spacing w:val="-16"/>
        </w:rPr>
        <w:t> </w:t>
      </w:r>
      <w:r>
        <w:rPr>
          <w:spacing w:val="-16"/>
        </w:rPr>
      </w:r>
      <w:r>
        <w:rPr>
          <w:spacing w:val="-1"/>
        </w:rPr>
        <w:t>估计为基础，按照本公司承担负债的公允价值金额，将当期取得的服务计入成本或费用，相应增加</w:t>
      </w:r>
      <w:r>
        <w:rPr>
          <w:spacing w:val="-16"/>
        </w:rPr>
        <w:t> </w:t>
      </w:r>
      <w:r>
        <w:rPr>
          <w:spacing w:val="-16"/>
        </w:rPr>
      </w:r>
      <w:r>
        <w:rPr/>
        <w:t>负债。</w:t>
      </w:r>
    </w:p>
    <w:p>
      <w:pPr>
        <w:spacing w:after="0" w:line="324" w:lineRule="auto"/>
        <w:jc w:val="both"/>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324" w:lineRule="auto" w:before="10"/>
        <w:ind w:right="1438" w:firstLine="420"/>
        <w:jc w:val="both"/>
      </w:pPr>
      <w:r>
        <w:rPr>
          <w:spacing w:val="-1"/>
        </w:rPr>
        <w:t>在相关负债结算前的每个资产负债表日以及结算日，对负债的公允价值重新计量，其变动计入</w:t>
      </w:r>
      <w:r>
        <w:rPr/>
        <w:t> 当期损益。</w:t>
      </w:r>
    </w:p>
    <w:p>
      <w:pPr>
        <w:pStyle w:val="BodyText"/>
        <w:spacing w:line="357" w:lineRule="auto" w:before="64"/>
        <w:ind w:left="560" w:right="1246"/>
        <w:jc w:val="left"/>
      </w:pPr>
      <w:r>
        <w:rPr/>
        <w:t>（</w:t>
      </w:r>
      <w:r>
        <w:rPr>
          <w:rFonts w:ascii="华文细黑" w:hAnsi="华文细黑" w:cs="华文细黑" w:eastAsia="华文细黑" w:hint="default"/>
        </w:rPr>
        <w:t>2</w:t>
      </w:r>
      <w:r>
        <w:rPr/>
        <w:t>）修改、终止股份支付计划的相关会计处理 </w:t>
      </w:r>
      <w:r>
        <w:rPr>
          <w:spacing w:val="-1"/>
        </w:rPr>
        <w:t>本公司对股份支付计划进行修改时，若修改增加了所授予权益工具的公允价值，按照权益工具</w:t>
      </w:r>
    </w:p>
    <w:p>
      <w:pPr>
        <w:pStyle w:val="BodyText"/>
        <w:spacing w:line="324" w:lineRule="auto"/>
        <w:ind w:right="1416"/>
        <w:jc w:val="left"/>
      </w:pPr>
      <w:r>
        <w:rPr/>
        <w:t>公允价值的增加相应确认取得服务的增加。权益工具公允价值的增加是指修改前后的权益工具在修 改日的公允价值之间的差额。若修改减少了股份支付公允价值总额或采用了其他不利于职工的方 式，则仍继续对取得的服务进行会计处理，视同该变更从未发生，除非本公司取消了部分或全部已 授予的权益工具。</w:t>
      </w:r>
    </w:p>
    <w:p>
      <w:pPr>
        <w:pStyle w:val="BodyText"/>
        <w:spacing w:line="324" w:lineRule="auto" w:before="64"/>
        <w:ind w:right="1438" w:firstLine="420"/>
        <w:jc w:val="both"/>
      </w:pPr>
      <w:r>
        <w:rPr>
          <w:spacing w:val="-1"/>
        </w:rPr>
        <w:t>在等待期内，如果取消了授予的权益工具，本公司对取消所授予的权益性工具作为加速行权处</w:t>
      </w:r>
      <w:r>
        <w:rPr/>
        <w:t> </w:t>
      </w:r>
      <w:r>
        <w:rPr>
          <w:spacing w:val="-1"/>
        </w:rPr>
        <w:t>理，将剩余等待期内应确认的金额立即计入当期损益，同时确认资本公积。职工或其他方能够选择</w:t>
      </w:r>
      <w:r>
        <w:rPr>
          <w:spacing w:val="-16"/>
        </w:rPr>
        <w:t> </w:t>
      </w:r>
      <w:r>
        <w:rPr>
          <w:spacing w:val="-16"/>
        </w:rPr>
      </w:r>
      <w:r>
        <w:rPr/>
        <w:t>满足非可行权条件但在等待期内未满足的，本公司将其作为授予权益工具的取消处理。</w:t>
      </w:r>
    </w:p>
    <w:p>
      <w:pPr>
        <w:pStyle w:val="Heading5"/>
        <w:spacing w:line="240" w:lineRule="auto" w:before="64"/>
        <w:ind w:left="560" w:right="1246"/>
        <w:jc w:val="left"/>
        <w:rPr>
          <w:b w:val="0"/>
          <w:bCs w:val="0"/>
        </w:rPr>
      </w:pPr>
      <w:bookmarkStart w:name="24、收入" w:id="249"/>
      <w:bookmarkEnd w:id="249"/>
      <w:r>
        <w:rPr>
          <w:b w:val="0"/>
          <w:bCs w:val="0"/>
        </w:rPr>
      </w:r>
      <w:r>
        <w:rPr>
          <w:rFonts w:ascii="华文细黑" w:hAnsi="华文细黑" w:cs="华文细黑" w:eastAsia="华文细黑" w:hint="default"/>
        </w:rPr>
        <w:t>24</w:t>
      </w:r>
      <w:r>
        <w:rPr/>
        <w:t>、收入</w:t>
      </w:r>
      <w:r>
        <w:rPr>
          <w:b w:val="0"/>
          <w:bCs w:val="0"/>
        </w:rPr>
      </w:r>
    </w:p>
    <w:p>
      <w:pPr>
        <w:pStyle w:val="BodyText"/>
        <w:spacing w:line="240" w:lineRule="auto" w:before="144"/>
        <w:ind w:left="560" w:right="1246"/>
        <w:jc w:val="left"/>
      </w:pPr>
      <w:r>
        <w:rPr/>
        <w:t>（</w:t>
      </w:r>
      <w:r>
        <w:rPr>
          <w:rFonts w:ascii="华文细黑" w:hAnsi="华文细黑" w:cs="华文细黑" w:eastAsia="华文细黑" w:hint="default"/>
        </w:rPr>
        <w:t>1</w:t>
      </w:r>
      <w:r>
        <w:rPr/>
        <w:t>）收入确认总体原则</w:t>
      </w:r>
    </w:p>
    <w:p>
      <w:pPr>
        <w:pStyle w:val="BodyText"/>
        <w:spacing w:line="357" w:lineRule="auto" w:before="142"/>
        <w:ind w:left="560" w:right="1416"/>
        <w:jc w:val="left"/>
      </w:pPr>
      <w:r>
        <w:rPr/>
        <w:t>①商品销售收入 在已将商品所有权上的主要风险和报酬转移给买方，既没有保留通常与所有权相联系的继续管</w:t>
      </w:r>
    </w:p>
    <w:p>
      <w:pPr>
        <w:pStyle w:val="BodyText"/>
        <w:spacing w:line="324" w:lineRule="auto"/>
        <w:ind w:right="1246"/>
        <w:jc w:val="left"/>
      </w:pPr>
      <w:r>
        <w:rPr>
          <w:spacing w:val="-1"/>
        </w:rPr>
        <w:t>理权，也没有对已售商品实施有效控制，收入的金额能够可靠地计量，相关的经济利益很可能流入</w:t>
      </w:r>
      <w:r>
        <w:rPr>
          <w:spacing w:val="-16"/>
        </w:rPr>
        <w:t> </w:t>
      </w:r>
      <w:r>
        <w:rPr>
          <w:spacing w:val="-16"/>
        </w:rPr>
      </w:r>
      <w:r>
        <w:rPr/>
        <w:t>企业，相关的已发生或将发生的成本能够可靠地计量时，确认商品销售收入的实现。</w:t>
      </w:r>
    </w:p>
    <w:p>
      <w:pPr>
        <w:pStyle w:val="BodyText"/>
        <w:spacing w:line="357" w:lineRule="auto" w:before="63"/>
        <w:ind w:left="560" w:right="1416"/>
        <w:jc w:val="left"/>
      </w:pPr>
      <w:r>
        <w:rPr/>
        <w:t>②提供劳务收入 在提供劳务交易的结果能够可靠估计的情况下，于资产负债表日按照完工百分比法确认提供的</w:t>
      </w:r>
    </w:p>
    <w:p>
      <w:pPr>
        <w:pStyle w:val="BodyText"/>
        <w:spacing w:line="357" w:lineRule="auto"/>
        <w:ind w:left="560" w:right="1246" w:hanging="421"/>
        <w:jc w:val="left"/>
      </w:pPr>
      <w:r>
        <w:rPr/>
        <w:t>劳务收入。劳务交易的完工进度按已经发生的劳务成本占估计总成本的比例确定。 </w:t>
      </w:r>
      <w:r>
        <w:rPr>
          <w:spacing w:val="-1"/>
        </w:rPr>
        <w:t>提供劳务交易的结果能够可靠估计是指同时满足：①收入的金额能够可靠地计量；②相关的经</w:t>
      </w:r>
    </w:p>
    <w:p>
      <w:pPr>
        <w:pStyle w:val="BodyText"/>
        <w:spacing w:line="324" w:lineRule="auto"/>
        <w:ind w:right="1246"/>
        <w:jc w:val="left"/>
      </w:pPr>
      <w:r>
        <w:rPr>
          <w:spacing w:val="-1"/>
        </w:rPr>
        <w:t>济利益很可能流入企业；③交易的完工程度能够可靠地确定；④交易中已发生和将发生的成本能够</w:t>
      </w:r>
      <w:r>
        <w:rPr>
          <w:spacing w:val="-16"/>
        </w:rPr>
        <w:t> </w:t>
      </w:r>
      <w:r>
        <w:rPr>
          <w:spacing w:val="-16"/>
        </w:rPr>
      </w:r>
      <w:r>
        <w:rPr/>
        <w:t>可靠地计量。</w:t>
      </w:r>
    </w:p>
    <w:p>
      <w:pPr>
        <w:pStyle w:val="BodyText"/>
        <w:spacing w:line="324" w:lineRule="auto" w:before="63"/>
        <w:ind w:right="1437" w:firstLine="420"/>
        <w:jc w:val="both"/>
      </w:pPr>
      <w:r>
        <w:rPr/>
        <w:t>如果提供劳务交易的结果不能够可靠估计，则按已经发生并预计能够得到补偿的劳务成本金额 确认提供的劳务收入，并将已发生的劳务成本作为当期费用。已经发生的劳务成本如预计不能得到 补偿的，则不确认收入。</w:t>
      </w:r>
    </w:p>
    <w:p>
      <w:pPr>
        <w:pStyle w:val="BodyText"/>
        <w:spacing w:line="324" w:lineRule="auto" w:before="64"/>
        <w:ind w:right="1437" w:firstLine="420"/>
        <w:jc w:val="both"/>
      </w:pPr>
      <w:r>
        <w:rPr/>
        <w:t>本公司与其他企业签订的合同或协议包括销售商品和提供劳务时，如销售商品部分和提供劳务 部分能够区分并单独计量的，将销售商品部分和提供劳务部分分别处理；如销售商品部分和提供劳 务部分不能够区分，或虽能区分但不能够单独计量的，将该合同全部作为销售商品处理。</w:t>
      </w:r>
    </w:p>
    <w:p>
      <w:pPr>
        <w:pStyle w:val="BodyText"/>
        <w:spacing w:line="357" w:lineRule="auto" w:before="64"/>
        <w:ind w:left="560" w:right="5616"/>
        <w:jc w:val="left"/>
      </w:pPr>
      <w:r>
        <w:rPr/>
        <w:t>③使用费收入 根据有关合同或协议，按权责发生制确认收入。</w:t>
      </w:r>
    </w:p>
    <w:p>
      <w:pPr>
        <w:pStyle w:val="BodyText"/>
        <w:spacing w:line="357" w:lineRule="auto" w:before="31"/>
        <w:ind w:left="560" w:right="4566"/>
        <w:jc w:val="left"/>
      </w:pPr>
      <w:r>
        <w:rPr/>
        <w:t>④利息收入 按照他人使用本公司货币资金的时间和实际利率计算确定。</w:t>
      </w:r>
    </w:p>
    <w:p>
      <w:pPr>
        <w:spacing w:after="0" w:line="357" w:lineRule="auto"/>
        <w:jc w:val="left"/>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240" w:lineRule="auto" w:before="10"/>
        <w:ind w:left="560" w:right="1246"/>
        <w:jc w:val="left"/>
      </w:pPr>
      <w:r>
        <w:rPr/>
        <w:t>（</w:t>
      </w:r>
      <w:r>
        <w:rPr>
          <w:rFonts w:ascii="华文细黑" w:hAnsi="华文细黑" w:cs="华文细黑" w:eastAsia="华文细黑" w:hint="default"/>
        </w:rPr>
        <w:t>2</w:t>
      </w:r>
      <w:r>
        <w:rPr/>
        <w:t>）除上述收入确认的总体原则外，各类不同业务类型的收入确认具体方法如下：</w:t>
      </w:r>
    </w:p>
    <w:p>
      <w:pPr>
        <w:pStyle w:val="BodyText"/>
        <w:spacing w:line="324" w:lineRule="auto" w:before="144"/>
        <w:ind w:right="1416" w:firstLine="420"/>
        <w:jc w:val="left"/>
      </w:pPr>
      <w:r>
        <w:rPr/>
        <w:t>①智能终端产品分销业务：根据客户订单发货，经客户检验签收后确认收入。同时公司结合不 同厂家的销售政策，以资产负债表日前 </w:t>
      </w:r>
      <w:r>
        <w:rPr>
          <w:rFonts w:ascii="华文细黑" w:hAnsi="华文细黑" w:cs="华文细黑" w:eastAsia="华文细黑" w:hint="default"/>
        </w:rPr>
        <w:t>36</w:t>
      </w:r>
      <w:r>
        <w:rPr>
          <w:rFonts w:ascii="华文细黑" w:hAnsi="华文细黑" w:cs="华文细黑" w:eastAsia="华文细黑" w:hint="default"/>
          <w:spacing w:val="-1"/>
        </w:rPr>
        <w:t> </w:t>
      </w:r>
      <w:r>
        <w:rPr/>
        <w:t>个月实际支付价保与收入的比例乘以截止月份的收入作 为资产负债表日应计提的价保冲减当期营业收入。对没有完整控制权、没有承担主要存货风险的商 品销售，公司按净额法确认收入。</w:t>
      </w:r>
    </w:p>
    <w:p>
      <w:pPr>
        <w:pStyle w:val="BodyText"/>
        <w:spacing w:line="240" w:lineRule="auto" w:before="63"/>
        <w:ind w:left="560" w:right="1246"/>
        <w:jc w:val="left"/>
      </w:pPr>
      <w:r>
        <w:rPr/>
        <w:t>②煤等商品贸易业务：根据客户订单发货，在货权转移时确认收入。</w:t>
      </w:r>
    </w:p>
    <w:p>
      <w:pPr>
        <w:pStyle w:val="BodyText"/>
        <w:spacing w:line="324" w:lineRule="auto" w:before="144"/>
        <w:ind w:right="1246" w:firstLine="420"/>
        <w:jc w:val="left"/>
      </w:pPr>
      <w:r>
        <w:rPr/>
        <w:t>③手机数字业务：取得运营商提供的对账结算凭据并经业务部门核对后确认收入，如果运营商 </w:t>
      </w:r>
      <w:r>
        <w:rPr>
          <w:spacing w:val="-3"/>
        </w:rPr>
        <w:t>超过对账结算期仍未提供结算数据，在相关收入能够可靠计量的情况下，根据系统数估算确认收入。</w:t>
      </w:r>
    </w:p>
    <w:p>
      <w:pPr>
        <w:pStyle w:val="BodyText"/>
        <w:spacing w:line="324" w:lineRule="auto" w:before="64"/>
        <w:ind w:right="1246" w:firstLine="420"/>
        <w:jc w:val="left"/>
      </w:pPr>
      <w:r>
        <w:rPr>
          <w:spacing w:val="-1"/>
        </w:rPr>
        <w:t>④移动转售业务：语音通话费，月租费及短信、炫铃、个性化彩铃、来电显示、秘书服务等增</w:t>
      </w:r>
      <w:r>
        <w:rPr/>
        <w:t> 值业务在提供服务后根据计费结算系统计算确认收入。</w:t>
      </w:r>
    </w:p>
    <w:p>
      <w:pPr>
        <w:pStyle w:val="BodyText"/>
        <w:spacing w:line="324" w:lineRule="auto" w:before="64"/>
        <w:ind w:right="1246" w:firstLine="420"/>
        <w:jc w:val="left"/>
      </w:pPr>
      <w:r>
        <w:rPr/>
        <w:t>⑤保理业务：在相关的保理利息收入金额能够可靠地计量，相关的经济利益可以收到时，按保 理合同约定的利率及投放的保理本金计算当期应确认的保理收入。</w:t>
      </w:r>
    </w:p>
    <w:p>
      <w:pPr>
        <w:pStyle w:val="BodyText"/>
        <w:spacing w:line="357" w:lineRule="auto" w:before="64"/>
        <w:ind w:left="560" w:right="1416"/>
        <w:jc w:val="left"/>
      </w:pPr>
      <w:bookmarkStart w:name="25、政府补助" w:id="250"/>
      <w:bookmarkEnd w:id="250"/>
      <w:r>
        <w:rPr/>
      </w:r>
      <w:r>
        <w:rPr>
          <w:rFonts w:ascii="华文细黑" w:hAnsi="华文细黑" w:cs="华文细黑" w:eastAsia="华文细黑" w:hint="default"/>
          <w:b/>
          <w:bCs/>
        </w:rPr>
        <w:t>25</w:t>
      </w:r>
      <w:r>
        <w:rPr>
          <w:rFonts w:ascii="华文细黑" w:hAnsi="华文细黑" w:cs="华文细黑" w:eastAsia="华文细黑" w:hint="default"/>
          <w:b/>
          <w:bCs/>
        </w:rPr>
        <w:t>、政府补助</w:t>
      </w:r>
      <w:r>
        <w:rPr>
          <w:rFonts w:ascii="华文细黑" w:hAnsi="华文细黑" w:cs="华文细黑" w:eastAsia="华文细黑" w:hint="default"/>
          <w:b/>
          <w:bCs/>
          <w:w w:val="99"/>
        </w:rPr>
        <w:t> </w:t>
      </w:r>
      <w:r>
        <w:rPr/>
        <w:t>政府补助是指本公司从政府无偿取得货币性资产和非货币性资产，不包括政府以投资者身份并</w:t>
      </w:r>
    </w:p>
    <w:p>
      <w:pPr>
        <w:pStyle w:val="BodyText"/>
        <w:spacing w:line="324" w:lineRule="auto"/>
        <w:ind w:right="1246"/>
        <w:jc w:val="left"/>
      </w:pPr>
      <w:r>
        <w:rPr/>
        <w:t>享有相应所有者权益而投入的资本。政府补助分为与资产相关的政府补助和与收益相关的政府补 </w:t>
      </w:r>
      <w:r>
        <w:rPr>
          <w:spacing w:val="-1"/>
        </w:rPr>
        <w:t>助。政府补助为货币性资产的，按照收到或应收的金额计量。政府补助为非货币性资产的，按照公</w:t>
      </w:r>
      <w:r>
        <w:rPr>
          <w:spacing w:val="-18"/>
        </w:rPr>
        <w:t> </w:t>
      </w:r>
      <w:r>
        <w:rPr>
          <w:spacing w:val="-18"/>
        </w:rPr>
      </w:r>
      <w:r>
        <w:rPr>
          <w:spacing w:val="-1"/>
        </w:rPr>
        <w:t>允价值计量；公允价值不能够可靠取得的，按照名义金额计量。按照名义金额计量的政府补助，直</w:t>
      </w:r>
      <w:r>
        <w:rPr>
          <w:spacing w:val="-18"/>
        </w:rPr>
        <w:t> </w:t>
      </w:r>
      <w:r>
        <w:rPr>
          <w:spacing w:val="-18"/>
        </w:rPr>
      </w:r>
      <w:r>
        <w:rPr/>
        <w:t>接计入当期损益。</w:t>
      </w:r>
    </w:p>
    <w:p>
      <w:pPr>
        <w:pStyle w:val="BodyText"/>
        <w:spacing w:line="324" w:lineRule="auto" w:before="64"/>
        <w:ind w:right="1437" w:firstLine="420"/>
        <w:jc w:val="both"/>
      </w:pPr>
      <w:r>
        <w:rPr/>
        <w:t>与资产相关的政府补助，确认为递延收益，并在相关资产的使用寿命内按照合理、系统的方法 分期计入当期损益。与收益相关的政府补助，用于补偿以后期间的相关成本费用或损失的，确认为 递延收益，并在确认相关成本费用或损失的期间计入当期损益；用于补偿已经发生的相关成本费用 或损失的，直接计入当期损益。</w:t>
      </w:r>
    </w:p>
    <w:p>
      <w:pPr>
        <w:pStyle w:val="BodyText"/>
        <w:spacing w:line="324" w:lineRule="auto" w:before="63"/>
        <w:ind w:right="1246" w:firstLine="420"/>
        <w:jc w:val="left"/>
      </w:pPr>
      <w:r>
        <w:rPr>
          <w:spacing w:val="-1"/>
        </w:rPr>
        <w:t>同时包含与资产相关部分和与收益相关部分的政府补助，区分不同部分分别进行会计处理；难</w:t>
      </w:r>
      <w:r>
        <w:rPr/>
        <w:t> 以区分的，将其整体归类为与收益相关的政府补助。</w:t>
      </w:r>
    </w:p>
    <w:p>
      <w:pPr>
        <w:pStyle w:val="BodyText"/>
        <w:spacing w:line="324" w:lineRule="auto" w:before="63"/>
        <w:ind w:right="1246" w:firstLine="420"/>
        <w:jc w:val="left"/>
      </w:pPr>
      <w:r>
        <w:rPr>
          <w:spacing w:val="-3"/>
        </w:rPr>
        <w:t>与本公司日常活动相关的政府补助，按照经济业务的实质，计入其他收益或冲减相关成本费用；</w:t>
      </w:r>
      <w:r>
        <w:rPr/>
        <w:t> 与日常活动无关的政府补助，计入营业外收支。</w:t>
      </w:r>
    </w:p>
    <w:p>
      <w:pPr>
        <w:pStyle w:val="BodyText"/>
        <w:spacing w:line="324" w:lineRule="auto" w:before="63"/>
        <w:ind w:right="1246" w:firstLine="420"/>
        <w:jc w:val="left"/>
      </w:pPr>
      <w:r>
        <w:rPr/>
        <w:t>已确认的政府补助需要退回时，存在相关递延收益余额的，冲减相关递延收益账面余额，超出 部分计入当期损益；属于其他情况的，直接计入当期损益。</w:t>
      </w:r>
    </w:p>
    <w:p>
      <w:pPr>
        <w:pStyle w:val="Heading5"/>
        <w:spacing w:line="240" w:lineRule="auto" w:before="63"/>
        <w:ind w:left="560" w:right="1246"/>
        <w:jc w:val="left"/>
        <w:rPr>
          <w:b w:val="0"/>
          <w:bCs w:val="0"/>
        </w:rPr>
      </w:pPr>
      <w:bookmarkStart w:name="26、递延所得税资产/递延所得税负债" w:id="251"/>
      <w:bookmarkEnd w:id="251"/>
      <w:r>
        <w:rPr>
          <w:b w:val="0"/>
          <w:bCs w:val="0"/>
        </w:rPr>
      </w:r>
      <w:r>
        <w:rPr>
          <w:rFonts w:ascii="华文细黑" w:hAnsi="华文细黑" w:cs="华文细黑" w:eastAsia="华文细黑" w:hint="default"/>
        </w:rPr>
        <w:t>26</w:t>
      </w:r>
      <w:r>
        <w:rPr/>
        <w:t>、递延所得税资产</w:t>
      </w:r>
      <w:r>
        <w:rPr>
          <w:rFonts w:ascii="华文细黑" w:hAnsi="华文细黑" w:cs="华文细黑" w:eastAsia="华文细黑" w:hint="default"/>
        </w:rPr>
        <w:t>/</w:t>
      </w:r>
      <w:r>
        <w:rPr/>
        <w:t>递延所得税负债</w:t>
      </w:r>
      <w:r>
        <w:rPr>
          <w:b w:val="0"/>
          <w:bCs w:val="0"/>
        </w:rPr>
      </w:r>
    </w:p>
    <w:p>
      <w:pPr>
        <w:pStyle w:val="BodyText"/>
        <w:spacing w:line="357" w:lineRule="auto" w:before="144"/>
        <w:ind w:left="560" w:right="1246"/>
        <w:jc w:val="left"/>
      </w:pPr>
      <w:r>
        <w:rPr/>
        <w:t>（</w:t>
      </w:r>
      <w:r>
        <w:rPr>
          <w:rFonts w:ascii="华文细黑" w:hAnsi="华文细黑" w:cs="华文细黑" w:eastAsia="华文细黑" w:hint="default"/>
        </w:rPr>
        <w:t>1</w:t>
      </w:r>
      <w:r>
        <w:rPr/>
        <w:t>）当期所得税 </w:t>
      </w:r>
      <w:r>
        <w:rPr>
          <w:spacing w:val="-3"/>
        </w:rPr>
        <w:t>资产负债表日，对于当期和以前期间形成的当期所得税负债（或资产），以按照税法规定计算</w:t>
      </w:r>
    </w:p>
    <w:p>
      <w:pPr>
        <w:pStyle w:val="BodyText"/>
        <w:spacing w:line="324" w:lineRule="auto"/>
        <w:ind w:right="1246"/>
        <w:jc w:val="left"/>
      </w:pPr>
      <w:r>
        <w:rPr>
          <w:spacing w:val="-1"/>
        </w:rPr>
        <w:t>的预期应交纳（或返还）的所得税金额计量。计算当期所得税费用所依据的应纳税所得额系根据有</w:t>
      </w:r>
      <w:r>
        <w:rPr>
          <w:spacing w:val="-16"/>
        </w:rPr>
        <w:t> </w:t>
      </w:r>
      <w:r>
        <w:rPr>
          <w:spacing w:val="-16"/>
        </w:rPr>
      </w:r>
      <w:r>
        <w:rPr/>
        <w:t>关税法规定对本年度税前会计利润作相应调整后计算得出。</w:t>
      </w:r>
    </w:p>
    <w:p>
      <w:pPr>
        <w:spacing w:after="0" w:line="324" w:lineRule="auto"/>
        <w:jc w:val="left"/>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357" w:lineRule="auto" w:before="10"/>
        <w:ind w:left="560" w:right="1246"/>
        <w:jc w:val="left"/>
      </w:pPr>
      <w:r>
        <w:rPr/>
        <w:t>（</w:t>
      </w:r>
      <w:r>
        <w:rPr>
          <w:rFonts w:ascii="华文细黑" w:hAnsi="华文细黑" w:cs="华文细黑" w:eastAsia="华文细黑" w:hint="default"/>
        </w:rPr>
        <w:t>2</w:t>
      </w:r>
      <w:r>
        <w:rPr/>
        <w:t>）递延所得税资产及递延所得税负债 </w:t>
      </w:r>
      <w:r>
        <w:rPr>
          <w:spacing w:val="-1"/>
        </w:rPr>
        <w:t>某些资产、负债项目的账面价值与其计税基础之间的差额，以及未作为资产和负债确认但按照</w:t>
      </w:r>
    </w:p>
    <w:p>
      <w:pPr>
        <w:pStyle w:val="BodyText"/>
        <w:spacing w:line="324" w:lineRule="auto"/>
        <w:ind w:right="1416"/>
        <w:jc w:val="left"/>
      </w:pPr>
      <w:r>
        <w:rPr/>
        <w:t>税法规定可以确定其计税基础的项目的账面价值与计税基础之间的差额产生的暂时性差异，采用资 产负债表债务法确认递延所得税资产及递延所得税负债。</w:t>
      </w:r>
    </w:p>
    <w:p>
      <w:pPr>
        <w:pStyle w:val="BodyText"/>
        <w:spacing w:line="324" w:lineRule="auto" w:before="64"/>
        <w:ind w:right="1436" w:firstLine="420"/>
        <w:jc w:val="both"/>
      </w:pPr>
      <w:r>
        <w:rPr>
          <w:spacing w:val="-6"/>
        </w:rPr>
        <w:t>与商誉的初始确认有关，以及与既不是企业合并、发生时也不影响会计利润和应纳税所得额（或</w:t>
      </w:r>
      <w:r>
        <w:rPr/>
        <w:t> 可抵扣亏损）的交易中产生的资产或负债的初始确认有关的应纳税暂时性差异，不予确认有关的递 延所得税负债。此外，对与子公司、联营企业及合营企业投资相关的应纳税暂时性差异，如果本公 司能够控制暂时性差异转回的时间，而且该暂时性差异在可预见的未来很可能不会转回，也不予确 认有关的递延所得税负债。除上述例外情况，本公司确认其他所有应纳税暂时性差异产生的递延所 得税负债。</w:t>
      </w:r>
    </w:p>
    <w:p>
      <w:pPr>
        <w:pStyle w:val="BodyText"/>
        <w:spacing w:line="324" w:lineRule="auto" w:before="63"/>
        <w:ind w:right="1437" w:firstLine="420"/>
        <w:jc w:val="both"/>
      </w:pPr>
      <w:r>
        <w:rPr/>
        <w:t>与既不是企业合并、发生时也不影响会计利润和应纳税所得额（或可抵扣亏损）的交易中产生 的资产或负债的初始确认有关的可抵扣暂时性差异，不予确认有关的递延所得税资产。此外，对与 子公司、联营企业及合营企业投资相关的可抵扣暂时性差异，如果暂时性差异在可预见的未来不是 很可能转回，或者未来不是很可能获得用来抵扣可抵扣暂时性差异的应纳税所得额，不予确认有关 的递延所得税资产。除上述例外情况，本公司以很可能取得用来抵扣可抵扣暂时性差异的应纳税所 得额为限，确认其他可抵扣暂时性差异产生的递延所得税资产。</w:t>
      </w:r>
    </w:p>
    <w:p>
      <w:pPr>
        <w:pStyle w:val="BodyText"/>
        <w:spacing w:line="324" w:lineRule="auto" w:before="64"/>
        <w:ind w:right="1437" w:firstLine="420"/>
        <w:jc w:val="both"/>
      </w:pPr>
      <w:r>
        <w:rPr/>
        <w:t>对于能够结转以后年度的可抵扣亏损和税款抵减，以很可能获得用来抵扣可抵扣亏损和税款抵 减的未来应纳税所得额为限，确认相应的递延所得税资产。</w:t>
      </w:r>
    </w:p>
    <w:p>
      <w:pPr>
        <w:pStyle w:val="BodyText"/>
        <w:spacing w:line="324" w:lineRule="auto" w:before="64"/>
        <w:ind w:right="1437" w:firstLine="420"/>
        <w:jc w:val="both"/>
      </w:pPr>
      <w:r>
        <w:rPr/>
        <w:t>资产负债表日，对于递延所得税资产和递延所得税负债，根据税法规定，按照预期收回相关资 产或清偿相关负债期间的适用税率计量。</w:t>
      </w:r>
    </w:p>
    <w:p>
      <w:pPr>
        <w:pStyle w:val="BodyText"/>
        <w:spacing w:line="324" w:lineRule="auto" w:before="64"/>
        <w:ind w:right="1438" w:firstLine="420"/>
        <w:jc w:val="both"/>
      </w:pPr>
      <w:r>
        <w:rPr>
          <w:spacing w:val="-1"/>
        </w:rPr>
        <w:t>于资产负债表日，对递延所得税资产的账面价值进行复核，如果未来很可能无法获得足够的应</w:t>
      </w:r>
      <w:r>
        <w:rPr/>
        <w:t> </w:t>
      </w:r>
      <w:r>
        <w:rPr>
          <w:spacing w:val="-1"/>
        </w:rPr>
        <w:t>纳税所得额用以抵扣递延所得税资产的利益，则减记递延所得税资产的账面价值。在很可能获得足</w:t>
      </w:r>
      <w:r>
        <w:rPr>
          <w:spacing w:val="-16"/>
        </w:rPr>
        <w:t> </w:t>
      </w:r>
      <w:r>
        <w:rPr>
          <w:spacing w:val="-16"/>
        </w:rPr>
      </w:r>
      <w:r>
        <w:rPr/>
        <w:t>够的应纳税所得额时，减记的金额予以转回。</w:t>
      </w:r>
    </w:p>
    <w:p>
      <w:pPr>
        <w:pStyle w:val="BodyText"/>
        <w:spacing w:line="357" w:lineRule="auto" w:before="64"/>
        <w:ind w:left="560" w:right="6036"/>
        <w:jc w:val="left"/>
      </w:pPr>
      <w:r>
        <w:rPr/>
        <w:t>（</w:t>
      </w:r>
      <w:r>
        <w:rPr>
          <w:rFonts w:ascii="华文细黑" w:hAnsi="华文细黑" w:cs="华文细黑" w:eastAsia="华文细黑" w:hint="default"/>
        </w:rPr>
        <w:t>3</w:t>
      </w:r>
      <w:r>
        <w:rPr/>
        <w:t>）所得税费用 所得税费用包括当期所得税和递延所得税。</w:t>
      </w:r>
    </w:p>
    <w:p>
      <w:pPr>
        <w:pStyle w:val="BodyText"/>
        <w:spacing w:line="324" w:lineRule="auto" w:before="31"/>
        <w:ind w:right="1246" w:firstLine="420"/>
        <w:jc w:val="left"/>
      </w:pPr>
      <w:r>
        <w:rPr/>
        <w:t>除确认为其他综合收益或直接计入股东权益的交易和事项相关的当期所得税和递延所得税计 </w:t>
      </w:r>
      <w:r>
        <w:rPr>
          <w:spacing w:val="-1"/>
        </w:rPr>
        <w:t>入其他综合收益或股东权益，以及企业合并产生的递延所得税调整商誉的账面价值外，其余当期所</w:t>
      </w:r>
      <w:r>
        <w:rPr>
          <w:spacing w:val="-16"/>
        </w:rPr>
        <w:t> </w:t>
      </w:r>
      <w:r>
        <w:rPr>
          <w:spacing w:val="-16"/>
        </w:rPr>
      </w:r>
      <w:r>
        <w:rPr/>
        <w:t>得税和递延所得税费用或收益计入当期损益。</w:t>
      </w:r>
    </w:p>
    <w:p>
      <w:pPr>
        <w:pStyle w:val="BodyText"/>
        <w:spacing w:line="355" w:lineRule="auto" w:before="64"/>
        <w:ind w:left="560" w:right="1246"/>
        <w:jc w:val="left"/>
      </w:pPr>
      <w:r>
        <w:rPr/>
        <w:t>（</w:t>
      </w:r>
      <w:r>
        <w:rPr>
          <w:rFonts w:ascii="华文细黑" w:hAnsi="华文细黑" w:cs="华文细黑" w:eastAsia="华文细黑" w:hint="default"/>
        </w:rPr>
        <w:t>4</w:t>
      </w:r>
      <w:r>
        <w:rPr/>
        <w:t>）所得税的抵销 </w:t>
      </w:r>
      <w:r>
        <w:rPr>
          <w:spacing w:val="-1"/>
        </w:rPr>
        <w:t>当拥有以净额结算的法定权利，且意图以净额结算或取得资产、清偿负债同时进行时，本公司</w:t>
      </w:r>
    </w:p>
    <w:p>
      <w:pPr>
        <w:pStyle w:val="BodyText"/>
        <w:spacing w:line="355" w:lineRule="auto"/>
        <w:ind w:left="560" w:right="1416" w:hanging="421"/>
        <w:jc w:val="left"/>
      </w:pPr>
      <w:r>
        <w:rPr/>
        <w:t>当期所得税资产及当期所得税负债以抵销后的净额列报。 当拥有以净额结算当期所得税资产及当期所得税负债的法定权利，且递延所得税资产及递延所</w:t>
      </w:r>
    </w:p>
    <w:p>
      <w:pPr>
        <w:pStyle w:val="BodyText"/>
        <w:spacing w:line="292" w:lineRule="exact"/>
        <w:ind w:right="1246"/>
        <w:jc w:val="left"/>
      </w:pPr>
      <w:r>
        <w:rPr/>
        <w:t>得税负债是与同一税收征管部门对同一纳税主体征收的所得税相关或者是对不同的纳税主体相关，</w:t>
      </w:r>
    </w:p>
    <w:p>
      <w:pPr>
        <w:spacing w:after="0" w:line="292" w:lineRule="exact"/>
        <w:jc w:val="left"/>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324" w:lineRule="auto" w:before="10"/>
        <w:ind w:right="1437"/>
        <w:jc w:val="both"/>
      </w:pPr>
      <w:r>
        <w:rPr/>
        <w:t>但在未来每一具有重要性的递延所得税资产及负债转回的期间内，涉及的纳税主体意图以净额结算 当期所得税资产和负债或是同时取得资产、清偿负债时，本公司递延所得税资产及递延所得税负债 以抵销后的净额列报。</w:t>
      </w:r>
    </w:p>
    <w:p>
      <w:pPr>
        <w:pStyle w:val="BodyText"/>
        <w:spacing w:line="357" w:lineRule="auto" w:before="63"/>
        <w:ind w:left="560" w:right="1626"/>
        <w:jc w:val="left"/>
      </w:pPr>
      <w:bookmarkStart w:name="27、租赁" w:id="252"/>
      <w:bookmarkEnd w:id="252"/>
      <w:r>
        <w:rPr/>
      </w:r>
      <w:r>
        <w:rPr>
          <w:rFonts w:ascii="华文细黑" w:hAnsi="华文细黑" w:cs="华文细黑" w:eastAsia="华文细黑" w:hint="default"/>
          <w:b/>
          <w:bCs/>
        </w:rPr>
        <w:t>27</w:t>
      </w:r>
      <w:r>
        <w:rPr>
          <w:rFonts w:ascii="华文细黑" w:hAnsi="华文细黑" w:cs="华文细黑" w:eastAsia="华文细黑" w:hint="default"/>
          <w:b/>
          <w:bCs/>
        </w:rPr>
        <w:t>、租赁</w:t>
      </w:r>
      <w:r>
        <w:rPr>
          <w:rFonts w:ascii="华文细黑" w:hAnsi="华文细黑" w:cs="华文细黑" w:eastAsia="华文细黑" w:hint="default"/>
          <w:b/>
          <w:bCs/>
          <w:w w:val="99"/>
        </w:rPr>
        <w:t> </w:t>
      </w:r>
      <w:r>
        <w:rPr/>
        <w:t>融资租赁为实质上转移了与资产所有权有关的全部风险和报酬的租赁，其所有权最终可能转</w:t>
      </w:r>
    </w:p>
    <w:p>
      <w:pPr>
        <w:pStyle w:val="BodyText"/>
        <w:spacing w:line="289" w:lineRule="exact"/>
        <w:ind w:right="0"/>
        <w:jc w:val="both"/>
      </w:pPr>
      <w:r>
        <w:rPr/>
        <w:t>移，也可能不转移。融资租赁以外的其他租赁为经营租赁。</w:t>
      </w:r>
    </w:p>
    <w:p>
      <w:pPr>
        <w:pStyle w:val="BodyText"/>
        <w:spacing w:line="357" w:lineRule="auto" w:before="144"/>
        <w:ind w:left="560" w:right="1416"/>
        <w:jc w:val="left"/>
      </w:pPr>
      <w:r>
        <w:rPr/>
        <w:t>（</w:t>
      </w:r>
      <w:r>
        <w:rPr>
          <w:rFonts w:ascii="华文细黑" w:hAnsi="华文细黑" w:cs="华文细黑" w:eastAsia="华文细黑" w:hint="default"/>
        </w:rPr>
        <w:t>1</w:t>
      </w:r>
      <w:r>
        <w:rPr/>
        <w:t>）本公司作为承租人记录经营租赁业务 经营租赁的租金支出在租赁期内的各个期间按直线法计入相关资产成本或当期损益。初始直接</w:t>
      </w:r>
    </w:p>
    <w:p>
      <w:pPr>
        <w:pStyle w:val="BodyText"/>
        <w:spacing w:line="289" w:lineRule="exact"/>
        <w:ind w:right="0"/>
        <w:jc w:val="both"/>
      </w:pPr>
      <w:r>
        <w:rPr/>
        <w:t>费用计入当期损益。或有租金于实际发生时计入当期损益。</w:t>
      </w:r>
    </w:p>
    <w:p>
      <w:pPr>
        <w:pStyle w:val="BodyText"/>
        <w:spacing w:line="355" w:lineRule="auto" w:before="144"/>
        <w:ind w:left="560" w:right="1416"/>
        <w:jc w:val="left"/>
      </w:pPr>
      <w:r>
        <w:rPr/>
        <w:t>（</w:t>
      </w:r>
      <w:r>
        <w:rPr>
          <w:rFonts w:ascii="华文细黑" w:hAnsi="华文细黑" w:cs="华文细黑" w:eastAsia="华文细黑" w:hint="default"/>
        </w:rPr>
        <w:t>2</w:t>
      </w:r>
      <w:r>
        <w:rPr/>
        <w:t>）本公司作为出租人记录经营租赁业务 经营租赁的租金收入在租赁期内的各个期间按直线法确认为当期损益。对金额较大的初始直接</w:t>
      </w:r>
    </w:p>
    <w:p>
      <w:pPr>
        <w:pStyle w:val="BodyText"/>
        <w:spacing w:line="324" w:lineRule="auto"/>
        <w:ind w:right="1434"/>
        <w:jc w:val="both"/>
      </w:pPr>
      <w:r>
        <w:rPr/>
        <w:t>费用于发生时予以资本化，在整个租赁期间内按照与确认租金收入相同的基础分期计入当期损益； 其他金额较小的初始直接费用于发生时计入当期损益。或有租金于实际发生时计入当期损益。</w:t>
      </w:r>
    </w:p>
    <w:p>
      <w:pPr>
        <w:pStyle w:val="BodyText"/>
        <w:spacing w:line="355" w:lineRule="auto" w:before="64"/>
        <w:ind w:left="560" w:right="1416"/>
        <w:jc w:val="left"/>
      </w:pPr>
      <w:r>
        <w:rPr/>
        <w:t>（</w:t>
      </w:r>
      <w:r>
        <w:rPr>
          <w:rFonts w:ascii="华文细黑" w:hAnsi="华文细黑" w:cs="华文细黑" w:eastAsia="华文细黑" w:hint="default"/>
        </w:rPr>
        <w:t>3</w:t>
      </w:r>
      <w:r>
        <w:rPr/>
        <w:t>）本公司作为承租人记录融资租赁业务 于租赁期开始日，将租赁开始日租赁资产的公允价值与最低租赁付款额现值两者中较低者作为</w:t>
      </w:r>
    </w:p>
    <w:p>
      <w:pPr>
        <w:pStyle w:val="BodyText"/>
        <w:spacing w:line="324" w:lineRule="auto"/>
        <w:ind w:right="1246"/>
        <w:jc w:val="left"/>
      </w:pPr>
      <w:r>
        <w:rPr>
          <w:spacing w:val="-3"/>
        </w:rPr>
        <w:t>租入资产的入账价值，将最低租赁付款额作为长期应付款的入账价值，其差额作为未确认融资费用。</w:t>
      </w:r>
      <w:r>
        <w:rPr>
          <w:spacing w:val="-29"/>
        </w:rPr>
        <w:t> </w:t>
      </w:r>
      <w:r>
        <w:rPr>
          <w:spacing w:val="-29"/>
        </w:rPr>
      </w:r>
      <w:r>
        <w:rPr/>
        <w:t>此外，在租赁谈判和签订租赁合同过程中发生的，可归属于租赁项目的初始直接费用也计入租入资</w:t>
      </w:r>
      <w:r>
        <w:rPr/>
        <w:t> 产价值。最低租赁付款额扣除未确认融资费用后的余额分别长期负债和一年内到期的长期负债列 示。</w:t>
      </w:r>
    </w:p>
    <w:p>
      <w:pPr>
        <w:pStyle w:val="BodyText"/>
        <w:spacing w:line="324" w:lineRule="auto" w:before="63"/>
        <w:ind w:right="1246" w:firstLine="420"/>
        <w:jc w:val="left"/>
      </w:pPr>
      <w:r>
        <w:rPr/>
        <w:t>未确认融资费用在租赁期内采用实际利率法计算确认当期的融资费用。或有租金于实际发生时 计入当期损益。</w:t>
      </w:r>
    </w:p>
    <w:p>
      <w:pPr>
        <w:pStyle w:val="BodyText"/>
        <w:spacing w:line="357" w:lineRule="auto" w:before="63"/>
        <w:ind w:left="560" w:right="1416"/>
        <w:jc w:val="left"/>
      </w:pPr>
      <w:r>
        <w:rPr/>
        <w:t>（</w:t>
      </w:r>
      <w:r>
        <w:rPr>
          <w:rFonts w:ascii="华文细黑" w:hAnsi="华文细黑" w:cs="华文细黑" w:eastAsia="华文细黑" w:hint="default"/>
        </w:rPr>
        <w:t>4</w:t>
      </w:r>
      <w:r>
        <w:rPr/>
        <w:t>）本公司作为出租人记录融资租赁业务 于租赁期开始日，将租赁开始日最低租赁收款额与初始直接费用之和作为应收融资租赁款的入</w:t>
      </w:r>
    </w:p>
    <w:p>
      <w:pPr>
        <w:pStyle w:val="BodyText"/>
        <w:spacing w:line="324" w:lineRule="auto"/>
        <w:ind w:right="1437"/>
        <w:jc w:val="both"/>
      </w:pPr>
      <w:r>
        <w:rPr/>
        <w:t>账价值，同时记录未担保余值；将最低租赁收款额、初始直接费用及未担保余值之和与其现值之和 的差额确认为未实现融资收益。应收融资租赁款扣除未实现融资收益后的余额分别长期债权和一年 内到期的长期债权列示。</w:t>
      </w:r>
    </w:p>
    <w:p>
      <w:pPr>
        <w:pStyle w:val="BodyText"/>
        <w:spacing w:line="324" w:lineRule="auto" w:before="64"/>
        <w:ind w:right="1246" w:firstLine="420"/>
        <w:jc w:val="left"/>
      </w:pPr>
      <w:r>
        <w:rPr/>
        <w:t>未实现融资收益在租赁期内采用实际利率法计算确认当期的融资收入。或有租金于实际发生时 计入当期损益。</w:t>
      </w:r>
    </w:p>
    <w:p>
      <w:pPr>
        <w:pStyle w:val="Heading5"/>
        <w:spacing w:line="240" w:lineRule="auto" w:before="64"/>
        <w:ind w:left="560" w:right="1246"/>
        <w:jc w:val="left"/>
        <w:rPr>
          <w:b w:val="0"/>
          <w:bCs w:val="0"/>
        </w:rPr>
      </w:pPr>
      <w:bookmarkStart w:name="28、重要会计政策、会计估计的变更" w:id="253"/>
      <w:bookmarkEnd w:id="253"/>
      <w:r>
        <w:rPr>
          <w:b w:val="0"/>
          <w:bCs w:val="0"/>
        </w:rPr>
      </w:r>
      <w:r>
        <w:rPr>
          <w:rFonts w:ascii="华文细黑" w:hAnsi="华文细黑" w:cs="华文细黑" w:eastAsia="华文细黑" w:hint="default"/>
        </w:rPr>
        <w:t>28</w:t>
      </w:r>
      <w:r>
        <w:rPr/>
        <w:t>、重要会计政策、会计估计的变更</w:t>
      </w:r>
      <w:r>
        <w:rPr>
          <w:b w:val="0"/>
          <w:bCs w:val="0"/>
        </w:rPr>
      </w:r>
    </w:p>
    <w:p>
      <w:pPr>
        <w:pStyle w:val="BodyText"/>
        <w:spacing w:line="240" w:lineRule="auto" w:before="142"/>
        <w:ind w:left="560" w:right="1246"/>
        <w:jc w:val="left"/>
      </w:pPr>
      <w:r>
        <w:rPr/>
        <w:t>（</w:t>
      </w:r>
      <w:r>
        <w:rPr>
          <w:rFonts w:ascii="华文细黑" w:hAnsi="华文细黑" w:cs="华文细黑" w:eastAsia="华文细黑" w:hint="default"/>
        </w:rPr>
        <w:t>1</w:t>
      </w:r>
      <w:r>
        <w:rPr/>
        <w:t>）会计政策变更</w:t>
      </w:r>
    </w:p>
    <w:p>
      <w:pPr>
        <w:pStyle w:val="BodyText"/>
        <w:spacing w:line="240" w:lineRule="auto" w:before="144"/>
        <w:ind w:left="560" w:right="1246"/>
        <w:jc w:val="left"/>
      </w:pPr>
      <w:r>
        <w:rPr>
          <w:rFonts w:ascii="华文细黑" w:hAnsi="华文细黑" w:cs="华文细黑" w:eastAsia="华文细黑" w:hint="default"/>
        </w:rPr>
        <w:t>2018 </w:t>
      </w:r>
      <w:r>
        <w:rPr/>
        <w:t>年 </w:t>
      </w:r>
      <w:r>
        <w:rPr>
          <w:rFonts w:ascii="华文细黑" w:hAnsi="华文细黑" w:cs="华文细黑" w:eastAsia="华文细黑" w:hint="default"/>
        </w:rPr>
        <w:t>6 </w:t>
      </w:r>
      <w:r>
        <w:rPr/>
        <w:t>月 </w:t>
      </w:r>
      <w:r>
        <w:rPr>
          <w:rFonts w:ascii="华文细黑" w:hAnsi="华文细黑" w:cs="华文细黑" w:eastAsia="华文细黑" w:hint="default"/>
        </w:rPr>
        <w:t>15 </w:t>
      </w:r>
      <w:r>
        <w:rPr/>
        <w:t>日，财政部颁布了《关于修订印发  </w:t>
      </w:r>
      <w:r>
        <w:rPr>
          <w:rFonts w:ascii="华文细黑" w:hAnsi="华文细黑" w:cs="华文细黑" w:eastAsia="华文细黑" w:hint="default"/>
        </w:rPr>
        <w:t>2018</w:t>
      </w:r>
      <w:r>
        <w:rPr>
          <w:rFonts w:ascii="华文细黑" w:hAnsi="华文细黑" w:cs="华文细黑" w:eastAsia="华文细黑" w:hint="default"/>
          <w:spacing w:val="50"/>
        </w:rPr>
        <w:t> </w:t>
      </w:r>
      <w:r>
        <w:rPr/>
        <w:t>年度一般企业财务报表格式的通知》</w:t>
      </w:r>
    </w:p>
    <w:p>
      <w:pPr>
        <w:pStyle w:val="BodyText"/>
        <w:spacing w:line="240" w:lineRule="auto" w:before="103"/>
        <w:ind w:right="0"/>
        <w:jc w:val="both"/>
      </w:pPr>
      <w:r>
        <w:rPr>
          <w:rFonts w:ascii="华文细黑" w:hAnsi="华文细黑" w:cs="华文细黑" w:eastAsia="华文细黑" w:hint="default"/>
        </w:rPr>
        <w:t>(</w:t>
      </w:r>
      <w:r>
        <w:rPr/>
        <w:t>财会</w:t>
      </w:r>
      <w:r>
        <w:rPr>
          <w:rFonts w:ascii="华文细黑" w:hAnsi="华文细黑" w:cs="华文细黑" w:eastAsia="华文细黑" w:hint="default"/>
        </w:rPr>
        <w:t>[2018]15 </w:t>
      </w:r>
      <w:r>
        <w:rPr/>
        <w:t>号</w:t>
      </w:r>
      <w:r>
        <w:rPr>
          <w:rFonts w:ascii="华文细黑" w:hAnsi="华文细黑" w:cs="华文细黑" w:eastAsia="华文细黑" w:hint="default"/>
        </w:rPr>
        <w:t>)</w:t>
      </w:r>
      <w:r>
        <w:rPr/>
        <w:t>，于  </w:t>
      </w:r>
      <w:r>
        <w:rPr>
          <w:rFonts w:ascii="华文细黑" w:hAnsi="华文细黑" w:cs="华文细黑" w:eastAsia="华文细黑" w:hint="default"/>
        </w:rPr>
        <w:t>2017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25</w:t>
      </w:r>
      <w:r>
        <w:rPr>
          <w:rFonts w:ascii="华文细黑" w:hAnsi="华文细黑" w:cs="华文细黑" w:eastAsia="华文细黑" w:hint="default"/>
          <w:spacing w:val="-5"/>
        </w:rPr>
        <w:t> </w:t>
      </w:r>
      <w:r>
        <w:rPr/>
        <w:t>日发布的《关于修订印发一般企业财务报表格式的通知》</w:t>
      </w:r>
    </w:p>
    <w:p>
      <w:pPr>
        <w:pStyle w:val="BodyText"/>
        <w:spacing w:line="240" w:lineRule="auto" w:before="104"/>
        <w:ind w:right="0"/>
        <w:jc w:val="both"/>
      </w:pPr>
      <w:r>
        <w:rPr/>
        <w:t>（财会</w:t>
      </w:r>
      <w:r>
        <w:rPr>
          <w:rFonts w:ascii="华文细黑" w:hAnsi="华文细黑" w:cs="华文细黑" w:eastAsia="华文细黑" w:hint="default"/>
        </w:rPr>
        <w:t>[2017]30 </w:t>
      </w:r>
      <w:r>
        <w:rPr/>
        <w:t>号）同时废止。经本公司董事会决议通过，公司的会计政策按财会</w:t>
      </w:r>
      <w:r>
        <w:rPr>
          <w:rFonts w:ascii="华文细黑" w:hAnsi="华文细黑" w:cs="华文细黑" w:eastAsia="华文细黑" w:hint="default"/>
        </w:rPr>
        <w:t>[2018]15</w:t>
      </w:r>
      <w:r>
        <w:rPr>
          <w:rFonts w:ascii="华文细黑" w:hAnsi="华文细黑" w:cs="华文细黑" w:eastAsia="华文细黑" w:hint="default"/>
          <w:spacing w:val="-2"/>
        </w:rPr>
        <w:t> </w:t>
      </w:r>
      <w:r>
        <w:rPr/>
        <w:t>号文</w:t>
      </w:r>
    </w:p>
    <w:p>
      <w:pPr>
        <w:spacing w:after="0" w:line="240" w:lineRule="auto"/>
        <w:jc w:val="both"/>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240" w:lineRule="auto" w:before="10"/>
        <w:ind w:right="1246"/>
        <w:jc w:val="left"/>
      </w:pPr>
      <w:r>
        <w:rPr/>
        <w:t>件规定执行。</w:t>
      </w:r>
    </w:p>
    <w:p>
      <w:pPr>
        <w:pStyle w:val="BodyText"/>
        <w:spacing w:line="324" w:lineRule="auto" w:before="144"/>
        <w:ind w:right="1246" w:firstLine="420"/>
        <w:jc w:val="left"/>
      </w:pPr>
      <w:r>
        <w:rPr/>
        <w:t>公司本次财务报表格式变更的主要内容为：将原“应收票据”及“应收账款”项目归并至新增 的“应收票据及应收账款”项目列示；原“应收利息”及“应收股利”项目归并至“其他应收款” </w:t>
      </w:r>
      <w:r>
        <w:rPr>
          <w:spacing w:val="-5"/>
        </w:rPr>
        <w:t>项目列示；原“固定资产清理”项目归并至“固定资产”项目列示；原“工程物资”项目归并至“在</w:t>
      </w:r>
      <w:r>
        <w:rPr>
          <w:spacing w:val="-48"/>
        </w:rPr>
        <w:t> </w:t>
      </w:r>
      <w:r>
        <w:rPr>
          <w:spacing w:val="-48"/>
        </w:rPr>
      </w:r>
      <w:r>
        <w:rPr/>
        <w:t>建工程”项目列示；原“应付票据”及“应付账款”项目归并至新增的“应付票据及应付账款”项</w:t>
      </w:r>
      <w:r>
        <w:rPr/>
        <w:t> </w:t>
      </w:r>
      <w:r>
        <w:rPr>
          <w:spacing w:val="-3"/>
        </w:rPr>
        <w:t>目列示；原“应付利息”及“应付股利”项目归并至“其他应付款”项目列示；原计入“管理费用”</w:t>
      </w:r>
      <w:r>
        <w:rPr>
          <w:spacing w:val="-29"/>
        </w:rPr>
        <w:t> </w:t>
      </w:r>
      <w:r>
        <w:rPr>
          <w:spacing w:val="-29"/>
        </w:rPr>
      </w:r>
      <w:r>
        <w:rPr/>
        <w:t>中的研发费用分拆单独列示，新增“研发费用”项目；在“财务费用”项目下增加“其中：利息费</w:t>
      </w:r>
      <w:r>
        <w:rPr/>
        <w:t> 用”和“利息收入”行项目进行列报，调整了利润表部分项目的列报位置。对于上述列报项目的变 更，公司采用追溯调整法进行会计处理，并对上年同期比较数据进行调整。</w:t>
      </w:r>
    </w:p>
    <w:p>
      <w:pPr>
        <w:pStyle w:val="BodyText"/>
        <w:spacing w:line="324" w:lineRule="auto" w:before="64"/>
        <w:ind w:right="1437" w:firstLine="420"/>
        <w:jc w:val="both"/>
      </w:pPr>
      <w:r>
        <w:rPr/>
        <w:t>本次财务报表格式调整，仅对公司财务报表列报产生影响，对公司当期及前期列报的损益、总 资产、净资产不产生影响。</w:t>
      </w:r>
    </w:p>
    <w:p>
      <w:pPr>
        <w:spacing w:line="355" w:lineRule="auto" w:before="64"/>
        <w:ind w:left="560" w:right="6456" w:firstLine="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w:t>
      </w:r>
      <w:r>
        <w:rPr>
          <w:rFonts w:ascii="华文细黑" w:hAnsi="华文细黑" w:cs="华文细黑" w:eastAsia="华文细黑" w:hint="default"/>
          <w:sz w:val="21"/>
          <w:szCs w:val="21"/>
        </w:rPr>
        <w:t>2</w:t>
      </w:r>
      <w:r>
        <w:rPr>
          <w:rFonts w:ascii="华文细黑" w:hAnsi="华文细黑" w:cs="华文细黑" w:eastAsia="华文细黑" w:hint="default"/>
          <w:sz w:val="21"/>
          <w:szCs w:val="21"/>
        </w:rPr>
        <w:t>）会计估计变更 本公司报告期内无会计估计变更事项。 </w:t>
      </w:r>
      <w:bookmarkStart w:name="29、重大会计判断和估计" w:id="254"/>
      <w:bookmarkEnd w:id="254"/>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29</w:t>
      </w:r>
      <w:r>
        <w:rPr>
          <w:rFonts w:ascii="华文细黑" w:hAnsi="华文细黑" w:cs="华文细黑" w:eastAsia="华文细黑" w:hint="default"/>
          <w:b/>
          <w:bCs/>
          <w:sz w:val="21"/>
          <w:szCs w:val="21"/>
        </w:rPr>
        <w:t>、重大会计判断和估计</w:t>
      </w:r>
      <w:r>
        <w:rPr>
          <w:rFonts w:ascii="华文细黑" w:hAnsi="华文细黑" w:cs="华文细黑" w:eastAsia="华文细黑" w:hint="default"/>
          <w:sz w:val="21"/>
          <w:szCs w:val="21"/>
        </w:rPr>
      </w:r>
    </w:p>
    <w:p>
      <w:pPr>
        <w:pStyle w:val="BodyText"/>
        <w:spacing w:line="324" w:lineRule="auto" w:before="35"/>
        <w:ind w:right="1437" w:firstLine="420"/>
        <w:jc w:val="both"/>
      </w:pPr>
      <w:r>
        <w:rPr/>
        <w:t>本公司在运用会计政策过程中，由于经营活动内在的不确定性，本公司需要对无法准确计量的 报表项目的账面价值进行判断、估计和假设。这些判断、估计和假设是基于本公司管理层过去的历 </w:t>
      </w:r>
      <w:r>
        <w:rPr>
          <w:spacing w:val="-1"/>
        </w:rPr>
        <w:t>史经验，并在考虑其他相关因素的基础上做出的。这些判断、估计和假设会影响收入、费用、资产</w:t>
      </w:r>
      <w:r>
        <w:rPr>
          <w:spacing w:val="-19"/>
        </w:rPr>
        <w:t> </w:t>
      </w:r>
      <w:r>
        <w:rPr>
          <w:spacing w:val="-19"/>
        </w:rPr>
      </w:r>
      <w:r>
        <w:rPr/>
        <w:t>和负债的报告金额以及资产负债表日或有负债的披露。然而，这些估计的不确定性所导致的实际结</w:t>
      </w:r>
      <w:r>
        <w:rPr/>
        <w:t> 果可能与本公司管理层当前的估计存在差异，进而造成对未来受影响的资产或负债的账面金额进行 重大调整。</w:t>
      </w:r>
    </w:p>
    <w:p>
      <w:pPr>
        <w:pStyle w:val="BodyText"/>
        <w:spacing w:line="324" w:lineRule="auto" w:before="64"/>
        <w:ind w:right="1438" w:firstLine="420"/>
        <w:jc w:val="both"/>
      </w:pPr>
      <w:r>
        <w:rPr>
          <w:spacing w:val="-1"/>
        </w:rPr>
        <w:t>本公司对前述判断、估计和假设在持续经营的基础上进行定期复核，会计估计的变更仅影响变</w:t>
      </w:r>
      <w:r>
        <w:rPr/>
        <w:t> </w:t>
      </w:r>
      <w:r>
        <w:rPr>
          <w:spacing w:val="-1"/>
        </w:rPr>
        <w:t>更当期的，其影响数在变更当期予以确认；既影响变更当期又影响未来期间的，其影响数在变更当</w:t>
      </w:r>
      <w:r>
        <w:rPr>
          <w:spacing w:val="-16"/>
        </w:rPr>
        <w:t> </w:t>
      </w:r>
      <w:r>
        <w:rPr>
          <w:spacing w:val="-16"/>
        </w:rPr>
      </w:r>
      <w:r>
        <w:rPr/>
        <w:t>期和未来期间予以确认。</w:t>
      </w:r>
    </w:p>
    <w:p>
      <w:pPr>
        <w:pStyle w:val="BodyText"/>
        <w:spacing w:line="240" w:lineRule="auto" w:before="63"/>
        <w:ind w:left="560" w:right="1246"/>
        <w:jc w:val="left"/>
      </w:pPr>
      <w:r>
        <w:rPr/>
        <w:t>于资产负债表日，本公司需对财务报表项目金额进行判断、估计和假设的重要领域如下：</w:t>
      </w:r>
    </w:p>
    <w:p>
      <w:pPr>
        <w:pStyle w:val="BodyText"/>
        <w:spacing w:line="357" w:lineRule="auto" w:before="144"/>
        <w:ind w:left="560" w:right="1246"/>
        <w:jc w:val="left"/>
      </w:pPr>
      <w:r>
        <w:rPr/>
        <w:t>（</w:t>
      </w:r>
      <w:r>
        <w:rPr>
          <w:rFonts w:ascii="华文细黑" w:hAnsi="华文细黑" w:cs="华文细黑" w:eastAsia="华文细黑" w:hint="default"/>
        </w:rPr>
        <w:t>1</w:t>
      </w:r>
      <w:r>
        <w:rPr/>
        <w:t>）坏账准备计提 </w:t>
      </w:r>
      <w:r>
        <w:rPr>
          <w:spacing w:val="-1"/>
        </w:rPr>
        <w:t>本公司根据应收款项的会计政策，采用备抵法核算坏账损失。应收款项减值是基于评估应收款</w:t>
      </w:r>
    </w:p>
    <w:p>
      <w:pPr>
        <w:pStyle w:val="BodyText"/>
        <w:spacing w:line="324" w:lineRule="auto"/>
        <w:ind w:right="1246"/>
        <w:jc w:val="left"/>
      </w:pPr>
      <w:r>
        <w:rPr>
          <w:spacing w:val="-1"/>
        </w:rPr>
        <w:t>项的可收回性。鉴定应收款项减值要求管理层的判断和估计。实际的结果与原先估计的差异将在估</w:t>
      </w:r>
      <w:r>
        <w:rPr>
          <w:spacing w:val="-16"/>
        </w:rPr>
        <w:t> </w:t>
      </w:r>
      <w:r>
        <w:rPr>
          <w:spacing w:val="-16"/>
        </w:rPr>
      </w:r>
      <w:r>
        <w:rPr/>
        <w:t>计被改变的期间影响应收款项的账面价值及应收款项坏账准备的计提或转回。</w:t>
      </w:r>
    </w:p>
    <w:p>
      <w:pPr>
        <w:pStyle w:val="BodyText"/>
        <w:spacing w:line="357" w:lineRule="auto" w:before="64"/>
        <w:ind w:left="560" w:right="1246"/>
        <w:jc w:val="left"/>
      </w:pPr>
      <w:r>
        <w:rPr/>
        <w:t>（</w:t>
      </w:r>
      <w:r>
        <w:rPr>
          <w:rFonts w:ascii="华文细黑" w:hAnsi="华文细黑" w:cs="华文细黑" w:eastAsia="华文细黑" w:hint="default"/>
        </w:rPr>
        <w:t>2</w:t>
      </w:r>
      <w:r>
        <w:rPr/>
        <w:t>）存货跌价准备 </w:t>
      </w:r>
      <w:r>
        <w:rPr>
          <w:spacing w:val="-1"/>
        </w:rPr>
        <w:t>本公司根据存货会计政策，按照成本与可变现净值孰低计量，对成本高于可变现净值及陈旧和</w:t>
      </w:r>
    </w:p>
    <w:p>
      <w:pPr>
        <w:pStyle w:val="BodyText"/>
        <w:spacing w:line="324" w:lineRule="auto"/>
        <w:ind w:right="1246"/>
        <w:jc w:val="left"/>
      </w:pPr>
      <w:r>
        <w:rPr>
          <w:spacing w:val="-3"/>
        </w:rPr>
        <w:t>滞销的存货，计提存货跌价准备。存货减值至可变现净值是基于评估存货的可售性及其可变现净值。</w:t>
      </w:r>
      <w:r>
        <w:rPr>
          <w:spacing w:val="-29"/>
        </w:rPr>
        <w:t> </w:t>
      </w:r>
      <w:r>
        <w:rPr>
          <w:spacing w:val="-29"/>
        </w:rPr>
      </w:r>
      <w:r>
        <w:rPr/>
        <w:t>鉴定存货减值要求管理层在取得确凿证据，并且考虑持有存货的目的、资产负债表日后事项的影响</w:t>
      </w:r>
      <w:r>
        <w:rPr/>
        <w:t> 等因素的基础上作出判断和估计。实际的结果与原先估计的差异将在估计被改变的期间影响存货的</w:t>
      </w:r>
    </w:p>
    <w:p>
      <w:pPr>
        <w:spacing w:after="0" w:line="324" w:lineRule="auto"/>
        <w:jc w:val="left"/>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240" w:lineRule="auto" w:before="10"/>
        <w:ind w:right="0"/>
        <w:jc w:val="both"/>
      </w:pPr>
      <w:r>
        <w:rPr/>
        <w:t>账面价值及存货跌价准备的计提或转回。</w:t>
      </w:r>
    </w:p>
    <w:p>
      <w:pPr>
        <w:pStyle w:val="BodyText"/>
        <w:spacing w:line="240" w:lineRule="auto" w:before="144"/>
        <w:ind w:left="560" w:right="1246"/>
        <w:jc w:val="left"/>
      </w:pPr>
      <w:r>
        <w:rPr/>
        <w:t>（</w:t>
      </w:r>
      <w:r>
        <w:rPr>
          <w:rFonts w:ascii="华文细黑" w:hAnsi="华文细黑" w:cs="华文细黑" w:eastAsia="华文细黑" w:hint="default"/>
        </w:rPr>
        <w:t>3</w:t>
      </w:r>
      <w:r>
        <w:rPr/>
        <w:t>）贷款减值准备</w:t>
      </w:r>
    </w:p>
    <w:p>
      <w:pPr>
        <w:pStyle w:val="BodyText"/>
        <w:spacing w:line="324" w:lineRule="auto" w:before="142"/>
        <w:ind w:right="1436" w:firstLine="420"/>
        <w:jc w:val="both"/>
      </w:pPr>
      <w:r>
        <w:rPr>
          <w:spacing w:val="4"/>
        </w:rPr>
        <w:t>本公司将发放的贷款及垫款根据信贷资产按风险分类</w:t>
      </w:r>
      <w:r>
        <w:rPr>
          <w:rFonts w:ascii="华文细黑" w:hAnsi="华文细黑" w:cs="华文细黑" w:eastAsia="华文细黑" w:hint="default"/>
          <w:spacing w:val="4"/>
        </w:rPr>
        <w:t>(</w:t>
      </w:r>
      <w:r>
        <w:rPr>
          <w:spacing w:val="4"/>
        </w:rPr>
        <w:t>五级分类</w:t>
      </w:r>
      <w:r>
        <w:rPr>
          <w:rFonts w:ascii="华文细黑" w:hAnsi="华文细黑" w:cs="华文细黑" w:eastAsia="华文细黑" w:hint="default"/>
          <w:spacing w:val="4"/>
        </w:rPr>
        <w:t>)</w:t>
      </w:r>
      <w:r>
        <w:rPr>
          <w:spacing w:val="4"/>
        </w:rPr>
        <w:t>的结果为基础</w:t>
      </w:r>
      <w:r>
        <w:rPr>
          <w:rFonts w:ascii="华文细黑" w:hAnsi="华文细黑" w:cs="华文细黑" w:eastAsia="华文细黑" w:hint="default"/>
          <w:spacing w:val="4"/>
        </w:rPr>
        <w:t>,</w:t>
      </w:r>
      <w:r>
        <w:rPr>
          <w:spacing w:val="4"/>
        </w:rPr>
        <w:t>结合实际情况</w:t>
      </w:r>
      <w:r>
        <w:rPr/>
        <w:t> </w:t>
      </w:r>
      <w:r>
        <w:rPr>
          <w:spacing w:val="-2"/>
        </w:rPr>
        <w:t>充分评估可能存在的损失</w:t>
      </w:r>
      <w:r>
        <w:rPr>
          <w:rFonts w:ascii="华文细黑" w:hAnsi="华文细黑" w:cs="华文细黑" w:eastAsia="华文细黑" w:hint="default"/>
          <w:spacing w:val="-2"/>
        </w:rPr>
        <w:t>,</w:t>
      </w:r>
      <w:r>
        <w:rPr>
          <w:spacing w:val="-2"/>
        </w:rPr>
        <w:t>分析确定信贷资产应计提贷款损失准备总额。提取的贷款损失准备计入当</w:t>
      </w:r>
      <w:r>
        <w:rPr>
          <w:spacing w:val="-29"/>
        </w:rPr>
        <w:t> </w:t>
      </w:r>
      <w:r>
        <w:rPr>
          <w:spacing w:val="-29"/>
        </w:rPr>
      </w:r>
      <w:r>
        <w:rPr/>
        <w:t>期损益。发生贷款损失</w:t>
      </w:r>
      <w:r>
        <w:rPr>
          <w:rFonts w:ascii="华文细黑" w:hAnsi="华文细黑" w:cs="华文细黑" w:eastAsia="华文细黑" w:hint="default"/>
        </w:rPr>
        <w:t>,</w:t>
      </w:r>
      <w:r>
        <w:rPr/>
        <w:t>冲减已计提的贷款损失准备。已核销的贷款损失以后又收回的</w:t>
      </w:r>
      <w:r>
        <w:rPr>
          <w:rFonts w:ascii="华文细黑" w:hAnsi="华文细黑" w:cs="华文细黑" w:eastAsia="华文细黑" w:hint="default"/>
        </w:rPr>
        <w:t>,</w:t>
      </w:r>
      <w:r>
        <w:rPr/>
        <w:t>其核销的贷</w:t>
      </w:r>
      <w:r>
        <w:rPr>
          <w:spacing w:val="33"/>
        </w:rPr>
        <w:t> </w:t>
      </w:r>
      <w:r>
        <w:rPr>
          <w:spacing w:val="33"/>
        </w:rPr>
      </w:r>
      <w:r>
        <w:rPr/>
        <w:t>款损失准备则予以转回。</w:t>
      </w:r>
    </w:p>
    <w:p>
      <w:pPr>
        <w:pStyle w:val="BodyText"/>
        <w:spacing w:line="357" w:lineRule="auto" w:before="64"/>
        <w:ind w:left="560" w:right="1416"/>
        <w:jc w:val="left"/>
      </w:pPr>
      <w:r>
        <w:rPr/>
        <w:t>（</w:t>
      </w:r>
      <w:r>
        <w:rPr>
          <w:rFonts w:ascii="华文细黑" w:hAnsi="华文细黑" w:cs="华文细黑" w:eastAsia="华文细黑" w:hint="default"/>
        </w:rPr>
        <w:t>4</w:t>
      </w:r>
      <w:r>
        <w:rPr/>
        <w:t>）可供出售金融资产减值 本公司确定可供出售金融资产是否减值在很大程度上依赖于管理层的判断和假设，以确定是否</w:t>
      </w:r>
    </w:p>
    <w:p>
      <w:pPr>
        <w:pStyle w:val="BodyText"/>
        <w:spacing w:line="324" w:lineRule="auto"/>
        <w:ind w:right="1438"/>
        <w:jc w:val="both"/>
      </w:pPr>
      <w:r>
        <w:rPr>
          <w:spacing w:val="-1"/>
        </w:rPr>
        <w:t>需要在利润表中确认其减值损失。在进行判断和作出假设的过程中，本公司需评估该项投资的公允</w:t>
      </w:r>
      <w:r>
        <w:rPr>
          <w:spacing w:val="-16"/>
        </w:rPr>
        <w:t> </w:t>
      </w:r>
      <w:r>
        <w:rPr>
          <w:spacing w:val="-16"/>
        </w:rPr>
      </w:r>
      <w:r>
        <w:rPr>
          <w:spacing w:val="-1"/>
        </w:rPr>
        <w:t>价值低于成本的程度和持续期间，以及被投资对象的财务状况和短期业务展望，包括行业状况、技</w:t>
      </w:r>
      <w:r>
        <w:rPr>
          <w:spacing w:val="-16"/>
        </w:rPr>
        <w:t> </w:t>
      </w:r>
      <w:r>
        <w:rPr>
          <w:spacing w:val="-16"/>
        </w:rPr>
      </w:r>
      <w:r>
        <w:rPr/>
        <w:t>术变革、信用评级、违约率和对手方的风险。</w:t>
      </w:r>
    </w:p>
    <w:p>
      <w:pPr>
        <w:pStyle w:val="BodyText"/>
        <w:spacing w:line="357" w:lineRule="auto" w:before="63"/>
        <w:ind w:left="560" w:right="1416"/>
        <w:jc w:val="left"/>
      </w:pPr>
      <w:r>
        <w:rPr/>
        <w:t>（</w:t>
      </w:r>
      <w:r>
        <w:rPr>
          <w:rFonts w:ascii="华文细黑" w:hAnsi="华文细黑" w:cs="华文细黑" w:eastAsia="华文细黑" w:hint="default"/>
        </w:rPr>
        <w:t>5</w:t>
      </w:r>
      <w:r>
        <w:rPr/>
        <w:t>）长期资产减值准备 本公司于资产负债表日对除金融资产之外的非流动资产判断是否存在可能发生减值的迹象。对</w:t>
      </w:r>
    </w:p>
    <w:p>
      <w:pPr>
        <w:pStyle w:val="BodyText"/>
        <w:spacing w:line="324" w:lineRule="auto"/>
        <w:ind w:right="1434"/>
        <w:jc w:val="both"/>
      </w:pPr>
      <w:r>
        <w:rPr/>
        <w:t>使用寿命不确定的无形资产，除每年进行的减值测试外，当其存在减值迹象时，也进行减值测试。 其他除金融资产之外的非流动资产，当存在迹象表明其账面金额不可收回时，进行减值测试。</w:t>
      </w:r>
    </w:p>
    <w:p>
      <w:pPr>
        <w:pStyle w:val="BodyText"/>
        <w:spacing w:line="324" w:lineRule="auto" w:before="63"/>
        <w:ind w:right="1437" w:firstLine="420"/>
        <w:jc w:val="both"/>
      </w:pPr>
      <w:r>
        <w:rPr/>
        <w:t>当资产或资产组的账面价值高于可收回金额，即公允价值减去处置费用后的净额和预计未来现 金流量的现值中的较高者，表明发生了减值。</w:t>
      </w:r>
    </w:p>
    <w:p>
      <w:pPr>
        <w:pStyle w:val="BodyText"/>
        <w:spacing w:line="324" w:lineRule="auto" w:before="63"/>
        <w:ind w:right="1437" w:firstLine="420"/>
        <w:jc w:val="both"/>
      </w:pPr>
      <w:r>
        <w:rPr/>
        <w:t>公允价值减去处置费用后的净额，参考公平交易中类似资产的销售协议价格或可观察到的市场 价格，减去可直接归属于该资产处置的增量成本确定。</w:t>
      </w:r>
    </w:p>
    <w:p>
      <w:pPr>
        <w:pStyle w:val="BodyText"/>
        <w:spacing w:line="324" w:lineRule="auto" w:before="63"/>
        <w:ind w:right="1437" w:firstLine="420"/>
        <w:jc w:val="both"/>
      </w:pPr>
      <w:r>
        <w:rPr>
          <w:spacing w:val="-1"/>
        </w:rPr>
        <w:t>在预计未来现金流量现值时，需要对该资产（或资产组）的产量、售价、相关经营成本以及计</w:t>
      </w:r>
      <w:r>
        <w:rPr/>
        <w:t> 算现值时使用的折现率等作出重大判断。本公司在估计可收回金额时会采用所有能够获得的相关资 料，包括根据合理和可支持的假设所作出有关产量、售价和相关经营成本的预测。</w:t>
      </w:r>
    </w:p>
    <w:p>
      <w:pPr>
        <w:pStyle w:val="BodyText"/>
        <w:spacing w:line="324" w:lineRule="auto" w:before="64"/>
        <w:ind w:right="1437" w:firstLine="420"/>
        <w:jc w:val="both"/>
      </w:pPr>
      <w:r>
        <w:rPr/>
        <w:t>本公司至少每年测试商誉是否发生减值。这要求对分配了商誉的资产组或者资产组组合的未来 现金流量的现值进行预计。对未来现金流量的现值进行预计时，本公司需要预计未来资产组或者资 产组组合产生的现金流量，同时选择恰当的折现率确定未来现金流量的现值。</w:t>
      </w:r>
    </w:p>
    <w:p>
      <w:pPr>
        <w:pStyle w:val="BodyText"/>
        <w:spacing w:line="357" w:lineRule="auto" w:before="64"/>
        <w:ind w:left="560" w:right="1246"/>
        <w:jc w:val="left"/>
      </w:pPr>
      <w:r>
        <w:rPr/>
        <w:t>（</w:t>
      </w:r>
      <w:r>
        <w:rPr>
          <w:rFonts w:ascii="华文细黑" w:hAnsi="华文细黑" w:cs="华文细黑" w:eastAsia="华文细黑" w:hint="default"/>
        </w:rPr>
        <w:t>6</w:t>
      </w:r>
      <w:r>
        <w:rPr/>
        <w:t>）折旧和摊销 </w:t>
      </w:r>
      <w:r>
        <w:rPr>
          <w:spacing w:val="-1"/>
        </w:rPr>
        <w:t>本公司对固定资产和无形资产在考虑其残值后，在使用寿命内按直线法计提折旧和摊销。本公</w:t>
      </w:r>
    </w:p>
    <w:p>
      <w:pPr>
        <w:pStyle w:val="BodyText"/>
        <w:spacing w:line="324" w:lineRule="auto"/>
        <w:ind w:right="1437"/>
        <w:jc w:val="both"/>
      </w:pPr>
      <w:r>
        <w:rPr/>
        <w:t>司定期复核使用寿命，以决定将计入每个报告期的折旧和摊销费用数额。使用寿命是本公司根据对 同类资产的以往经验并结合预期的技术更新而确定的。如果以前的估计发生重大变化，则会在未来 期间对折旧和摊销费用进行调整。</w:t>
      </w:r>
    </w:p>
    <w:p>
      <w:pPr>
        <w:pStyle w:val="BodyText"/>
        <w:spacing w:line="357" w:lineRule="auto" w:before="63"/>
        <w:ind w:left="560" w:right="1416"/>
        <w:jc w:val="left"/>
      </w:pPr>
      <w:r>
        <w:rPr/>
        <w:t>（</w:t>
      </w:r>
      <w:r>
        <w:rPr>
          <w:rFonts w:ascii="华文细黑" w:hAnsi="华文细黑" w:cs="华文细黑" w:eastAsia="华文细黑" w:hint="default"/>
        </w:rPr>
        <w:t>7</w:t>
      </w:r>
      <w:r>
        <w:rPr/>
        <w:t>）递延所得税资产 在很有可能有足够的应纳税利润来抵扣亏损的限度内，本公司就所有未利用的税务亏损确认递</w:t>
      </w:r>
    </w:p>
    <w:p>
      <w:pPr>
        <w:pStyle w:val="BodyText"/>
        <w:spacing w:line="289" w:lineRule="exact"/>
        <w:ind w:right="0"/>
        <w:jc w:val="both"/>
      </w:pPr>
      <w:r>
        <w:rPr/>
        <w:t>延所得税资产。这需要本公司管理层运用大量的判断来估计未来应纳税利润发生的时间和金额，结</w:t>
      </w:r>
    </w:p>
    <w:p>
      <w:pPr>
        <w:spacing w:after="0" w:line="289" w:lineRule="exact"/>
        <w:jc w:val="both"/>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240" w:lineRule="auto" w:before="10"/>
        <w:ind w:right="0"/>
        <w:jc w:val="both"/>
      </w:pPr>
      <w:r>
        <w:rPr/>
        <w:t>合纳税筹划策略，以决定应确认的递延所得税资产的金额。</w:t>
      </w:r>
    </w:p>
    <w:p>
      <w:pPr>
        <w:pStyle w:val="BodyText"/>
        <w:spacing w:line="355" w:lineRule="auto" w:before="144"/>
        <w:ind w:left="560" w:right="1246"/>
        <w:jc w:val="left"/>
      </w:pPr>
      <w:r>
        <w:rPr/>
        <w:t>（</w:t>
      </w:r>
      <w:r>
        <w:rPr>
          <w:rFonts w:ascii="华文细黑" w:hAnsi="华文细黑" w:cs="华文细黑" w:eastAsia="华文细黑" w:hint="default"/>
        </w:rPr>
        <w:t>8</w:t>
      </w:r>
      <w:r>
        <w:rPr/>
        <w:t>）所得税 </w:t>
      </w:r>
      <w:r>
        <w:rPr>
          <w:spacing w:val="-1"/>
        </w:rPr>
        <w:t>本公司在正常的经营活动中，有部分交易其最终的税务处理和计算存在一定的不确定性。部分</w:t>
      </w:r>
    </w:p>
    <w:p>
      <w:pPr>
        <w:pStyle w:val="BodyText"/>
        <w:spacing w:line="324" w:lineRule="auto"/>
        <w:ind w:right="1437"/>
        <w:jc w:val="both"/>
      </w:pPr>
      <w:r>
        <w:rPr/>
        <w:t>项目是否能够在税前列支需要税收主管机关的审批。如果这些税务事项的最终认定结果同最初估计 的金额存在差异，则该差异将对其最终认定期间的当期所得税和递延所得税产生影响。</w:t>
      </w:r>
    </w:p>
    <w:p>
      <w:pPr>
        <w:pStyle w:val="BodyText"/>
        <w:spacing w:line="355" w:lineRule="auto" w:before="64"/>
        <w:ind w:left="560" w:right="1416"/>
        <w:jc w:val="left"/>
      </w:pPr>
      <w:r>
        <w:rPr/>
        <w:t>（</w:t>
      </w:r>
      <w:r>
        <w:rPr>
          <w:rFonts w:ascii="华文细黑" w:hAnsi="华文细黑" w:cs="华文细黑" w:eastAsia="华文细黑" w:hint="default"/>
        </w:rPr>
        <w:t>9</w:t>
      </w:r>
      <w:r>
        <w:rPr/>
        <w:t>）公允价值计量 本公司的某些资产和负债在财务报表中按公允价值计量。在对某项资产或负债的公允价值作出</w:t>
      </w:r>
    </w:p>
    <w:p>
      <w:pPr>
        <w:pStyle w:val="BodyText"/>
        <w:spacing w:line="324" w:lineRule="auto"/>
        <w:ind w:right="1438"/>
        <w:jc w:val="both"/>
      </w:pPr>
      <w:r>
        <w:rPr>
          <w:spacing w:val="-1"/>
        </w:rPr>
        <w:t>估计时，本公司采用可获得的可观察市场数据。如果无法获得第一层次输入值，本公司会聘用第三</w:t>
      </w:r>
      <w:r>
        <w:rPr>
          <w:spacing w:val="-16"/>
        </w:rPr>
        <w:t> </w:t>
      </w:r>
      <w:r>
        <w:rPr>
          <w:spacing w:val="-16"/>
        </w:rPr>
      </w:r>
      <w:r>
        <w:rPr/>
        <w:t>方有资质的评估师来执行估价。</w:t>
      </w:r>
    </w:p>
    <w:p>
      <w:pPr>
        <w:pStyle w:val="BodyText"/>
        <w:spacing w:line="355" w:lineRule="auto" w:before="64"/>
        <w:ind w:left="560" w:right="1423"/>
        <w:jc w:val="left"/>
      </w:pPr>
      <w:r>
        <w:rPr/>
        <w:t>（</w:t>
      </w:r>
      <w:r>
        <w:rPr>
          <w:rFonts w:ascii="华文细黑" w:hAnsi="华文细黑" w:cs="华文细黑" w:eastAsia="华文细黑" w:hint="default"/>
        </w:rPr>
        <w:t>10</w:t>
      </w:r>
      <w:r>
        <w:rPr/>
        <w:t>）一般风险准备金 </w:t>
      </w:r>
      <w:r>
        <w:rPr>
          <w:spacing w:val="-4"/>
        </w:rPr>
        <w:t>公司参照财政部印发的《金融企业准备金计提管理办法》（财金〔</w:t>
      </w:r>
      <w:r>
        <w:rPr>
          <w:rFonts w:ascii="华文细黑" w:hAnsi="华文细黑" w:cs="华文细黑" w:eastAsia="华文细黑" w:hint="default"/>
          <w:spacing w:val="-4"/>
        </w:rPr>
        <w:t>2012</w:t>
      </w:r>
      <w:r>
        <w:rPr>
          <w:spacing w:val="-4"/>
        </w:rPr>
        <w:t>〕</w:t>
      </w:r>
      <w:r>
        <w:rPr>
          <w:rFonts w:ascii="华文细黑" w:hAnsi="华文细黑" w:cs="华文细黑" w:eastAsia="华文细黑" w:hint="default"/>
          <w:spacing w:val="-4"/>
        </w:rPr>
        <w:t>20</w:t>
      </w:r>
      <w:r>
        <w:rPr>
          <w:rFonts w:ascii="华文细黑" w:hAnsi="华文细黑" w:cs="华文细黑" w:eastAsia="华文细黑" w:hint="default"/>
          <w:spacing w:val="24"/>
        </w:rPr>
        <w:t> </w:t>
      </w:r>
      <w:r>
        <w:rPr>
          <w:spacing w:val="-1"/>
        </w:rPr>
        <w:t>号）的规定，在提</w:t>
      </w:r>
    </w:p>
    <w:p>
      <w:pPr>
        <w:pStyle w:val="BodyText"/>
        <w:spacing w:line="324" w:lineRule="auto"/>
        <w:ind w:right="1438"/>
        <w:jc w:val="both"/>
      </w:pPr>
      <w:r>
        <w:rPr>
          <w:spacing w:val="-1"/>
        </w:rPr>
        <w:t>取资产减值准备的基础上，对风险资产计提一般风险准备以部分弥补尚未识别的可能性损失。公司</w:t>
      </w:r>
      <w:r>
        <w:rPr>
          <w:spacing w:val="-16"/>
        </w:rPr>
        <w:t> </w:t>
      </w:r>
      <w:r>
        <w:rPr>
          <w:spacing w:val="-16"/>
        </w:rPr>
      </w:r>
      <w:r>
        <w:rPr>
          <w:spacing w:val="-1"/>
        </w:rPr>
        <w:t>采用标准法对风险资产所面临的风险状况定量分析，确定潜在风险估计值。对于潜在风险估计值高</w:t>
      </w:r>
      <w:r>
        <w:rPr>
          <w:spacing w:val="-16"/>
        </w:rPr>
        <w:t> </w:t>
      </w:r>
      <w:r>
        <w:rPr>
          <w:spacing w:val="-16"/>
        </w:rPr>
      </w:r>
      <w:r>
        <w:rPr>
          <w:spacing w:val="-1"/>
        </w:rPr>
        <w:t>于资产减值准备的差额，计提一般风险准备，作为利润分配处理。一般风险准备金余额原则上不低</w:t>
      </w:r>
      <w:r>
        <w:rPr>
          <w:spacing w:val="-16"/>
        </w:rPr>
        <w:t> </w:t>
      </w:r>
      <w:r>
        <w:rPr>
          <w:spacing w:val="-16"/>
        </w:rPr>
      </w:r>
      <w:r>
        <w:rPr/>
        <w:t>于风险资产期末余额的 </w:t>
      </w:r>
      <w:r>
        <w:rPr>
          <w:rFonts w:ascii="华文细黑" w:hAnsi="华文细黑" w:cs="华文细黑" w:eastAsia="华文细黑" w:hint="default"/>
        </w:rPr>
        <w:t>1.5%</w:t>
      </w:r>
      <w:r>
        <w:rPr/>
        <w:t>。</w:t>
      </w:r>
    </w:p>
    <w:p>
      <w:pPr>
        <w:pStyle w:val="Heading4"/>
        <w:spacing w:line="240" w:lineRule="auto" w:before="27"/>
        <w:ind w:right="1246"/>
        <w:jc w:val="left"/>
        <w:rPr>
          <w:b w:val="0"/>
          <w:bCs w:val="0"/>
        </w:rPr>
      </w:pPr>
      <w:bookmarkStart w:name="五、税项" w:id="255"/>
      <w:bookmarkEnd w:id="255"/>
      <w:r>
        <w:rPr>
          <w:b w:val="0"/>
          <w:bCs w:val="0"/>
        </w:rPr>
      </w:r>
      <w:r>
        <w:rPr/>
        <w:t>五、税项</w:t>
      </w:r>
      <w:r>
        <w:rPr>
          <w:b w:val="0"/>
          <w:bCs w:val="0"/>
        </w:rPr>
      </w:r>
    </w:p>
    <w:p>
      <w:pPr>
        <w:pStyle w:val="Heading5"/>
        <w:spacing w:line="240" w:lineRule="auto" w:before="139"/>
        <w:ind w:left="622" w:right="1246"/>
        <w:jc w:val="left"/>
        <w:rPr>
          <w:b w:val="0"/>
          <w:bCs w:val="0"/>
        </w:rPr>
      </w:pPr>
      <w:bookmarkStart w:name="1、主要税种及税率" w:id="256"/>
      <w:bookmarkEnd w:id="256"/>
      <w:r>
        <w:rPr>
          <w:b w:val="0"/>
          <w:bCs w:val="0"/>
        </w:rPr>
      </w:r>
      <w:r>
        <w:rPr>
          <w:rFonts w:ascii="华文细黑" w:hAnsi="华文细黑" w:cs="华文细黑" w:eastAsia="华文细黑" w:hint="default"/>
        </w:rPr>
        <w:t>1</w:t>
      </w:r>
      <w:r>
        <w:rPr/>
        <w:t>、主要税种及税率</w:t>
      </w:r>
      <w:r>
        <w:rPr>
          <w:b w:val="0"/>
          <w:bCs w:val="0"/>
        </w:rPr>
      </w:r>
    </w:p>
    <w:p>
      <w:pPr>
        <w:spacing w:line="240" w:lineRule="auto" w:before="5"/>
        <w:rPr>
          <w:rFonts w:ascii="华文细黑" w:hAnsi="华文细黑" w:cs="华文细黑" w:eastAsia="华文细黑" w:hint="default"/>
          <w:b/>
          <w:bCs/>
          <w:sz w:val="5"/>
          <w:szCs w:val="5"/>
        </w:rPr>
      </w:pPr>
    </w:p>
    <w:tbl>
      <w:tblPr>
        <w:tblW w:w="0" w:type="auto"/>
        <w:jc w:val="left"/>
        <w:tblInd w:w="135" w:type="dxa"/>
        <w:tblLayout w:type="fixed"/>
        <w:tblCellMar>
          <w:top w:w="0" w:type="dxa"/>
          <w:left w:w="0" w:type="dxa"/>
          <w:bottom w:w="0" w:type="dxa"/>
          <w:right w:w="0" w:type="dxa"/>
        </w:tblCellMar>
        <w:tblLook w:val="01E0"/>
      </w:tblPr>
      <w:tblGrid>
        <w:gridCol w:w="2836"/>
        <w:gridCol w:w="6237"/>
      </w:tblGrid>
      <w:tr>
        <w:trPr>
          <w:trHeight w:val="490" w:hRule="exact"/>
        </w:trPr>
        <w:tc>
          <w:tcPr>
            <w:tcW w:w="28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76"/>
              <w:ind w:right="0"/>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税种</w:t>
            </w:r>
          </w:p>
        </w:tc>
        <w:tc>
          <w:tcPr>
            <w:tcW w:w="623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76"/>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具体税率情况</w:t>
            </w:r>
          </w:p>
        </w:tc>
      </w:tr>
      <w:tr>
        <w:trPr>
          <w:trHeight w:val="890" w:hRule="exact"/>
        </w:trPr>
        <w:tc>
          <w:tcPr>
            <w:tcW w:w="28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7"/>
              <w:ind w:right="0"/>
              <w:jc w:val="left"/>
              <w:rPr>
                <w:rFonts w:ascii="华文细黑" w:hAnsi="华文细黑" w:cs="华文细黑" w:eastAsia="华文细黑" w:hint="default"/>
                <w:b/>
                <w:bCs/>
                <w:sz w:val="22"/>
                <w:szCs w:val="22"/>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增值税</w:t>
            </w:r>
          </w:p>
        </w:tc>
        <w:tc>
          <w:tcPr>
            <w:tcW w:w="6237" w:type="dxa"/>
            <w:tcBorders>
              <w:top w:val="single" w:sz="4" w:space="0" w:color="FFC000"/>
              <w:left w:val="single" w:sz="4" w:space="0" w:color="FFC000"/>
              <w:bottom w:val="single" w:sz="4" w:space="0" w:color="FFC000"/>
              <w:right w:val="single" w:sz="4" w:space="0" w:color="FFC000"/>
            </w:tcBorders>
          </w:tcPr>
          <w:p>
            <w:pPr>
              <w:pStyle w:val="TableParagraph"/>
              <w:spacing w:line="379" w:lineRule="auto" w:before="115"/>
              <w:ind w:left="101" w:right="10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应税收入按</w:t>
            </w:r>
            <w:r>
              <w:rPr>
                <w:rFonts w:ascii="华文细黑" w:hAnsi="华文细黑" w:cs="华文细黑" w:eastAsia="华文细黑" w:hint="default"/>
                <w:sz w:val="18"/>
                <w:szCs w:val="18"/>
              </w:rPr>
              <w:t>3%</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6%</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10%</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11%</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16%</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17%</w:t>
            </w:r>
            <w:r>
              <w:rPr>
                <w:rFonts w:ascii="华文细黑" w:hAnsi="华文细黑" w:cs="华文细黑" w:eastAsia="华文细黑" w:hint="default"/>
                <w:sz w:val="18"/>
                <w:szCs w:val="18"/>
              </w:rPr>
              <w:t>的税率计算销项税，并按扣除</w:t>
            </w:r>
            <w:r>
              <w:rPr>
                <w:rFonts w:ascii="华文细黑" w:hAnsi="华文细黑" w:cs="华文细黑" w:eastAsia="华文细黑" w:hint="default"/>
                <w:spacing w:val="-10"/>
                <w:sz w:val="18"/>
                <w:szCs w:val="18"/>
              </w:rPr>
              <w:t> </w:t>
            </w:r>
            <w:r>
              <w:rPr>
                <w:rFonts w:ascii="华文细黑" w:hAnsi="华文细黑" w:cs="华文细黑" w:eastAsia="华文细黑" w:hint="default"/>
                <w:spacing w:val="-10"/>
                <w:sz w:val="18"/>
                <w:szCs w:val="18"/>
              </w:rPr>
            </w:r>
            <w:r>
              <w:rPr>
                <w:rFonts w:ascii="华文细黑" w:hAnsi="华文细黑" w:cs="华文细黑" w:eastAsia="华文细黑" w:hint="default"/>
                <w:sz w:val="18"/>
                <w:szCs w:val="18"/>
              </w:rPr>
              <w:t>当期允许抵扣的进项税额后的差额计缴增值税。</w:t>
            </w:r>
          </w:p>
        </w:tc>
      </w:tr>
      <w:tr>
        <w:trPr>
          <w:trHeight w:val="490" w:hRule="exact"/>
        </w:trPr>
        <w:tc>
          <w:tcPr>
            <w:tcW w:w="28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7"/>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城市维护建设税</w:t>
            </w:r>
          </w:p>
        </w:tc>
        <w:tc>
          <w:tcPr>
            <w:tcW w:w="623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7"/>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按实际缴纳的流转税的</w:t>
            </w:r>
            <w:r>
              <w:rPr>
                <w:rFonts w:ascii="华文细黑" w:hAnsi="华文细黑" w:cs="华文细黑" w:eastAsia="华文细黑" w:hint="default"/>
                <w:sz w:val="18"/>
                <w:szCs w:val="18"/>
              </w:rPr>
              <w:t>5%</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7%</w:t>
            </w:r>
            <w:r>
              <w:rPr>
                <w:rFonts w:ascii="华文细黑" w:hAnsi="华文细黑" w:cs="华文细黑" w:eastAsia="华文细黑" w:hint="default"/>
                <w:sz w:val="18"/>
                <w:szCs w:val="18"/>
              </w:rPr>
              <w:t>计缴。</w:t>
            </w:r>
          </w:p>
        </w:tc>
      </w:tr>
      <w:tr>
        <w:trPr>
          <w:trHeight w:val="490" w:hRule="exact"/>
        </w:trPr>
        <w:tc>
          <w:tcPr>
            <w:tcW w:w="28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7"/>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教育税附加</w:t>
            </w:r>
          </w:p>
        </w:tc>
        <w:tc>
          <w:tcPr>
            <w:tcW w:w="623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7"/>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按实际缴纳的流转税的</w:t>
            </w:r>
            <w:r>
              <w:rPr>
                <w:rFonts w:ascii="华文细黑" w:hAnsi="华文细黑" w:cs="华文细黑" w:eastAsia="华文细黑" w:hint="default"/>
                <w:sz w:val="18"/>
                <w:szCs w:val="18"/>
              </w:rPr>
              <w:t>3%</w:t>
            </w:r>
            <w:r>
              <w:rPr>
                <w:rFonts w:ascii="华文细黑" w:hAnsi="华文细黑" w:cs="华文细黑" w:eastAsia="华文细黑" w:hint="default"/>
                <w:sz w:val="18"/>
                <w:szCs w:val="18"/>
              </w:rPr>
              <w:t>计缴。</w:t>
            </w:r>
          </w:p>
        </w:tc>
      </w:tr>
      <w:tr>
        <w:trPr>
          <w:trHeight w:val="491" w:hRule="exact"/>
        </w:trPr>
        <w:tc>
          <w:tcPr>
            <w:tcW w:w="28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地方教育税附加</w:t>
            </w:r>
          </w:p>
        </w:tc>
        <w:tc>
          <w:tcPr>
            <w:tcW w:w="623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8"/>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按实际缴纳的流转税的</w:t>
            </w: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计缴。</w:t>
            </w:r>
          </w:p>
        </w:tc>
      </w:tr>
      <w:tr>
        <w:trPr>
          <w:trHeight w:val="490" w:hRule="exact"/>
        </w:trPr>
        <w:tc>
          <w:tcPr>
            <w:tcW w:w="28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7"/>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房产税</w:t>
            </w:r>
          </w:p>
        </w:tc>
        <w:tc>
          <w:tcPr>
            <w:tcW w:w="623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7"/>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按房产原值的</w:t>
            </w:r>
            <w:r>
              <w:rPr>
                <w:rFonts w:ascii="华文细黑" w:hAnsi="华文细黑" w:cs="华文细黑" w:eastAsia="华文细黑" w:hint="default"/>
                <w:sz w:val="18"/>
                <w:szCs w:val="18"/>
              </w:rPr>
              <w:t>70%</w:t>
            </w:r>
            <w:r>
              <w:rPr>
                <w:rFonts w:ascii="华文细黑" w:hAnsi="华文细黑" w:cs="华文细黑" w:eastAsia="华文细黑" w:hint="default"/>
                <w:sz w:val="18"/>
                <w:szCs w:val="18"/>
              </w:rPr>
              <w:t>的</w:t>
            </w:r>
            <w:r>
              <w:rPr>
                <w:rFonts w:ascii="华文细黑" w:hAnsi="华文细黑" w:cs="华文细黑" w:eastAsia="华文细黑" w:hint="default"/>
                <w:sz w:val="18"/>
                <w:szCs w:val="18"/>
              </w:rPr>
              <w:t>1.2%</w:t>
            </w:r>
            <w:r>
              <w:rPr>
                <w:rFonts w:ascii="华文细黑" w:hAnsi="华文细黑" w:cs="华文细黑" w:eastAsia="华文细黑" w:hint="default"/>
                <w:sz w:val="18"/>
                <w:szCs w:val="18"/>
              </w:rPr>
              <w:t>计缴。</w:t>
            </w:r>
          </w:p>
        </w:tc>
      </w:tr>
      <w:tr>
        <w:trPr>
          <w:trHeight w:val="491" w:hRule="exact"/>
        </w:trPr>
        <w:tc>
          <w:tcPr>
            <w:tcW w:w="28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7"/>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企业所得税</w:t>
            </w:r>
          </w:p>
        </w:tc>
        <w:tc>
          <w:tcPr>
            <w:tcW w:w="623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7"/>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于中国境内注册的公司之企业所得税税率为</w:t>
            </w:r>
            <w:r>
              <w:rPr>
                <w:rFonts w:ascii="华文细黑" w:hAnsi="华文细黑" w:cs="华文细黑" w:eastAsia="华文细黑" w:hint="default"/>
                <w:sz w:val="18"/>
                <w:szCs w:val="18"/>
              </w:rPr>
              <w:t>25%</w:t>
            </w:r>
            <w:r>
              <w:rPr>
                <w:rFonts w:ascii="华文细黑" w:hAnsi="华文细黑" w:cs="华文细黑" w:eastAsia="华文细黑" w:hint="default"/>
                <w:sz w:val="18"/>
                <w:szCs w:val="18"/>
              </w:rPr>
              <w:t>，其他详见税收优惠及批文</w:t>
            </w:r>
          </w:p>
        </w:tc>
      </w:tr>
    </w:tbl>
    <w:p>
      <w:pPr>
        <w:spacing w:line="240" w:lineRule="auto" w:before="8"/>
        <w:rPr>
          <w:rFonts w:ascii="华文细黑" w:hAnsi="华文细黑" w:cs="华文细黑" w:eastAsia="华文细黑" w:hint="default"/>
          <w:b/>
          <w:bCs/>
          <w:sz w:val="4"/>
          <w:szCs w:val="4"/>
        </w:rPr>
      </w:pPr>
    </w:p>
    <w:p>
      <w:pPr>
        <w:pStyle w:val="BodyText"/>
        <w:spacing w:line="324" w:lineRule="auto" w:before="10"/>
        <w:ind w:right="1437" w:firstLine="420"/>
        <w:jc w:val="both"/>
      </w:pPr>
      <w:r>
        <w:rPr>
          <w:spacing w:val="-2"/>
        </w:rPr>
        <w:t>本公司发生增值税应税销售行为或者进口货物，原适用</w:t>
      </w:r>
      <w:r>
        <w:rPr>
          <w:rFonts w:ascii="华文细黑" w:hAnsi="华文细黑" w:cs="华文细黑" w:eastAsia="华文细黑" w:hint="default"/>
          <w:spacing w:val="-2"/>
        </w:rPr>
        <w:t>17%/11%</w:t>
      </w:r>
      <w:r>
        <w:rPr>
          <w:spacing w:val="-2"/>
        </w:rPr>
        <w:t>税率。根据《财政部、国家税</w:t>
      </w:r>
      <w:r>
        <w:rPr/>
        <w:t> </w:t>
      </w:r>
      <w:r>
        <w:rPr>
          <w:spacing w:val="-2"/>
        </w:rPr>
        <w:t>务总局关于调整增值税税率的通知》（财税</w:t>
      </w:r>
      <w:r>
        <w:rPr>
          <w:rFonts w:ascii="华文细黑" w:hAnsi="华文细黑" w:cs="华文细黑" w:eastAsia="华文细黑" w:hint="default"/>
          <w:spacing w:val="-2"/>
        </w:rPr>
        <w:t>[2018]32</w:t>
      </w:r>
      <w:r>
        <w:rPr>
          <w:spacing w:val="-2"/>
        </w:rPr>
        <w:t>号）规定，自</w:t>
      </w:r>
      <w:r>
        <w:rPr>
          <w:rFonts w:ascii="华文细黑" w:hAnsi="华文细黑" w:cs="华文细黑" w:eastAsia="华文细黑" w:hint="default"/>
          <w:spacing w:val="-2"/>
        </w:rPr>
        <w:t>2018</w:t>
      </w:r>
      <w:r>
        <w:rPr>
          <w:spacing w:val="-2"/>
        </w:rPr>
        <w:t>年</w:t>
      </w:r>
      <w:r>
        <w:rPr>
          <w:rFonts w:ascii="华文细黑" w:hAnsi="华文细黑" w:cs="华文细黑" w:eastAsia="华文细黑" w:hint="default"/>
          <w:spacing w:val="-2"/>
        </w:rPr>
        <w:t>5</w:t>
      </w:r>
      <w:r>
        <w:rPr>
          <w:spacing w:val="-2"/>
        </w:rPr>
        <w:t>月</w:t>
      </w:r>
      <w:r>
        <w:rPr>
          <w:rFonts w:ascii="华文细黑" w:hAnsi="华文细黑" w:cs="华文细黑" w:eastAsia="华文细黑" w:hint="default"/>
          <w:spacing w:val="-2"/>
        </w:rPr>
        <w:t>1</w:t>
      </w:r>
      <w:r>
        <w:rPr>
          <w:spacing w:val="-2"/>
        </w:rPr>
        <w:t>日起，适用税率调整</w:t>
      </w:r>
      <w:r>
        <w:rPr>
          <w:spacing w:val="-35"/>
        </w:rPr>
        <w:t> </w:t>
      </w:r>
      <w:r>
        <w:rPr>
          <w:spacing w:val="-35"/>
        </w:rPr>
      </w:r>
      <w:r>
        <w:rPr/>
        <w:t>为</w:t>
      </w:r>
      <w:r>
        <w:rPr>
          <w:rFonts w:ascii="华文细黑" w:hAnsi="华文细黑" w:cs="华文细黑" w:eastAsia="华文细黑" w:hint="default"/>
        </w:rPr>
        <w:t>16%/10%</w:t>
      </w:r>
      <w:r>
        <w:rPr/>
        <w:t>。</w:t>
      </w:r>
    </w:p>
    <w:p>
      <w:pPr>
        <w:pStyle w:val="BodyText"/>
        <w:spacing w:line="240" w:lineRule="auto" w:before="63"/>
        <w:ind w:left="560" w:right="1246"/>
        <w:jc w:val="left"/>
      </w:pPr>
      <w:r>
        <w:rPr/>
        <w:t>本公司存在以下不同企业所得税税率纳税主体</w:t>
      </w:r>
    </w:p>
    <w:p>
      <w:pPr>
        <w:spacing w:line="240" w:lineRule="auto" w:before="10"/>
        <w:rPr>
          <w:rFonts w:ascii="华文细黑" w:hAnsi="华文细黑" w:cs="华文细黑" w:eastAsia="华文细黑" w:hint="default"/>
          <w:sz w:val="7"/>
          <w:szCs w:val="7"/>
        </w:rPr>
      </w:pPr>
    </w:p>
    <w:tbl>
      <w:tblPr>
        <w:tblW w:w="0" w:type="auto"/>
        <w:jc w:val="left"/>
        <w:tblInd w:w="135" w:type="dxa"/>
        <w:tblLayout w:type="fixed"/>
        <w:tblCellMar>
          <w:top w:w="0" w:type="dxa"/>
          <w:left w:w="0" w:type="dxa"/>
          <w:bottom w:w="0" w:type="dxa"/>
          <w:right w:w="0" w:type="dxa"/>
        </w:tblCellMar>
        <w:tblLook w:val="01E0"/>
      </w:tblPr>
      <w:tblGrid>
        <w:gridCol w:w="3262"/>
        <w:gridCol w:w="5811"/>
      </w:tblGrid>
      <w:tr>
        <w:trPr>
          <w:trHeight w:val="490" w:hRule="exact"/>
        </w:trPr>
        <w:tc>
          <w:tcPr>
            <w:tcW w:w="32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76"/>
              <w:ind w:left="996"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纳税主体名称</w:t>
            </w:r>
          </w:p>
        </w:tc>
        <w:tc>
          <w:tcPr>
            <w:tcW w:w="58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76"/>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所得税税率</w:t>
            </w:r>
          </w:p>
        </w:tc>
      </w:tr>
      <w:tr>
        <w:trPr>
          <w:trHeight w:val="380" w:hRule="exact"/>
        </w:trPr>
        <w:tc>
          <w:tcPr>
            <w:tcW w:w="32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彩梦科技有限公司</w:t>
            </w:r>
          </w:p>
        </w:tc>
        <w:tc>
          <w:tcPr>
            <w:tcW w:w="58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29"/>
              <w:ind w:right="0"/>
              <w:jc w:val="center"/>
              <w:rPr>
                <w:rFonts w:ascii="华文细黑" w:hAnsi="华文细黑" w:cs="华文细黑" w:eastAsia="华文细黑" w:hint="default"/>
                <w:sz w:val="18"/>
                <w:szCs w:val="18"/>
              </w:rPr>
            </w:pPr>
            <w:r>
              <w:rPr>
                <w:rFonts w:ascii="华文细黑"/>
                <w:sz w:val="18"/>
              </w:rPr>
              <w:t>15%</w:t>
            </w:r>
          </w:p>
        </w:tc>
      </w:tr>
    </w:tbl>
    <w:p>
      <w:pPr>
        <w:spacing w:after="0" w:line="240" w:lineRule="auto"/>
        <w:jc w:val="center"/>
        <w:rPr>
          <w:rFonts w:ascii="华文细黑" w:hAnsi="华文细黑" w:cs="华文细黑" w:eastAsia="华文细黑" w:hint="default"/>
          <w:sz w:val="18"/>
          <w:szCs w:val="18"/>
        </w:rPr>
        <w:sectPr>
          <w:pgSz w:w="11910" w:h="16840"/>
          <w:pgMar w:header="917" w:footer="1019" w:top="1100" w:bottom="1200" w:left="1300" w:right="0"/>
        </w:sectPr>
      </w:pPr>
    </w:p>
    <w:p>
      <w:pPr>
        <w:spacing w:line="240" w:lineRule="auto" w:before="8"/>
        <w:rPr>
          <w:rFonts w:ascii="华文细黑" w:hAnsi="华文细黑" w:cs="华文细黑" w:eastAsia="华文细黑" w:hint="default"/>
          <w:sz w:val="23"/>
          <w:szCs w:val="23"/>
        </w:rPr>
      </w:pPr>
    </w:p>
    <w:tbl>
      <w:tblPr>
        <w:tblW w:w="0" w:type="auto"/>
        <w:jc w:val="left"/>
        <w:tblInd w:w="135" w:type="dxa"/>
        <w:tblLayout w:type="fixed"/>
        <w:tblCellMar>
          <w:top w:w="0" w:type="dxa"/>
          <w:left w:w="0" w:type="dxa"/>
          <w:bottom w:w="0" w:type="dxa"/>
          <w:right w:w="0" w:type="dxa"/>
        </w:tblCellMar>
        <w:tblLook w:val="01E0"/>
      </w:tblPr>
      <w:tblGrid>
        <w:gridCol w:w="3262"/>
        <w:gridCol w:w="5811"/>
      </w:tblGrid>
      <w:tr>
        <w:trPr>
          <w:trHeight w:val="490" w:hRule="exact"/>
        </w:trPr>
        <w:tc>
          <w:tcPr>
            <w:tcW w:w="32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76"/>
              <w:ind w:left="996" w:right="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纳税主体名称</w:t>
            </w:r>
          </w:p>
        </w:tc>
        <w:tc>
          <w:tcPr>
            <w:tcW w:w="58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76"/>
              <w:ind w:right="1"/>
              <w:jc w:val="center"/>
              <w:rPr>
                <w:rFonts w:ascii="华文细黑" w:hAnsi="华文细黑" w:cs="华文细黑" w:eastAsia="华文细黑" w:hint="default"/>
                <w:sz w:val="21"/>
                <w:szCs w:val="21"/>
              </w:rPr>
            </w:pPr>
            <w:r>
              <w:rPr>
                <w:rFonts w:ascii="华文细黑" w:hAnsi="华文细黑" w:cs="华文细黑" w:eastAsia="华文细黑" w:hint="default"/>
                <w:sz w:val="21"/>
                <w:szCs w:val="21"/>
              </w:rPr>
              <w:t>所得税税率</w:t>
            </w:r>
          </w:p>
        </w:tc>
      </w:tr>
      <w:tr>
        <w:trPr>
          <w:trHeight w:val="380" w:hRule="exact"/>
        </w:trPr>
        <w:tc>
          <w:tcPr>
            <w:tcW w:w="32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深圳市优友互联有限公司</w:t>
            </w:r>
          </w:p>
        </w:tc>
        <w:tc>
          <w:tcPr>
            <w:tcW w:w="5811" w:type="dxa"/>
            <w:vMerge w:val="restart"/>
            <w:tcBorders>
              <w:top w:val="single" w:sz="4" w:space="0" w:color="FFC000"/>
              <w:left w:val="single" w:sz="4" w:space="0" w:color="FFC000"/>
              <w:right w:val="single" w:sz="4" w:space="0" w:color="FFC000"/>
            </w:tcBorders>
          </w:tcPr>
          <w:p>
            <w:pPr/>
          </w:p>
        </w:tc>
      </w:tr>
      <w:tr>
        <w:trPr>
          <w:trHeight w:val="380" w:hRule="exact"/>
        </w:trPr>
        <w:tc>
          <w:tcPr>
            <w:tcW w:w="32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北京威丰科技有限公司</w:t>
            </w:r>
          </w:p>
        </w:tc>
        <w:tc>
          <w:tcPr>
            <w:tcW w:w="5811" w:type="dxa"/>
            <w:vMerge/>
            <w:tcBorders>
              <w:left w:val="single" w:sz="4" w:space="0" w:color="FFC000"/>
              <w:right w:val="single" w:sz="4" w:space="0" w:color="FFC000"/>
            </w:tcBorders>
          </w:tcPr>
          <w:p>
            <w:pPr/>
          </w:p>
        </w:tc>
      </w:tr>
      <w:tr>
        <w:trPr>
          <w:trHeight w:val="380" w:hRule="exact"/>
        </w:trPr>
        <w:tc>
          <w:tcPr>
            <w:tcW w:w="32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深圳市优友供应链有限公司</w:t>
            </w:r>
          </w:p>
        </w:tc>
        <w:tc>
          <w:tcPr>
            <w:tcW w:w="5811" w:type="dxa"/>
            <w:vMerge/>
            <w:tcBorders>
              <w:left w:val="single" w:sz="4" w:space="0" w:color="FFC000"/>
              <w:bottom w:val="single" w:sz="4" w:space="0" w:color="FFC000"/>
              <w:right w:val="single" w:sz="4" w:space="0" w:color="FFC000"/>
            </w:tcBorders>
          </w:tcPr>
          <w:p>
            <w:pPr/>
          </w:p>
        </w:tc>
      </w:tr>
      <w:tr>
        <w:trPr>
          <w:trHeight w:val="380" w:hRule="exact"/>
        </w:trPr>
        <w:tc>
          <w:tcPr>
            <w:tcW w:w="32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广州酷爱通讯器材有限责任公司</w:t>
            </w:r>
          </w:p>
        </w:tc>
        <w:tc>
          <w:tcPr>
            <w:tcW w:w="5811"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49"/>
              <w:ind w:right="0"/>
              <w:jc w:val="center"/>
              <w:rPr>
                <w:rFonts w:ascii="华文细黑" w:hAnsi="华文细黑" w:cs="华文细黑" w:eastAsia="华文细黑" w:hint="default"/>
                <w:sz w:val="18"/>
                <w:szCs w:val="18"/>
              </w:rPr>
            </w:pPr>
            <w:r>
              <w:rPr>
                <w:rFonts w:ascii="华文细黑"/>
                <w:sz w:val="18"/>
              </w:rPr>
              <w:t>10%</w:t>
            </w:r>
          </w:p>
        </w:tc>
      </w:tr>
      <w:tr>
        <w:trPr>
          <w:trHeight w:val="380" w:hRule="exact"/>
        </w:trPr>
        <w:tc>
          <w:tcPr>
            <w:tcW w:w="32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深圳市酷爱通讯科技有限公司</w:t>
            </w:r>
          </w:p>
        </w:tc>
        <w:tc>
          <w:tcPr>
            <w:tcW w:w="5811" w:type="dxa"/>
            <w:vMerge/>
            <w:tcBorders>
              <w:left w:val="single" w:sz="4" w:space="0" w:color="FFC000"/>
              <w:right w:val="single" w:sz="4" w:space="0" w:color="FFC000"/>
            </w:tcBorders>
          </w:tcPr>
          <w:p>
            <w:pPr/>
          </w:p>
        </w:tc>
      </w:tr>
      <w:tr>
        <w:trPr>
          <w:trHeight w:val="380" w:hRule="exact"/>
        </w:trPr>
        <w:tc>
          <w:tcPr>
            <w:tcW w:w="32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长沙酷爱炫供应链管理有限责任公司</w:t>
            </w:r>
          </w:p>
        </w:tc>
        <w:tc>
          <w:tcPr>
            <w:tcW w:w="5811" w:type="dxa"/>
            <w:vMerge/>
            <w:tcBorders>
              <w:left w:val="single" w:sz="4" w:space="0" w:color="FFC000"/>
              <w:right w:val="single" w:sz="4" w:space="0" w:color="FFC000"/>
            </w:tcBorders>
          </w:tcPr>
          <w:p>
            <w:pPr/>
          </w:p>
        </w:tc>
      </w:tr>
      <w:tr>
        <w:trPr>
          <w:trHeight w:val="380" w:hRule="exact"/>
        </w:trPr>
        <w:tc>
          <w:tcPr>
            <w:tcW w:w="32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北京优友信息科技有限公司</w:t>
            </w:r>
          </w:p>
        </w:tc>
        <w:tc>
          <w:tcPr>
            <w:tcW w:w="5811" w:type="dxa"/>
            <w:vMerge/>
            <w:tcBorders>
              <w:left w:val="single" w:sz="4" w:space="0" w:color="FFC000"/>
              <w:right w:val="single" w:sz="4" w:space="0" w:color="FFC000"/>
            </w:tcBorders>
          </w:tcPr>
          <w:p>
            <w:pPr/>
          </w:p>
        </w:tc>
      </w:tr>
      <w:tr>
        <w:trPr>
          <w:trHeight w:val="380" w:hRule="exact"/>
        </w:trPr>
        <w:tc>
          <w:tcPr>
            <w:tcW w:w="32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北京聚美华科技有限公司</w:t>
            </w:r>
          </w:p>
        </w:tc>
        <w:tc>
          <w:tcPr>
            <w:tcW w:w="5811" w:type="dxa"/>
            <w:vMerge/>
            <w:tcBorders>
              <w:left w:val="single" w:sz="4" w:space="0" w:color="FFC000"/>
              <w:right w:val="single" w:sz="4" w:space="0" w:color="FFC000"/>
            </w:tcBorders>
          </w:tcPr>
          <w:p>
            <w:pPr/>
          </w:p>
        </w:tc>
      </w:tr>
      <w:tr>
        <w:trPr>
          <w:trHeight w:val="380" w:hRule="exact"/>
        </w:trPr>
        <w:tc>
          <w:tcPr>
            <w:tcW w:w="32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武汉市酷爱星通信科技有限责任公司</w:t>
            </w:r>
          </w:p>
        </w:tc>
        <w:tc>
          <w:tcPr>
            <w:tcW w:w="5811" w:type="dxa"/>
            <w:vMerge/>
            <w:tcBorders>
              <w:left w:val="single" w:sz="4" w:space="0" w:color="FFC000"/>
              <w:right w:val="single" w:sz="4" w:space="0" w:color="FFC000"/>
            </w:tcBorders>
          </w:tcPr>
          <w:p>
            <w:pPr/>
          </w:p>
        </w:tc>
      </w:tr>
      <w:tr>
        <w:trPr>
          <w:trHeight w:val="380" w:hRule="exact"/>
        </w:trPr>
        <w:tc>
          <w:tcPr>
            <w:tcW w:w="32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深圳市优友信息技术有限公司</w:t>
            </w:r>
          </w:p>
        </w:tc>
        <w:tc>
          <w:tcPr>
            <w:tcW w:w="5811" w:type="dxa"/>
            <w:vMerge/>
            <w:tcBorders>
              <w:left w:val="single" w:sz="4" w:space="0" w:color="FFC000"/>
              <w:right w:val="single" w:sz="4" w:space="0" w:color="FFC000"/>
            </w:tcBorders>
          </w:tcPr>
          <w:p>
            <w:pPr/>
          </w:p>
        </w:tc>
      </w:tr>
      <w:tr>
        <w:trPr>
          <w:trHeight w:val="380" w:hRule="exact"/>
        </w:trPr>
        <w:tc>
          <w:tcPr>
            <w:tcW w:w="32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深圳金石创新科技有限公司</w:t>
            </w:r>
          </w:p>
        </w:tc>
        <w:tc>
          <w:tcPr>
            <w:tcW w:w="5811" w:type="dxa"/>
            <w:vMerge/>
            <w:tcBorders>
              <w:left w:val="single" w:sz="4" w:space="0" w:color="FFC000"/>
              <w:right w:val="single" w:sz="4" w:space="0" w:color="FFC000"/>
            </w:tcBorders>
          </w:tcPr>
          <w:p>
            <w:pPr/>
          </w:p>
        </w:tc>
      </w:tr>
      <w:tr>
        <w:trPr>
          <w:trHeight w:val="380" w:hRule="exact"/>
        </w:trPr>
        <w:tc>
          <w:tcPr>
            <w:tcW w:w="32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江西酷兜科技有限公司</w:t>
            </w:r>
          </w:p>
        </w:tc>
        <w:tc>
          <w:tcPr>
            <w:tcW w:w="5811" w:type="dxa"/>
            <w:vMerge/>
            <w:tcBorders>
              <w:left w:val="single" w:sz="4" w:space="0" w:color="FFC000"/>
              <w:right w:val="single" w:sz="4" w:space="0" w:color="FFC000"/>
            </w:tcBorders>
          </w:tcPr>
          <w:p>
            <w:pPr/>
          </w:p>
        </w:tc>
      </w:tr>
      <w:tr>
        <w:trPr>
          <w:trHeight w:val="380" w:hRule="exact"/>
        </w:trPr>
        <w:tc>
          <w:tcPr>
            <w:tcW w:w="32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深圳市凯辰网络有限公司</w:t>
            </w:r>
          </w:p>
        </w:tc>
        <w:tc>
          <w:tcPr>
            <w:tcW w:w="5811" w:type="dxa"/>
            <w:vMerge/>
            <w:tcBorders>
              <w:left w:val="single" w:sz="4" w:space="0" w:color="FFC000"/>
              <w:right w:val="single" w:sz="4" w:space="0" w:color="FFC000"/>
            </w:tcBorders>
          </w:tcPr>
          <w:p>
            <w:pPr/>
          </w:p>
        </w:tc>
      </w:tr>
      <w:tr>
        <w:trPr>
          <w:trHeight w:val="380" w:hRule="exact"/>
        </w:trPr>
        <w:tc>
          <w:tcPr>
            <w:tcW w:w="32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深圳市新凯辰科技有限公司</w:t>
            </w:r>
          </w:p>
        </w:tc>
        <w:tc>
          <w:tcPr>
            <w:tcW w:w="5811" w:type="dxa"/>
            <w:vMerge/>
            <w:tcBorders>
              <w:left w:val="single" w:sz="4" w:space="0" w:color="FFC000"/>
              <w:bottom w:val="single" w:sz="4" w:space="0" w:color="FFC000"/>
              <w:right w:val="single" w:sz="4" w:space="0" w:color="FFC000"/>
            </w:tcBorders>
          </w:tcPr>
          <w:p>
            <w:pPr/>
          </w:p>
        </w:tc>
      </w:tr>
      <w:tr>
        <w:trPr>
          <w:trHeight w:val="429" w:hRule="exact"/>
        </w:trPr>
        <w:tc>
          <w:tcPr>
            <w:tcW w:w="32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3"/>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爱施德（香港）有限公司</w:t>
            </w:r>
          </w:p>
        </w:tc>
        <w:tc>
          <w:tcPr>
            <w:tcW w:w="5811" w:type="dxa"/>
            <w:vMerge w:val="restart"/>
            <w:tcBorders>
              <w:top w:val="single" w:sz="4" w:space="0" w:color="FFC000"/>
              <w:left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sz w:val="23"/>
                <w:szCs w:val="23"/>
              </w:rPr>
            </w:pPr>
          </w:p>
          <w:p>
            <w:pPr>
              <w:pStyle w:val="TableParagraph"/>
              <w:spacing w:line="273" w:lineRule="auto"/>
              <w:ind w:left="1639" w:right="112" w:hanging="152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采用地域来源原则征税，源自香港利润部分为 </w:t>
            </w:r>
            <w:r>
              <w:rPr>
                <w:rFonts w:ascii="华文细黑" w:hAnsi="华文细黑" w:cs="华文细黑" w:eastAsia="华文细黑" w:hint="default"/>
                <w:sz w:val="18"/>
                <w:szCs w:val="18"/>
              </w:rPr>
              <w:t>16.5%</w:t>
            </w:r>
            <w:r>
              <w:rPr>
                <w:rFonts w:ascii="华文细黑" w:hAnsi="华文细黑" w:cs="华文细黑" w:eastAsia="华文细黑" w:hint="default"/>
                <w:sz w:val="18"/>
                <w:szCs w:val="18"/>
              </w:rPr>
              <w:t>，源自其他地方的 利润则不需在香港缴纳利得税。</w:t>
            </w:r>
          </w:p>
        </w:tc>
      </w:tr>
      <w:tr>
        <w:trPr>
          <w:trHeight w:val="426" w:hRule="exact"/>
        </w:trPr>
        <w:tc>
          <w:tcPr>
            <w:tcW w:w="32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中国供应链金融服务有限公司</w:t>
            </w:r>
          </w:p>
        </w:tc>
        <w:tc>
          <w:tcPr>
            <w:tcW w:w="5811" w:type="dxa"/>
            <w:vMerge/>
            <w:tcBorders>
              <w:left w:val="single" w:sz="4" w:space="0" w:color="FFC000"/>
              <w:right w:val="single" w:sz="4" w:space="0" w:color="FFC000"/>
            </w:tcBorders>
          </w:tcPr>
          <w:p>
            <w:pPr/>
          </w:p>
        </w:tc>
      </w:tr>
      <w:tr>
        <w:trPr>
          <w:trHeight w:val="427" w:hRule="exact"/>
        </w:trPr>
        <w:tc>
          <w:tcPr>
            <w:tcW w:w="32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爱施德全球贸易有限公司</w:t>
            </w:r>
          </w:p>
        </w:tc>
        <w:tc>
          <w:tcPr>
            <w:tcW w:w="5811" w:type="dxa"/>
            <w:vMerge/>
            <w:tcBorders>
              <w:left w:val="single" w:sz="4" w:space="0" w:color="FFC000"/>
              <w:bottom w:val="single" w:sz="4" w:space="0" w:color="FFC000"/>
              <w:right w:val="single" w:sz="4" w:space="0" w:color="FFC000"/>
            </w:tcBorders>
          </w:tcPr>
          <w:p>
            <w:pPr/>
          </w:p>
        </w:tc>
      </w:tr>
      <w:tr>
        <w:trPr>
          <w:trHeight w:val="380" w:hRule="exact"/>
        </w:trPr>
        <w:tc>
          <w:tcPr>
            <w:tcW w:w="32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8"/>
              <w:ind w:left="103" w:right="0"/>
              <w:jc w:val="left"/>
              <w:rPr>
                <w:rFonts w:ascii="华文细黑" w:hAnsi="华文细黑" w:cs="华文细黑" w:eastAsia="华文细黑" w:hint="default"/>
                <w:sz w:val="18"/>
                <w:szCs w:val="18"/>
              </w:rPr>
            </w:pPr>
            <w:r>
              <w:rPr>
                <w:rFonts w:ascii="华文细黑"/>
                <w:sz w:val="18"/>
              </w:rPr>
              <w:t>Genesis (BVI) Holding</w:t>
            </w:r>
            <w:r>
              <w:rPr>
                <w:rFonts w:ascii="华文细黑"/>
                <w:spacing w:val="-4"/>
                <w:sz w:val="18"/>
              </w:rPr>
              <w:t> </w:t>
            </w:r>
            <w:r>
              <w:rPr>
                <w:rFonts w:ascii="华文细黑"/>
                <w:sz w:val="18"/>
              </w:rPr>
              <w:t>Ltd</w:t>
            </w:r>
          </w:p>
        </w:tc>
        <w:tc>
          <w:tcPr>
            <w:tcW w:w="58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28"/>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英属维京群岛（</w:t>
            </w:r>
            <w:r>
              <w:rPr>
                <w:rFonts w:ascii="华文细黑" w:hAnsi="华文细黑" w:cs="华文细黑" w:eastAsia="华文细黑" w:hint="default"/>
                <w:sz w:val="18"/>
                <w:szCs w:val="18"/>
              </w:rPr>
              <w:t>BVI</w:t>
            </w:r>
            <w:r>
              <w:rPr>
                <w:rFonts w:ascii="华文细黑" w:hAnsi="华文细黑" w:cs="华文细黑" w:eastAsia="华文细黑" w:hint="default"/>
                <w:sz w:val="18"/>
                <w:szCs w:val="18"/>
              </w:rPr>
              <w:t>）离岸公司不必向英属维京群岛政府缴纳任何税项</w:t>
            </w:r>
          </w:p>
        </w:tc>
      </w:tr>
      <w:tr>
        <w:trPr>
          <w:trHeight w:val="670" w:hRule="exact"/>
        </w:trPr>
        <w:tc>
          <w:tcPr>
            <w:tcW w:w="32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4"/>
              <w:ind w:right="0"/>
              <w:jc w:val="left"/>
              <w:rPr>
                <w:rFonts w:ascii="华文细黑" w:hAnsi="华文细黑" w:cs="华文细黑" w:eastAsia="华文细黑" w:hint="default"/>
                <w:sz w:val="12"/>
                <w:szCs w:val="12"/>
              </w:rPr>
            </w:pPr>
          </w:p>
          <w:p>
            <w:pPr>
              <w:pStyle w:val="TableParagraph"/>
              <w:spacing w:line="240" w:lineRule="auto"/>
              <w:ind w:left="103" w:right="0"/>
              <w:jc w:val="left"/>
              <w:rPr>
                <w:rFonts w:ascii="华文细黑" w:hAnsi="华文细黑" w:cs="华文细黑" w:eastAsia="华文细黑" w:hint="default"/>
                <w:sz w:val="18"/>
                <w:szCs w:val="18"/>
              </w:rPr>
            </w:pPr>
            <w:r>
              <w:rPr>
                <w:rFonts w:ascii="华文细黑"/>
                <w:sz w:val="18"/>
              </w:rPr>
              <w:t>Genesis (Cayman)</w:t>
            </w:r>
            <w:r>
              <w:rPr>
                <w:rFonts w:ascii="华文细黑"/>
                <w:spacing w:val="-4"/>
                <w:sz w:val="18"/>
              </w:rPr>
              <w:t> </w:t>
            </w:r>
            <w:r>
              <w:rPr>
                <w:rFonts w:ascii="华文细黑"/>
                <w:sz w:val="18"/>
              </w:rPr>
              <w:t>Ltd</w:t>
            </w:r>
          </w:p>
        </w:tc>
        <w:tc>
          <w:tcPr>
            <w:tcW w:w="5811" w:type="dxa"/>
            <w:tcBorders>
              <w:top w:val="single" w:sz="4" w:space="0" w:color="FFC000"/>
              <w:left w:val="single" w:sz="4" w:space="0" w:color="FFC000"/>
              <w:bottom w:val="single" w:sz="4" w:space="0" w:color="FFC000"/>
              <w:right w:val="single" w:sz="4" w:space="0" w:color="FFC000"/>
            </w:tcBorders>
          </w:tcPr>
          <w:p>
            <w:pPr>
              <w:pStyle w:val="TableParagraph"/>
              <w:spacing w:line="273" w:lineRule="auto" w:before="28"/>
              <w:ind w:left="101" w:right="102" w:firstLine="3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开曼群岛的法律赋予豁免公司（相对非居民公司而言）（</w:t>
            </w:r>
            <w:r>
              <w:rPr>
                <w:rFonts w:ascii="华文细黑" w:hAnsi="华文细黑" w:cs="华文细黑" w:eastAsia="华文细黑" w:hint="default"/>
                <w:sz w:val="18"/>
                <w:szCs w:val="18"/>
              </w:rPr>
              <w:t>EXCEMPTED </w:t>
            </w:r>
            <w:r>
              <w:rPr>
                <w:rFonts w:ascii="华文细黑" w:hAnsi="华文细黑" w:cs="华文细黑" w:eastAsia="华文细黑" w:hint="default"/>
                <w:spacing w:val="-2"/>
                <w:sz w:val="18"/>
                <w:szCs w:val="18"/>
              </w:rPr>
              <w:t>COMPANY</w:t>
            </w:r>
            <w:r>
              <w:rPr>
                <w:rFonts w:ascii="华文细黑" w:hAnsi="华文细黑" w:cs="华文细黑" w:eastAsia="华文细黑" w:hint="default"/>
                <w:spacing w:val="-2"/>
                <w:sz w:val="18"/>
                <w:szCs w:val="18"/>
              </w:rPr>
              <w:t>）可以获得保证豁免于注册成立后二十年不必缴纳任何税项</w:t>
            </w:r>
          </w:p>
        </w:tc>
      </w:tr>
    </w:tbl>
    <w:p>
      <w:pPr>
        <w:spacing w:line="240" w:lineRule="auto" w:before="13"/>
        <w:rPr>
          <w:rFonts w:ascii="华文细黑" w:hAnsi="华文细黑" w:cs="华文细黑" w:eastAsia="华文细黑" w:hint="default"/>
          <w:sz w:val="6"/>
          <w:szCs w:val="6"/>
        </w:rPr>
      </w:pPr>
    </w:p>
    <w:p>
      <w:pPr>
        <w:pStyle w:val="Heading5"/>
        <w:spacing w:line="240" w:lineRule="auto"/>
        <w:ind w:left="622" w:right="1246"/>
        <w:jc w:val="left"/>
        <w:rPr>
          <w:b w:val="0"/>
          <w:bCs w:val="0"/>
        </w:rPr>
      </w:pPr>
      <w:bookmarkStart w:name="2、税收优惠及批文" w:id="257"/>
      <w:bookmarkEnd w:id="257"/>
      <w:r>
        <w:rPr>
          <w:b w:val="0"/>
          <w:bCs w:val="0"/>
        </w:rPr>
      </w:r>
      <w:r>
        <w:rPr>
          <w:rFonts w:ascii="华文细黑" w:hAnsi="华文细黑" w:cs="华文细黑" w:eastAsia="华文细黑" w:hint="default"/>
        </w:rPr>
        <w:t>2</w:t>
      </w:r>
      <w:r>
        <w:rPr/>
        <w:t>、税收优惠及批文</w:t>
      </w:r>
      <w:r>
        <w:rPr>
          <w:b w:val="0"/>
          <w:bCs w:val="0"/>
        </w:rPr>
      </w:r>
    </w:p>
    <w:p>
      <w:pPr>
        <w:pStyle w:val="BodyText"/>
        <w:spacing w:line="324" w:lineRule="auto" w:before="110"/>
        <w:ind w:right="1437" w:firstLine="840"/>
        <w:jc w:val="both"/>
      </w:pPr>
      <w:r>
        <w:rPr>
          <w:spacing w:val="-5"/>
        </w:rPr>
        <w:t>（</w:t>
      </w:r>
      <w:r>
        <w:rPr>
          <w:rFonts w:ascii="华文细黑" w:hAnsi="华文细黑" w:cs="华文细黑" w:eastAsia="华文细黑" w:hint="default"/>
          <w:spacing w:val="-5"/>
        </w:rPr>
        <w:t>1</w:t>
      </w:r>
      <w:r>
        <w:rPr>
          <w:spacing w:val="-5"/>
        </w:rPr>
        <w:t>）根据</w:t>
      </w:r>
      <w:r>
        <w:rPr>
          <w:rFonts w:ascii="华文细黑" w:hAnsi="华文细黑" w:cs="华文细黑" w:eastAsia="华文细黑" w:hint="default"/>
          <w:spacing w:val="-5"/>
        </w:rPr>
        <w:t>2008</w:t>
      </w:r>
      <w:r>
        <w:rPr>
          <w:spacing w:val="-5"/>
        </w:rPr>
        <w:t>年</w:t>
      </w:r>
      <w:r>
        <w:rPr>
          <w:rFonts w:ascii="华文细黑" w:hAnsi="华文细黑" w:cs="华文细黑" w:eastAsia="华文细黑" w:hint="default"/>
          <w:spacing w:val="-5"/>
        </w:rPr>
        <w:t>1</w:t>
      </w:r>
      <w:r>
        <w:rPr>
          <w:spacing w:val="-5"/>
        </w:rPr>
        <w:t>月</w:t>
      </w:r>
      <w:r>
        <w:rPr>
          <w:rFonts w:ascii="华文细黑" w:hAnsi="华文细黑" w:cs="华文细黑" w:eastAsia="华文细黑" w:hint="default"/>
          <w:spacing w:val="-5"/>
        </w:rPr>
        <w:t>1</w:t>
      </w:r>
      <w:r>
        <w:rPr>
          <w:spacing w:val="-5"/>
        </w:rPr>
        <w:t>月实施的《中华人民共和国企业所得税法》，国家需要重点扶持的高</w:t>
      </w:r>
      <w:r>
        <w:rPr/>
        <w:t> </w:t>
      </w:r>
      <w:r>
        <w:rPr>
          <w:spacing w:val="-1"/>
        </w:rPr>
        <w:t>新技术企业，按</w:t>
      </w:r>
      <w:r>
        <w:rPr>
          <w:rFonts w:ascii="华文细黑" w:hAnsi="华文细黑" w:cs="华文细黑" w:eastAsia="华文细黑" w:hint="default"/>
          <w:spacing w:val="-1"/>
        </w:rPr>
        <w:t>15</w:t>
      </w:r>
      <w:r>
        <w:rPr>
          <w:spacing w:val="-1"/>
        </w:rPr>
        <w:t>％的税率征收企业所得税。本公司之控股子公司彩梦科技公司、深圳市优友互联</w:t>
      </w:r>
      <w:r>
        <w:rPr>
          <w:spacing w:val="-38"/>
        </w:rPr>
        <w:t> </w:t>
      </w:r>
      <w:r>
        <w:rPr>
          <w:spacing w:val="-38"/>
        </w:rPr>
      </w:r>
      <w:r>
        <w:rPr/>
        <w:t>有限公司、北京威丰科技有限公司按</w:t>
      </w:r>
      <w:r>
        <w:rPr>
          <w:rFonts w:ascii="华文细黑" w:hAnsi="华文细黑" w:cs="华文细黑" w:eastAsia="华文细黑" w:hint="default"/>
        </w:rPr>
        <w:t>15%</w:t>
      </w:r>
      <w:r>
        <w:rPr/>
        <w:t>的税率计缴企业所得税。</w:t>
      </w:r>
    </w:p>
    <w:p>
      <w:pPr>
        <w:pStyle w:val="BodyText"/>
        <w:spacing w:line="324" w:lineRule="auto" w:before="64"/>
        <w:ind w:right="1438" w:firstLine="420"/>
        <w:jc w:val="both"/>
      </w:pPr>
      <w:r>
        <w:rPr/>
        <w:t>（</w:t>
      </w:r>
      <w:r>
        <w:rPr>
          <w:spacing w:val="-32"/>
        </w:rPr>
        <w:t> </w:t>
      </w:r>
      <w:r>
        <w:rPr>
          <w:rFonts w:ascii="华文细黑" w:hAnsi="华文细黑" w:cs="华文细黑" w:eastAsia="华文细黑" w:hint="default"/>
        </w:rPr>
        <w:t>2</w:t>
      </w:r>
      <w:r>
        <w:rPr>
          <w:rFonts w:ascii="华文细黑" w:hAnsi="华文细黑" w:cs="华文细黑" w:eastAsia="华文细黑" w:hint="default"/>
          <w:spacing w:val="-32"/>
        </w:rPr>
        <w:t> </w:t>
      </w:r>
      <w:r>
        <w:rPr/>
        <w:t>）</w:t>
      </w:r>
      <w:r>
        <w:rPr>
          <w:spacing w:val="-32"/>
        </w:rPr>
        <w:t> </w:t>
      </w:r>
      <w:r>
        <w:rPr>
          <w:spacing w:val="17"/>
        </w:rPr>
        <w:t>根据前海国家税务局分别下发的【</w:t>
      </w:r>
      <w:r>
        <w:rPr>
          <w:spacing w:val="-32"/>
        </w:rPr>
        <w:t> </w:t>
      </w:r>
      <w:r>
        <w:rPr>
          <w:spacing w:val="16"/>
        </w:rPr>
        <w:t>深国税前海通</w:t>
      </w:r>
      <w:r>
        <w:rPr>
          <w:spacing w:val="-25"/>
        </w:rPr>
        <w:t> </w:t>
      </w:r>
      <w:r>
        <w:rPr>
          <w:rFonts w:ascii="华文细黑" w:hAnsi="华文细黑" w:cs="华文细黑" w:eastAsia="华文细黑" w:hint="default"/>
          <w:spacing w:val="-1"/>
        </w:rPr>
        <w:t>[2017]31599</w:t>
      </w:r>
      <w:r>
        <w:rPr>
          <w:rFonts w:ascii="华文细黑" w:hAnsi="华文细黑" w:cs="华文细黑" w:eastAsia="华文细黑" w:hint="default"/>
          <w:spacing w:val="-31"/>
        </w:rPr>
        <w:t> </w:t>
      </w:r>
      <w:r>
        <w:rPr>
          <w:spacing w:val="-58"/>
        </w:rPr>
        <w:t>】、【</w:t>
      </w:r>
      <w:r>
        <w:rPr>
          <w:spacing w:val="-32"/>
        </w:rPr>
        <w:t> </w:t>
      </w:r>
      <w:r>
        <w:rPr>
          <w:spacing w:val="15"/>
        </w:rPr>
        <w:t>深国税前海</w:t>
      </w:r>
      <w:r>
        <w:rPr>
          <w:spacing w:val="1"/>
        </w:rPr>
        <w:t> </w:t>
      </w:r>
      <w:r>
        <w:rPr/>
        <w:t>通</w:t>
      </w:r>
      <w:r>
        <w:rPr/>
        <w:t> </w:t>
      </w:r>
      <w:r>
        <w:rPr>
          <w:rFonts w:ascii="华文细黑" w:hAnsi="华文细黑" w:cs="华文细黑" w:eastAsia="华文细黑" w:hint="default"/>
        </w:rPr>
        <w:t>[2017]35981</w:t>
      </w:r>
      <w:r>
        <w:rPr/>
        <w:t>】的税务事项通知书，依据财税</w:t>
      </w:r>
      <w:r>
        <w:rPr>
          <w:rFonts w:ascii="华文细黑" w:hAnsi="华文细黑" w:cs="华文细黑" w:eastAsia="华文细黑" w:hint="default"/>
        </w:rPr>
        <w:t>[2014]26</w:t>
      </w:r>
      <w:r>
        <w:rPr/>
        <w:t>号第一条，本公司之控股子公司深圳市优友</w:t>
      </w:r>
      <w:r>
        <w:rPr>
          <w:spacing w:val="-2"/>
        </w:rPr>
        <w:t> </w:t>
      </w:r>
      <w:r>
        <w:rPr>
          <w:spacing w:val="-2"/>
        </w:rPr>
      </w:r>
      <w:r>
        <w:rPr/>
        <w:t>供应链有限公司按</w:t>
      </w:r>
      <w:r>
        <w:rPr>
          <w:rFonts w:ascii="华文细黑" w:hAnsi="华文细黑" w:cs="华文细黑" w:eastAsia="华文细黑" w:hint="default"/>
        </w:rPr>
        <w:t>15%</w:t>
      </w:r>
      <w:r>
        <w:rPr/>
        <w:t>的税率计缴企业所得税。</w:t>
      </w:r>
    </w:p>
    <w:p>
      <w:pPr>
        <w:pStyle w:val="BodyText"/>
        <w:spacing w:line="324" w:lineRule="auto" w:before="64"/>
        <w:ind w:right="1436" w:firstLine="420"/>
        <w:jc w:val="both"/>
      </w:pPr>
      <w:r>
        <w:rPr>
          <w:spacing w:val="-1"/>
        </w:rPr>
        <w:t>（</w:t>
      </w:r>
      <w:r>
        <w:rPr>
          <w:rFonts w:ascii="华文细黑" w:hAnsi="华文细黑" w:cs="华文细黑" w:eastAsia="华文细黑" w:hint="default"/>
          <w:spacing w:val="-1"/>
        </w:rPr>
        <w:t>3</w:t>
      </w:r>
      <w:r>
        <w:rPr>
          <w:spacing w:val="-1"/>
        </w:rPr>
        <w:t>）根据财政部、国家税务总局颁布的财税</w:t>
      </w:r>
      <w:r>
        <w:rPr>
          <w:rFonts w:ascii="华文细黑" w:hAnsi="华文细黑" w:cs="华文细黑" w:eastAsia="华文细黑" w:hint="default"/>
          <w:spacing w:val="-1"/>
        </w:rPr>
        <w:t>[2018]77</w:t>
      </w:r>
      <w:r>
        <w:rPr>
          <w:spacing w:val="-1"/>
        </w:rPr>
        <w:t>号文件规定，自</w:t>
      </w:r>
      <w:r>
        <w:rPr>
          <w:rFonts w:ascii="华文细黑" w:hAnsi="华文细黑" w:cs="华文细黑" w:eastAsia="华文细黑" w:hint="default"/>
          <w:spacing w:val="-1"/>
        </w:rPr>
        <w:t>2018</w:t>
      </w:r>
      <w:r>
        <w:rPr>
          <w:spacing w:val="-1"/>
        </w:rPr>
        <w:t>年</w:t>
      </w:r>
      <w:r>
        <w:rPr>
          <w:rFonts w:ascii="华文细黑" w:hAnsi="华文细黑" w:cs="华文细黑" w:eastAsia="华文细黑" w:hint="default"/>
          <w:spacing w:val="-1"/>
        </w:rPr>
        <w:t>1</w:t>
      </w:r>
      <w:r>
        <w:rPr>
          <w:spacing w:val="-1"/>
        </w:rPr>
        <w:t>月</w:t>
      </w:r>
      <w:r>
        <w:rPr>
          <w:rFonts w:ascii="华文细黑" w:hAnsi="华文细黑" w:cs="华文细黑" w:eastAsia="华文细黑" w:hint="default"/>
          <w:spacing w:val="-1"/>
        </w:rPr>
        <w:t>1</w:t>
      </w:r>
      <w:r>
        <w:rPr>
          <w:spacing w:val="-1"/>
        </w:rPr>
        <w:t>日至</w:t>
      </w:r>
      <w:r>
        <w:rPr>
          <w:rFonts w:ascii="华文细黑" w:hAnsi="华文细黑" w:cs="华文细黑" w:eastAsia="华文细黑" w:hint="default"/>
          <w:spacing w:val="-1"/>
        </w:rPr>
        <w:t>2020</w:t>
      </w:r>
      <w:r>
        <w:rPr>
          <w:spacing w:val="-1"/>
        </w:rPr>
        <w:t>年</w:t>
      </w:r>
      <w:r>
        <w:rPr/>
        <w:t> </w:t>
      </w:r>
      <w:r>
        <w:rPr>
          <w:rFonts w:ascii="华文细黑" w:hAnsi="华文细黑" w:cs="华文细黑" w:eastAsia="华文细黑" w:hint="default"/>
        </w:rPr>
        <w:t>12</w:t>
      </w:r>
      <w:r>
        <w:rPr/>
        <w:t>月</w:t>
      </w:r>
      <w:r>
        <w:rPr>
          <w:rFonts w:ascii="华文细黑" w:hAnsi="华文细黑" w:cs="华文细黑" w:eastAsia="华文细黑" w:hint="default"/>
        </w:rPr>
        <w:t>31</w:t>
      </w:r>
      <w:r>
        <w:rPr/>
        <w:t>日，将小型微利企业的年应纳税所得额上限由</w:t>
      </w:r>
      <w:r>
        <w:rPr>
          <w:rFonts w:ascii="华文细黑" w:hAnsi="华文细黑" w:cs="华文细黑" w:eastAsia="华文细黑" w:hint="default"/>
        </w:rPr>
        <w:t>50</w:t>
      </w:r>
      <w:r>
        <w:rPr/>
        <w:t>万元提高至</w:t>
      </w:r>
      <w:r>
        <w:rPr>
          <w:rFonts w:ascii="华文细黑" w:hAnsi="华文细黑" w:cs="华文细黑" w:eastAsia="华文细黑" w:hint="default"/>
        </w:rPr>
        <w:t>100</w:t>
      </w:r>
      <w:r>
        <w:rPr/>
        <w:t>万元，对年应纳税所得额低 </w:t>
      </w:r>
      <w:r>
        <w:rPr>
          <w:spacing w:val="-1"/>
        </w:rPr>
        <w:t>于</w:t>
      </w:r>
      <w:r>
        <w:rPr>
          <w:rFonts w:ascii="华文细黑" w:hAnsi="华文细黑" w:cs="华文细黑" w:eastAsia="华文细黑" w:hint="default"/>
          <w:spacing w:val="-1"/>
        </w:rPr>
        <w:t>100</w:t>
      </w:r>
      <w:r>
        <w:rPr>
          <w:spacing w:val="-1"/>
        </w:rPr>
        <w:t>万元（含</w:t>
      </w:r>
      <w:r>
        <w:rPr>
          <w:rFonts w:ascii="华文细黑" w:hAnsi="华文细黑" w:cs="华文细黑" w:eastAsia="华文细黑" w:hint="default"/>
          <w:spacing w:val="-1"/>
        </w:rPr>
        <w:t>100</w:t>
      </w:r>
      <w:r>
        <w:rPr>
          <w:spacing w:val="-1"/>
        </w:rPr>
        <w:t>万元）的小型微利企业，其所得减按</w:t>
      </w:r>
      <w:r>
        <w:rPr>
          <w:rFonts w:ascii="华文细黑" w:hAnsi="华文细黑" w:cs="华文细黑" w:eastAsia="华文细黑" w:hint="default"/>
          <w:spacing w:val="-1"/>
        </w:rPr>
        <w:t>50%</w:t>
      </w:r>
      <w:r>
        <w:rPr>
          <w:spacing w:val="-1"/>
        </w:rPr>
        <w:t>计入应纳税所得额，按</w:t>
      </w:r>
      <w:r>
        <w:rPr>
          <w:rFonts w:ascii="华文细黑" w:hAnsi="华文细黑" w:cs="华文细黑" w:eastAsia="华文细黑" w:hint="default"/>
          <w:spacing w:val="-1"/>
        </w:rPr>
        <w:t>20%</w:t>
      </w:r>
      <w:r>
        <w:rPr>
          <w:spacing w:val="-1"/>
        </w:rPr>
        <w:t>的税率缴纳</w:t>
      </w:r>
      <w:r>
        <w:rPr>
          <w:spacing w:val="-33"/>
        </w:rPr>
        <w:t> </w:t>
      </w:r>
      <w:r>
        <w:rPr/>
        <w:t>企业所得税，即实际税率为</w:t>
      </w:r>
      <w:r>
        <w:rPr>
          <w:rFonts w:ascii="华文细黑" w:hAnsi="华文细黑" w:cs="华文细黑" w:eastAsia="华文细黑" w:hint="default"/>
        </w:rPr>
        <w:t>10%</w:t>
      </w:r>
      <w:r>
        <w:rPr/>
        <w:t>。本公司之广州酷爱通讯器材有限责任公司、深圳市酷爱通讯科技</w:t>
      </w:r>
      <w:r>
        <w:rPr>
          <w:spacing w:val="-37"/>
        </w:rPr>
        <w:t> </w:t>
      </w:r>
      <w:r>
        <w:rPr>
          <w:spacing w:val="-37"/>
        </w:rPr>
      </w:r>
      <w:r>
        <w:rPr/>
        <w:t>有限公司、长沙酷爱炫供应链管理有限责任公司、深圳市凯辰网络有限公司、深圳市新凯辰科技有</w:t>
      </w:r>
      <w:r>
        <w:rPr/>
        <w:t> 限公司等多家子公司实际税率为</w:t>
      </w:r>
      <w:r>
        <w:rPr>
          <w:rFonts w:ascii="华文细黑" w:hAnsi="华文细黑" w:cs="华文细黑" w:eastAsia="华文细黑" w:hint="default"/>
        </w:rPr>
        <w:t>10%</w:t>
      </w:r>
      <w:r>
        <w:rPr/>
        <w:t>。</w:t>
      </w:r>
    </w:p>
    <w:p>
      <w:pPr>
        <w:pStyle w:val="BodyText"/>
        <w:spacing w:line="240" w:lineRule="auto" w:before="63"/>
        <w:ind w:left="560" w:right="1246"/>
        <w:jc w:val="left"/>
      </w:pPr>
      <w:r>
        <w:rPr>
          <w:spacing w:val="1"/>
        </w:rPr>
        <w:t>（</w:t>
      </w:r>
      <w:r>
        <w:rPr>
          <w:rFonts w:ascii="华文细黑" w:hAnsi="华文细黑" w:cs="华文细黑" w:eastAsia="华文细黑" w:hint="default"/>
          <w:spacing w:val="1"/>
        </w:rPr>
        <w:t>4</w:t>
      </w:r>
      <w:r>
        <w:rPr>
          <w:spacing w:val="1"/>
        </w:rPr>
        <w:t>）</w:t>
      </w:r>
      <w:r>
        <w:rPr/>
        <w:t>根</w:t>
      </w:r>
      <w:r>
        <w:rPr>
          <w:spacing w:val="1"/>
        </w:rPr>
        <w:t>据</w:t>
      </w:r>
      <w:r>
        <w:rPr/>
        <w:t>《</w:t>
      </w:r>
      <w:r>
        <w:rPr>
          <w:spacing w:val="1"/>
        </w:rPr>
        <w:t>香港法</w:t>
      </w:r>
      <w:r>
        <w:rPr/>
        <w:t>例》</w:t>
      </w:r>
      <w:r>
        <w:rPr>
          <w:spacing w:val="1"/>
        </w:rPr>
        <w:t>第</w:t>
      </w:r>
      <w:r>
        <w:rPr>
          <w:rFonts w:ascii="华文细黑" w:hAnsi="华文细黑" w:cs="华文细黑" w:eastAsia="华文细黑" w:hint="default"/>
        </w:rPr>
        <w:t>11</w:t>
      </w:r>
      <w:r>
        <w:rPr>
          <w:rFonts w:ascii="华文细黑" w:hAnsi="华文细黑" w:cs="华文细黑" w:eastAsia="华文细黑" w:hint="default"/>
          <w:spacing w:val="1"/>
        </w:rPr>
        <w:t>2</w:t>
      </w:r>
      <w:r>
        <w:rPr>
          <w:spacing w:val="1"/>
        </w:rPr>
        <w:t>章</w:t>
      </w:r>
      <w:r>
        <w:rPr>
          <w:spacing w:val="-105"/>
        </w:rPr>
        <w:t>，</w:t>
      </w:r>
      <w:r>
        <w:rPr/>
        <w:t>《</w:t>
      </w:r>
      <w:r>
        <w:rPr>
          <w:spacing w:val="1"/>
        </w:rPr>
        <w:t>税务条</w:t>
      </w:r>
      <w:r>
        <w:rPr/>
        <w:t>例》</w:t>
      </w:r>
      <w:r>
        <w:rPr>
          <w:spacing w:val="2"/>
        </w:rPr>
        <w:t>第</w:t>
      </w:r>
      <w:r>
        <w:rPr>
          <w:rFonts w:ascii="华文细黑" w:hAnsi="华文细黑" w:cs="华文细黑" w:eastAsia="华文细黑" w:hint="default"/>
        </w:rPr>
        <w:t>1</w:t>
      </w:r>
      <w:r>
        <w:rPr>
          <w:rFonts w:ascii="华文细黑" w:hAnsi="华文细黑" w:cs="华文细黑" w:eastAsia="华文细黑" w:hint="default"/>
          <w:spacing w:val="1"/>
        </w:rPr>
        <w:t>4</w:t>
      </w:r>
      <w:r>
        <w:rPr>
          <w:spacing w:val="1"/>
        </w:rPr>
        <w:t>条</w:t>
      </w:r>
      <w:r>
        <w:rPr/>
        <w:t>，香</w:t>
      </w:r>
      <w:r>
        <w:rPr>
          <w:spacing w:val="1"/>
        </w:rPr>
        <w:t>港采用</w:t>
      </w:r>
      <w:r>
        <w:rPr/>
        <w:t>地域</w:t>
      </w:r>
      <w:r>
        <w:rPr>
          <w:spacing w:val="1"/>
        </w:rPr>
        <w:t>来源原</w:t>
      </w:r>
      <w:r>
        <w:rPr/>
        <w:t>则征</w:t>
      </w:r>
      <w:r>
        <w:rPr>
          <w:spacing w:val="1"/>
        </w:rPr>
        <w:t>税，即</w:t>
      </w:r>
      <w:r>
        <w:rPr>
          <w:spacing w:val="2"/>
        </w:rPr>
        <w:t>只</w:t>
      </w:r>
      <w:r>
        <w:rPr/>
        <w:t>有</w:t>
      </w:r>
    </w:p>
    <w:p>
      <w:pPr>
        <w:spacing w:after="0" w:line="240" w:lineRule="auto"/>
        <w:jc w:val="left"/>
        <w:sectPr>
          <w:pgSz w:w="11910" w:h="16840"/>
          <w:pgMar w:header="917" w:footer="1019" w:top="1100" w:bottom="1200" w:left="1300" w:right="0"/>
        </w:sectPr>
      </w:pPr>
    </w:p>
    <w:p>
      <w:pPr>
        <w:spacing w:line="240" w:lineRule="auto" w:before="5"/>
        <w:rPr>
          <w:rFonts w:ascii="华文细黑" w:hAnsi="华文细黑" w:cs="华文细黑" w:eastAsia="华文细黑" w:hint="default"/>
          <w:sz w:val="25"/>
          <w:szCs w:val="25"/>
        </w:rPr>
      </w:pPr>
    </w:p>
    <w:p>
      <w:pPr>
        <w:pStyle w:val="BodyText"/>
        <w:spacing w:line="240" w:lineRule="auto" w:before="10"/>
        <w:ind w:left="200" w:right="1289"/>
        <w:jc w:val="left"/>
      </w:pPr>
      <w:r>
        <w:rPr/>
        <w:t>源自香港的利润才需在香港课税，而源自其他地方的利润则不需在香港缴纳利得税。</w:t>
      </w:r>
    </w:p>
    <w:p>
      <w:pPr>
        <w:pStyle w:val="BodyText"/>
        <w:spacing w:line="240" w:lineRule="auto" w:before="144"/>
        <w:ind w:left="620" w:right="1289"/>
        <w:jc w:val="left"/>
      </w:pPr>
      <w:r>
        <w:rPr/>
        <w:t>（</w:t>
      </w:r>
      <w:r>
        <w:rPr>
          <w:rFonts w:ascii="华文细黑" w:hAnsi="华文细黑" w:cs="华文细黑" w:eastAsia="华文细黑" w:hint="default"/>
        </w:rPr>
        <w:t>5</w:t>
      </w:r>
      <w:r>
        <w:rPr/>
        <w:t>）英属维京群岛（</w:t>
      </w:r>
      <w:r>
        <w:rPr>
          <w:rFonts w:ascii="华文细黑" w:hAnsi="华文细黑" w:cs="华文细黑" w:eastAsia="华文细黑" w:hint="default"/>
        </w:rPr>
        <w:t>BVI</w:t>
      </w:r>
      <w:r>
        <w:rPr/>
        <w:t>）离岸公司不必向英属维京群岛政府缴纳任何税项，在英属维京群岛</w:t>
      </w:r>
    </w:p>
    <w:p>
      <w:pPr>
        <w:pStyle w:val="BodyText"/>
        <w:spacing w:line="240" w:lineRule="auto" w:before="103"/>
        <w:ind w:left="200" w:right="1289"/>
        <w:jc w:val="left"/>
      </w:pPr>
      <w:r>
        <w:rPr/>
        <w:t>（</w:t>
      </w:r>
      <w:r>
        <w:rPr>
          <w:rFonts w:ascii="华文细黑" w:hAnsi="华文细黑" w:cs="华文细黑" w:eastAsia="华文细黑" w:hint="default"/>
        </w:rPr>
        <w:t>BVI</w:t>
      </w:r>
      <w:r>
        <w:rPr/>
        <w:t>）之外进行的商业活动和交易完全免税。</w:t>
      </w:r>
    </w:p>
    <w:p>
      <w:pPr>
        <w:pStyle w:val="BodyText"/>
        <w:spacing w:line="324" w:lineRule="auto" w:before="144"/>
        <w:ind w:left="200" w:right="1423" w:firstLine="420"/>
        <w:jc w:val="left"/>
      </w:pPr>
      <w:r>
        <w:rPr/>
        <w:t>（</w:t>
      </w:r>
      <w:r>
        <w:rPr>
          <w:rFonts w:ascii="华文细黑" w:hAnsi="华文细黑" w:cs="华文细黑" w:eastAsia="华文细黑" w:hint="default"/>
        </w:rPr>
        <w:t>6</w:t>
      </w:r>
      <w:r>
        <w:rPr>
          <w:spacing w:val="-16"/>
        </w:rPr>
        <w:t>）</w:t>
      </w:r>
      <w:r>
        <w:rPr/>
        <w:t>开曼群岛的法律赋予豁免公</w:t>
      </w:r>
      <w:r>
        <w:rPr>
          <w:spacing w:val="-16"/>
        </w:rPr>
        <w:t>司</w:t>
      </w:r>
      <w:r>
        <w:rPr/>
        <w:t>（相对非居民公司而言</w:t>
      </w:r>
      <w:r>
        <w:rPr>
          <w:spacing w:val="-122"/>
        </w:rPr>
        <w:t>）</w:t>
      </w:r>
      <w:r>
        <w:rPr/>
        <w:t>（</w:t>
      </w:r>
      <w:r>
        <w:rPr>
          <w:rFonts w:ascii="华文细黑" w:hAnsi="华文细黑" w:cs="华文细黑" w:eastAsia="华文细黑" w:hint="default"/>
        </w:rPr>
        <w:t>EXCEMP</w:t>
      </w:r>
      <w:r>
        <w:rPr>
          <w:rFonts w:ascii="华文细黑" w:hAnsi="华文细黑" w:cs="华文细黑" w:eastAsia="华文细黑" w:hint="default"/>
          <w:spacing w:val="-2"/>
        </w:rPr>
        <w:t>T</w:t>
      </w:r>
      <w:r>
        <w:rPr>
          <w:rFonts w:ascii="华文细黑" w:hAnsi="华文细黑" w:cs="华文细黑" w:eastAsia="华文细黑" w:hint="default"/>
        </w:rPr>
        <w:t>ED COMPAN</w:t>
      </w:r>
      <w:r>
        <w:rPr>
          <w:rFonts w:ascii="华文细黑" w:hAnsi="华文细黑" w:cs="华文细黑" w:eastAsia="华文细黑" w:hint="default"/>
          <w:spacing w:val="1"/>
        </w:rPr>
        <w:t>Y</w:t>
      </w:r>
      <w:r>
        <w:rPr>
          <w:spacing w:val="-16"/>
        </w:rPr>
        <w:t>）</w:t>
      </w:r>
      <w:r>
        <w:rPr/>
        <w:t>可以</w:t>
      </w:r>
      <w:r>
        <w:rPr/>
        <w:t> 获得保证豁免于注册成立后二十年不必缴纳任何税项（虽然现在开曼群岛没有任何税项</w:t>
      </w:r>
      <w:r>
        <w:rPr>
          <w:spacing w:val="-105"/>
        </w:rPr>
        <w:t>）</w:t>
      </w:r>
      <w:r>
        <w:rPr/>
        <w:t>。</w:t>
      </w:r>
    </w:p>
    <w:p>
      <w:pPr>
        <w:pStyle w:val="Heading4"/>
        <w:spacing w:line="240" w:lineRule="auto" w:before="61"/>
        <w:ind w:left="680" w:right="1289"/>
        <w:jc w:val="left"/>
        <w:rPr>
          <w:b w:val="0"/>
          <w:bCs w:val="0"/>
        </w:rPr>
      </w:pPr>
      <w:bookmarkStart w:name="六、合并财务报表项目注释" w:id="258"/>
      <w:bookmarkEnd w:id="258"/>
      <w:r>
        <w:rPr>
          <w:b w:val="0"/>
          <w:bCs w:val="0"/>
        </w:rPr>
      </w:r>
      <w:r>
        <w:rPr/>
        <w:t>六、合并财务报表项目注释</w:t>
      </w:r>
      <w:r>
        <w:rPr>
          <w:b w:val="0"/>
          <w:bCs w:val="0"/>
        </w:rPr>
      </w:r>
    </w:p>
    <w:p>
      <w:pPr>
        <w:pStyle w:val="BodyText"/>
        <w:spacing w:line="240" w:lineRule="auto" w:before="136"/>
        <w:ind w:left="682" w:right="1289"/>
        <w:jc w:val="left"/>
      </w:pPr>
      <w:r>
        <w:rPr/>
        <w:t>以下注释项</w:t>
      </w:r>
      <w:r>
        <w:rPr>
          <w:spacing w:val="-8"/>
        </w:rPr>
        <w:t>目</w:t>
      </w:r>
      <w:r>
        <w:rPr/>
        <w:t>（含公司财务报表主要项目注释</w:t>
      </w:r>
      <w:r>
        <w:rPr>
          <w:spacing w:val="-8"/>
        </w:rPr>
        <w:t>）</w:t>
      </w:r>
      <w:r>
        <w:rPr/>
        <w:t>除非特别指出</w:t>
      </w:r>
      <w:r>
        <w:rPr>
          <w:spacing w:val="-112"/>
        </w:rPr>
        <w:t>，</w:t>
      </w:r>
      <w:r>
        <w:rPr/>
        <w:t>“年</w:t>
      </w:r>
      <w:r>
        <w:rPr>
          <w:spacing w:val="-2"/>
        </w:rPr>
        <w:t>初</w:t>
      </w:r>
      <w:r>
        <w:rPr>
          <w:spacing w:val="-8"/>
        </w:rPr>
        <w:t>”</w:t>
      </w:r>
      <w:r>
        <w:rPr/>
        <w:t>指 </w:t>
      </w:r>
      <w:r>
        <w:rPr>
          <w:rFonts w:ascii="华文细黑" w:hAnsi="华文细黑" w:cs="华文细黑" w:eastAsia="华文细黑" w:hint="default"/>
        </w:rPr>
        <w:t>2018</w:t>
      </w:r>
      <w:r>
        <w:rPr>
          <w:rFonts w:ascii="华文细黑" w:hAnsi="华文细黑" w:cs="华文细黑" w:eastAsia="华文细黑" w:hint="default"/>
          <w:spacing w:val="-1"/>
        </w:rPr>
        <w:t> </w:t>
      </w:r>
      <w:r>
        <w:rPr/>
        <w:t>年 </w:t>
      </w:r>
      <w:r>
        <w:rPr>
          <w:rFonts w:ascii="华文细黑" w:hAnsi="华文细黑" w:cs="华文细黑" w:eastAsia="华文细黑" w:hint="default"/>
        </w:rPr>
        <w:t>1 </w:t>
      </w:r>
      <w:r>
        <w:rPr/>
        <w:t>月 </w:t>
      </w:r>
      <w:r>
        <w:rPr>
          <w:rFonts w:ascii="华文细黑" w:hAnsi="华文细黑" w:cs="华文细黑" w:eastAsia="华文细黑" w:hint="default"/>
        </w:rPr>
        <w:t>1 </w:t>
      </w:r>
      <w:r>
        <w:rPr>
          <w:spacing w:val="-2"/>
        </w:rPr>
        <w:t>日，</w:t>
      </w:r>
      <w:r>
        <w:rPr/>
      </w:r>
    </w:p>
    <w:p>
      <w:pPr>
        <w:pStyle w:val="BodyText"/>
        <w:spacing w:line="355" w:lineRule="auto" w:before="104"/>
        <w:ind w:left="620" w:right="3029" w:hanging="421"/>
        <w:jc w:val="left"/>
        <w:rPr>
          <w:rFonts w:ascii="华文细黑" w:hAnsi="华文细黑" w:cs="华文细黑" w:eastAsia="华文细黑" w:hint="default"/>
        </w:rPr>
      </w:pPr>
      <w:r>
        <w:rPr/>
        <w:pict>
          <v:shape style="position:absolute;margin-left:67.080002pt;margin-top:45.801689pt;width:461.5pt;height:147.5pt;mso-position-horizontal-relative:page;mso-position-vertical-relative:paragraph;z-index:13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817"/>
                    <w:gridCol w:w="2599"/>
                    <w:gridCol w:w="2799"/>
                  </w:tblGrid>
                  <w:tr>
                    <w:trPr>
                      <w:trHeight w:val="490" w:hRule="exact"/>
                    </w:trPr>
                    <w:tc>
                      <w:tcPr>
                        <w:tcW w:w="38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538" w:val="left" w:leader="none"/>
                          </w:tabs>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5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7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0" w:hRule="exact"/>
                    </w:trPr>
                    <w:tc>
                      <w:tcPr>
                        <w:tcW w:w="38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库存现金</w:t>
                        </w:r>
                      </w:p>
                    </w:tc>
                    <w:tc>
                      <w:tcPr>
                        <w:tcW w:w="259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pacing w:val="-1"/>
                            <w:sz w:val="18"/>
                          </w:rPr>
                          <w:t>276,329.89</w:t>
                        </w:r>
                      </w:p>
                    </w:tc>
                    <w:tc>
                      <w:tcPr>
                        <w:tcW w:w="279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w w:val="95"/>
                            <w:sz w:val="18"/>
                          </w:rPr>
                          <w:t>445,390.38</w:t>
                        </w:r>
                      </w:p>
                    </w:tc>
                  </w:tr>
                  <w:tr>
                    <w:trPr>
                      <w:trHeight w:val="490" w:hRule="exact"/>
                    </w:trPr>
                    <w:tc>
                      <w:tcPr>
                        <w:tcW w:w="38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银行存款（注）</w:t>
                        </w:r>
                      </w:p>
                    </w:tc>
                    <w:tc>
                      <w:tcPr>
                        <w:tcW w:w="259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pacing w:val="-1"/>
                            <w:sz w:val="18"/>
                          </w:rPr>
                          <w:t>2,295,889,317.32</w:t>
                        </w:r>
                      </w:p>
                    </w:tc>
                    <w:tc>
                      <w:tcPr>
                        <w:tcW w:w="279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spacing w:val="-1"/>
                            <w:sz w:val="18"/>
                          </w:rPr>
                          <w:t>1,488,016,854.93</w:t>
                        </w:r>
                      </w:p>
                    </w:tc>
                  </w:tr>
                  <w:tr>
                    <w:trPr>
                      <w:trHeight w:val="490" w:hRule="exact"/>
                    </w:trPr>
                    <w:tc>
                      <w:tcPr>
                        <w:tcW w:w="38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其他货币资金</w:t>
                        </w:r>
                      </w:p>
                    </w:tc>
                    <w:tc>
                      <w:tcPr>
                        <w:tcW w:w="259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941,180,281.79</w:t>
                        </w:r>
                      </w:p>
                    </w:tc>
                    <w:tc>
                      <w:tcPr>
                        <w:tcW w:w="279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sz w:val="18"/>
                          </w:rPr>
                          <w:t>620,230,426.58</w:t>
                        </w:r>
                      </w:p>
                    </w:tc>
                  </w:tr>
                  <w:tr>
                    <w:trPr>
                      <w:trHeight w:val="490" w:hRule="exact"/>
                    </w:trPr>
                    <w:tc>
                      <w:tcPr>
                        <w:tcW w:w="38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538" w:val="left" w:leader="none"/>
                          </w:tabs>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259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b/>
                            <w:w w:val="95"/>
                            <w:sz w:val="18"/>
                          </w:rPr>
                          <w:t>3,237,345,929.00</w:t>
                        </w:r>
                        <w:r>
                          <w:rPr>
                            <w:rFonts w:ascii="华文细黑"/>
                            <w:sz w:val="18"/>
                          </w:rPr>
                        </w:r>
                      </w:p>
                    </w:tc>
                    <w:tc>
                      <w:tcPr>
                        <w:tcW w:w="279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b/>
                            <w:w w:val="95"/>
                            <w:sz w:val="18"/>
                          </w:rPr>
                          <w:t>2,108,692,671.89</w:t>
                        </w:r>
                        <w:r>
                          <w:rPr>
                            <w:rFonts w:ascii="华文细黑"/>
                            <w:sz w:val="18"/>
                          </w:rPr>
                        </w:r>
                      </w:p>
                    </w:tc>
                  </w:tr>
                  <w:tr>
                    <w:trPr>
                      <w:trHeight w:val="490" w:hRule="exact"/>
                    </w:trPr>
                    <w:tc>
                      <w:tcPr>
                        <w:tcW w:w="38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其中：存放在境外的款项总额</w:t>
                        </w:r>
                      </w:p>
                    </w:tc>
                    <w:tc>
                      <w:tcPr>
                        <w:tcW w:w="259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24,118,224.00</w:t>
                        </w:r>
                      </w:p>
                    </w:tc>
                    <w:tc>
                      <w:tcPr>
                        <w:tcW w:w="279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sz w:val="18"/>
                          </w:rPr>
                          <w:t>60,312,333.65</w:t>
                        </w:r>
                      </w:p>
                    </w:tc>
                  </w:tr>
                </w:tbl>
                <w:p>
                  <w:pPr/>
                </w:p>
              </w:txbxContent>
            </v:textbox>
            <w10:wrap type="none"/>
          </v:shape>
        </w:pict>
      </w:r>
      <w:r>
        <w:rPr/>
        <w:t>“年末”指 </w:t>
      </w:r>
      <w:r>
        <w:rPr>
          <w:rFonts w:ascii="华文细黑" w:hAnsi="华文细黑" w:cs="华文细黑" w:eastAsia="华文细黑" w:hint="default"/>
        </w:rPr>
        <w:t>2018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31 </w:t>
      </w:r>
      <w:r>
        <w:rPr>
          <w:spacing w:val="-16"/>
        </w:rPr>
        <w:t>日；“本年”指</w:t>
      </w:r>
      <w:r>
        <w:rPr/>
        <w:t> </w:t>
      </w:r>
      <w:r>
        <w:rPr>
          <w:rFonts w:ascii="华文细黑" w:hAnsi="华文细黑" w:cs="华文细黑" w:eastAsia="华文细黑" w:hint="default"/>
        </w:rPr>
        <w:t>2018 </w:t>
      </w:r>
      <w:r>
        <w:rPr>
          <w:spacing w:val="-14"/>
        </w:rPr>
        <w:t>年度，“上年”指</w:t>
      </w:r>
      <w:r>
        <w:rPr/>
        <w:t> </w:t>
      </w:r>
      <w:r>
        <w:rPr>
          <w:rFonts w:ascii="华文细黑" w:hAnsi="华文细黑" w:cs="华文细黑" w:eastAsia="华文细黑" w:hint="default"/>
        </w:rPr>
        <w:t>2017</w:t>
      </w:r>
      <w:r>
        <w:rPr>
          <w:rFonts w:ascii="华文细黑" w:hAnsi="华文细黑" w:cs="华文细黑" w:eastAsia="华文细黑" w:hint="default"/>
          <w:spacing w:val="8"/>
        </w:rPr>
        <w:t> </w:t>
      </w:r>
      <w:r>
        <w:rPr>
          <w:spacing w:val="-1"/>
        </w:rPr>
        <w:t>年度。</w:t>
      </w:r>
      <w:r>
        <w:rPr/>
        <w:t> </w:t>
      </w:r>
      <w:bookmarkStart w:name="1、货币资金" w:id="259"/>
      <w:bookmarkEnd w:id="259"/>
      <w:r>
        <w:rPr/>
      </w:r>
      <w:r>
        <w:rPr>
          <w:rFonts w:ascii="华文细黑" w:hAnsi="华文细黑" w:cs="华文细黑" w:eastAsia="华文细黑" w:hint="default"/>
          <w:b/>
          <w:bCs/>
        </w:rPr>
        <w:t>1</w:t>
      </w:r>
      <w:r>
        <w:rPr>
          <w:rFonts w:ascii="华文细黑" w:hAnsi="华文细黑" w:cs="华文细黑" w:eastAsia="华文细黑" w:hint="default"/>
          <w:b/>
          <w:bCs/>
        </w:rPr>
        <w:t>、货币资金</w:t>
      </w:r>
      <w:r>
        <w:rPr>
          <w:rFonts w:ascii="华文细黑" w:hAnsi="华文细黑" w:cs="华文细黑" w:eastAsia="华文细黑" w:hint="default"/>
        </w:rPr>
      </w: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7"/>
        <w:rPr>
          <w:rFonts w:ascii="华文细黑" w:hAnsi="华文细黑" w:cs="华文细黑" w:eastAsia="华文细黑" w:hint="default"/>
          <w:b/>
          <w:bCs/>
          <w:sz w:val="13"/>
          <w:szCs w:val="13"/>
        </w:rPr>
      </w:pPr>
    </w:p>
    <w:p>
      <w:pPr>
        <w:pStyle w:val="BodyText"/>
        <w:spacing w:line="240" w:lineRule="auto" w:before="10"/>
        <w:ind w:left="682" w:right="1289"/>
        <w:jc w:val="left"/>
      </w:pPr>
      <w:r>
        <w:rPr/>
        <w:t>注</w:t>
      </w:r>
      <w:r>
        <w:rPr>
          <w:spacing w:val="-105"/>
        </w:rPr>
        <w:t>：</w:t>
      </w:r>
      <w:r>
        <w:rPr>
          <w:spacing w:val="-1"/>
        </w:rPr>
        <w:t>（</w:t>
      </w:r>
      <w:r>
        <w:rPr>
          <w:rFonts w:ascii="华文细黑" w:hAnsi="华文细黑" w:cs="华文细黑" w:eastAsia="华文细黑" w:hint="default"/>
        </w:rPr>
        <w:t>1</w:t>
      </w:r>
      <w:r>
        <w:rPr/>
        <w:t>）</w:t>
      </w:r>
      <w:r>
        <w:rPr>
          <w:spacing w:val="-2"/>
        </w:rPr>
        <w:t>银</w:t>
      </w:r>
      <w:r>
        <w:rPr/>
        <w:t>行存款中包含含保底收益质押开具银行承兑汇票的结构性存款</w:t>
      </w:r>
      <w:r>
        <w:rPr>
          <w:spacing w:val="22"/>
        </w:rPr>
        <w:t> </w:t>
      </w:r>
      <w:r>
        <w:rPr>
          <w:rFonts w:ascii="华文细黑" w:hAnsi="华文细黑" w:cs="华文细黑" w:eastAsia="华文细黑" w:hint="default"/>
        </w:rPr>
        <w:t>300,000</w:t>
      </w:r>
      <w:r>
        <w:rPr>
          <w:rFonts w:ascii="华文细黑" w:hAnsi="华文细黑" w:cs="华文细黑" w:eastAsia="华文细黑" w:hint="default"/>
          <w:spacing w:val="-1"/>
        </w:rPr>
        <w:t>,</w:t>
      </w:r>
      <w:r>
        <w:rPr>
          <w:rFonts w:ascii="华文细黑" w:hAnsi="华文细黑" w:cs="华文细黑" w:eastAsia="华文细黑" w:hint="default"/>
        </w:rPr>
        <w:t>000.00</w:t>
      </w:r>
      <w:r>
        <w:rPr>
          <w:rFonts w:ascii="华文细黑" w:hAnsi="华文细黑" w:cs="华文细黑" w:eastAsia="华文细黑" w:hint="default"/>
          <w:spacing w:val="21"/>
        </w:rPr>
        <w:t> </w:t>
      </w:r>
      <w:r>
        <w:rPr/>
        <w:t>元</w:t>
      </w:r>
    </w:p>
    <w:p>
      <w:pPr>
        <w:pStyle w:val="BodyText"/>
        <w:spacing w:line="240" w:lineRule="auto" w:before="104"/>
        <w:ind w:left="200" w:right="1289"/>
        <w:jc w:val="left"/>
      </w:pPr>
      <w:r>
        <w:rPr/>
        <w:t>和质押取得贷款的定期存款 </w:t>
      </w:r>
      <w:r>
        <w:rPr>
          <w:rFonts w:ascii="华文细黑" w:hAnsi="华文细黑" w:cs="华文细黑" w:eastAsia="华文细黑" w:hint="default"/>
        </w:rPr>
        <w:t>391,510,000.00</w:t>
      </w:r>
      <w:r>
        <w:rPr>
          <w:rFonts w:ascii="华文细黑" w:hAnsi="华文细黑" w:cs="华文细黑" w:eastAsia="华文细黑" w:hint="default"/>
          <w:spacing w:val="-1"/>
        </w:rPr>
        <w:t> </w:t>
      </w:r>
      <w:r>
        <w:rPr/>
        <w:t>元；</w:t>
      </w:r>
    </w:p>
    <w:p>
      <w:pPr>
        <w:pStyle w:val="BodyText"/>
        <w:spacing w:line="324" w:lineRule="auto" w:before="144"/>
        <w:ind w:left="200" w:right="1426" w:firstLine="482"/>
        <w:jc w:val="left"/>
      </w:pPr>
      <w:r>
        <w:rPr/>
        <w:t>（</w:t>
      </w:r>
      <w:r>
        <w:rPr>
          <w:spacing w:val="-23"/>
        </w:rPr>
        <w:t> </w:t>
      </w:r>
      <w:r>
        <w:rPr>
          <w:rFonts w:ascii="华文细黑" w:hAnsi="华文细黑" w:cs="华文细黑" w:eastAsia="华文细黑" w:hint="default"/>
        </w:rPr>
        <w:t>2</w:t>
      </w:r>
      <w:r>
        <w:rPr>
          <w:rFonts w:ascii="华文细黑" w:hAnsi="华文细黑" w:cs="华文细黑" w:eastAsia="华文细黑" w:hint="default"/>
          <w:spacing w:val="-23"/>
        </w:rPr>
        <w:t> </w:t>
      </w:r>
      <w:r>
        <w:rPr/>
        <w:t>）</w:t>
      </w:r>
      <w:r>
        <w:rPr>
          <w:spacing w:val="-23"/>
        </w:rPr>
        <w:t> </w:t>
      </w:r>
      <w:r>
        <w:rPr/>
        <w:t>年</w:t>
      </w:r>
      <w:r>
        <w:rPr>
          <w:spacing w:val="-22"/>
        </w:rPr>
        <w:t> </w:t>
      </w:r>
      <w:r>
        <w:rPr/>
        <w:t>末</w:t>
      </w:r>
      <w:r>
        <w:rPr>
          <w:spacing w:val="-22"/>
        </w:rPr>
        <w:t> </w:t>
      </w:r>
      <w:r>
        <w:rPr/>
        <w:t>其</w:t>
      </w:r>
      <w:r>
        <w:rPr>
          <w:spacing w:val="-23"/>
        </w:rPr>
        <w:t> </w:t>
      </w:r>
      <w:r>
        <w:rPr/>
        <w:t>他</w:t>
      </w:r>
      <w:r>
        <w:rPr>
          <w:spacing w:val="-23"/>
        </w:rPr>
        <w:t> </w:t>
      </w:r>
      <w:r>
        <w:rPr/>
        <w:t>货</w:t>
      </w:r>
      <w:r>
        <w:rPr>
          <w:spacing w:val="-22"/>
        </w:rPr>
        <w:t> </w:t>
      </w:r>
      <w:r>
        <w:rPr/>
        <w:t>币</w:t>
      </w:r>
      <w:r>
        <w:rPr>
          <w:spacing w:val="-23"/>
        </w:rPr>
        <w:t> </w:t>
      </w:r>
      <w:r>
        <w:rPr/>
        <w:t>资</w:t>
      </w:r>
      <w:r>
        <w:rPr>
          <w:spacing w:val="-22"/>
        </w:rPr>
        <w:t> </w:t>
      </w:r>
      <w:r>
        <w:rPr/>
        <w:t>金</w:t>
      </w:r>
      <w:r>
        <w:rPr>
          <w:spacing w:val="-23"/>
        </w:rPr>
        <w:t> </w:t>
      </w:r>
      <w:r>
        <w:rPr/>
        <w:t>明</w:t>
      </w:r>
      <w:r>
        <w:rPr>
          <w:spacing w:val="-23"/>
        </w:rPr>
        <w:t> </w:t>
      </w:r>
      <w:r>
        <w:rPr/>
        <w:t>细</w:t>
      </w:r>
      <w:r>
        <w:rPr>
          <w:spacing w:val="-22"/>
        </w:rPr>
        <w:t> </w:t>
      </w:r>
      <w:r>
        <w:rPr/>
        <w:t>如</w:t>
      </w:r>
      <w:r>
        <w:rPr>
          <w:spacing w:val="-23"/>
        </w:rPr>
        <w:t> </w:t>
      </w:r>
      <w:r>
        <w:rPr/>
        <w:t>下</w:t>
      </w:r>
      <w:r>
        <w:rPr>
          <w:spacing w:val="-22"/>
        </w:rPr>
        <w:t> </w:t>
      </w:r>
      <w:r>
        <w:rPr/>
        <w:t>：</w:t>
      </w:r>
      <w:r>
        <w:rPr>
          <w:spacing w:val="-23"/>
        </w:rPr>
        <w:t> </w:t>
      </w:r>
      <w:r>
        <w:rPr/>
        <w:t>保</w:t>
      </w:r>
      <w:r>
        <w:rPr>
          <w:spacing w:val="-23"/>
        </w:rPr>
        <w:t> </w:t>
      </w:r>
      <w:r>
        <w:rPr/>
        <w:t>函</w:t>
      </w:r>
      <w:r>
        <w:rPr>
          <w:spacing w:val="-22"/>
        </w:rPr>
        <w:t> </w:t>
      </w:r>
      <w:r>
        <w:rPr/>
        <w:t>保</w:t>
      </w:r>
      <w:r>
        <w:rPr>
          <w:spacing w:val="-23"/>
        </w:rPr>
        <w:t> </w:t>
      </w:r>
      <w:r>
        <w:rPr/>
        <w:t>证</w:t>
      </w:r>
      <w:r>
        <w:rPr>
          <w:spacing w:val="-22"/>
        </w:rPr>
        <w:t> </w:t>
      </w:r>
      <w:r>
        <w:rPr/>
        <w:t>金</w:t>
      </w:r>
      <w:r>
        <w:rPr>
          <w:spacing w:val="33"/>
        </w:rPr>
        <w:t> </w:t>
      </w:r>
      <w:r>
        <w:rPr>
          <w:rFonts w:ascii="华文细黑" w:hAnsi="华文细黑" w:cs="华文细黑" w:eastAsia="华文细黑" w:hint="default"/>
        </w:rPr>
        <w:t>531,030,000.00</w:t>
      </w:r>
      <w:r>
        <w:rPr>
          <w:rFonts w:ascii="华文细黑" w:hAnsi="华文细黑" w:cs="华文细黑" w:eastAsia="华文细黑" w:hint="default"/>
          <w:spacing w:val="30"/>
        </w:rPr>
        <w:t> </w:t>
      </w:r>
      <w:r>
        <w:rPr/>
        <w:t>元</w:t>
      </w:r>
      <w:r>
        <w:rPr>
          <w:spacing w:val="-23"/>
        </w:rPr>
        <w:t> </w:t>
      </w:r>
      <w:r>
        <w:rPr/>
        <w:t>，</w:t>
      </w:r>
      <w:r>
        <w:rPr>
          <w:spacing w:val="-23"/>
        </w:rPr>
        <w:t> </w:t>
      </w:r>
      <w:r>
        <w:rPr/>
        <w:t>信</w:t>
      </w:r>
      <w:r>
        <w:rPr>
          <w:spacing w:val="-23"/>
        </w:rPr>
        <w:t> </w:t>
      </w:r>
      <w:r>
        <w:rPr/>
        <w:t>用</w:t>
      </w:r>
      <w:r>
        <w:rPr>
          <w:spacing w:val="-22"/>
        </w:rPr>
        <w:t> </w:t>
      </w:r>
      <w:r>
        <w:rPr/>
        <w:t>证</w:t>
      </w:r>
      <w:r>
        <w:rPr>
          <w:spacing w:val="-23"/>
        </w:rPr>
        <w:t> </w:t>
      </w:r>
      <w:r>
        <w:rPr/>
        <w:t>保</w:t>
      </w:r>
      <w:r>
        <w:rPr>
          <w:spacing w:val="-22"/>
        </w:rPr>
        <w:t> </w:t>
      </w:r>
      <w:r>
        <w:rPr/>
        <w:t>证</w:t>
      </w:r>
      <w:r>
        <w:rPr>
          <w:spacing w:val="-23"/>
        </w:rPr>
        <w:t> </w:t>
      </w:r>
      <w:r>
        <w:rPr/>
        <w:t>金</w:t>
      </w:r>
      <w:r>
        <w:rPr/>
        <w:t> </w:t>
      </w:r>
      <w:r>
        <w:rPr>
          <w:rFonts w:ascii="华文细黑" w:hAnsi="华文细黑" w:cs="华文细黑" w:eastAsia="华文细黑" w:hint="default"/>
        </w:rPr>
        <w:t>312,850,000.00 </w:t>
      </w:r>
      <w:r>
        <w:rPr>
          <w:spacing w:val="-3"/>
        </w:rPr>
        <w:t>元，银行承兑汇票保证金 </w:t>
      </w:r>
      <w:r>
        <w:rPr>
          <w:rFonts w:ascii="华文细黑" w:hAnsi="华文细黑" w:cs="华文细黑" w:eastAsia="华文细黑" w:hint="default"/>
        </w:rPr>
        <w:t>90,000,000.00 </w:t>
      </w:r>
      <w:r>
        <w:rPr>
          <w:spacing w:val="-3"/>
        </w:rPr>
        <w:t>元，第三方平台资金 </w:t>
      </w:r>
      <w:r>
        <w:rPr>
          <w:rFonts w:ascii="华文细黑" w:hAnsi="华文细黑" w:cs="华文细黑" w:eastAsia="华文细黑" w:hint="default"/>
        </w:rPr>
        <w:t>6,566,903.09</w:t>
      </w:r>
      <w:r>
        <w:rPr>
          <w:rFonts w:ascii="华文细黑" w:hAnsi="华文细黑" w:cs="华文细黑" w:eastAsia="华文细黑" w:hint="default"/>
          <w:spacing w:val="7"/>
        </w:rPr>
        <w:t> </w:t>
      </w:r>
      <w:r>
        <w:rPr>
          <w:spacing w:val="-9"/>
        </w:rPr>
        <w:t>元，其</w:t>
      </w:r>
    </w:p>
    <w:p>
      <w:pPr>
        <w:pStyle w:val="BodyText"/>
        <w:spacing w:line="240" w:lineRule="auto" w:before="23"/>
        <w:ind w:left="200" w:right="1289"/>
        <w:jc w:val="left"/>
      </w:pPr>
      <w:r>
        <w:rPr/>
        <w:t>他 </w:t>
      </w:r>
      <w:r>
        <w:rPr>
          <w:rFonts w:ascii="华文细黑" w:hAnsi="华文细黑" w:cs="华文细黑" w:eastAsia="华文细黑" w:hint="default"/>
        </w:rPr>
        <w:t>733,378.70</w:t>
      </w:r>
      <w:r>
        <w:rPr>
          <w:rFonts w:ascii="华文细黑" w:hAnsi="华文细黑" w:cs="华文细黑" w:eastAsia="华文细黑" w:hint="default"/>
          <w:spacing w:val="-1"/>
        </w:rPr>
        <w:t> </w:t>
      </w:r>
      <w:r>
        <w:rPr/>
        <w:t>元；</w:t>
      </w:r>
    </w:p>
    <w:p>
      <w:pPr>
        <w:pStyle w:val="BodyText"/>
        <w:spacing w:line="324" w:lineRule="auto" w:before="144"/>
        <w:ind w:left="200" w:right="1422" w:firstLine="482"/>
        <w:jc w:val="left"/>
      </w:pPr>
      <w:r>
        <w:rPr/>
        <w:t>（</w:t>
      </w:r>
      <w:r>
        <w:rPr>
          <w:spacing w:val="-23"/>
        </w:rPr>
        <w:t> </w:t>
      </w:r>
      <w:r>
        <w:rPr>
          <w:rFonts w:ascii="华文细黑" w:hAnsi="华文细黑" w:cs="华文细黑" w:eastAsia="华文细黑" w:hint="default"/>
        </w:rPr>
        <w:t>3</w:t>
      </w:r>
      <w:r>
        <w:rPr>
          <w:rFonts w:ascii="华文细黑" w:hAnsi="华文细黑" w:cs="华文细黑" w:eastAsia="华文细黑" w:hint="default"/>
          <w:spacing w:val="-23"/>
        </w:rPr>
        <w:t> </w:t>
      </w:r>
      <w:r>
        <w:rPr/>
        <w:t>）</w:t>
      </w:r>
      <w:r>
        <w:rPr>
          <w:spacing w:val="-23"/>
        </w:rPr>
        <w:t> </w:t>
      </w:r>
      <w:r>
        <w:rPr/>
        <w:t>年</w:t>
      </w:r>
      <w:r>
        <w:rPr>
          <w:spacing w:val="-22"/>
        </w:rPr>
        <w:t> </w:t>
      </w:r>
      <w:r>
        <w:rPr/>
        <w:t>末</w:t>
      </w:r>
      <w:r>
        <w:rPr>
          <w:spacing w:val="-22"/>
        </w:rPr>
        <w:t> </w:t>
      </w:r>
      <w:r>
        <w:rPr/>
        <w:t>受</w:t>
      </w:r>
      <w:r>
        <w:rPr>
          <w:spacing w:val="-23"/>
        </w:rPr>
        <w:t> </w:t>
      </w:r>
      <w:r>
        <w:rPr/>
        <w:t>限</w:t>
      </w:r>
      <w:r>
        <w:rPr>
          <w:spacing w:val="-23"/>
        </w:rPr>
        <w:t> </w:t>
      </w:r>
      <w:r>
        <w:rPr/>
        <w:t>资</w:t>
      </w:r>
      <w:r>
        <w:rPr>
          <w:spacing w:val="-22"/>
        </w:rPr>
        <w:t> </w:t>
      </w:r>
      <w:r>
        <w:rPr/>
        <w:t>金</w:t>
      </w:r>
      <w:r>
        <w:rPr>
          <w:spacing w:val="-23"/>
        </w:rPr>
        <w:t> </w:t>
      </w:r>
      <w:r>
        <w:rPr/>
        <w:t>明</w:t>
      </w:r>
      <w:r>
        <w:rPr>
          <w:spacing w:val="-22"/>
        </w:rPr>
        <w:t> </w:t>
      </w:r>
      <w:r>
        <w:rPr/>
        <w:t>细</w:t>
      </w:r>
      <w:r>
        <w:rPr>
          <w:spacing w:val="-23"/>
        </w:rPr>
        <w:t> </w:t>
      </w:r>
      <w:r>
        <w:rPr/>
        <w:t>如</w:t>
      </w:r>
      <w:r>
        <w:rPr>
          <w:spacing w:val="-23"/>
        </w:rPr>
        <w:t> </w:t>
      </w:r>
      <w:r>
        <w:rPr/>
        <w:t>下</w:t>
      </w:r>
      <w:r>
        <w:rPr>
          <w:spacing w:val="-22"/>
        </w:rPr>
        <w:t> </w:t>
      </w:r>
      <w:r>
        <w:rPr/>
        <w:t>：</w:t>
      </w:r>
      <w:r>
        <w:rPr>
          <w:spacing w:val="-23"/>
        </w:rPr>
        <w:t> </w:t>
      </w:r>
      <w:r>
        <w:rPr/>
        <w:t>保</w:t>
      </w:r>
      <w:r>
        <w:rPr>
          <w:spacing w:val="-22"/>
        </w:rPr>
        <w:t> </w:t>
      </w:r>
      <w:r>
        <w:rPr/>
        <w:t>函</w:t>
      </w:r>
      <w:r>
        <w:rPr>
          <w:spacing w:val="-23"/>
        </w:rPr>
        <w:t> </w:t>
      </w:r>
      <w:r>
        <w:rPr/>
        <w:t>保</w:t>
      </w:r>
      <w:r>
        <w:rPr>
          <w:spacing w:val="-23"/>
        </w:rPr>
        <w:t> </w:t>
      </w:r>
      <w:r>
        <w:rPr/>
        <w:t>证</w:t>
      </w:r>
      <w:r>
        <w:rPr>
          <w:spacing w:val="-23"/>
        </w:rPr>
        <w:t> </w:t>
      </w:r>
      <w:r>
        <w:rPr/>
        <w:t>金</w:t>
      </w:r>
      <w:r>
        <w:rPr>
          <w:spacing w:val="33"/>
        </w:rPr>
        <w:t> </w:t>
      </w:r>
      <w:r>
        <w:rPr>
          <w:rFonts w:ascii="华文细黑" w:hAnsi="华文细黑" w:cs="华文细黑" w:eastAsia="华文细黑" w:hint="default"/>
        </w:rPr>
        <w:t>531,030,000.00</w:t>
      </w:r>
      <w:r>
        <w:rPr>
          <w:rFonts w:ascii="华文细黑" w:hAnsi="华文细黑" w:cs="华文细黑" w:eastAsia="华文细黑" w:hint="default"/>
          <w:spacing w:val="30"/>
        </w:rPr>
        <w:t> </w:t>
      </w:r>
      <w:r>
        <w:rPr/>
        <w:t>元</w:t>
      </w:r>
      <w:r>
        <w:rPr>
          <w:spacing w:val="-23"/>
        </w:rPr>
        <w:t> </w:t>
      </w:r>
      <w:r>
        <w:rPr/>
        <w:t>，</w:t>
      </w:r>
      <w:r>
        <w:rPr>
          <w:spacing w:val="-23"/>
        </w:rPr>
        <w:t> </w:t>
      </w:r>
      <w:r>
        <w:rPr/>
        <w:t>贷</w:t>
      </w:r>
      <w:r>
        <w:rPr>
          <w:spacing w:val="-23"/>
        </w:rPr>
        <w:t> </w:t>
      </w:r>
      <w:r>
        <w:rPr/>
        <w:t>款</w:t>
      </w:r>
      <w:r>
        <w:rPr>
          <w:spacing w:val="-22"/>
        </w:rPr>
        <w:t> </w:t>
      </w:r>
      <w:r>
        <w:rPr/>
        <w:t>质</w:t>
      </w:r>
      <w:r>
        <w:rPr>
          <w:spacing w:val="-23"/>
        </w:rPr>
        <w:t> </w:t>
      </w:r>
      <w:r>
        <w:rPr/>
        <w:t>押</w:t>
      </w:r>
      <w:r>
        <w:rPr>
          <w:spacing w:val="-23"/>
        </w:rPr>
        <w:t> </w:t>
      </w:r>
      <w:r>
        <w:rPr/>
        <w:t>定</w:t>
      </w:r>
      <w:r>
        <w:rPr>
          <w:spacing w:val="-22"/>
        </w:rPr>
        <w:t> </w:t>
      </w:r>
      <w:r>
        <w:rPr/>
        <w:t>期</w:t>
      </w:r>
      <w:r>
        <w:rPr>
          <w:spacing w:val="-23"/>
        </w:rPr>
        <w:t> </w:t>
      </w:r>
      <w:r>
        <w:rPr/>
        <w:t>存</w:t>
      </w:r>
      <w:r>
        <w:rPr>
          <w:spacing w:val="-22"/>
        </w:rPr>
        <w:t> </w:t>
      </w:r>
      <w:r>
        <w:rPr/>
        <w:t>单</w:t>
      </w:r>
      <w:r>
        <w:rPr/>
        <w:t> </w:t>
      </w:r>
      <w:r>
        <w:rPr>
          <w:rFonts w:ascii="华文细黑" w:hAnsi="华文细黑" w:cs="华文细黑" w:eastAsia="华文细黑" w:hint="default"/>
        </w:rPr>
        <w:t>391,510,000.00 </w:t>
      </w:r>
      <w:r>
        <w:rPr/>
        <w:t>元，信用证保证金 </w:t>
      </w:r>
      <w:r>
        <w:rPr>
          <w:rFonts w:ascii="华文细黑" w:hAnsi="华文细黑" w:cs="华文细黑" w:eastAsia="华文细黑" w:hint="default"/>
        </w:rPr>
        <w:t>312,850,000.00 </w:t>
      </w:r>
      <w:r>
        <w:rPr>
          <w:rFonts w:ascii="华文细黑" w:hAnsi="华文细黑" w:cs="华文细黑" w:eastAsia="华文细黑" w:hint="default"/>
          <w:spacing w:val="25"/>
        </w:rPr>
        <w:t> </w:t>
      </w:r>
      <w:r>
        <w:rPr/>
        <w:t>元，不可提前赎回质押开具银行承兑汇票的结</w:t>
      </w:r>
    </w:p>
    <w:p>
      <w:pPr>
        <w:spacing w:line="355" w:lineRule="auto" w:before="25"/>
        <w:ind w:left="620" w:right="1888" w:hanging="421"/>
        <w:jc w:val="left"/>
        <w:rPr>
          <w:rFonts w:ascii="华文细黑" w:hAnsi="华文细黑" w:cs="华文细黑" w:eastAsia="华文细黑" w:hint="default"/>
          <w:sz w:val="21"/>
          <w:szCs w:val="21"/>
        </w:rPr>
      </w:pPr>
      <w:r>
        <w:rPr/>
        <w:pict>
          <v:shape style="position:absolute;margin-left:67.080002pt;margin-top:41.851730pt;width:461.5pt;height:143pt;mso-position-horizontal-relative:page;mso-position-vertical-relative:paragraph;z-index:13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817"/>
                    <w:gridCol w:w="2599"/>
                    <w:gridCol w:w="2799"/>
                  </w:tblGrid>
                  <w:tr>
                    <w:trPr>
                      <w:trHeight w:val="490" w:hRule="exact"/>
                    </w:trPr>
                    <w:tc>
                      <w:tcPr>
                        <w:tcW w:w="38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538" w:val="left" w:leader="none"/>
                          </w:tabs>
                          <w:spacing w:line="240" w:lineRule="auto" w:before="144"/>
                          <w:ind w:right="154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5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7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890" w:hRule="exact"/>
                    </w:trPr>
                    <w:tc>
                      <w:tcPr>
                        <w:tcW w:w="38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4"/>
                          <w:ind w:left="103" w:right="10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指定为以公允价值计量且其变动计入当期损益 的金融资产</w:t>
                        </w:r>
                      </w:p>
                    </w:tc>
                    <w:tc>
                      <w:tcPr>
                        <w:tcW w:w="259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
                          <w:ind w:right="0"/>
                          <w:jc w:val="left"/>
                          <w:rPr>
                            <w:rFonts w:ascii="华文细黑" w:hAnsi="华文细黑" w:cs="华文细黑" w:eastAsia="华文细黑" w:hint="default"/>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217,968,239.73</w:t>
                        </w:r>
                      </w:p>
                    </w:tc>
                    <w:tc>
                      <w:tcPr>
                        <w:tcW w:w="279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
                          <w:ind w:right="0"/>
                          <w:jc w:val="left"/>
                          <w:rPr>
                            <w:rFonts w:ascii="华文细黑" w:hAnsi="华文细黑" w:cs="华文细黑" w:eastAsia="华文细黑" w:hint="default"/>
                            <w:sz w:val="24"/>
                            <w:szCs w:val="24"/>
                          </w:rPr>
                        </w:pPr>
                      </w:p>
                      <w:p>
                        <w:pPr>
                          <w:pStyle w:val="TableParagraph"/>
                          <w:spacing w:line="240" w:lineRule="auto"/>
                          <w:ind w:right="102"/>
                          <w:jc w:val="right"/>
                          <w:rPr>
                            <w:rFonts w:ascii="华文细黑" w:hAnsi="华文细黑" w:cs="华文细黑" w:eastAsia="华文细黑" w:hint="default"/>
                            <w:sz w:val="18"/>
                            <w:szCs w:val="18"/>
                          </w:rPr>
                        </w:pPr>
                        <w:r>
                          <w:rPr>
                            <w:rFonts w:ascii="华文细黑"/>
                            <w:sz w:val="18"/>
                          </w:rPr>
                          <w:t>23,621,500.80</w:t>
                        </w:r>
                      </w:p>
                    </w:tc>
                  </w:tr>
                  <w:tr>
                    <w:trPr>
                      <w:trHeight w:val="490" w:hRule="exact"/>
                    </w:trPr>
                    <w:tc>
                      <w:tcPr>
                        <w:tcW w:w="38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其中：结构性存款（注）</w:t>
                        </w:r>
                      </w:p>
                    </w:tc>
                    <w:tc>
                      <w:tcPr>
                        <w:tcW w:w="259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217,968,239.73</w:t>
                        </w:r>
                      </w:p>
                    </w:tc>
                    <w:tc>
                      <w:tcPr>
                        <w:tcW w:w="279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38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权益工具投资</w:t>
                        </w:r>
                      </w:p>
                    </w:tc>
                    <w:tc>
                      <w:tcPr>
                        <w:tcW w:w="259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c>
                      <w:tcPr>
                        <w:tcW w:w="279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sz w:val="18"/>
                          </w:rPr>
                          <w:t>23,621,500.80</w:t>
                        </w:r>
                      </w:p>
                    </w:tc>
                  </w:tr>
                  <w:tr>
                    <w:trPr>
                      <w:trHeight w:val="490" w:hRule="exact"/>
                    </w:trPr>
                    <w:tc>
                      <w:tcPr>
                        <w:tcW w:w="38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538" w:val="left" w:leader="none"/>
                          </w:tabs>
                          <w:spacing w:line="240" w:lineRule="auto" w:before="144"/>
                          <w:ind w:right="154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259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b/>
                            <w:w w:val="95"/>
                            <w:sz w:val="18"/>
                          </w:rPr>
                          <w:t>217,968,239.73</w:t>
                        </w:r>
                        <w:r>
                          <w:rPr>
                            <w:rFonts w:ascii="华文细黑"/>
                            <w:sz w:val="18"/>
                          </w:rPr>
                        </w:r>
                      </w:p>
                    </w:tc>
                    <w:tc>
                      <w:tcPr>
                        <w:tcW w:w="279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3"/>
                          <w:jc w:val="right"/>
                          <w:rPr>
                            <w:rFonts w:ascii="华文细黑" w:hAnsi="华文细黑" w:cs="华文细黑" w:eastAsia="华文细黑" w:hint="default"/>
                            <w:sz w:val="18"/>
                            <w:szCs w:val="18"/>
                          </w:rPr>
                        </w:pPr>
                        <w:r>
                          <w:rPr>
                            <w:rFonts w:ascii="华文细黑"/>
                            <w:b/>
                            <w:w w:val="95"/>
                            <w:sz w:val="18"/>
                          </w:rPr>
                          <w:t>23,621,500.80</w:t>
                        </w:r>
                        <w:r>
                          <w:rPr>
                            <w:rFonts w:ascii="华文细黑"/>
                            <w:sz w:val="18"/>
                          </w:rPr>
                        </w:r>
                      </w:p>
                    </w:tc>
                  </w:tr>
                </w:tbl>
                <w:p>
                  <w:pPr/>
                </w:p>
              </w:txbxContent>
            </v:textbox>
            <w10:wrap type="none"/>
          </v:shape>
        </w:pict>
      </w:r>
      <w:r>
        <w:rPr>
          <w:rFonts w:ascii="华文细黑" w:hAnsi="华文细黑" w:cs="华文细黑" w:eastAsia="华文细黑" w:hint="default"/>
          <w:sz w:val="21"/>
          <w:szCs w:val="21"/>
        </w:rPr>
        <w:t>构性存款 </w:t>
      </w:r>
      <w:r>
        <w:rPr>
          <w:rFonts w:ascii="华文细黑" w:hAnsi="华文细黑" w:cs="华文细黑" w:eastAsia="华文细黑" w:hint="default"/>
          <w:sz w:val="21"/>
          <w:szCs w:val="21"/>
        </w:rPr>
        <w:t>300,000,000.00 </w:t>
      </w:r>
      <w:r>
        <w:rPr>
          <w:rFonts w:ascii="华文细黑" w:hAnsi="华文细黑" w:cs="华文细黑" w:eastAsia="华文细黑" w:hint="default"/>
          <w:sz w:val="21"/>
          <w:szCs w:val="21"/>
        </w:rPr>
        <w:t>元，银行承兑汇票保证金 </w:t>
      </w:r>
      <w:r>
        <w:rPr>
          <w:rFonts w:ascii="华文细黑" w:hAnsi="华文细黑" w:cs="华文细黑" w:eastAsia="华文细黑" w:hint="default"/>
          <w:sz w:val="21"/>
          <w:szCs w:val="21"/>
        </w:rPr>
        <w:t>90,000,000.00 </w:t>
      </w:r>
      <w:r>
        <w:rPr>
          <w:rFonts w:ascii="华文细黑" w:hAnsi="华文细黑" w:cs="华文细黑" w:eastAsia="华文细黑" w:hint="default"/>
          <w:sz w:val="21"/>
          <w:szCs w:val="21"/>
        </w:rPr>
        <w:t>元，其他 </w:t>
      </w:r>
      <w:r>
        <w:rPr>
          <w:rFonts w:ascii="华文细黑" w:hAnsi="华文细黑" w:cs="华文细黑" w:eastAsia="华文细黑" w:hint="default"/>
          <w:sz w:val="21"/>
          <w:szCs w:val="21"/>
        </w:rPr>
        <w:t>733,378.70</w:t>
      </w:r>
      <w:r>
        <w:rPr>
          <w:rFonts w:ascii="华文细黑" w:hAnsi="华文细黑" w:cs="华文细黑" w:eastAsia="华文细黑" w:hint="default"/>
          <w:spacing w:val="-5"/>
          <w:sz w:val="21"/>
          <w:szCs w:val="21"/>
        </w:rPr>
        <w:t> </w:t>
      </w:r>
      <w:r>
        <w:rPr>
          <w:rFonts w:ascii="华文细黑" w:hAnsi="华文细黑" w:cs="华文细黑" w:eastAsia="华文细黑" w:hint="default"/>
          <w:sz w:val="21"/>
          <w:szCs w:val="21"/>
        </w:rPr>
        <w:t>元。 </w:t>
      </w:r>
      <w:bookmarkStart w:name="2、以公允价值计量且其变动计入当期损益的金融资产" w:id="260"/>
      <w:bookmarkEnd w:id="260"/>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、以公允价值计量且其变动计入当期损益的金融资产</w:t>
      </w:r>
      <w:r>
        <w:rPr>
          <w:rFonts w:ascii="华文细黑" w:hAnsi="华文细黑" w:cs="华文细黑" w:eastAsia="华文细黑" w:hint="default"/>
          <w:sz w:val="21"/>
          <w:szCs w:val="21"/>
        </w:rPr>
      </w: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2"/>
        <w:rPr>
          <w:rFonts w:ascii="华文细黑" w:hAnsi="华文细黑" w:cs="华文细黑" w:eastAsia="华文细黑" w:hint="default"/>
          <w:b/>
          <w:bCs/>
          <w:sz w:val="27"/>
          <w:szCs w:val="27"/>
        </w:rPr>
      </w:pPr>
    </w:p>
    <w:p>
      <w:pPr>
        <w:pStyle w:val="BodyText"/>
        <w:spacing w:line="240" w:lineRule="auto" w:before="10"/>
        <w:ind w:left="620" w:right="1289"/>
        <w:jc w:val="left"/>
      </w:pPr>
      <w:r>
        <w:rPr/>
        <w:t>注：结构性存款中包含整体指定为以公允价值计量且其变动计入当期损益的金融资产的结构性</w:t>
      </w:r>
    </w:p>
    <w:p>
      <w:pPr>
        <w:spacing w:after="0" w:line="240" w:lineRule="auto"/>
        <w:jc w:val="left"/>
        <w:sectPr>
          <w:pgSz w:w="11910" w:h="16840"/>
          <w:pgMar w:header="917" w:footer="1019" w:top="1100" w:bottom="1200" w:left="1240" w:right="0"/>
        </w:sectPr>
      </w:pPr>
    </w:p>
    <w:p>
      <w:pPr>
        <w:spacing w:line="240" w:lineRule="auto" w:before="9"/>
        <w:rPr>
          <w:rFonts w:ascii="华文细黑" w:hAnsi="华文细黑" w:cs="华文细黑" w:eastAsia="华文细黑" w:hint="default"/>
          <w:sz w:val="27"/>
          <w:szCs w:val="27"/>
        </w:rPr>
      </w:pPr>
    </w:p>
    <w:p>
      <w:pPr>
        <w:spacing w:line="357" w:lineRule="auto" w:before="10"/>
        <w:ind w:left="640" w:right="3429" w:hanging="421"/>
        <w:jc w:val="left"/>
        <w:rPr>
          <w:rFonts w:ascii="华文细黑" w:hAnsi="华文细黑" w:cs="华文细黑" w:eastAsia="华文细黑" w:hint="default"/>
          <w:sz w:val="21"/>
          <w:szCs w:val="21"/>
        </w:rPr>
      </w:pPr>
      <w:r>
        <w:rPr/>
        <w:pict>
          <v:shape style="position:absolute;margin-left:67.080002pt;margin-top:41.131737pt;width:461.5pt;height:98.55pt;mso-position-horizontal-relative:page;mso-position-vertical-relative:paragraph;z-index:13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448"/>
                    <w:gridCol w:w="2884"/>
                    <w:gridCol w:w="2883"/>
                  </w:tblGrid>
                  <w:tr>
                    <w:trPr>
                      <w:trHeight w:val="491" w:hRule="exact"/>
                    </w:trPr>
                    <w:tc>
                      <w:tcPr>
                        <w:tcW w:w="34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44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28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88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0" w:hRule="exact"/>
                    </w:trPr>
                    <w:tc>
                      <w:tcPr>
                        <w:tcW w:w="34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应收票据</w:t>
                        </w:r>
                      </w:p>
                    </w:tc>
                    <w:tc>
                      <w:tcPr>
                        <w:tcW w:w="28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309,101,965.50</w:t>
                        </w:r>
                      </w:p>
                    </w:tc>
                    <w:tc>
                      <w:tcPr>
                        <w:tcW w:w="288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99"/>
                          <w:jc w:val="right"/>
                          <w:rPr>
                            <w:rFonts w:ascii="华文细黑" w:hAnsi="华文细黑" w:cs="华文细黑" w:eastAsia="华文细黑" w:hint="default"/>
                            <w:sz w:val="18"/>
                            <w:szCs w:val="18"/>
                          </w:rPr>
                        </w:pPr>
                        <w:r>
                          <w:rPr>
                            <w:rFonts w:ascii="华文细黑"/>
                            <w:sz w:val="18"/>
                          </w:rPr>
                          <w:t>282,638,903.96</w:t>
                        </w:r>
                      </w:p>
                    </w:tc>
                  </w:tr>
                  <w:tr>
                    <w:trPr>
                      <w:trHeight w:val="490" w:hRule="exact"/>
                    </w:trPr>
                    <w:tc>
                      <w:tcPr>
                        <w:tcW w:w="34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应收账款</w:t>
                        </w:r>
                      </w:p>
                    </w:tc>
                    <w:tc>
                      <w:tcPr>
                        <w:tcW w:w="28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pacing w:val="-1"/>
                            <w:sz w:val="18"/>
                          </w:rPr>
                          <w:t>1,584,363,693.49</w:t>
                        </w:r>
                      </w:p>
                    </w:tc>
                    <w:tc>
                      <w:tcPr>
                        <w:tcW w:w="288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sz w:val="18"/>
                          </w:rPr>
                          <w:t>1,296,889,502.25</w:t>
                        </w:r>
                      </w:p>
                    </w:tc>
                  </w:tr>
                  <w:tr>
                    <w:trPr>
                      <w:trHeight w:val="491" w:hRule="exact"/>
                    </w:trPr>
                    <w:tc>
                      <w:tcPr>
                        <w:tcW w:w="34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44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8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b/>
                            <w:w w:val="95"/>
                            <w:sz w:val="18"/>
                          </w:rPr>
                          <w:t>1,893,465,658.99</w:t>
                        </w:r>
                        <w:r>
                          <w:rPr>
                            <w:rFonts w:ascii="华文细黑"/>
                            <w:sz w:val="18"/>
                          </w:rPr>
                        </w:r>
                      </w:p>
                    </w:tc>
                    <w:tc>
                      <w:tcPr>
                        <w:tcW w:w="288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b/>
                            <w:w w:val="95"/>
                            <w:sz w:val="18"/>
                          </w:rPr>
                          <w:t>1,579,528,406.21</w:t>
                        </w:r>
                        <w:r>
                          <w:rPr>
                            <w:rFonts w:ascii="华文细黑"/>
                            <w:sz w:val="18"/>
                          </w:rPr>
                        </w:r>
                      </w:p>
                    </w:tc>
                  </w:tr>
                </w:tbl>
                <w:p>
                  <w:pPr/>
                </w:p>
              </w:txbxContent>
            </v:textbox>
            <w10:wrap type="none"/>
          </v:shape>
        </w:pict>
      </w:r>
      <w:r>
        <w:rPr>
          <w:rFonts w:ascii="华文细黑" w:hAnsi="华文细黑" w:cs="华文细黑" w:eastAsia="华文细黑" w:hint="default"/>
          <w:sz w:val="21"/>
          <w:szCs w:val="21"/>
        </w:rPr>
        <w:t>存款本金 </w:t>
      </w:r>
      <w:r>
        <w:rPr>
          <w:rFonts w:ascii="华文细黑" w:hAnsi="华文细黑" w:cs="华文细黑" w:eastAsia="华文细黑" w:hint="default"/>
          <w:sz w:val="21"/>
          <w:szCs w:val="21"/>
        </w:rPr>
        <w:t>210,000,000.00</w:t>
      </w:r>
      <w:r>
        <w:rPr>
          <w:rFonts w:ascii="华文细黑" w:hAnsi="华文细黑" w:cs="华文细黑" w:eastAsia="华文细黑" w:hint="default"/>
          <w:spacing w:val="-1"/>
          <w:sz w:val="21"/>
          <w:szCs w:val="21"/>
        </w:rPr>
        <w:t> </w:t>
      </w:r>
      <w:r>
        <w:rPr>
          <w:rFonts w:ascii="华文细黑" w:hAnsi="华文细黑" w:cs="华文细黑" w:eastAsia="华文细黑" w:hint="default"/>
          <w:sz w:val="21"/>
          <w:szCs w:val="21"/>
        </w:rPr>
        <w:t>元，该结构性存款已质押用于开具银行承兑汇票。 </w:t>
      </w:r>
      <w:bookmarkStart w:name="3、应收票据及应收账款" w:id="261"/>
      <w:bookmarkEnd w:id="261"/>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3</w:t>
      </w:r>
      <w:r>
        <w:rPr>
          <w:rFonts w:ascii="华文细黑" w:hAnsi="华文细黑" w:cs="华文细黑" w:eastAsia="华文细黑" w:hint="default"/>
          <w:b/>
          <w:bCs/>
          <w:sz w:val="21"/>
          <w:szCs w:val="21"/>
        </w:rPr>
        <w:t>、应收票据及应收账款</w:t>
      </w:r>
      <w:r>
        <w:rPr>
          <w:rFonts w:ascii="华文细黑" w:hAnsi="华文细黑" w:cs="华文细黑" w:eastAsia="华文细黑" w:hint="default"/>
          <w:sz w:val="21"/>
          <w:szCs w:val="21"/>
        </w:rPr>
      </w: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14"/>
        <w:rPr>
          <w:rFonts w:ascii="华文细黑" w:hAnsi="华文细黑" w:cs="华文细黑" w:eastAsia="华文细黑" w:hint="default"/>
          <w:b/>
          <w:bCs/>
          <w:sz w:val="23"/>
          <w:szCs w:val="23"/>
        </w:rPr>
      </w:pPr>
    </w:p>
    <w:p>
      <w:pPr>
        <w:pStyle w:val="Heading5"/>
        <w:spacing w:line="240" w:lineRule="auto"/>
        <w:ind w:left="640" w:right="6664"/>
        <w:jc w:val="left"/>
        <w:rPr>
          <w:b w:val="0"/>
          <w:bCs w:val="0"/>
        </w:rPr>
      </w:pPr>
      <w:bookmarkStart w:name="（1）应收票据" w:id="262"/>
      <w:bookmarkEnd w:id="262"/>
      <w:r>
        <w:rPr>
          <w:b w:val="0"/>
          <w:bCs w:val="0"/>
        </w:rPr>
      </w:r>
      <w:r>
        <w:rPr/>
        <w:t>（</w:t>
      </w:r>
      <w:r>
        <w:rPr>
          <w:rFonts w:ascii="华文细黑" w:hAnsi="华文细黑" w:cs="华文细黑" w:eastAsia="华文细黑" w:hint="default"/>
        </w:rPr>
        <w:t>1</w:t>
      </w:r>
      <w:r>
        <w:rPr/>
        <w:t>）应收票据</w:t>
      </w:r>
      <w:r>
        <w:rPr>
          <w:b w:val="0"/>
          <w:bCs w:val="0"/>
        </w:rPr>
      </w:r>
    </w:p>
    <w:p>
      <w:pPr>
        <w:pStyle w:val="BodyText"/>
        <w:spacing w:line="240" w:lineRule="auto" w:before="142"/>
        <w:ind w:left="640" w:right="6664"/>
        <w:jc w:val="left"/>
      </w:pPr>
      <w:r>
        <w:rPr/>
        <w:t>①应收票据分类</w:t>
      </w:r>
    </w:p>
    <w:p>
      <w:pPr>
        <w:spacing w:line="240" w:lineRule="auto" w:before="6"/>
        <w:rPr>
          <w:rFonts w:ascii="华文细黑" w:hAnsi="华文细黑" w:cs="华文细黑" w:eastAsia="华文细黑" w:hint="default"/>
          <w:sz w:val="5"/>
          <w:szCs w:val="5"/>
        </w:rPr>
      </w:pPr>
    </w:p>
    <w:tbl>
      <w:tblPr>
        <w:tblW w:w="0" w:type="auto"/>
        <w:jc w:val="left"/>
        <w:tblInd w:w="121" w:type="dxa"/>
        <w:tblLayout w:type="fixed"/>
        <w:tblCellMar>
          <w:top w:w="0" w:type="dxa"/>
          <w:left w:w="0" w:type="dxa"/>
          <w:bottom w:w="0" w:type="dxa"/>
          <w:right w:w="0" w:type="dxa"/>
        </w:tblCellMar>
        <w:tblLook w:val="01E0"/>
      </w:tblPr>
      <w:tblGrid>
        <w:gridCol w:w="3448"/>
        <w:gridCol w:w="2884"/>
        <w:gridCol w:w="2883"/>
      </w:tblGrid>
      <w:tr>
        <w:trPr>
          <w:trHeight w:val="490" w:hRule="exact"/>
        </w:trPr>
        <w:tc>
          <w:tcPr>
            <w:tcW w:w="34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44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28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88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0" w:hRule="exact"/>
        </w:trPr>
        <w:tc>
          <w:tcPr>
            <w:tcW w:w="34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银行承兑汇票</w:t>
            </w:r>
          </w:p>
        </w:tc>
        <w:tc>
          <w:tcPr>
            <w:tcW w:w="28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251,600,733.00</w:t>
            </w:r>
          </w:p>
        </w:tc>
        <w:tc>
          <w:tcPr>
            <w:tcW w:w="288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99"/>
              <w:jc w:val="right"/>
              <w:rPr>
                <w:rFonts w:ascii="华文细黑" w:hAnsi="华文细黑" w:cs="华文细黑" w:eastAsia="华文细黑" w:hint="default"/>
                <w:sz w:val="18"/>
                <w:szCs w:val="18"/>
              </w:rPr>
            </w:pPr>
            <w:r>
              <w:rPr>
                <w:rFonts w:ascii="华文细黑"/>
                <w:sz w:val="18"/>
              </w:rPr>
              <w:t>216,233,320.56</w:t>
            </w:r>
          </w:p>
        </w:tc>
      </w:tr>
      <w:tr>
        <w:trPr>
          <w:trHeight w:val="491" w:hRule="exact"/>
        </w:trPr>
        <w:tc>
          <w:tcPr>
            <w:tcW w:w="34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商业承兑汇票</w:t>
            </w:r>
          </w:p>
        </w:tc>
        <w:tc>
          <w:tcPr>
            <w:tcW w:w="28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57,501,232.50</w:t>
            </w:r>
          </w:p>
        </w:tc>
        <w:tc>
          <w:tcPr>
            <w:tcW w:w="288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99"/>
              <w:jc w:val="right"/>
              <w:rPr>
                <w:rFonts w:ascii="华文细黑" w:hAnsi="华文细黑" w:cs="华文细黑" w:eastAsia="华文细黑" w:hint="default"/>
                <w:sz w:val="18"/>
                <w:szCs w:val="18"/>
              </w:rPr>
            </w:pPr>
            <w:r>
              <w:rPr>
                <w:rFonts w:ascii="华文细黑"/>
                <w:sz w:val="18"/>
              </w:rPr>
              <w:t>66,405,583.40</w:t>
            </w:r>
          </w:p>
        </w:tc>
      </w:tr>
      <w:tr>
        <w:trPr>
          <w:trHeight w:val="490" w:hRule="exact"/>
        </w:trPr>
        <w:tc>
          <w:tcPr>
            <w:tcW w:w="34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44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8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b/>
                <w:w w:val="95"/>
                <w:sz w:val="18"/>
              </w:rPr>
              <w:t>309,101,965.50</w:t>
            </w:r>
            <w:r>
              <w:rPr>
                <w:rFonts w:ascii="华文细黑"/>
                <w:sz w:val="18"/>
              </w:rPr>
            </w:r>
          </w:p>
        </w:tc>
        <w:tc>
          <w:tcPr>
            <w:tcW w:w="288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b/>
                <w:w w:val="95"/>
                <w:sz w:val="18"/>
              </w:rPr>
              <w:t>282,638,903.96</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40" w:right="6664"/>
        <w:jc w:val="left"/>
      </w:pPr>
      <w:r>
        <w:rPr/>
        <w:t>②年末已质押的应收票据情况</w:t>
      </w:r>
    </w:p>
    <w:p>
      <w:pPr>
        <w:spacing w:line="240" w:lineRule="auto" w:before="5"/>
        <w:rPr>
          <w:rFonts w:ascii="华文细黑" w:hAnsi="华文细黑" w:cs="华文细黑" w:eastAsia="华文细黑" w:hint="default"/>
          <w:sz w:val="5"/>
          <w:szCs w:val="5"/>
        </w:rPr>
      </w:pPr>
    </w:p>
    <w:tbl>
      <w:tblPr>
        <w:tblW w:w="0" w:type="auto"/>
        <w:jc w:val="left"/>
        <w:tblInd w:w="107" w:type="dxa"/>
        <w:tblLayout w:type="fixed"/>
        <w:tblCellMar>
          <w:top w:w="0" w:type="dxa"/>
          <w:left w:w="0" w:type="dxa"/>
          <w:bottom w:w="0" w:type="dxa"/>
          <w:right w:w="0" w:type="dxa"/>
        </w:tblCellMar>
        <w:tblLook w:val="01E0"/>
      </w:tblPr>
      <w:tblGrid>
        <w:gridCol w:w="3510"/>
        <w:gridCol w:w="5671"/>
      </w:tblGrid>
      <w:tr>
        <w:trPr>
          <w:trHeight w:val="490" w:hRule="exact"/>
        </w:trPr>
        <w:tc>
          <w:tcPr>
            <w:tcW w:w="35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481"/>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567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年末已质押金额</w:t>
            </w:r>
          </w:p>
        </w:tc>
      </w:tr>
      <w:tr>
        <w:trPr>
          <w:trHeight w:val="490" w:hRule="exact"/>
        </w:trPr>
        <w:tc>
          <w:tcPr>
            <w:tcW w:w="35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银行承兑汇票</w:t>
            </w:r>
          </w:p>
        </w:tc>
        <w:tc>
          <w:tcPr>
            <w:tcW w:w="56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sz w:val="18"/>
              </w:rPr>
              <w:t>134,630,000.00</w:t>
            </w:r>
          </w:p>
        </w:tc>
      </w:tr>
      <w:tr>
        <w:trPr>
          <w:trHeight w:val="491" w:hRule="exact"/>
        </w:trPr>
        <w:tc>
          <w:tcPr>
            <w:tcW w:w="35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481"/>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56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b/>
                <w:sz w:val="18"/>
              </w:rPr>
              <w:t>134,630,000.00</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41" w:right="1423"/>
        <w:jc w:val="left"/>
      </w:pPr>
      <w:r>
        <w:rPr/>
        <w:t>③年末已背书或贴现且在资产负债表日尚未到期的应收票据</w:t>
      </w:r>
    </w:p>
    <w:p>
      <w:pPr>
        <w:spacing w:line="240" w:lineRule="auto" w:before="5"/>
        <w:rPr>
          <w:rFonts w:ascii="华文细黑" w:hAnsi="华文细黑" w:cs="华文细黑" w:eastAsia="华文细黑" w:hint="default"/>
          <w:sz w:val="5"/>
          <w:szCs w:val="5"/>
        </w:rPr>
      </w:pPr>
    </w:p>
    <w:tbl>
      <w:tblPr>
        <w:tblW w:w="0" w:type="auto"/>
        <w:jc w:val="left"/>
        <w:tblInd w:w="107" w:type="dxa"/>
        <w:tblLayout w:type="fixed"/>
        <w:tblCellMar>
          <w:top w:w="0" w:type="dxa"/>
          <w:left w:w="0" w:type="dxa"/>
          <w:bottom w:w="0" w:type="dxa"/>
          <w:right w:w="0" w:type="dxa"/>
        </w:tblCellMar>
        <w:tblLook w:val="01E0"/>
      </w:tblPr>
      <w:tblGrid>
        <w:gridCol w:w="3510"/>
        <w:gridCol w:w="2836"/>
        <w:gridCol w:w="2835"/>
      </w:tblGrid>
      <w:tr>
        <w:trPr>
          <w:trHeight w:val="490" w:hRule="exact"/>
        </w:trPr>
        <w:tc>
          <w:tcPr>
            <w:tcW w:w="35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481"/>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28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69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年末终止确认金额</w:t>
            </w:r>
          </w:p>
        </w:tc>
        <w:tc>
          <w:tcPr>
            <w:tcW w:w="283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60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年末未终止确认金额</w:t>
            </w:r>
          </w:p>
        </w:tc>
      </w:tr>
      <w:tr>
        <w:trPr>
          <w:trHeight w:val="490" w:hRule="exact"/>
        </w:trPr>
        <w:tc>
          <w:tcPr>
            <w:tcW w:w="35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银行承兑汇票</w:t>
            </w:r>
          </w:p>
        </w:tc>
        <w:tc>
          <w:tcPr>
            <w:tcW w:w="28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sz w:val="18"/>
              </w:rPr>
              <w:t>829,009,647.89</w:t>
            </w:r>
          </w:p>
        </w:tc>
        <w:tc>
          <w:tcPr>
            <w:tcW w:w="283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35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信用证</w:t>
            </w:r>
          </w:p>
        </w:tc>
        <w:tc>
          <w:tcPr>
            <w:tcW w:w="28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sz w:val="18"/>
              </w:rPr>
              <w:t>512,850,000.00</w:t>
            </w:r>
          </w:p>
        </w:tc>
        <w:tc>
          <w:tcPr>
            <w:tcW w:w="283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35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481"/>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8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b/>
                <w:w w:val="95"/>
                <w:sz w:val="18"/>
              </w:rPr>
              <w:t>1,341,859,647.89</w:t>
            </w:r>
            <w:r>
              <w:rPr>
                <w:rFonts w:ascii="华文细黑"/>
                <w:sz w:val="18"/>
              </w:rPr>
            </w:r>
          </w:p>
        </w:tc>
        <w:tc>
          <w:tcPr>
            <w:tcW w:w="283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r>
    </w:tbl>
    <w:p>
      <w:pPr>
        <w:spacing w:line="240" w:lineRule="auto" w:before="12"/>
        <w:rPr>
          <w:rFonts w:ascii="华文细黑" w:hAnsi="华文细黑" w:cs="华文细黑" w:eastAsia="华文细黑" w:hint="default"/>
          <w:sz w:val="6"/>
          <w:szCs w:val="6"/>
        </w:rPr>
      </w:pPr>
    </w:p>
    <w:p>
      <w:pPr>
        <w:pStyle w:val="BodyText"/>
        <w:spacing w:line="324" w:lineRule="auto" w:before="10"/>
        <w:ind w:left="220" w:right="1438" w:firstLine="420"/>
        <w:jc w:val="both"/>
      </w:pPr>
      <w:r>
        <w:rPr/>
        <w:t>注：上述已贴现未到期的银行承兑汇票 </w:t>
      </w:r>
      <w:r>
        <w:rPr>
          <w:rFonts w:ascii="华文细黑" w:hAnsi="华文细黑" w:cs="华文细黑" w:eastAsia="华文细黑" w:hint="default"/>
        </w:rPr>
        <w:t>522,500,000.00 </w:t>
      </w:r>
      <w:r>
        <w:rPr/>
        <w:t>元、信用证 </w:t>
      </w:r>
      <w:r>
        <w:rPr>
          <w:rFonts w:ascii="华文细黑" w:hAnsi="华文细黑" w:cs="华文细黑" w:eastAsia="华文细黑" w:hint="default"/>
        </w:rPr>
        <w:t>512,850,000.00</w:t>
      </w:r>
      <w:r>
        <w:rPr>
          <w:rFonts w:ascii="华文细黑" w:hAnsi="华文细黑" w:cs="华文细黑" w:eastAsia="华文细黑" w:hint="default"/>
          <w:spacing w:val="24"/>
        </w:rPr>
        <w:t> </w:t>
      </w:r>
      <w:r>
        <w:rPr/>
        <w:t>元为子公 </w:t>
      </w:r>
      <w:r>
        <w:rPr>
          <w:spacing w:val="-1"/>
        </w:rPr>
        <w:t>司西藏酷爱通信有限公司贴现本公司向其开具的信用证和银行承兑汇票，已在短期借款中反映，参</w:t>
      </w:r>
      <w:r>
        <w:rPr>
          <w:spacing w:val="-16"/>
        </w:rPr>
        <w:t> </w:t>
      </w:r>
      <w:r>
        <w:rPr>
          <w:spacing w:val="-16"/>
        </w:rPr>
      </w:r>
      <w:r>
        <w:rPr/>
        <w:t>见附注六、</w:t>
      </w:r>
      <w:r>
        <w:rPr>
          <w:rFonts w:ascii="华文细黑" w:hAnsi="华文细黑" w:cs="华文细黑" w:eastAsia="华文细黑" w:hint="default"/>
        </w:rPr>
        <w:t>18</w:t>
      </w:r>
      <w:r>
        <w:rPr/>
        <w:t>。</w:t>
      </w:r>
    </w:p>
    <w:p>
      <w:pPr>
        <w:pStyle w:val="BodyText"/>
        <w:spacing w:line="357" w:lineRule="auto" w:before="64"/>
        <w:ind w:left="640" w:right="1423"/>
        <w:jc w:val="left"/>
      </w:pPr>
      <w:r>
        <w:rPr/>
        <w:t>④其他说明 本公司以应收票据与人民币定期存单为子公司爱施德（香港）有限公司于华商银行的 </w:t>
      </w:r>
      <w:r>
        <w:rPr>
          <w:rFonts w:ascii="华文细黑" w:hAnsi="华文细黑" w:cs="华文细黑" w:eastAsia="华文细黑" w:hint="default"/>
        </w:rPr>
        <w:t>3</w:t>
      </w:r>
      <w:r>
        <w:rPr>
          <w:rFonts w:ascii="华文细黑" w:hAnsi="华文细黑" w:cs="华文细黑" w:eastAsia="华文细黑" w:hint="default"/>
          <w:spacing w:val="-18"/>
        </w:rPr>
        <w:t> </w:t>
      </w:r>
      <w:r>
        <w:rPr/>
        <w:t>亿元港</w:t>
      </w:r>
    </w:p>
    <w:p>
      <w:pPr>
        <w:pStyle w:val="BodyText"/>
        <w:spacing w:line="289" w:lineRule="exact"/>
        <w:ind w:left="220" w:right="0"/>
        <w:jc w:val="left"/>
      </w:pPr>
      <w:r>
        <w:rPr/>
        <w:t>币银行借款提供担保。截止 </w:t>
      </w:r>
      <w:r>
        <w:rPr>
          <w:rFonts w:ascii="华文细黑" w:hAnsi="华文细黑" w:cs="华文细黑" w:eastAsia="华文细黑" w:hint="default"/>
        </w:rPr>
        <w:t>2018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31 </w:t>
      </w:r>
      <w:r>
        <w:rPr/>
        <w:t>日，尚未到期的质押票据余额为 </w:t>
      </w:r>
      <w:r>
        <w:rPr>
          <w:rFonts w:ascii="华文细黑" w:hAnsi="华文细黑" w:cs="华文细黑" w:eastAsia="华文细黑" w:hint="default"/>
        </w:rPr>
        <w:t>134,630,000.00</w:t>
      </w:r>
      <w:r>
        <w:rPr>
          <w:rFonts w:ascii="华文细黑" w:hAnsi="华文细黑" w:cs="华文细黑" w:eastAsia="华文细黑" w:hint="default"/>
          <w:spacing w:val="-3"/>
        </w:rPr>
        <w:t> </w:t>
      </w:r>
      <w:r>
        <w:rPr/>
        <w:t>元。</w:t>
      </w:r>
    </w:p>
    <w:p>
      <w:pPr>
        <w:pStyle w:val="Heading5"/>
        <w:spacing w:line="240" w:lineRule="auto" w:before="144"/>
        <w:ind w:left="640" w:right="6664"/>
        <w:jc w:val="left"/>
        <w:rPr>
          <w:b w:val="0"/>
          <w:bCs w:val="0"/>
        </w:rPr>
      </w:pPr>
      <w:bookmarkStart w:name="（2）应收账款" w:id="263"/>
      <w:bookmarkEnd w:id="263"/>
      <w:r>
        <w:rPr>
          <w:b w:val="0"/>
          <w:bCs w:val="0"/>
        </w:rPr>
      </w:r>
      <w:r>
        <w:rPr/>
        <w:t>（</w:t>
      </w:r>
      <w:r>
        <w:rPr>
          <w:rFonts w:ascii="华文细黑" w:hAnsi="华文细黑" w:cs="华文细黑" w:eastAsia="华文细黑" w:hint="default"/>
        </w:rPr>
        <w:t>2</w:t>
      </w:r>
      <w:r>
        <w:rPr/>
        <w:t>）应收账款</w:t>
      </w:r>
      <w:r>
        <w:rPr>
          <w:b w:val="0"/>
          <w:bCs w:val="0"/>
        </w:rPr>
      </w:r>
    </w:p>
    <w:p>
      <w:pPr>
        <w:pStyle w:val="BodyText"/>
        <w:spacing w:line="240" w:lineRule="auto" w:before="142"/>
        <w:ind w:left="640" w:right="6664"/>
        <w:jc w:val="left"/>
      </w:pPr>
      <w:r>
        <w:rPr/>
        <w:t>①应收账款分类披露</w:t>
      </w:r>
    </w:p>
    <w:p>
      <w:pPr>
        <w:spacing w:after="0" w:line="240" w:lineRule="auto"/>
        <w:jc w:val="left"/>
        <w:sectPr>
          <w:pgSz w:w="11910" w:h="16840"/>
          <w:pgMar w:header="917" w:footer="1019" w:top="1100" w:bottom="1200" w:left="1220" w:right="0"/>
        </w:sectPr>
      </w:pPr>
    </w:p>
    <w:p>
      <w:pPr>
        <w:spacing w:line="240" w:lineRule="auto" w:before="8"/>
        <w:rPr>
          <w:rFonts w:ascii="华文细黑" w:hAnsi="华文细黑" w:cs="华文细黑" w:eastAsia="华文细黑" w:hint="default"/>
          <w:sz w:val="23"/>
          <w:szCs w:val="23"/>
        </w:rPr>
      </w:pPr>
    </w:p>
    <w:tbl>
      <w:tblPr>
        <w:tblW w:w="0" w:type="auto"/>
        <w:jc w:val="left"/>
        <w:tblInd w:w="114" w:type="dxa"/>
        <w:tblLayout w:type="fixed"/>
        <w:tblCellMar>
          <w:top w:w="0" w:type="dxa"/>
          <w:left w:w="0" w:type="dxa"/>
          <w:bottom w:w="0" w:type="dxa"/>
          <w:right w:w="0" w:type="dxa"/>
        </w:tblCellMar>
        <w:tblLook w:val="01E0"/>
      </w:tblPr>
      <w:tblGrid>
        <w:gridCol w:w="2065"/>
        <w:gridCol w:w="1713"/>
        <w:gridCol w:w="980"/>
        <w:gridCol w:w="1416"/>
        <w:gridCol w:w="1338"/>
        <w:gridCol w:w="1806"/>
      </w:tblGrid>
      <w:tr>
        <w:trPr>
          <w:trHeight w:val="490" w:hRule="exact"/>
        </w:trPr>
        <w:tc>
          <w:tcPr>
            <w:tcW w:w="206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854"/>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类别</w:t>
            </w:r>
          </w:p>
        </w:tc>
        <w:tc>
          <w:tcPr>
            <w:tcW w:w="7254" w:type="dxa"/>
            <w:gridSpan w:val="5"/>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250" w:hRule="exact"/>
        </w:trPr>
        <w:tc>
          <w:tcPr>
            <w:tcW w:w="2065" w:type="dxa"/>
            <w:tcBorders>
              <w:top w:val="single" w:sz="4" w:space="0" w:color="FFC000"/>
              <w:left w:val="single" w:sz="4" w:space="0" w:color="FFC000"/>
              <w:bottom w:val="nil" w:sz="6" w:space="0" w:color="auto"/>
              <w:right w:val="single" w:sz="4" w:space="0" w:color="FFC000"/>
            </w:tcBorders>
            <w:shd w:val="clear" w:color="auto" w:fill="FFF8E6"/>
          </w:tcPr>
          <w:p>
            <w:pPr/>
          </w:p>
        </w:tc>
        <w:tc>
          <w:tcPr>
            <w:tcW w:w="2694"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12"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2754"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w:t>
            </w:r>
          </w:p>
        </w:tc>
        <w:tc>
          <w:tcPr>
            <w:tcW w:w="1806" w:type="dxa"/>
            <w:tcBorders>
              <w:top w:val="single" w:sz="4" w:space="0" w:color="FFC000"/>
              <w:left w:val="single" w:sz="4" w:space="0" w:color="FFC000"/>
              <w:bottom w:val="nil" w:sz="6" w:space="0" w:color="auto"/>
              <w:right w:val="single" w:sz="4" w:space="0" w:color="FFC000"/>
            </w:tcBorders>
            <w:shd w:val="clear" w:color="auto" w:fill="FFF8E6"/>
          </w:tcPr>
          <w:p>
            <w:pPr/>
          </w:p>
        </w:tc>
      </w:tr>
      <w:tr>
        <w:trPr>
          <w:trHeight w:val="240" w:hRule="exact"/>
        </w:trPr>
        <w:tc>
          <w:tcPr>
            <w:tcW w:w="2065" w:type="dxa"/>
            <w:vMerge w:val="restart"/>
            <w:tcBorders>
              <w:top w:val="nil" w:sz="6" w:space="0" w:color="auto"/>
              <w:left w:val="single" w:sz="4" w:space="0" w:color="FFC000"/>
              <w:right w:val="single" w:sz="4" w:space="0" w:color="FFC000"/>
            </w:tcBorders>
            <w:shd w:val="clear" w:color="auto" w:fill="FFF8E6"/>
          </w:tcPr>
          <w:p>
            <w:pPr/>
          </w:p>
        </w:tc>
        <w:tc>
          <w:tcPr>
            <w:tcW w:w="2694" w:type="dxa"/>
            <w:gridSpan w:val="2"/>
            <w:vMerge/>
            <w:tcBorders>
              <w:left w:val="single" w:sz="4" w:space="0" w:color="FFC000"/>
              <w:bottom w:val="single" w:sz="4" w:space="0" w:color="FFC000"/>
              <w:right w:val="single" w:sz="4" w:space="0" w:color="FFC000"/>
            </w:tcBorders>
            <w:shd w:val="clear" w:color="auto" w:fill="FFF8E6"/>
          </w:tcPr>
          <w:p>
            <w:pPr/>
          </w:p>
        </w:tc>
        <w:tc>
          <w:tcPr>
            <w:tcW w:w="2754" w:type="dxa"/>
            <w:gridSpan w:val="2"/>
            <w:vMerge/>
            <w:tcBorders>
              <w:left w:val="single" w:sz="4" w:space="0" w:color="FFC000"/>
              <w:bottom w:val="single" w:sz="4" w:space="0" w:color="FFC000"/>
              <w:right w:val="single" w:sz="4" w:space="0" w:color="FFC000"/>
            </w:tcBorders>
            <w:shd w:val="clear" w:color="auto" w:fill="FFF8E6"/>
          </w:tcPr>
          <w:p>
            <w:pPr/>
          </w:p>
        </w:tc>
        <w:tc>
          <w:tcPr>
            <w:tcW w:w="1806"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53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账面价值</w:t>
            </w:r>
          </w:p>
        </w:tc>
      </w:tr>
      <w:tr>
        <w:trPr>
          <w:trHeight w:val="240" w:hRule="exact"/>
        </w:trPr>
        <w:tc>
          <w:tcPr>
            <w:tcW w:w="2065" w:type="dxa"/>
            <w:vMerge/>
            <w:tcBorders>
              <w:left w:val="single" w:sz="4" w:space="0" w:color="FFC000"/>
              <w:bottom w:val="nil" w:sz="6" w:space="0" w:color="auto"/>
              <w:right w:val="single" w:sz="4" w:space="0" w:color="FFC000"/>
            </w:tcBorders>
            <w:shd w:val="clear" w:color="auto" w:fill="FFF8E6"/>
          </w:tcPr>
          <w:p>
            <w:pPr/>
          </w:p>
        </w:tc>
        <w:tc>
          <w:tcPr>
            <w:tcW w:w="1713"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1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98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5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1416"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133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5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计提比例（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1806" w:type="dxa"/>
            <w:vMerge/>
            <w:tcBorders>
              <w:left w:val="single" w:sz="4" w:space="0" w:color="FFC000"/>
              <w:bottom w:val="nil" w:sz="6" w:space="0" w:color="auto"/>
              <w:right w:val="single" w:sz="4" w:space="0" w:color="FFC000"/>
            </w:tcBorders>
            <w:shd w:val="clear" w:color="auto" w:fill="FFF8E6"/>
          </w:tcPr>
          <w:p>
            <w:pPr/>
          </w:p>
        </w:tc>
      </w:tr>
      <w:tr>
        <w:trPr>
          <w:trHeight w:val="250" w:hRule="exact"/>
        </w:trPr>
        <w:tc>
          <w:tcPr>
            <w:tcW w:w="2065" w:type="dxa"/>
            <w:tcBorders>
              <w:top w:val="nil" w:sz="6" w:space="0" w:color="auto"/>
              <w:left w:val="single" w:sz="4" w:space="0" w:color="FFC000"/>
              <w:bottom w:val="single" w:sz="4" w:space="0" w:color="FFC000"/>
              <w:right w:val="single" w:sz="4" w:space="0" w:color="FFC000"/>
            </w:tcBorders>
            <w:shd w:val="clear" w:color="auto" w:fill="FFF8E6"/>
          </w:tcPr>
          <w:p>
            <w:pPr/>
          </w:p>
        </w:tc>
        <w:tc>
          <w:tcPr>
            <w:tcW w:w="1713" w:type="dxa"/>
            <w:vMerge/>
            <w:tcBorders>
              <w:left w:val="single" w:sz="4" w:space="0" w:color="FFC000"/>
              <w:bottom w:val="single" w:sz="4" w:space="0" w:color="FFC000"/>
              <w:right w:val="single" w:sz="4" w:space="0" w:color="FFC000"/>
            </w:tcBorders>
            <w:shd w:val="clear" w:color="auto" w:fill="FFF8E6"/>
          </w:tcPr>
          <w:p>
            <w:pPr/>
          </w:p>
        </w:tc>
        <w:tc>
          <w:tcPr>
            <w:tcW w:w="980" w:type="dxa"/>
            <w:vMerge/>
            <w:tcBorders>
              <w:left w:val="single" w:sz="4" w:space="0" w:color="FFC000"/>
              <w:bottom w:val="single" w:sz="4" w:space="0" w:color="FFC000"/>
              <w:right w:val="single" w:sz="4" w:space="0" w:color="FFC000"/>
            </w:tcBorders>
            <w:shd w:val="clear" w:color="auto" w:fill="FFF8E6"/>
          </w:tcPr>
          <w:p>
            <w:pPr/>
          </w:p>
        </w:tc>
        <w:tc>
          <w:tcPr>
            <w:tcW w:w="1416" w:type="dxa"/>
            <w:vMerge/>
            <w:tcBorders>
              <w:left w:val="single" w:sz="4" w:space="0" w:color="FFC000"/>
              <w:bottom w:val="single" w:sz="4" w:space="0" w:color="FFC000"/>
              <w:right w:val="single" w:sz="4" w:space="0" w:color="FFC000"/>
            </w:tcBorders>
            <w:shd w:val="clear" w:color="auto" w:fill="FFF8E6"/>
          </w:tcPr>
          <w:p>
            <w:pPr/>
          </w:p>
        </w:tc>
        <w:tc>
          <w:tcPr>
            <w:tcW w:w="1338" w:type="dxa"/>
            <w:vMerge/>
            <w:tcBorders>
              <w:left w:val="single" w:sz="4" w:space="0" w:color="FFC000"/>
              <w:bottom w:val="single" w:sz="4" w:space="0" w:color="FFC000"/>
              <w:right w:val="single" w:sz="4" w:space="0" w:color="FFC000"/>
            </w:tcBorders>
            <w:shd w:val="clear" w:color="auto" w:fill="FFF8E6"/>
          </w:tcPr>
          <w:p>
            <w:pPr/>
          </w:p>
        </w:tc>
        <w:tc>
          <w:tcPr>
            <w:tcW w:w="1806" w:type="dxa"/>
            <w:tcBorders>
              <w:top w:val="nil" w:sz="6" w:space="0" w:color="auto"/>
              <w:left w:val="single" w:sz="4" w:space="0" w:color="FFC000"/>
              <w:bottom w:val="single" w:sz="4" w:space="0" w:color="FFC000"/>
              <w:right w:val="single" w:sz="4" w:space="0" w:color="FFC000"/>
            </w:tcBorders>
            <w:shd w:val="clear" w:color="auto" w:fill="FFF8E6"/>
          </w:tcPr>
          <w:p>
            <w:pPr/>
          </w:p>
        </w:tc>
      </w:tr>
      <w:tr>
        <w:trPr>
          <w:trHeight w:val="890" w:hRule="exact"/>
        </w:trPr>
        <w:tc>
          <w:tcPr>
            <w:tcW w:w="206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12"/>
              <w:jc w:val="left"/>
              <w:rPr>
                <w:rFonts w:ascii="华文细黑" w:hAnsi="华文细黑" w:cs="华文细黑" w:eastAsia="华文细黑" w:hint="default"/>
                <w:sz w:val="18"/>
                <w:szCs w:val="18"/>
              </w:rPr>
            </w:pPr>
            <w:r>
              <w:rPr>
                <w:rFonts w:ascii="华文细黑" w:hAnsi="华文细黑" w:cs="华文细黑" w:eastAsia="华文细黑" w:hint="default"/>
                <w:spacing w:val="3"/>
                <w:sz w:val="18"/>
                <w:szCs w:val="18"/>
              </w:rPr>
              <w:t>单项金额重大并单独计提</w:t>
            </w:r>
            <w:r>
              <w:rPr>
                <w:rFonts w:ascii="华文细黑" w:hAnsi="华文细黑" w:cs="华文细黑" w:eastAsia="华文细黑" w:hint="default"/>
                <w:spacing w:val="-37"/>
                <w:sz w:val="18"/>
                <w:szCs w:val="18"/>
              </w:rPr>
              <w:t> </w:t>
            </w:r>
            <w:r>
              <w:rPr>
                <w:rFonts w:ascii="华文细黑" w:hAnsi="华文细黑" w:cs="华文细黑" w:eastAsia="华文细黑" w:hint="default"/>
                <w:spacing w:val="-37"/>
                <w:sz w:val="18"/>
                <w:szCs w:val="18"/>
              </w:rPr>
            </w:r>
            <w:r>
              <w:rPr>
                <w:rFonts w:ascii="华文细黑" w:hAnsi="华文细黑" w:cs="华文细黑" w:eastAsia="华文细黑" w:hint="default"/>
                <w:sz w:val="18"/>
                <w:szCs w:val="18"/>
              </w:rPr>
              <w:t>坏账准备的应收账款</w:t>
            </w:r>
          </w:p>
        </w:tc>
        <w:tc>
          <w:tcPr>
            <w:tcW w:w="171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63,380,000.00</w:t>
            </w:r>
          </w:p>
        </w:tc>
        <w:tc>
          <w:tcPr>
            <w:tcW w:w="9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3.94</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10,166,152.00</w:t>
            </w:r>
          </w:p>
        </w:tc>
        <w:tc>
          <w:tcPr>
            <w:tcW w:w="13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16.04</w:t>
            </w:r>
          </w:p>
        </w:tc>
        <w:tc>
          <w:tcPr>
            <w:tcW w:w="18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53,213,848.00</w:t>
            </w:r>
          </w:p>
        </w:tc>
      </w:tr>
      <w:tr>
        <w:trPr>
          <w:trHeight w:val="889" w:hRule="exact"/>
        </w:trPr>
        <w:tc>
          <w:tcPr>
            <w:tcW w:w="206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12"/>
              <w:jc w:val="left"/>
              <w:rPr>
                <w:rFonts w:ascii="华文细黑" w:hAnsi="华文细黑" w:cs="华文细黑" w:eastAsia="华文细黑" w:hint="default"/>
                <w:sz w:val="18"/>
                <w:szCs w:val="18"/>
              </w:rPr>
            </w:pPr>
            <w:r>
              <w:rPr>
                <w:rFonts w:ascii="华文细黑" w:hAnsi="华文细黑" w:cs="华文细黑" w:eastAsia="华文细黑" w:hint="default"/>
                <w:spacing w:val="3"/>
                <w:sz w:val="18"/>
                <w:szCs w:val="18"/>
              </w:rPr>
              <w:t>按信用风险特征组合计提</w:t>
            </w:r>
            <w:r>
              <w:rPr>
                <w:rFonts w:ascii="华文细黑" w:hAnsi="华文细黑" w:cs="华文细黑" w:eastAsia="华文细黑" w:hint="default"/>
                <w:spacing w:val="-37"/>
                <w:sz w:val="18"/>
                <w:szCs w:val="18"/>
              </w:rPr>
              <w:t> </w:t>
            </w:r>
            <w:r>
              <w:rPr>
                <w:rFonts w:ascii="华文细黑" w:hAnsi="华文细黑" w:cs="华文细黑" w:eastAsia="华文细黑" w:hint="default"/>
                <w:spacing w:val="-37"/>
                <w:sz w:val="18"/>
                <w:szCs w:val="18"/>
              </w:rPr>
            </w:r>
            <w:r>
              <w:rPr>
                <w:rFonts w:ascii="华文细黑" w:hAnsi="华文细黑" w:cs="华文细黑" w:eastAsia="华文细黑" w:hint="default"/>
                <w:sz w:val="18"/>
                <w:szCs w:val="18"/>
              </w:rPr>
              <w:t>坏账准备的应收账款</w:t>
            </w:r>
          </w:p>
        </w:tc>
        <w:tc>
          <w:tcPr>
            <w:tcW w:w="171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pacing w:val="-1"/>
                <w:sz w:val="18"/>
              </w:rPr>
              <w:t>1,387,848,617.16</w:t>
            </w:r>
          </w:p>
        </w:tc>
        <w:tc>
          <w:tcPr>
            <w:tcW w:w="9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86.23</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pacing w:val="-1"/>
                <w:sz w:val="18"/>
              </w:rPr>
              <w:t>7,286,495.71</w:t>
            </w:r>
          </w:p>
        </w:tc>
        <w:tc>
          <w:tcPr>
            <w:tcW w:w="13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0.53</w:t>
            </w:r>
          </w:p>
        </w:tc>
        <w:tc>
          <w:tcPr>
            <w:tcW w:w="18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pacing w:val="-1"/>
                <w:sz w:val="18"/>
              </w:rPr>
              <w:t>1,380,562,121.45</w:t>
            </w:r>
          </w:p>
        </w:tc>
      </w:tr>
      <w:tr>
        <w:trPr>
          <w:trHeight w:val="491" w:hRule="exact"/>
        </w:trPr>
        <w:tc>
          <w:tcPr>
            <w:tcW w:w="206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应收保理款</w:t>
            </w:r>
          </w:p>
        </w:tc>
        <w:tc>
          <w:tcPr>
            <w:tcW w:w="171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153,620,126.57</w:t>
            </w:r>
          </w:p>
        </w:tc>
        <w:tc>
          <w:tcPr>
            <w:tcW w:w="9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9.55</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3,032,402.53</w:t>
            </w:r>
          </w:p>
        </w:tc>
        <w:tc>
          <w:tcPr>
            <w:tcW w:w="13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1.97</w:t>
            </w:r>
          </w:p>
        </w:tc>
        <w:tc>
          <w:tcPr>
            <w:tcW w:w="18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150,587,724.04</w:t>
            </w:r>
          </w:p>
        </w:tc>
      </w:tr>
      <w:tr>
        <w:trPr>
          <w:trHeight w:val="889" w:hRule="exact"/>
        </w:trPr>
        <w:tc>
          <w:tcPr>
            <w:tcW w:w="206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12"/>
              <w:jc w:val="left"/>
              <w:rPr>
                <w:rFonts w:ascii="华文细黑" w:hAnsi="华文细黑" w:cs="华文细黑" w:eastAsia="华文细黑" w:hint="default"/>
                <w:sz w:val="18"/>
                <w:szCs w:val="18"/>
              </w:rPr>
            </w:pPr>
            <w:r>
              <w:rPr>
                <w:rFonts w:ascii="华文细黑" w:hAnsi="华文细黑" w:cs="华文细黑" w:eastAsia="华文细黑" w:hint="default"/>
                <w:spacing w:val="3"/>
                <w:sz w:val="18"/>
                <w:szCs w:val="18"/>
              </w:rPr>
              <w:t>单项金额不重大但单独计</w:t>
            </w:r>
            <w:r>
              <w:rPr>
                <w:rFonts w:ascii="华文细黑" w:hAnsi="华文细黑" w:cs="华文细黑" w:eastAsia="华文细黑" w:hint="default"/>
                <w:spacing w:val="-37"/>
                <w:sz w:val="18"/>
                <w:szCs w:val="18"/>
              </w:rPr>
              <w:t> </w:t>
            </w:r>
            <w:r>
              <w:rPr>
                <w:rFonts w:ascii="华文细黑" w:hAnsi="华文细黑" w:cs="华文细黑" w:eastAsia="华文细黑" w:hint="default"/>
                <w:spacing w:val="-37"/>
                <w:sz w:val="18"/>
                <w:szCs w:val="18"/>
              </w:rPr>
            </w:r>
            <w:r>
              <w:rPr>
                <w:rFonts w:ascii="华文细黑" w:hAnsi="华文细黑" w:cs="华文细黑" w:eastAsia="华文细黑" w:hint="default"/>
                <w:sz w:val="18"/>
                <w:szCs w:val="18"/>
              </w:rPr>
              <w:t>提坏账准备的应收账款</w:t>
            </w:r>
          </w:p>
        </w:tc>
        <w:tc>
          <w:tcPr>
            <w:tcW w:w="171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4,556,361.49</w:t>
            </w:r>
          </w:p>
        </w:tc>
        <w:tc>
          <w:tcPr>
            <w:tcW w:w="9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0.28</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4,556,361.49</w:t>
            </w:r>
          </w:p>
        </w:tc>
        <w:tc>
          <w:tcPr>
            <w:tcW w:w="13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100.00</w:t>
            </w:r>
          </w:p>
        </w:tc>
        <w:tc>
          <w:tcPr>
            <w:tcW w:w="18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206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845"/>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合计</w:t>
            </w:r>
          </w:p>
        </w:tc>
        <w:tc>
          <w:tcPr>
            <w:tcW w:w="171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b/>
                <w:w w:val="95"/>
                <w:sz w:val="18"/>
              </w:rPr>
              <w:t>1,609,405,105.22</w:t>
            </w:r>
            <w:r>
              <w:rPr>
                <w:rFonts w:ascii="华文细黑"/>
                <w:sz w:val="18"/>
              </w:rPr>
            </w:r>
          </w:p>
        </w:tc>
        <w:tc>
          <w:tcPr>
            <w:tcW w:w="9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100.00</w:t>
            </w:r>
            <w:r>
              <w:rPr>
                <w:rFonts w:ascii="华文细黑"/>
                <w:sz w:val="18"/>
              </w:rPr>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b/>
                <w:w w:val="95"/>
                <w:sz w:val="18"/>
              </w:rPr>
              <w:t>25,041,411.73</w:t>
            </w:r>
            <w:r>
              <w:rPr>
                <w:rFonts w:ascii="华文细黑"/>
                <w:sz w:val="18"/>
              </w:rPr>
            </w:r>
          </w:p>
        </w:tc>
        <w:tc>
          <w:tcPr>
            <w:tcW w:w="13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b/>
                <w:w w:val="95"/>
                <w:sz w:val="18"/>
              </w:rPr>
              <w:t>1.56</w:t>
            </w:r>
            <w:r>
              <w:rPr>
                <w:rFonts w:ascii="华文细黑"/>
                <w:sz w:val="18"/>
              </w:rPr>
            </w:r>
          </w:p>
        </w:tc>
        <w:tc>
          <w:tcPr>
            <w:tcW w:w="18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1,584,363,693.49</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80" w:right="826"/>
        <w:jc w:val="left"/>
      </w:pPr>
      <w:r>
        <w:rPr/>
        <w:t>（续）</w:t>
      </w:r>
    </w:p>
    <w:p>
      <w:pPr>
        <w:spacing w:line="240" w:lineRule="auto" w:before="5"/>
        <w:rPr>
          <w:rFonts w:ascii="华文细黑" w:hAnsi="华文细黑" w:cs="华文细黑" w:eastAsia="华文细黑" w:hint="default"/>
          <w:sz w:val="5"/>
          <w:szCs w:val="5"/>
        </w:rPr>
      </w:pPr>
    </w:p>
    <w:tbl>
      <w:tblPr>
        <w:tblW w:w="0" w:type="auto"/>
        <w:jc w:val="left"/>
        <w:tblInd w:w="133" w:type="dxa"/>
        <w:tblLayout w:type="fixed"/>
        <w:tblCellMar>
          <w:top w:w="0" w:type="dxa"/>
          <w:left w:w="0" w:type="dxa"/>
          <w:bottom w:w="0" w:type="dxa"/>
          <w:right w:w="0" w:type="dxa"/>
        </w:tblCellMar>
        <w:tblLook w:val="01E0"/>
      </w:tblPr>
      <w:tblGrid>
        <w:gridCol w:w="2087"/>
        <w:gridCol w:w="1703"/>
        <w:gridCol w:w="991"/>
        <w:gridCol w:w="1505"/>
        <w:gridCol w:w="1304"/>
        <w:gridCol w:w="1691"/>
      </w:tblGrid>
      <w:tr>
        <w:trPr>
          <w:trHeight w:val="490" w:hRule="exact"/>
        </w:trPr>
        <w:tc>
          <w:tcPr>
            <w:tcW w:w="2087" w:type="dxa"/>
            <w:tcBorders>
              <w:top w:val="single" w:sz="4" w:space="0" w:color="FFC000"/>
              <w:left w:val="single" w:sz="4" w:space="0" w:color="FFC000"/>
              <w:bottom w:val="nil" w:sz="6" w:space="0" w:color="auto"/>
              <w:right w:val="single" w:sz="4" w:space="0" w:color="FFC000"/>
            </w:tcBorders>
            <w:shd w:val="clear" w:color="auto" w:fill="FFF8E6"/>
          </w:tcPr>
          <w:p>
            <w:pPr/>
          </w:p>
        </w:tc>
        <w:tc>
          <w:tcPr>
            <w:tcW w:w="7194" w:type="dxa"/>
            <w:gridSpan w:val="5"/>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2"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250" w:hRule="exact"/>
        </w:trPr>
        <w:tc>
          <w:tcPr>
            <w:tcW w:w="2087"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50"/>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类别</w:t>
            </w:r>
          </w:p>
        </w:tc>
        <w:tc>
          <w:tcPr>
            <w:tcW w:w="2694"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10"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2808"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w:t>
            </w:r>
          </w:p>
        </w:tc>
        <w:tc>
          <w:tcPr>
            <w:tcW w:w="1691" w:type="dxa"/>
            <w:tcBorders>
              <w:top w:val="single" w:sz="4" w:space="0" w:color="FFC000"/>
              <w:left w:val="single" w:sz="4" w:space="0" w:color="FFC000"/>
              <w:bottom w:val="nil" w:sz="6" w:space="0" w:color="auto"/>
              <w:right w:val="single" w:sz="4" w:space="0" w:color="FFC000"/>
            </w:tcBorders>
            <w:shd w:val="clear" w:color="auto" w:fill="FFF8E6"/>
          </w:tcPr>
          <w:p>
            <w:pPr/>
          </w:p>
        </w:tc>
      </w:tr>
      <w:tr>
        <w:trPr>
          <w:trHeight w:val="240" w:hRule="exact"/>
        </w:trPr>
        <w:tc>
          <w:tcPr>
            <w:tcW w:w="2087" w:type="dxa"/>
            <w:vMerge/>
            <w:tcBorders>
              <w:left w:val="single" w:sz="4" w:space="0" w:color="FFC000"/>
              <w:bottom w:val="nil" w:sz="6" w:space="0" w:color="auto"/>
              <w:right w:val="single" w:sz="4" w:space="0" w:color="FFC000"/>
            </w:tcBorders>
            <w:shd w:val="clear" w:color="auto" w:fill="FFF8E6"/>
          </w:tcPr>
          <w:p>
            <w:pPr/>
          </w:p>
        </w:tc>
        <w:tc>
          <w:tcPr>
            <w:tcW w:w="2694" w:type="dxa"/>
            <w:gridSpan w:val="2"/>
            <w:vMerge/>
            <w:tcBorders>
              <w:left w:val="single" w:sz="4" w:space="0" w:color="FFC000"/>
              <w:bottom w:val="single" w:sz="4" w:space="0" w:color="FFC000"/>
              <w:right w:val="single" w:sz="4" w:space="0" w:color="FFC000"/>
            </w:tcBorders>
            <w:shd w:val="clear" w:color="auto" w:fill="FFF8E6"/>
          </w:tcPr>
          <w:p>
            <w:pPr/>
          </w:p>
        </w:tc>
        <w:tc>
          <w:tcPr>
            <w:tcW w:w="2808" w:type="dxa"/>
            <w:gridSpan w:val="2"/>
            <w:vMerge/>
            <w:tcBorders>
              <w:left w:val="single" w:sz="4" w:space="0" w:color="FFC000"/>
              <w:bottom w:val="single" w:sz="4" w:space="0" w:color="FFC000"/>
              <w:right w:val="single" w:sz="4" w:space="0" w:color="FFC000"/>
            </w:tcBorders>
            <w:shd w:val="clear" w:color="auto" w:fill="FFF8E6"/>
          </w:tcPr>
          <w:p>
            <w:pPr/>
          </w:p>
        </w:tc>
        <w:tc>
          <w:tcPr>
            <w:tcW w:w="1691"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47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账面价值</w:t>
            </w:r>
          </w:p>
        </w:tc>
      </w:tr>
      <w:tr>
        <w:trPr>
          <w:trHeight w:val="240" w:hRule="exact"/>
        </w:trPr>
        <w:tc>
          <w:tcPr>
            <w:tcW w:w="2087" w:type="dxa"/>
            <w:vMerge w:val="restart"/>
            <w:tcBorders>
              <w:top w:val="nil" w:sz="6" w:space="0" w:color="auto"/>
              <w:left w:val="single" w:sz="4" w:space="0" w:color="FFC000"/>
              <w:right w:val="single" w:sz="4" w:space="0" w:color="FFC000"/>
            </w:tcBorders>
            <w:shd w:val="clear" w:color="auto" w:fill="FFF8E6"/>
          </w:tcPr>
          <w:p>
            <w:pPr/>
          </w:p>
        </w:tc>
        <w:tc>
          <w:tcPr>
            <w:tcW w:w="1703"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10"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991"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6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1505"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1304"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3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计提比例（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1691" w:type="dxa"/>
            <w:vMerge/>
            <w:tcBorders>
              <w:left w:val="single" w:sz="4" w:space="0" w:color="FFC000"/>
              <w:bottom w:val="nil" w:sz="6" w:space="0" w:color="auto"/>
              <w:right w:val="single" w:sz="4" w:space="0" w:color="FFC000"/>
            </w:tcBorders>
            <w:shd w:val="clear" w:color="auto" w:fill="FFF8E6"/>
          </w:tcPr>
          <w:p>
            <w:pPr/>
          </w:p>
        </w:tc>
      </w:tr>
      <w:tr>
        <w:trPr>
          <w:trHeight w:val="250" w:hRule="exact"/>
        </w:trPr>
        <w:tc>
          <w:tcPr>
            <w:tcW w:w="2087" w:type="dxa"/>
            <w:vMerge/>
            <w:tcBorders>
              <w:left w:val="single" w:sz="4" w:space="0" w:color="FFC000"/>
              <w:bottom w:val="single" w:sz="4" w:space="0" w:color="FFC000"/>
              <w:right w:val="single" w:sz="4" w:space="0" w:color="FFC000"/>
            </w:tcBorders>
            <w:shd w:val="clear" w:color="auto" w:fill="FFF8E6"/>
          </w:tcPr>
          <w:p>
            <w:pPr/>
          </w:p>
        </w:tc>
        <w:tc>
          <w:tcPr>
            <w:tcW w:w="1703" w:type="dxa"/>
            <w:vMerge/>
            <w:tcBorders>
              <w:left w:val="single" w:sz="4" w:space="0" w:color="FFC000"/>
              <w:bottom w:val="single" w:sz="4" w:space="0" w:color="FFC000"/>
              <w:right w:val="single" w:sz="4" w:space="0" w:color="FFC000"/>
            </w:tcBorders>
            <w:shd w:val="clear" w:color="auto" w:fill="FFF8E6"/>
          </w:tcPr>
          <w:p>
            <w:pPr/>
          </w:p>
        </w:tc>
        <w:tc>
          <w:tcPr>
            <w:tcW w:w="991" w:type="dxa"/>
            <w:vMerge/>
            <w:tcBorders>
              <w:left w:val="single" w:sz="4" w:space="0" w:color="FFC000"/>
              <w:bottom w:val="single" w:sz="4" w:space="0" w:color="FFC000"/>
              <w:right w:val="single" w:sz="4" w:space="0" w:color="FFC000"/>
            </w:tcBorders>
            <w:shd w:val="clear" w:color="auto" w:fill="FFF8E6"/>
          </w:tcPr>
          <w:p>
            <w:pPr/>
          </w:p>
        </w:tc>
        <w:tc>
          <w:tcPr>
            <w:tcW w:w="1505" w:type="dxa"/>
            <w:vMerge/>
            <w:tcBorders>
              <w:left w:val="single" w:sz="4" w:space="0" w:color="FFC000"/>
              <w:bottom w:val="single" w:sz="4" w:space="0" w:color="FFC000"/>
              <w:right w:val="single" w:sz="4" w:space="0" w:color="FFC000"/>
            </w:tcBorders>
            <w:shd w:val="clear" w:color="auto" w:fill="FFF8E6"/>
          </w:tcPr>
          <w:p>
            <w:pPr/>
          </w:p>
        </w:tc>
        <w:tc>
          <w:tcPr>
            <w:tcW w:w="1304" w:type="dxa"/>
            <w:vMerge/>
            <w:tcBorders>
              <w:left w:val="single" w:sz="4" w:space="0" w:color="FFC000"/>
              <w:bottom w:val="single" w:sz="4" w:space="0" w:color="FFC000"/>
              <w:right w:val="single" w:sz="4" w:space="0" w:color="FFC000"/>
            </w:tcBorders>
            <w:shd w:val="clear" w:color="auto" w:fill="FFF8E6"/>
          </w:tcPr>
          <w:p>
            <w:pPr/>
          </w:p>
        </w:tc>
        <w:tc>
          <w:tcPr>
            <w:tcW w:w="1691" w:type="dxa"/>
            <w:tcBorders>
              <w:top w:val="nil" w:sz="6" w:space="0" w:color="auto"/>
              <w:left w:val="single" w:sz="4" w:space="0" w:color="FFC000"/>
              <w:bottom w:val="single" w:sz="4" w:space="0" w:color="FFC000"/>
              <w:right w:val="single" w:sz="4" w:space="0" w:color="FFC000"/>
            </w:tcBorders>
            <w:shd w:val="clear" w:color="auto" w:fill="FFF8E6"/>
          </w:tcPr>
          <w:p>
            <w:pPr/>
          </w:p>
        </w:tc>
      </w:tr>
      <w:tr>
        <w:trPr>
          <w:trHeight w:val="890" w:hRule="exact"/>
        </w:trPr>
        <w:tc>
          <w:tcPr>
            <w:tcW w:w="208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12"/>
              <w:jc w:val="left"/>
              <w:rPr>
                <w:rFonts w:ascii="华文细黑" w:hAnsi="华文细黑" w:cs="华文细黑" w:eastAsia="华文细黑" w:hint="default"/>
                <w:sz w:val="18"/>
                <w:szCs w:val="18"/>
              </w:rPr>
            </w:pPr>
            <w:r>
              <w:rPr>
                <w:rFonts w:ascii="华文细黑" w:hAnsi="华文细黑" w:cs="华文细黑" w:eastAsia="华文细黑" w:hint="default"/>
                <w:spacing w:val="6"/>
                <w:sz w:val="18"/>
                <w:szCs w:val="18"/>
              </w:rPr>
              <w:t>单项金额重大并单独计提</w:t>
            </w:r>
            <w:r>
              <w:rPr>
                <w:rFonts w:ascii="华文细黑" w:hAnsi="华文细黑" w:cs="华文细黑" w:eastAsia="华文细黑" w:hint="default"/>
                <w:spacing w:val="-41"/>
                <w:sz w:val="18"/>
                <w:szCs w:val="18"/>
              </w:rPr>
              <w:t> </w:t>
            </w:r>
            <w:r>
              <w:rPr>
                <w:rFonts w:ascii="华文细黑" w:hAnsi="华文细黑" w:cs="华文细黑" w:eastAsia="华文细黑" w:hint="default"/>
                <w:spacing w:val="-41"/>
                <w:sz w:val="18"/>
                <w:szCs w:val="18"/>
              </w:rPr>
            </w:r>
            <w:r>
              <w:rPr>
                <w:rFonts w:ascii="华文细黑" w:hAnsi="华文细黑" w:cs="华文细黑" w:eastAsia="华文细黑" w:hint="default"/>
                <w:sz w:val="18"/>
                <w:szCs w:val="18"/>
              </w:rPr>
              <w:t>坏账准备的应收账款</w:t>
            </w:r>
          </w:p>
        </w:tc>
        <w:tc>
          <w:tcPr>
            <w:tcW w:w="170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31,250,136.22</w:t>
            </w:r>
          </w:p>
        </w:tc>
        <w:tc>
          <w:tcPr>
            <w:tcW w:w="9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2.30</w:t>
            </w:r>
          </w:p>
        </w:tc>
        <w:tc>
          <w:tcPr>
            <w:tcW w:w="15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31,250,136.22</w:t>
            </w:r>
          </w:p>
        </w:tc>
        <w:tc>
          <w:tcPr>
            <w:tcW w:w="130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100.00</w:t>
            </w:r>
          </w:p>
        </w:tc>
        <w:tc>
          <w:tcPr>
            <w:tcW w:w="16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r>
      <w:tr>
        <w:trPr>
          <w:trHeight w:val="889" w:hRule="exact"/>
        </w:trPr>
        <w:tc>
          <w:tcPr>
            <w:tcW w:w="208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12"/>
              <w:jc w:val="left"/>
              <w:rPr>
                <w:rFonts w:ascii="华文细黑" w:hAnsi="华文细黑" w:cs="华文细黑" w:eastAsia="华文细黑" w:hint="default"/>
                <w:sz w:val="18"/>
                <w:szCs w:val="18"/>
              </w:rPr>
            </w:pPr>
            <w:r>
              <w:rPr>
                <w:rFonts w:ascii="华文细黑" w:hAnsi="华文细黑" w:cs="华文细黑" w:eastAsia="华文细黑" w:hint="default"/>
                <w:spacing w:val="6"/>
                <w:sz w:val="18"/>
                <w:szCs w:val="18"/>
              </w:rPr>
              <w:t>按信用风险特征组合计提</w:t>
            </w:r>
            <w:r>
              <w:rPr>
                <w:rFonts w:ascii="华文细黑" w:hAnsi="华文细黑" w:cs="华文细黑" w:eastAsia="华文细黑" w:hint="default"/>
                <w:spacing w:val="-41"/>
                <w:sz w:val="18"/>
                <w:szCs w:val="18"/>
              </w:rPr>
              <w:t> </w:t>
            </w:r>
            <w:r>
              <w:rPr>
                <w:rFonts w:ascii="华文细黑" w:hAnsi="华文细黑" w:cs="华文细黑" w:eastAsia="华文细黑" w:hint="default"/>
                <w:spacing w:val="-41"/>
                <w:sz w:val="18"/>
                <w:szCs w:val="18"/>
              </w:rPr>
            </w:r>
            <w:r>
              <w:rPr>
                <w:rFonts w:ascii="华文细黑" w:hAnsi="华文细黑" w:cs="华文细黑" w:eastAsia="华文细黑" w:hint="default"/>
                <w:sz w:val="18"/>
                <w:szCs w:val="18"/>
              </w:rPr>
              <w:t>坏账准备的应收账款</w:t>
            </w:r>
          </w:p>
        </w:tc>
        <w:tc>
          <w:tcPr>
            <w:tcW w:w="170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pacing w:val="-1"/>
                <w:sz w:val="18"/>
              </w:rPr>
              <w:t>1,250,098,640.57</w:t>
            </w:r>
          </w:p>
        </w:tc>
        <w:tc>
          <w:tcPr>
            <w:tcW w:w="9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92.14</w:t>
            </w:r>
          </w:p>
        </w:tc>
        <w:tc>
          <w:tcPr>
            <w:tcW w:w="15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15,767,401.67</w:t>
            </w:r>
          </w:p>
        </w:tc>
        <w:tc>
          <w:tcPr>
            <w:tcW w:w="130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1.26</w:t>
            </w:r>
          </w:p>
        </w:tc>
        <w:tc>
          <w:tcPr>
            <w:tcW w:w="16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pacing w:val="-1"/>
                <w:sz w:val="18"/>
              </w:rPr>
              <w:t>1,234,331,238.90</w:t>
            </w:r>
          </w:p>
        </w:tc>
      </w:tr>
      <w:tr>
        <w:trPr>
          <w:trHeight w:val="491" w:hRule="exact"/>
        </w:trPr>
        <w:tc>
          <w:tcPr>
            <w:tcW w:w="208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应收保理款</w:t>
            </w:r>
          </w:p>
        </w:tc>
        <w:tc>
          <w:tcPr>
            <w:tcW w:w="170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63,190,165.00</w:t>
            </w:r>
          </w:p>
        </w:tc>
        <w:tc>
          <w:tcPr>
            <w:tcW w:w="9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4.66</w:t>
            </w:r>
          </w:p>
        </w:tc>
        <w:tc>
          <w:tcPr>
            <w:tcW w:w="15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w w:val="95"/>
                <w:sz w:val="18"/>
              </w:rPr>
              <w:t>631,901.65</w:t>
            </w:r>
          </w:p>
        </w:tc>
        <w:tc>
          <w:tcPr>
            <w:tcW w:w="130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1.00</w:t>
            </w:r>
          </w:p>
        </w:tc>
        <w:tc>
          <w:tcPr>
            <w:tcW w:w="16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62,558,263.35</w:t>
            </w:r>
          </w:p>
        </w:tc>
      </w:tr>
      <w:tr>
        <w:trPr>
          <w:trHeight w:val="889" w:hRule="exact"/>
        </w:trPr>
        <w:tc>
          <w:tcPr>
            <w:tcW w:w="208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12"/>
              <w:jc w:val="left"/>
              <w:rPr>
                <w:rFonts w:ascii="华文细黑" w:hAnsi="华文细黑" w:cs="华文细黑" w:eastAsia="华文细黑" w:hint="default"/>
                <w:sz w:val="18"/>
                <w:szCs w:val="18"/>
              </w:rPr>
            </w:pPr>
            <w:r>
              <w:rPr>
                <w:rFonts w:ascii="华文细黑" w:hAnsi="华文细黑" w:cs="华文细黑" w:eastAsia="华文细黑" w:hint="default"/>
                <w:spacing w:val="6"/>
                <w:sz w:val="18"/>
                <w:szCs w:val="18"/>
              </w:rPr>
              <w:t>单项金额不重大但单独计</w:t>
            </w:r>
            <w:r>
              <w:rPr>
                <w:rFonts w:ascii="华文细黑" w:hAnsi="华文细黑" w:cs="华文细黑" w:eastAsia="华文细黑" w:hint="default"/>
                <w:spacing w:val="-41"/>
                <w:sz w:val="18"/>
                <w:szCs w:val="18"/>
              </w:rPr>
              <w:t> </w:t>
            </w:r>
            <w:r>
              <w:rPr>
                <w:rFonts w:ascii="华文细黑" w:hAnsi="华文细黑" w:cs="华文细黑" w:eastAsia="华文细黑" w:hint="default"/>
                <w:spacing w:val="-41"/>
                <w:sz w:val="18"/>
                <w:szCs w:val="18"/>
              </w:rPr>
            </w:r>
            <w:r>
              <w:rPr>
                <w:rFonts w:ascii="华文细黑" w:hAnsi="华文细黑" w:cs="华文细黑" w:eastAsia="华文细黑" w:hint="default"/>
                <w:sz w:val="18"/>
                <w:szCs w:val="18"/>
              </w:rPr>
              <w:t>提坏账准备的应收账款</w:t>
            </w:r>
          </w:p>
        </w:tc>
        <w:tc>
          <w:tcPr>
            <w:tcW w:w="170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12,203,952.75</w:t>
            </w:r>
          </w:p>
        </w:tc>
        <w:tc>
          <w:tcPr>
            <w:tcW w:w="9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0.90</w:t>
            </w:r>
          </w:p>
        </w:tc>
        <w:tc>
          <w:tcPr>
            <w:tcW w:w="15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219" w:right="0"/>
              <w:jc w:val="left"/>
              <w:rPr>
                <w:rFonts w:ascii="华文细黑" w:hAnsi="华文细黑" w:cs="华文细黑" w:eastAsia="华文细黑" w:hint="default"/>
                <w:sz w:val="18"/>
                <w:szCs w:val="18"/>
              </w:rPr>
            </w:pPr>
            <w:r>
              <w:rPr>
                <w:rFonts w:ascii="华文细黑"/>
                <w:sz w:val="18"/>
              </w:rPr>
              <w:t>12,203,952.75</w:t>
            </w:r>
          </w:p>
        </w:tc>
        <w:tc>
          <w:tcPr>
            <w:tcW w:w="130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100.00</w:t>
            </w:r>
          </w:p>
        </w:tc>
        <w:tc>
          <w:tcPr>
            <w:tcW w:w="16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208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合计</w:t>
            </w:r>
          </w:p>
        </w:tc>
        <w:tc>
          <w:tcPr>
            <w:tcW w:w="170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b/>
                <w:w w:val="95"/>
                <w:sz w:val="18"/>
              </w:rPr>
              <w:t>1,356,742,894.54</w:t>
            </w:r>
            <w:r>
              <w:rPr>
                <w:rFonts w:ascii="华文细黑"/>
                <w:sz w:val="18"/>
              </w:rPr>
            </w:r>
          </w:p>
        </w:tc>
        <w:tc>
          <w:tcPr>
            <w:tcW w:w="9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b/>
                <w:w w:val="95"/>
                <w:sz w:val="18"/>
              </w:rPr>
              <w:t>100.00</w:t>
            </w:r>
            <w:r>
              <w:rPr>
                <w:rFonts w:ascii="华文细黑"/>
                <w:sz w:val="18"/>
              </w:rPr>
            </w:r>
          </w:p>
        </w:tc>
        <w:tc>
          <w:tcPr>
            <w:tcW w:w="15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b/>
                <w:w w:val="95"/>
                <w:sz w:val="18"/>
              </w:rPr>
              <w:t>59,853,392.29</w:t>
            </w:r>
            <w:r>
              <w:rPr>
                <w:rFonts w:ascii="华文细黑"/>
                <w:sz w:val="18"/>
              </w:rPr>
            </w:r>
          </w:p>
        </w:tc>
        <w:tc>
          <w:tcPr>
            <w:tcW w:w="130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4.41</w:t>
            </w:r>
            <w:r>
              <w:rPr>
                <w:rFonts w:ascii="华文细黑"/>
                <w:sz w:val="18"/>
              </w:rPr>
            </w:r>
          </w:p>
        </w:tc>
        <w:tc>
          <w:tcPr>
            <w:tcW w:w="16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b/>
                <w:w w:val="95"/>
                <w:sz w:val="18"/>
              </w:rPr>
              <w:t>1,296,889,502.25</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80" w:right="826"/>
        <w:jc w:val="left"/>
      </w:pPr>
      <w:r>
        <w:rPr>
          <w:rFonts w:ascii="华文细黑" w:hAnsi="华文细黑" w:cs="华文细黑" w:eastAsia="华文细黑" w:hint="default"/>
        </w:rPr>
        <w:t>A</w:t>
      </w:r>
      <w:r>
        <w:rPr/>
        <w:t>、年末单项金额重大并单项计提坏账准备的应收账款</w:t>
      </w:r>
    </w:p>
    <w:p>
      <w:pPr>
        <w:spacing w:line="240" w:lineRule="auto" w:before="5"/>
        <w:rPr>
          <w:rFonts w:ascii="华文细黑" w:hAnsi="华文细黑" w:cs="华文细黑" w:eastAsia="华文细黑" w:hint="default"/>
          <w:sz w:val="5"/>
          <w:szCs w:val="5"/>
        </w:rPr>
      </w:pPr>
    </w:p>
    <w:tbl>
      <w:tblPr>
        <w:tblW w:w="0" w:type="auto"/>
        <w:jc w:val="left"/>
        <w:tblInd w:w="203" w:type="dxa"/>
        <w:tblLayout w:type="fixed"/>
        <w:tblCellMar>
          <w:top w:w="0" w:type="dxa"/>
          <w:left w:w="0" w:type="dxa"/>
          <w:bottom w:w="0" w:type="dxa"/>
          <w:right w:w="0" w:type="dxa"/>
        </w:tblCellMar>
        <w:tblLook w:val="01E0"/>
      </w:tblPr>
      <w:tblGrid>
        <w:gridCol w:w="1832"/>
        <w:gridCol w:w="1764"/>
        <w:gridCol w:w="1702"/>
        <w:gridCol w:w="1559"/>
        <w:gridCol w:w="2285"/>
      </w:tblGrid>
      <w:tr>
        <w:trPr>
          <w:trHeight w:val="251" w:hRule="exact"/>
        </w:trPr>
        <w:tc>
          <w:tcPr>
            <w:tcW w:w="1832" w:type="dxa"/>
            <w:tcBorders>
              <w:top w:val="single" w:sz="4" w:space="0" w:color="FFC000"/>
              <w:left w:val="single" w:sz="4" w:space="0" w:color="FFC000"/>
              <w:bottom w:val="nil" w:sz="6" w:space="0" w:color="auto"/>
              <w:right w:val="single" w:sz="4" w:space="0" w:color="FFC000"/>
            </w:tcBorders>
            <w:shd w:val="clear" w:color="auto" w:fill="FFF8E6"/>
          </w:tcPr>
          <w:p>
            <w:pPr/>
          </w:p>
        </w:tc>
        <w:tc>
          <w:tcPr>
            <w:tcW w:w="7310" w:type="dxa"/>
            <w:gridSpan w:val="4"/>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239" w:hRule="exact"/>
        </w:trPr>
        <w:tc>
          <w:tcPr>
            <w:tcW w:w="1832"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9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应收账款（按单位）</w:t>
            </w:r>
          </w:p>
        </w:tc>
        <w:tc>
          <w:tcPr>
            <w:tcW w:w="7310" w:type="dxa"/>
            <w:gridSpan w:val="4"/>
            <w:vMerge/>
            <w:tcBorders>
              <w:left w:val="single" w:sz="4" w:space="0" w:color="FFC000"/>
              <w:bottom w:val="single" w:sz="4" w:space="0" w:color="FFC000"/>
              <w:right w:val="single" w:sz="4" w:space="0" w:color="FFC000"/>
            </w:tcBorders>
            <w:shd w:val="clear" w:color="auto" w:fill="FFF8E6"/>
          </w:tcPr>
          <w:p>
            <w:pPr/>
          </w:p>
        </w:tc>
      </w:tr>
      <w:tr>
        <w:trPr>
          <w:trHeight w:val="241" w:hRule="exact"/>
        </w:trPr>
        <w:tc>
          <w:tcPr>
            <w:tcW w:w="1832" w:type="dxa"/>
            <w:vMerge/>
            <w:tcBorders>
              <w:left w:val="single" w:sz="4" w:space="0" w:color="FFC000"/>
              <w:bottom w:val="nil" w:sz="6" w:space="0" w:color="auto"/>
              <w:right w:val="single" w:sz="4" w:space="0" w:color="FFC000"/>
            </w:tcBorders>
            <w:shd w:val="clear" w:color="auto" w:fill="FFF8E6"/>
          </w:tcPr>
          <w:p>
            <w:pPr/>
          </w:p>
        </w:tc>
        <w:tc>
          <w:tcPr>
            <w:tcW w:w="1764"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51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应收账款</w:t>
            </w:r>
          </w:p>
        </w:tc>
        <w:tc>
          <w:tcPr>
            <w:tcW w:w="170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48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w:t>
            </w:r>
          </w:p>
        </w:tc>
        <w:tc>
          <w:tcPr>
            <w:tcW w:w="155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41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计提比例</w:t>
            </w:r>
          </w:p>
        </w:tc>
        <w:tc>
          <w:tcPr>
            <w:tcW w:w="2285"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计提理由</w:t>
            </w:r>
          </w:p>
        </w:tc>
      </w:tr>
      <w:tr>
        <w:trPr>
          <w:trHeight w:val="250" w:hRule="exact"/>
        </w:trPr>
        <w:tc>
          <w:tcPr>
            <w:tcW w:w="1832" w:type="dxa"/>
            <w:tcBorders>
              <w:top w:val="nil" w:sz="6" w:space="0" w:color="auto"/>
              <w:left w:val="single" w:sz="4" w:space="0" w:color="FFC000"/>
              <w:bottom w:val="single" w:sz="4" w:space="0" w:color="FFC000"/>
              <w:right w:val="single" w:sz="4" w:space="0" w:color="FFC000"/>
            </w:tcBorders>
            <w:shd w:val="clear" w:color="auto" w:fill="FFF8E6"/>
          </w:tcPr>
          <w:p>
            <w:pPr/>
          </w:p>
        </w:tc>
        <w:tc>
          <w:tcPr>
            <w:tcW w:w="1764" w:type="dxa"/>
            <w:vMerge/>
            <w:tcBorders>
              <w:left w:val="single" w:sz="4" w:space="0" w:color="FFC000"/>
              <w:bottom w:val="single" w:sz="4" w:space="0" w:color="FFC000"/>
              <w:right w:val="single" w:sz="4" w:space="0" w:color="FFC000"/>
            </w:tcBorders>
            <w:shd w:val="clear" w:color="auto" w:fill="FFF8E6"/>
          </w:tcPr>
          <w:p>
            <w:pPr/>
          </w:p>
        </w:tc>
        <w:tc>
          <w:tcPr>
            <w:tcW w:w="1702" w:type="dxa"/>
            <w:vMerge/>
            <w:tcBorders>
              <w:left w:val="single" w:sz="4" w:space="0" w:color="FFC000"/>
              <w:bottom w:val="single" w:sz="4" w:space="0" w:color="FFC000"/>
              <w:right w:val="single" w:sz="4" w:space="0" w:color="FFC000"/>
            </w:tcBorders>
            <w:shd w:val="clear" w:color="auto" w:fill="FFF8E6"/>
          </w:tcPr>
          <w:p>
            <w:pPr/>
          </w:p>
        </w:tc>
        <w:tc>
          <w:tcPr>
            <w:tcW w:w="1559" w:type="dxa"/>
            <w:vMerge/>
            <w:tcBorders>
              <w:left w:val="single" w:sz="4" w:space="0" w:color="FFC000"/>
              <w:bottom w:val="single" w:sz="4" w:space="0" w:color="FFC000"/>
              <w:right w:val="single" w:sz="4" w:space="0" w:color="FFC000"/>
            </w:tcBorders>
            <w:shd w:val="clear" w:color="auto" w:fill="FFF8E6"/>
          </w:tcPr>
          <w:p>
            <w:pPr/>
          </w:p>
        </w:tc>
        <w:tc>
          <w:tcPr>
            <w:tcW w:w="2285" w:type="dxa"/>
            <w:vMerge/>
            <w:tcBorders>
              <w:left w:val="single" w:sz="4" w:space="0" w:color="FFC000"/>
              <w:bottom w:val="single" w:sz="4" w:space="0" w:color="FFC000"/>
              <w:right w:val="single" w:sz="4" w:space="0" w:color="FFC000"/>
            </w:tcBorders>
            <w:shd w:val="clear" w:color="auto" w:fill="FFF8E6"/>
          </w:tcPr>
          <w:p>
            <w:pPr/>
          </w:p>
        </w:tc>
      </w:tr>
      <w:tr>
        <w:trPr>
          <w:trHeight w:val="890" w:hRule="exact"/>
        </w:trPr>
        <w:tc>
          <w:tcPr>
            <w:tcW w:w="183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2" w:right="18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中国农垦集团有限公 司</w:t>
            </w:r>
          </w:p>
        </w:tc>
        <w:tc>
          <w:tcPr>
            <w:tcW w:w="176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63,380,000.00</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10,166,152.00</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16.04</w:t>
            </w:r>
          </w:p>
        </w:tc>
        <w:tc>
          <w:tcPr>
            <w:tcW w:w="2285" w:type="dxa"/>
            <w:tcBorders>
              <w:top w:val="single" w:sz="4" w:space="0" w:color="FFC000"/>
              <w:left w:val="single" w:sz="4" w:space="0" w:color="FFC000"/>
              <w:bottom w:val="single" w:sz="4" w:space="0" w:color="FFC000"/>
              <w:right w:val="single" w:sz="4" w:space="0" w:color="FFC000"/>
            </w:tcBorders>
          </w:tcPr>
          <w:p>
            <w:pPr>
              <w:pStyle w:val="TableParagraph"/>
              <w:spacing w:line="379" w:lineRule="auto" w:before="143"/>
              <w:ind w:left="22" w:right="25"/>
              <w:jc w:val="left"/>
              <w:rPr>
                <w:rFonts w:ascii="华文细黑" w:hAnsi="华文细黑" w:cs="华文细黑" w:eastAsia="华文细黑" w:hint="default"/>
                <w:sz w:val="18"/>
                <w:szCs w:val="18"/>
              </w:rPr>
            </w:pPr>
            <w:r>
              <w:rPr>
                <w:rFonts w:ascii="华文细黑" w:hAnsi="华文细黑" w:cs="华文细黑" w:eastAsia="华文细黑" w:hint="default"/>
                <w:spacing w:val="4"/>
                <w:sz w:val="18"/>
                <w:szCs w:val="18"/>
              </w:rPr>
              <w:t>诉讼中，回款时间及金额暂</w:t>
            </w:r>
            <w:r>
              <w:rPr>
                <w:rFonts w:ascii="华文细黑" w:hAnsi="华文细黑" w:cs="华文细黑" w:eastAsia="华文细黑" w:hint="default"/>
                <w:spacing w:val="-36"/>
                <w:sz w:val="18"/>
                <w:szCs w:val="18"/>
              </w:rPr>
              <w:t> </w:t>
            </w:r>
            <w:r>
              <w:rPr>
                <w:rFonts w:ascii="华文细黑" w:hAnsi="华文细黑" w:cs="华文细黑" w:eastAsia="华文细黑" w:hint="default"/>
                <w:spacing w:val="-36"/>
                <w:sz w:val="18"/>
                <w:szCs w:val="18"/>
              </w:rPr>
            </w:r>
            <w:r>
              <w:rPr>
                <w:rFonts w:ascii="华文细黑" w:hAnsi="华文细黑" w:cs="华文细黑" w:eastAsia="华文细黑" w:hint="default"/>
                <w:sz w:val="18"/>
                <w:szCs w:val="18"/>
              </w:rPr>
              <w:t>不确定。</w:t>
            </w:r>
          </w:p>
        </w:tc>
      </w:tr>
      <w:tr>
        <w:trPr>
          <w:trHeight w:val="491" w:hRule="exact"/>
        </w:trPr>
        <w:tc>
          <w:tcPr>
            <w:tcW w:w="183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176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b/>
                <w:w w:val="95"/>
                <w:sz w:val="18"/>
              </w:rPr>
              <w:t>63,380,000.00</w:t>
            </w:r>
            <w:r>
              <w:rPr>
                <w:rFonts w:ascii="华文细黑"/>
                <w:sz w:val="18"/>
              </w:rPr>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b/>
                <w:w w:val="95"/>
                <w:sz w:val="18"/>
              </w:rPr>
              <w:t>10,166,152.00</w:t>
            </w:r>
            <w:r>
              <w:rPr>
                <w:rFonts w:ascii="华文细黑"/>
                <w:sz w:val="18"/>
              </w:rPr>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sz w:val="18"/>
              </w:rPr>
              <w:t>16.04</w:t>
            </w:r>
            <w:r>
              <w:rPr>
                <w:rFonts w:ascii="华文细黑"/>
                <w:sz w:val="18"/>
              </w:rPr>
            </w:r>
          </w:p>
        </w:tc>
        <w:tc>
          <w:tcPr>
            <w:tcW w:w="2285" w:type="dxa"/>
            <w:tcBorders>
              <w:top w:val="single" w:sz="4" w:space="0" w:color="FFC000"/>
              <w:left w:val="single" w:sz="4" w:space="0" w:color="FFC000"/>
              <w:bottom w:val="single" w:sz="4" w:space="0" w:color="FFC000"/>
              <w:right w:val="single" w:sz="4" w:space="0" w:color="FFC000"/>
            </w:tcBorders>
          </w:tcPr>
          <w:p>
            <w:pPr/>
          </w:p>
        </w:tc>
      </w:tr>
    </w:tbl>
    <w:p>
      <w:pPr>
        <w:spacing w:after="0"/>
        <w:sectPr>
          <w:pgSz w:w="11910" w:h="16840"/>
          <w:pgMar w:header="917" w:footer="1019" w:top="1100" w:bottom="1200" w:left="1180" w:right="0"/>
        </w:sectPr>
      </w:pPr>
    </w:p>
    <w:p>
      <w:pPr>
        <w:spacing w:line="240" w:lineRule="auto" w:before="10"/>
        <w:rPr>
          <w:rFonts w:ascii="华文细黑" w:hAnsi="华文细黑" w:cs="华文细黑" w:eastAsia="华文细黑" w:hint="default"/>
          <w:sz w:val="27"/>
          <w:szCs w:val="27"/>
        </w:rPr>
      </w:pPr>
    </w:p>
    <w:p>
      <w:pPr>
        <w:pStyle w:val="BodyText"/>
        <w:spacing w:line="240" w:lineRule="auto" w:before="10"/>
        <w:ind w:left="620" w:right="1289"/>
        <w:jc w:val="left"/>
      </w:pPr>
      <w:r>
        <w:rPr>
          <w:rFonts w:ascii="华文细黑" w:hAnsi="华文细黑" w:cs="华文细黑" w:eastAsia="华文细黑" w:hint="default"/>
        </w:rPr>
        <w:t>B</w:t>
      </w:r>
      <w:r>
        <w:rPr/>
        <w:t>、组合中，按账龄分析法计提坏账准备的应收账款</w:t>
      </w:r>
    </w:p>
    <w:p>
      <w:pPr>
        <w:spacing w:line="240" w:lineRule="auto" w:before="5"/>
        <w:rPr>
          <w:rFonts w:ascii="华文细黑" w:hAnsi="华文细黑" w:cs="华文细黑" w:eastAsia="华文细黑" w:hint="default"/>
          <w:sz w:val="5"/>
          <w:szCs w:val="5"/>
        </w:rPr>
      </w:pPr>
    </w:p>
    <w:tbl>
      <w:tblPr>
        <w:tblW w:w="0" w:type="auto"/>
        <w:jc w:val="left"/>
        <w:tblInd w:w="178" w:type="dxa"/>
        <w:tblLayout w:type="fixed"/>
        <w:tblCellMar>
          <w:top w:w="0" w:type="dxa"/>
          <w:left w:w="0" w:type="dxa"/>
          <w:bottom w:w="0" w:type="dxa"/>
          <w:right w:w="0" w:type="dxa"/>
        </w:tblCellMar>
        <w:tblLook w:val="01E0"/>
      </w:tblPr>
      <w:tblGrid>
        <w:gridCol w:w="2982"/>
        <w:gridCol w:w="2280"/>
        <w:gridCol w:w="1985"/>
        <w:gridCol w:w="1842"/>
      </w:tblGrid>
      <w:tr>
        <w:trPr>
          <w:trHeight w:val="250" w:hRule="exact"/>
        </w:trPr>
        <w:tc>
          <w:tcPr>
            <w:tcW w:w="2982" w:type="dxa"/>
            <w:tcBorders>
              <w:top w:val="single" w:sz="4" w:space="0" w:color="FFC000"/>
              <w:left w:val="single" w:sz="4" w:space="0" w:color="FFC000"/>
              <w:bottom w:val="nil" w:sz="6" w:space="0" w:color="auto"/>
              <w:right w:val="single" w:sz="4" w:space="0" w:color="FFC000"/>
            </w:tcBorders>
            <w:shd w:val="clear" w:color="auto" w:fill="FFF8E6"/>
          </w:tcPr>
          <w:p>
            <w:pPr/>
          </w:p>
        </w:tc>
        <w:tc>
          <w:tcPr>
            <w:tcW w:w="6108" w:type="dxa"/>
            <w:gridSpan w:val="3"/>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10"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235" w:hRule="exact"/>
        </w:trPr>
        <w:tc>
          <w:tcPr>
            <w:tcW w:w="2982"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账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龄</w:t>
            </w:r>
          </w:p>
        </w:tc>
        <w:tc>
          <w:tcPr>
            <w:tcW w:w="6108" w:type="dxa"/>
            <w:gridSpan w:val="3"/>
            <w:vMerge/>
            <w:tcBorders>
              <w:left w:val="single" w:sz="4" w:space="0" w:color="FFC000"/>
              <w:bottom w:val="single" w:sz="4" w:space="0" w:color="FFC000"/>
              <w:right w:val="single" w:sz="4" w:space="0" w:color="FFC000"/>
            </w:tcBorders>
            <w:shd w:val="clear" w:color="auto" w:fill="FFF8E6"/>
          </w:tcPr>
          <w:p>
            <w:pPr/>
          </w:p>
        </w:tc>
      </w:tr>
      <w:tr>
        <w:trPr>
          <w:trHeight w:val="245" w:hRule="exact"/>
        </w:trPr>
        <w:tc>
          <w:tcPr>
            <w:tcW w:w="2982" w:type="dxa"/>
            <w:vMerge/>
            <w:tcBorders>
              <w:left w:val="single" w:sz="4" w:space="0" w:color="FFC000"/>
              <w:bottom w:val="nil" w:sz="6" w:space="0" w:color="auto"/>
              <w:right w:val="single" w:sz="4" w:space="0" w:color="FFC000"/>
            </w:tcBorders>
            <w:shd w:val="clear" w:color="auto" w:fill="FFF8E6"/>
          </w:tcPr>
          <w:p>
            <w:pPr/>
          </w:p>
        </w:tc>
        <w:tc>
          <w:tcPr>
            <w:tcW w:w="228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10"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应收账款</w:t>
            </w:r>
          </w:p>
        </w:tc>
        <w:tc>
          <w:tcPr>
            <w:tcW w:w="1985"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62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w:t>
            </w:r>
          </w:p>
        </w:tc>
        <w:tc>
          <w:tcPr>
            <w:tcW w:w="184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30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计提比例（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r>
      <w:tr>
        <w:trPr>
          <w:trHeight w:val="250" w:hRule="exact"/>
        </w:trPr>
        <w:tc>
          <w:tcPr>
            <w:tcW w:w="2982" w:type="dxa"/>
            <w:tcBorders>
              <w:top w:val="nil" w:sz="6" w:space="0" w:color="auto"/>
              <w:left w:val="single" w:sz="4" w:space="0" w:color="FFC000"/>
              <w:bottom w:val="single" w:sz="4" w:space="0" w:color="FFC000"/>
              <w:right w:val="single" w:sz="4" w:space="0" w:color="FFC000"/>
            </w:tcBorders>
            <w:shd w:val="clear" w:color="auto" w:fill="FFF8E6"/>
          </w:tcPr>
          <w:p>
            <w:pPr/>
          </w:p>
        </w:tc>
        <w:tc>
          <w:tcPr>
            <w:tcW w:w="2280" w:type="dxa"/>
            <w:vMerge/>
            <w:tcBorders>
              <w:left w:val="single" w:sz="4" w:space="0" w:color="FFC000"/>
              <w:bottom w:val="single" w:sz="4" w:space="0" w:color="FFC000"/>
              <w:right w:val="single" w:sz="4" w:space="0" w:color="FFC000"/>
            </w:tcBorders>
            <w:shd w:val="clear" w:color="auto" w:fill="FFF8E6"/>
          </w:tcPr>
          <w:p>
            <w:pPr/>
          </w:p>
        </w:tc>
        <w:tc>
          <w:tcPr>
            <w:tcW w:w="1985" w:type="dxa"/>
            <w:vMerge/>
            <w:tcBorders>
              <w:left w:val="single" w:sz="4" w:space="0" w:color="FFC000"/>
              <w:bottom w:val="single" w:sz="4" w:space="0" w:color="FFC000"/>
              <w:right w:val="single" w:sz="4" w:space="0" w:color="FFC000"/>
            </w:tcBorders>
            <w:shd w:val="clear" w:color="auto" w:fill="FFF8E6"/>
          </w:tcPr>
          <w:p>
            <w:pPr/>
          </w:p>
        </w:tc>
        <w:tc>
          <w:tcPr>
            <w:tcW w:w="1842" w:type="dxa"/>
            <w:vMerge/>
            <w:tcBorders>
              <w:left w:val="single" w:sz="4" w:space="0" w:color="FFC000"/>
              <w:bottom w:val="single" w:sz="4" w:space="0" w:color="FFC000"/>
              <w:right w:val="single" w:sz="4" w:space="0" w:color="FFC000"/>
            </w:tcBorders>
            <w:shd w:val="clear" w:color="auto" w:fill="FFF8E6"/>
          </w:tcPr>
          <w:p>
            <w:pPr/>
          </w:p>
        </w:tc>
      </w:tr>
      <w:tr>
        <w:trPr>
          <w:trHeight w:val="491" w:hRule="exact"/>
        </w:trPr>
        <w:tc>
          <w:tcPr>
            <w:tcW w:w="298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年以内</w:t>
            </w:r>
          </w:p>
        </w:tc>
        <w:tc>
          <w:tcPr>
            <w:tcW w:w="228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1,380,034,068.95</w:t>
            </w:r>
          </w:p>
        </w:tc>
        <w:tc>
          <w:tcPr>
            <w:tcW w:w="19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3,884,286.52</w:t>
            </w:r>
          </w:p>
        </w:tc>
        <w:tc>
          <w:tcPr>
            <w:tcW w:w="184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0.28</w:t>
            </w:r>
          </w:p>
        </w:tc>
      </w:tr>
      <w:tr>
        <w:trPr>
          <w:trHeight w:val="490" w:hRule="exact"/>
        </w:trPr>
        <w:tc>
          <w:tcPr>
            <w:tcW w:w="298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w:t>
            </w:r>
            <w:r>
              <w:rPr>
                <w:rFonts w:ascii="华文细黑" w:hAnsi="华文细黑" w:cs="华文细黑" w:eastAsia="华文细黑" w:hint="default"/>
                <w:sz w:val="18"/>
                <w:szCs w:val="18"/>
              </w:rPr>
              <w:t>3 </w:t>
            </w:r>
            <w:r>
              <w:rPr>
                <w:rFonts w:ascii="华文细黑" w:hAnsi="华文细黑" w:cs="华文细黑" w:eastAsia="华文细黑" w:hint="default"/>
                <w:sz w:val="18"/>
                <w:szCs w:val="18"/>
              </w:rPr>
              <w:t>个月以内</w:t>
            </w:r>
          </w:p>
        </w:tc>
        <w:tc>
          <w:tcPr>
            <w:tcW w:w="228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1,352,749,652.61</w:t>
            </w:r>
          </w:p>
        </w:tc>
        <w:tc>
          <w:tcPr>
            <w:tcW w:w="19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w w:val="95"/>
                <w:sz w:val="18"/>
              </w:rPr>
              <w:t>309,749.35</w:t>
            </w:r>
          </w:p>
        </w:tc>
        <w:tc>
          <w:tcPr>
            <w:tcW w:w="184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0.02</w:t>
            </w:r>
          </w:p>
        </w:tc>
      </w:tr>
      <w:tr>
        <w:trPr>
          <w:trHeight w:val="490" w:hRule="exact"/>
        </w:trPr>
        <w:tc>
          <w:tcPr>
            <w:tcW w:w="298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5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3-6</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个月</w:t>
            </w:r>
          </w:p>
        </w:tc>
        <w:tc>
          <w:tcPr>
            <w:tcW w:w="228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22,194,579.22</w:t>
            </w:r>
          </w:p>
        </w:tc>
        <w:tc>
          <w:tcPr>
            <w:tcW w:w="19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2,129,588.60</w:t>
            </w:r>
          </w:p>
        </w:tc>
        <w:tc>
          <w:tcPr>
            <w:tcW w:w="184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9.60</w:t>
            </w:r>
          </w:p>
        </w:tc>
      </w:tr>
      <w:tr>
        <w:trPr>
          <w:trHeight w:val="491" w:hRule="exact"/>
        </w:trPr>
        <w:tc>
          <w:tcPr>
            <w:tcW w:w="298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55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6 </w:t>
            </w:r>
            <w:r>
              <w:rPr>
                <w:rFonts w:ascii="华文细黑" w:hAnsi="华文细黑" w:cs="华文细黑" w:eastAsia="华文细黑" w:hint="default"/>
                <w:sz w:val="18"/>
                <w:szCs w:val="18"/>
              </w:rPr>
              <w:t>个月</w:t>
            </w:r>
            <w:r>
              <w:rPr>
                <w:rFonts w:ascii="华文细黑" w:hAnsi="华文细黑" w:cs="华文细黑" w:eastAsia="华文细黑" w:hint="default"/>
                <w:sz w:val="18"/>
                <w:szCs w:val="18"/>
              </w:rPr>
              <w:t>-1</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年</w:t>
            </w:r>
          </w:p>
        </w:tc>
        <w:tc>
          <w:tcPr>
            <w:tcW w:w="228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5,089,837.12</w:t>
            </w:r>
          </w:p>
        </w:tc>
        <w:tc>
          <w:tcPr>
            <w:tcW w:w="19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1,444,948.57</w:t>
            </w:r>
          </w:p>
        </w:tc>
        <w:tc>
          <w:tcPr>
            <w:tcW w:w="184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28.39</w:t>
            </w:r>
          </w:p>
        </w:tc>
      </w:tr>
      <w:tr>
        <w:trPr>
          <w:trHeight w:val="490" w:hRule="exact"/>
        </w:trPr>
        <w:tc>
          <w:tcPr>
            <w:tcW w:w="298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 </w:t>
            </w:r>
            <w:r>
              <w:rPr>
                <w:rFonts w:ascii="华文细黑" w:hAnsi="华文细黑" w:cs="华文细黑" w:eastAsia="华文细黑" w:hint="default"/>
                <w:sz w:val="18"/>
                <w:szCs w:val="18"/>
              </w:rPr>
              <w:t>至 </w:t>
            </w:r>
            <w:r>
              <w:rPr>
                <w:rFonts w:ascii="华文细黑" w:hAnsi="华文细黑" w:cs="华文细黑" w:eastAsia="华文细黑" w:hint="default"/>
                <w:sz w:val="18"/>
                <w:szCs w:val="18"/>
              </w:rPr>
              <w:t>2</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w:t>
            </w:r>
          </w:p>
        </w:tc>
        <w:tc>
          <w:tcPr>
            <w:tcW w:w="228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pacing w:val="-1"/>
                <w:sz w:val="18"/>
              </w:rPr>
              <w:t>5,042,108.83</w:t>
            </w:r>
          </w:p>
        </w:tc>
        <w:tc>
          <w:tcPr>
            <w:tcW w:w="19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w w:val="95"/>
                <w:sz w:val="18"/>
              </w:rPr>
              <w:t>629,874.81</w:t>
            </w:r>
          </w:p>
        </w:tc>
        <w:tc>
          <w:tcPr>
            <w:tcW w:w="184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12.49</w:t>
            </w:r>
          </w:p>
        </w:tc>
      </w:tr>
      <w:tr>
        <w:trPr>
          <w:trHeight w:val="490" w:hRule="exact"/>
        </w:trPr>
        <w:tc>
          <w:tcPr>
            <w:tcW w:w="298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 </w:t>
            </w:r>
            <w:r>
              <w:rPr>
                <w:rFonts w:ascii="华文细黑" w:hAnsi="华文细黑" w:cs="华文细黑" w:eastAsia="华文细黑" w:hint="default"/>
                <w:sz w:val="18"/>
                <w:szCs w:val="18"/>
              </w:rPr>
              <w:t>至 </w:t>
            </w:r>
            <w:r>
              <w:rPr>
                <w:rFonts w:ascii="华文细黑" w:hAnsi="华文细黑" w:cs="华文细黑" w:eastAsia="华文细黑" w:hint="default"/>
                <w:sz w:val="18"/>
                <w:szCs w:val="18"/>
              </w:rPr>
              <w:t>3</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w:t>
            </w:r>
          </w:p>
        </w:tc>
        <w:tc>
          <w:tcPr>
            <w:tcW w:w="228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2,750,983.36</w:t>
            </w:r>
          </w:p>
        </w:tc>
        <w:tc>
          <w:tcPr>
            <w:tcW w:w="19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2,750,878.36</w:t>
            </w:r>
          </w:p>
        </w:tc>
        <w:tc>
          <w:tcPr>
            <w:tcW w:w="184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100.00</w:t>
            </w:r>
          </w:p>
        </w:tc>
      </w:tr>
      <w:tr>
        <w:trPr>
          <w:trHeight w:val="491" w:hRule="exact"/>
        </w:trPr>
        <w:tc>
          <w:tcPr>
            <w:tcW w:w="298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年以上</w:t>
            </w:r>
          </w:p>
        </w:tc>
        <w:tc>
          <w:tcPr>
            <w:tcW w:w="228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z w:val="18"/>
              </w:rPr>
              <w:t>21,456.02</w:t>
            </w:r>
          </w:p>
        </w:tc>
        <w:tc>
          <w:tcPr>
            <w:tcW w:w="19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z w:val="18"/>
              </w:rPr>
              <w:t>21,456.02</w:t>
            </w:r>
          </w:p>
        </w:tc>
        <w:tc>
          <w:tcPr>
            <w:tcW w:w="184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100.00</w:t>
            </w:r>
          </w:p>
        </w:tc>
      </w:tr>
      <w:tr>
        <w:trPr>
          <w:trHeight w:val="490" w:hRule="exact"/>
        </w:trPr>
        <w:tc>
          <w:tcPr>
            <w:tcW w:w="298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28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1,387,848,617.16</w:t>
            </w:r>
            <w:r>
              <w:rPr>
                <w:rFonts w:ascii="华文细黑"/>
                <w:sz w:val="18"/>
              </w:rPr>
            </w:r>
          </w:p>
        </w:tc>
        <w:tc>
          <w:tcPr>
            <w:tcW w:w="19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7,286,495.71</w:t>
            </w:r>
            <w:r>
              <w:rPr>
                <w:rFonts w:ascii="华文细黑"/>
                <w:sz w:val="18"/>
              </w:rPr>
            </w:r>
          </w:p>
        </w:tc>
        <w:tc>
          <w:tcPr>
            <w:tcW w:w="184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0.53</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20" w:right="1289"/>
        <w:jc w:val="left"/>
      </w:pPr>
      <w:r>
        <w:rPr>
          <w:rFonts w:ascii="华文细黑" w:hAnsi="华文细黑" w:cs="华文细黑" w:eastAsia="华文细黑" w:hint="default"/>
        </w:rPr>
        <w:t>C</w:t>
      </w:r>
      <w:r>
        <w:rPr/>
        <w:t>、按贷款五级分类计提坏账准备的应收保理款</w:t>
      </w:r>
    </w:p>
    <w:p>
      <w:pPr>
        <w:spacing w:line="240" w:lineRule="auto" w:before="5"/>
        <w:rPr>
          <w:rFonts w:ascii="华文细黑" w:hAnsi="华文细黑" w:cs="华文细黑" w:eastAsia="华文细黑" w:hint="default"/>
          <w:sz w:val="5"/>
          <w:szCs w:val="5"/>
        </w:rPr>
      </w:pPr>
    </w:p>
    <w:tbl>
      <w:tblPr>
        <w:tblW w:w="0" w:type="auto"/>
        <w:jc w:val="left"/>
        <w:tblInd w:w="101" w:type="dxa"/>
        <w:tblLayout w:type="fixed"/>
        <w:tblCellMar>
          <w:top w:w="0" w:type="dxa"/>
          <w:left w:w="0" w:type="dxa"/>
          <w:bottom w:w="0" w:type="dxa"/>
          <w:right w:w="0" w:type="dxa"/>
        </w:tblCellMar>
        <w:tblLook w:val="01E0"/>
      </w:tblPr>
      <w:tblGrid>
        <w:gridCol w:w="3086"/>
        <w:gridCol w:w="2268"/>
        <w:gridCol w:w="1986"/>
        <w:gridCol w:w="1874"/>
      </w:tblGrid>
      <w:tr>
        <w:trPr>
          <w:trHeight w:val="490" w:hRule="exact"/>
        </w:trPr>
        <w:tc>
          <w:tcPr>
            <w:tcW w:w="3086"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35"/>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组合名称</w:t>
            </w:r>
          </w:p>
        </w:tc>
        <w:tc>
          <w:tcPr>
            <w:tcW w:w="6129" w:type="dxa"/>
            <w:gridSpan w:val="3"/>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490" w:hRule="exact"/>
        </w:trPr>
        <w:tc>
          <w:tcPr>
            <w:tcW w:w="3086" w:type="dxa"/>
            <w:vMerge/>
            <w:tcBorders>
              <w:left w:val="single" w:sz="4" w:space="0" w:color="FFC000"/>
              <w:bottom w:val="single" w:sz="4" w:space="0" w:color="FFC000"/>
              <w:right w:val="single" w:sz="4" w:space="0" w:color="FFC000"/>
            </w:tcBorders>
            <w:shd w:val="clear" w:color="auto" w:fill="FFF8E6"/>
          </w:tcPr>
          <w:p>
            <w:pPr/>
          </w:p>
        </w:tc>
        <w:tc>
          <w:tcPr>
            <w:tcW w:w="22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应收账款</w:t>
            </w:r>
          </w:p>
        </w:tc>
        <w:tc>
          <w:tcPr>
            <w:tcW w:w="19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62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w:t>
            </w:r>
          </w:p>
        </w:tc>
        <w:tc>
          <w:tcPr>
            <w:tcW w:w="187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32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计提比例（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r>
      <w:tr>
        <w:trPr>
          <w:trHeight w:val="490" w:hRule="exact"/>
        </w:trPr>
        <w:tc>
          <w:tcPr>
            <w:tcW w:w="3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正常</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4,000,000.00</w:t>
            </w:r>
          </w:p>
        </w:tc>
        <w:tc>
          <w:tcPr>
            <w:tcW w:w="198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4"/>
              <w:jc w:val="right"/>
              <w:rPr>
                <w:rFonts w:ascii="华文细黑" w:hAnsi="华文细黑" w:cs="华文细黑" w:eastAsia="华文细黑" w:hint="default"/>
                <w:sz w:val="18"/>
                <w:szCs w:val="18"/>
              </w:rPr>
            </w:pPr>
            <w:r>
              <w:rPr>
                <w:rFonts w:ascii="华文细黑"/>
                <w:sz w:val="18"/>
              </w:rPr>
              <w:t>40,000.00</w:t>
            </w:r>
          </w:p>
        </w:tc>
        <w:tc>
          <w:tcPr>
            <w:tcW w:w="18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sz w:val="18"/>
              </w:rPr>
              <w:t>1.00</w:t>
            </w:r>
          </w:p>
        </w:tc>
      </w:tr>
      <w:tr>
        <w:trPr>
          <w:trHeight w:val="491" w:hRule="exact"/>
        </w:trPr>
        <w:tc>
          <w:tcPr>
            <w:tcW w:w="3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关注</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149,620,126.57</w:t>
            </w:r>
          </w:p>
        </w:tc>
        <w:tc>
          <w:tcPr>
            <w:tcW w:w="198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sz w:val="18"/>
              </w:rPr>
              <w:t>2,992,402.53</w:t>
            </w:r>
          </w:p>
        </w:tc>
        <w:tc>
          <w:tcPr>
            <w:tcW w:w="18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sz w:val="18"/>
              </w:rPr>
              <w:t>2.00</w:t>
            </w:r>
          </w:p>
        </w:tc>
      </w:tr>
      <w:tr>
        <w:trPr>
          <w:trHeight w:val="490" w:hRule="exact"/>
        </w:trPr>
        <w:tc>
          <w:tcPr>
            <w:tcW w:w="3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次级</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c>
          <w:tcPr>
            <w:tcW w:w="198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c>
          <w:tcPr>
            <w:tcW w:w="18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3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可疑</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c>
          <w:tcPr>
            <w:tcW w:w="198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c>
          <w:tcPr>
            <w:tcW w:w="18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3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损失</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c>
          <w:tcPr>
            <w:tcW w:w="198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c>
          <w:tcPr>
            <w:tcW w:w="18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3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b/>
                <w:w w:val="95"/>
                <w:sz w:val="18"/>
              </w:rPr>
              <w:t>153,620,126.57</w:t>
            </w:r>
            <w:r>
              <w:rPr>
                <w:rFonts w:ascii="华文细黑"/>
                <w:sz w:val="18"/>
              </w:rPr>
            </w:r>
          </w:p>
        </w:tc>
        <w:tc>
          <w:tcPr>
            <w:tcW w:w="198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3"/>
              <w:jc w:val="right"/>
              <w:rPr>
                <w:rFonts w:ascii="华文细黑" w:hAnsi="华文细黑" w:cs="华文细黑" w:eastAsia="华文细黑" w:hint="default"/>
                <w:sz w:val="18"/>
                <w:szCs w:val="18"/>
              </w:rPr>
            </w:pPr>
            <w:r>
              <w:rPr>
                <w:rFonts w:ascii="华文细黑"/>
                <w:b/>
                <w:w w:val="95"/>
                <w:sz w:val="18"/>
              </w:rPr>
              <w:t>3,032,402.53</w:t>
            </w:r>
            <w:r>
              <w:rPr>
                <w:rFonts w:ascii="华文细黑"/>
                <w:sz w:val="18"/>
              </w:rPr>
            </w:r>
          </w:p>
        </w:tc>
        <w:tc>
          <w:tcPr>
            <w:tcW w:w="18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b/>
                <w:w w:val="95"/>
                <w:sz w:val="18"/>
              </w:rPr>
              <w:t>1.97</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355" w:lineRule="auto" w:before="10"/>
        <w:ind w:left="620" w:right="5644"/>
        <w:jc w:val="left"/>
      </w:pPr>
      <w:r>
        <w:rPr/>
        <w:t>②本年计提、收回或转回的坏账准备情况 本年计提坏账准备的金额为 </w:t>
      </w:r>
      <w:r>
        <w:rPr>
          <w:rFonts w:ascii="华文细黑" w:hAnsi="华文细黑" w:cs="华文细黑" w:eastAsia="华文细黑" w:hint="default"/>
        </w:rPr>
        <w:t>11,443,941.48</w:t>
      </w:r>
      <w:r>
        <w:rPr>
          <w:rFonts w:ascii="华文细黑" w:hAnsi="华文细黑" w:cs="华文细黑" w:eastAsia="华文细黑" w:hint="default"/>
          <w:spacing w:val="-1"/>
        </w:rPr>
        <w:t> </w:t>
      </w:r>
      <w:r>
        <w:rPr/>
        <w:t>元。</w:t>
      </w:r>
    </w:p>
    <w:p>
      <w:pPr>
        <w:pStyle w:val="BodyText"/>
        <w:spacing w:line="240" w:lineRule="auto" w:before="35"/>
        <w:ind w:left="620" w:right="1289"/>
        <w:jc w:val="left"/>
      </w:pPr>
      <w:r>
        <w:rPr/>
        <w:t>③本年实际核销的应收账款情况</w:t>
      </w:r>
    </w:p>
    <w:p>
      <w:pPr>
        <w:spacing w:line="240" w:lineRule="auto" w:before="6"/>
        <w:rPr>
          <w:rFonts w:ascii="华文细黑" w:hAnsi="华文细黑" w:cs="华文细黑" w:eastAsia="华文细黑" w:hint="default"/>
          <w:sz w:val="5"/>
          <w:szCs w:val="5"/>
        </w:rPr>
      </w:pPr>
    </w:p>
    <w:tbl>
      <w:tblPr>
        <w:tblW w:w="0" w:type="auto"/>
        <w:jc w:val="left"/>
        <w:tblInd w:w="178" w:type="dxa"/>
        <w:tblLayout w:type="fixed"/>
        <w:tblCellMar>
          <w:top w:w="0" w:type="dxa"/>
          <w:left w:w="0" w:type="dxa"/>
          <w:bottom w:w="0" w:type="dxa"/>
          <w:right w:w="0" w:type="dxa"/>
        </w:tblCellMar>
        <w:tblLook w:val="01E0"/>
      </w:tblPr>
      <w:tblGrid>
        <w:gridCol w:w="4413"/>
        <w:gridCol w:w="4677"/>
      </w:tblGrid>
      <w:tr>
        <w:trPr>
          <w:trHeight w:val="490" w:hRule="exact"/>
        </w:trPr>
        <w:tc>
          <w:tcPr>
            <w:tcW w:w="441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4"/>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46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核销金额</w:t>
            </w:r>
          </w:p>
        </w:tc>
      </w:tr>
      <w:tr>
        <w:trPr>
          <w:trHeight w:val="491" w:hRule="exact"/>
        </w:trPr>
        <w:tc>
          <w:tcPr>
            <w:tcW w:w="441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实际核销的应收账款</w:t>
            </w:r>
          </w:p>
        </w:tc>
        <w:tc>
          <w:tcPr>
            <w:tcW w:w="467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46,255,922.04</w:t>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20" w:right="1289"/>
        <w:jc w:val="left"/>
      </w:pPr>
      <w:r>
        <w:rPr/>
        <w:t>其中：重要的应收账款核销情况</w:t>
      </w:r>
    </w:p>
    <w:p>
      <w:pPr>
        <w:spacing w:after="0" w:line="240" w:lineRule="auto"/>
        <w:jc w:val="left"/>
        <w:sectPr>
          <w:pgSz w:w="11910" w:h="16840"/>
          <w:pgMar w:header="917" w:footer="1019" w:top="1100" w:bottom="1200" w:left="1240" w:right="0"/>
        </w:sectPr>
      </w:pPr>
    </w:p>
    <w:p>
      <w:pPr>
        <w:spacing w:line="240" w:lineRule="auto" w:before="8"/>
        <w:rPr>
          <w:rFonts w:ascii="华文细黑" w:hAnsi="华文细黑" w:cs="华文细黑" w:eastAsia="华文细黑" w:hint="default"/>
          <w:sz w:val="23"/>
          <w:szCs w:val="23"/>
        </w:rPr>
      </w:pPr>
    </w:p>
    <w:tbl>
      <w:tblPr>
        <w:tblW w:w="0" w:type="auto"/>
        <w:jc w:val="left"/>
        <w:tblInd w:w="167" w:type="dxa"/>
        <w:tblLayout w:type="fixed"/>
        <w:tblCellMar>
          <w:top w:w="0" w:type="dxa"/>
          <w:left w:w="0" w:type="dxa"/>
          <w:bottom w:w="0" w:type="dxa"/>
          <w:right w:w="0" w:type="dxa"/>
        </w:tblCellMar>
        <w:tblLook w:val="01E0"/>
      </w:tblPr>
      <w:tblGrid>
        <w:gridCol w:w="1304"/>
        <w:gridCol w:w="992"/>
        <w:gridCol w:w="1844"/>
        <w:gridCol w:w="2268"/>
        <w:gridCol w:w="1276"/>
        <w:gridCol w:w="1405"/>
      </w:tblGrid>
      <w:tr>
        <w:trPr>
          <w:trHeight w:val="226" w:hRule="exact"/>
        </w:trPr>
        <w:tc>
          <w:tcPr>
            <w:tcW w:w="1304" w:type="dxa"/>
            <w:tcBorders>
              <w:top w:val="single" w:sz="4" w:space="0" w:color="FFC000"/>
              <w:left w:val="single" w:sz="4" w:space="0" w:color="FFC000"/>
              <w:bottom w:val="nil" w:sz="6" w:space="0" w:color="auto"/>
              <w:right w:val="single" w:sz="4" w:space="0" w:color="FFC000"/>
            </w:tcBorders>
            <w:shd w:val="clear" w:color="auto" w:fill="FFF8E6"/>
          </w:tcPr>
          <w:p>
            <w:pPr/>
          </w:p>
        </w:tc>
        <w:tc>
          <w:tcPr>
            <w:tcW w:w="99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8"/>
              <w:ind w:right="0"/>
              <w:jc w:val="left"/>
              <w:rPr>
                <w:rFonts w:ascii="华文细黑" w:hAnsi="华文细黑" w:cs="华文细黑" w:eastAsia="华文细黑" w:hint="default"/>
                <w:sz w:val="11"/>
                <w:szCs w:val="11"/>
              </w:rPr>
            </w:pPr>
          </w:p>
          <w:p>
            <w:pPr>
              <w:pStyle w:val="TableParagraph"/>
              <w:spacing w:line="379" w:lineRule="auto"/>
              <w:ind w:left="401" w:right="38" w:hanging="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应收账款性 质</w:t>
            </w:r>
          </w:p>
        </w:tc>
        <w:tc>
          <w:tcPr>
            <w:tcW w:w="1844" w:type="dxa"/>
            <w:tcBorders>
              <w:top w:val="single" w:sz="4" w:space="0" w:color="FFC000"/>
              <w:left w:val="single" w:sz="4" w:space="0" w:color="FFC000"/>
              <w:bottom w:val="nil" w:sz="6" w:space="0" w:color="auto"/>
              <w:right w:val="single" w:sz="4" w:space="0" w:color="FFC000"/>
            </w:tcBorders>
            <w:shd w:val="clear" w:color="auto" w:fill="FFF8E6"/>
          </w:tcPr>
          <w:p>
            <w:pPr/>
          </w:p>
        </w:tc>
        <w:tc>
          <w:tcPr>
            <w:tcW w:w="2268" w:type="dxa"/>
            <w:tcBorders>
              <w:top w:val="single" w:sz="4" w:space="0" w:color="FFC000"/>
              <w:left w:val="single" w:sz="4" w:space="0" w:color="FFC000"/>
              <w:bottom w:val="nil" w:sz="6" w:space="0" w:color="auto"/>
              <w:right w:val="single" w:sz="4" w:space="0" w:color="FFC000"/>
            </w:tcBorders>
            <w:shd w:val="clear" w:color="auto" w:fill="FFF8E6"/>
          </w:tcPr>
          <w:p>
            <w:pPr/>
          </w:p>
        </w:tc>
        <w:tc>
          <w:tcPr>
            <w:tcW w:w="1276"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3"/>
              <w:ind w:left="542" w:right="93" w:hanging="45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履行的核销程 序</w:t>
            </w:r>
          </w:p>
        </w:tc>
        <w:tc>
          <w:tcPr>
            <w:tcW w:w="1405" w:type="dxa"/>
            <w:vMerge w:val="restart"/>
            <w:tcBorders>
              <w:top w:val="single" w:sz="4" w:space="0" w:color="FFC000"/>
              <w:left w:val="single" w:sz="4" w:space="0" w:color="FFC000"/>
              <w:right w:val="single" w:sz="4" w:space="0" w:color="FFC000"/>
            </w:tcBorders>
            <w:shd w:val="clear" w:color="auto" w:fill="FFF8E6"/>
          </w:tcPr>
          <w:p>
            <w:pPr>
              <w:pStyle w:val="TableParagraph"/>
              <w:spacing w:line="440" w:lineRule="exact" w:before="9"/>
              <w:ind w:left="337" w:right="246" w:hanging="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是否因关联 交易产生</w:t>
            </w:r>
          </w:p>
        </w:tc>
      </w:tr>
      <w:tr>
        <w:trPr>
          <w:trHeight w:val="480" w:hRule="exact"/>
        </w:trPr>
        <w:tc>
          <w:tcPr>
            <w:tcW w:w="1304"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28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单位名称</w:t>
            </w:r>
          </w:p>
        </w:tc>
        <w:tc>
          <w:tcPr>
            <w:tcW w:w="992" w:type="dxa"/>
            <w:vMerge/>
            <w:tcBorders>
              <w:left w:val="single" w:sz="4" w:space="0" w:color="FFC000"/>
              <w:right w:val="single" w:sz="4" w:space="0" w:color="FFC000"/>
            </w:tcBorders>
            <w:shd w:val="clear" w:color="auto" w:fill="FFF8E6"/>
          </w:tcPr>
          <w:p>
            <w:pPr/>
          </w:p>
        </w:tc>
        <w:tc>
          <w:tcPr>
            <w:tcW w:w="1844"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55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核销金额</w:t>
            </w:r>
          </w:p>
        </w:tc>
        <w:tc>
          <w:tcPr>
            <w:tcW w:w="2268"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核销原因</w:t>
            </w:r>
          </w:p>
        </w:tc>
        <w:tc>
          <w:tcPr>
            <w:tcW w:w="1276" w:type="dxa"/>
            <w:vMerge/>
            <w:tcBorders>
              <w:left w:val="single" w:sz="4" w:space="0" w:color="FFC000"/>
              <w:right w:val="single" w:sz="4" w:space="0" w:color="FFC000"/>
            </w:tcBorders>
            <w:shd w:val="clear" w:color="auto" w:fill="FFF8E6"/>
          </w:tcPr>
          <w:p>
            <w:pPr/>
          </w:p>
        </w:tc>
        <w:tc>
          <w:tcPr>
            <w:tcW w:w="1405" w:type="dxa"/>
            <w:vMerge/>
            <w:tcBorders>
              <w:left w:val="single" w:sz="4" w:space="0" w:color="FFC000"/>
              <w:right w:val="single" w:sz="4" w:space="0" w:color="FFC000"/>
            </w:tcBorders>
            <w:shd w:val="clear" w:color="auto" w:fill="FFF8E6"/>
          </w:tcPr>
          <w:p>
            <w:pPr/>
          </w:p>
        </w:tc>
      </w:tr>
      <w:tr>
        <w:trPr>
          <w:trHeight w:val="224" w:hRule="exact"/>
        </w:trPr>
        <w:tc>
          <w:tcPr>
            <w:tcW w:w="1304" w:type="dxa"/>
            <w:tcBorders>
              <w:top w:val="nil" w:sz="6" w:space="0" w:color="auto"/>
              <w:left w:val="single" w:sz="4" w:space="0" w:color="FFC000"/>
              <w:bottom w:val="single" w:sz="4" w:space="0" w:color="FFC000"/>
              <w:right w:val="single" w:sz="4" w:space="0" w:color="FFC000"/>
            </w:tcBorders>
            <w:shd w:val="clear" w:color="auto" w:fill="FFF8E6"/>
          </w:tcPr>
          <w:p>
            <w:pPr/>
          </w:p>
        </w:tc>
        <w:tc>
          <w:tcPr>
            <w:tcW w:w="992" w:type="dxa"/>
            <w:vMerge/>
            <w:tcBorders>
              <w:left w:val="single" w:sz="4" w:space="0" w:color="FFC000"/>
              <w:bottom w:val="single" w:sz="4" w:space="0" w:color="FFC000"/>
              <w:right w:val="single" w:sz="4" w:space="0" w:color="FFC000"/>
            </w:tcBorders>
            <w:shd w:val="clear" w:color="auto" w:fill="FFF8E6"/>
          </w:tcPr>
          <w:p>
            <w:pPr/>
          </w:p>
        </w:tc>
        <w:tc>
          <w:tcPr>
            <w:tcW w:w="1844" w:type="dxa"/>
            <w:tcBorders>
              <w:top w:val="nil" w:sz="6" w:space="0" w:color="auto"/>
              <w:left w:val="single" w:sz="4" w:space="0" w:color="FFC000"/>
              <w:bottom w:val="single" w:sz="4" w:space="0" w:color="FFC000"/>
              <w:right w:val="single" w:sz="4" w:space="0" w:color="FFC000"/>
            </w:tcBorders>
            <w:shd w:val="clear" w:color="auto" w:fill="FFF8E6"/>
          </w:tcPr>
          <w:p>
            <w:pPr/>
          </w:p>
        </w:tc>
        <w:tc>
          <w:tcPr>
            <w:tcW w:w="2268" w:type="dxa"/>
            <w:tcBorders>
              <w:top w:val="nil" w:sz="6" w:space="0" w:color="auto"/>
              <w:left w:val="single" w:sz="4" w:space="0" w:color="FFC000"/>
              <w:bottom w:val="single" w:sz="4" w:space="0" w:color="FFC000"/>
              <w:right w:val="single" w:sz="4" w:space="0" w:color="FFC000"/>
            </w:tcBorders>
            <w:shd w:val="clear" w:color="auto" w:fill="FFF8E6"/>
          </w:tcPr>
          <w:p>
            <w:pPr/>
          </w:p>
        </w:tc>
        <w:tc>
          <w:tcPr>
            <w:tcW w:w="1276" w:type="dxa"/>
            <w:vMerge/>
            <w:tcBorders>
              <w:left w:val="single" w:sz="4" w:space="0" w:color="FFC000"/>
              <w:bottom w:val="single" w:sz="4" w:space="0" w:color="FFC000"/>
              <w:right w:val="single" w:sz="4" w:space="0" w:color="FFC000"/>
            </w:tcBorders>
            <w:shd w:val="clear" w:color="auto" w:fill="FFF8E6"/>
          </w:tcPr>
          <w:p>
            <w:pPr/>
          </w:p>
        </w:tc>
        <w:tc>
          <w:tcPr>
            <w:tcW w:w="1405" w:type="dxa"/>
            <w:vMerge/>
            <w:tcBorders>
              <w:left w:val="single" w:sz="4" w:space="0" w:color="FFC000"/>
              <w:bottom w:val="single" w:sz="4" w:space="0" w:color="FFC000"/>
              <w:right w:val="single" w:sz="4" w:space="0" w:color="FFC000"/>
            </w:tcBorders>
            <w:shd w:val="clear" w:color="auto" w:fill="FFF8E6"/>
          </w:tcPr>
          <w:p>
            <w:pPr/>
          </w:p>
        </w:tc>
      </w:tr>
      <w:tr>
        <w:trPr>
          <w:trHeight w:val="205" w:hRule="exact"/>
        </w:trPr>
        <w:tc>
          <w:tcPr>
            <w:tcW w:w="1304" w:type="dxa"/>
            <w:tcBorders>
              <w:top w:val="single" w:sz="4" w:space="0" w:color="FFC000"/>
              <w:left w:val="single" w:sz="4" w:space="0" w:color="FFC000"/>
              <w:bottom w:val="nil" w:sz="6" w:space="0" w:color="auto"/>
              <w:right w:val="single" w:sz="4" w:space="0" w:color="FFC000"/>
            </w:tcBorders>
            <w:shd w:val="clear" w:color="auto" w:fill="FFF8E6"/>
          </w:tcPr>
          <w:p>
            <w:pPr/>
          </w:p>
        </w:tc>
        <w:tc>
          <w:tcPr>
            <w:tcW w:w="992" w:type="dxa"/>
            <w:vMerge w:val="restart"/>
            <w:tcBorders>
              <w:top w:val="single" w:sz="8" w:space="0" w:color="FFF8E6"/>
              <w:left w:val="single" w:sz="9" w:space="0" w:color="FFF8E6"/>
              <w:right w:val="single" w:sz="4" w:space="0" w:color="FFC000"/>
            </w:tcBorders>
          </w:tcPr>
          <w:p>
            <w:pPr>
              <w:pStyle w:val="TableParagraph"/>
              <w:spacing w:line="240" w:lineRule="auto" w:before="1"/>
              <w:ind w:right="0"/>
              <w:jc w:val="left"/>
              <w:rPr>
                <w:rFonts w:ascii="华文细黑" w:hAnsi="华文细黑" w:cs="华文细黑" w:eastAsia="华文细黑" w:hint="default"/>
                <w:sz w:val="24"/>
                <w:szCs w:val="24"/>
              </w:rPr>
            </w:pPr>
          </w:p>
          <w:p>
            <w:pPr>
              <w:pStyle w:val="TableParagraph"/>
              <w:spacing w:line="240" w:lineRule="auto"/>
              <w:ind w:left="30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货款</w:t>
            </w:r>
          </w:p>
        </w:tc>
        <w:tc>
          <w:tcPr>
            <w:tcW w:w="1844" w:type="dxa"/>
            <w:vMerge w:val="restart"/>
            <w:tcBorders>
              <w:top w:val="single" w:sz="4" w:space="0" w:color="FFC000"/>
              <w:left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662" w:right="0"/>
              <w:jc w:val="left"/>
              <w:rPr>
                <w:rFonts w:ascii="华文细黑" w:hAnsi="华文细黑" w:cs="华文细黑" w:eastAsia="华文细黑" w:hint="default"/>
                <w:sz w:val="18"/>
                <w:szCs w:val="18"/>
              </w:rPr>
            </w:pPr>
            <w:r>
              <w:rPr>
                <w:rFonts w:ascii="华文细黑"/>
                <w:sz w:val="18"/>
              </w:rPr>
              <w:t>11,599,673.72</w:t>
            </w:r>
          </w:p>
        </w:tc>
        <w:tc>
          <w:tcPr>
            <w:tcW w:w="2268" w:type="dxa"/>
            <w:vMerge w:val="restart"/>
            <w:tcBorders>
              <w:top w:val="single" w:sz="4" w:space="0" w:color="FFC000"/>
              <w:left w:val="single" w:sz="4" w:space="0" w:color="FFC000"/>
              <w:right w:val="single" w:sz="4" w:space="0" w:color="FFC000"/>
            </w:tcBorders>
          </w:tcPr>
          <w:p>
            <w:pPr>
              <w:pStyle w:val="TableParagraph"/>
              <w:spacing w:line="379" w:lineRule="auto" w:before="143"/>
              <w:ind w:left="22" w:right="17"/>
              <w:jc w:val="left"/>
              <w:rPr>
                <w:rFonts w:ascii="华文细黑" w:hAnsi="华文细黑" w:cs="华文细黑" w:eastAsia="华文细黑" w:hint="default"/>
                <w:sz w:val="18"/>
                <w:szCs w:val="18"/>
              </w:rPr>
            </w:pPr>
            <w:r>
              <w:rPr>
                <w:rFonts w:ascii="华文细黑" w:hAnsi="华文细黑" w:cs="华文细黑" w:eastAsia="华文细黑" w:hint="default"/>
                <w:spacing w:val="4"/>
                <w:sz w:val="18"/>
                <w:szCs w:val="18"/>
              </w:rPr>
              <w:t>法院裁定执行终结，目前未 </w:t>
            </w:r>
            <w:r>
              <w:rPr>
                <w:rFonts w:ascii="华文细黑" w:hAnsi="华文细黑" w:cs="华文细黑" w:eastAsia="华文细黑" w:hint="default"/>
                <w:sz w:val="18"/>
                <w:szCs w:val="18"/>
              </w:rPr>
              <w:t>收到任何执行回款。</w:t>
            </w:r>
          </w:p>
        </w:tc>
        <w:tc>
          <w:tcPr>
            <w:tcW w:w="1276" w:type="dxa"/>
            <w:vMerge w:val="restart"/>
            <w:tcBorders>
              <w:top w:val="single" w:sz="16" w:space="0" w:color="FFF8E6"/>
              <w:left w:val="single" w:sz="4" w:space="0" w:color="FFC000"/>
              <w:right w:val="single" w:sz="4" w:space="0" w:color="FFC000"/>
            </w:tcBorders>
          </w:tcPr>
          <w:p>
            <w:pPr>
              <w:pStyle w:val="TableParagraph"/>
              <w:spacing w:line="240" w:lineRule="auto" w:before="2"/>
              <w:ind w:right="0"/>
              <w:jc w:val="left"/>
              <w:rPr>
                <w:rFonts w:ascii="华文细黑" w:hAnsi="华文细黑" w:cs="华文细黑" w:eastAsia="华文细黑" w:hint="default"/>
                <w:sz w:val="19"/>
                <w:szCs w:val="19"/>
              </w:rPr>
            </w:pPr>
          </w:p>
          <w:p>
            <w:pPr>
              <w:pStyle w:val="TableParagraph"/>
              <w:spacing w:line="240" w:lineRule="auto"/>
              <w:ind w:left="18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董事会审批</w:t>
            </w:r>
          </w:p>
        </w:tc>
        <w:tc>
          <w:tcPr>
            <w:tcW w:w="1405" w:type="dxa"/>
            <w:vMerge w:val="restart"/>
            <w:tcBorders>
              <w:top w:val="single" w:sz="4" w:space="0" w:color="FFC000"/>
              <w:left w:val="single" w:sz="4" w:space="0" w:color="FFC000"/>
              <w:right w:val="single" w:sz="4" w:space="0" w:color="FFC000"/>
            </w:tcBorders>
          </w:tcPr>
          <w:p>
            <w:pPr>
              <w:pStyle w:val="TableParagraph"/>
              <w:spacing w:line="240" w:lineRule="auto" w:before="3"/>
              <w:ind w:right="0"/>
              <w:jc w:val="left"/>
              <w:rPr>
                <w:rFonts w:ascii="华文细黑" w:hAnsi="华文细黑" w:cs="华文细黑" w:eastAsia="华文细黑" w:hint="default"/>
                <w:sz w:val="20"/>
                <w:szCs w:val="20"/>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80" w:hRule="exact"/>
        </w:trPr>
        <w:tc>
          <w:tcPr>
            <w:tcW w:w="1304"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客户</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A</w:t>
            </w:r>
          </w:p>
        </w:tc>
        <w:tc>
          <w:tcPr>
            <w:tcW w:w="992" w:type="dxa"/>
            <w:vMerge/>
            <w:tcBorders>
              <w:left w:val="single" w:sz="9" w:space="0" w:color="FFF8E6"/>
              <w:right w:val="single" w:sz="4" w:space="0" w:color="FFC000"/>
            </w:tcBorders>
          </w:tcPr>
          <w:p>
            <w:pPr/>
          </w:p>
        </w:tc>
        <w:tc>
          <w:tcPr>
            <w:tcW w:w="1844" w:type="dxa"/>
            <w:vMerge/>
            <w:tcBorders>
              <w:left w:val="single" w:sz="4" w:space="0" w:color="FFC000"/>
              <w:right w:val="single" w:sz="4" w:space="0" w:color="FFC000"/>
            </w:tcBorders>
          </w:tcPr>
          <w:p>
            <w:pPr/>
          </w:p>
        </w:tc>
        <w:tc>
          <w:tcPr>
            <w:tcW w:w="2268" w:type="dxa"/>
            <w:vMerge/>
            <w:tcBorders>
              <w:left w:val="single" w:sz="4" w:space="0" w:color="FFC000"/>
              <w:right w:val="single" w:sz="4" w:space="0" w:color="FFC000"/>
            </w:tcBorders>
          </w:tcPr>
          <w:p>
            <w:pPr/>
          </w:p>
        </w:tc>
        <w:tc>
          <w:tcPr>
            <w:tcW w:w="1276" w:type="dxa"/>
            <w:vMerge/>
            <w:tcBorders>
              <w:left w:val="single" w:sz="4" w:space="0" w:color="FFC000"/>
              <w:right w:val="single" w:sz="4" w:space="0" w:color="FFC000"/>
            </w:tcBorders>
          </w:tcPr>
          <w:p>
            <w:pPr/>
          </w:p>
        </w:tc>
        <w:tc>
          <w:tcPr>
            <w:tcW w:w="1405" w:type="dxa"/>
            <w:vMerge/>
            <w:tcBorders>
              <w:left w:val="single" w:sz="4" w:space="0" w:color="FFC000"/>
              <w:right w:val="single" w:sz="4" w:space="0" w:color="FFC000"/>
            </w:tcBorders>
          </w:tcPr>
          <w:p>
            <w:pPr/>
          </w:p>
        </w:tc>
      </w:tr>
      <w:tr>
        <w:trPr>
          <w:trHeight w:val="205" w:hRule="exact"/>
        </w:trPr>
        <w:tc>
          <w:tcPr>
            <w:tcW w:w="1304" w:type="dxa"/>
            <w:tcBorders>
              <w:top w:val="nil" w:sz="6" w:space="0" w:color="auto"/>
              <w:left w:val="single" w:sz="4" w:space="0" w:color="FFC000"/>
              <w:bottom w:val="single" w:sz="4" w:space="0" w:color="FFC000"/>
              <w:right w:val="single" w:sz="4" w:space="0" w:color="FFC000"/>
            </w:tcBorders>
            <w:shd w:val="clear" w:color="auto" w:fill="FFF8E6"/>
          </w:tcPr>
          <w:p>
            <w:pPr/>
          </w:p>
        </w:tc>
        <w:tc>
          <w:tcPr>
            <w:tcW w:w="992" w:type="dxa"/>
            <w:vMerge/>
            <w:tcBorders>
              <w:left w:val="single" w:sz="9" w:space="0" w:color="FFF8E6"/>
              <w:bottom w:val="single" w:sz="4" w:space="0" w:color="FFC000"/>
              <w:right w:val="single" w:sz="4" w:space="0" w:color="FFC000"/>
            </w:tcBorders>
          </w:tcPr>
          <w:p>
            <w:pPr/>
          </w:p>
        </w:tc>
        <w:tc>
          <w:tcPr>
            <w:tcW w:w="1844" w:type="dxa"/>
            <w:vMerge/>
            <w:tcBorders>
              <w:left w:val="single" w:sz="4" w:space="0" w:color="FFC000"/>
              <w:bottom w:val="single" w:sz="4" w:space="0" w:color="FFC000"/>
              <w:right w:val="single" w:sz="4" w:space="0" w:color="FFC000"/>
            </w:tcBorders>
          </w:tcPr>
          <w:p>
            <w:pPr/>
          </w:p>
        </w:tc>
        <w:tc>
          <w:tcPr>
            <w:tcW w:w="2268" w:type="dxa"/>
            <w:vMerge/>
            <w:tcBorders>
              <w:left w:val="single" w:sz="4" w:space="0" w:color="FFC000"/>
              <w:bottom w:val="single" w:sz="4" w:space="0" w:color="FFC000"/>
              <w:right w:val="single" w:sz="4" w:space="0" w:color="FFC000"/>
            </w:tcBorders>
          </w:tcPr>
          <w:p>
            <w:pPr/>
          </w:p>
        </w:tc>
        <w:tc>
          <w:tcPr>
            <w:tcW w:w="1276" w:type="dxa"/>
            <w:vMerge/>
            <w:tcBorders>
              <w:left w:val="single" w:sz="4" w:space="0" w:color="FFC000"/>
              <w:bottom w:val="single" w:sz="4" w:space="0" w:color="FFC000"/>
              <w:right w:val="single" w:sz="4" w:space="0" w:color="FFC000"/>
            </w:tcBorders>
          </w:tcPr>
          <w:p>
            <w:pPr/>
          </w:p>
        </w:tc>
        <w:tc>
          <w:tcPr>
            <w:tcW w:w="1405" w:type="dxa"/>
            <w:vMerge/>
            <w:tcBorders>
              <w:left w:val="single" w:sz="4" w:space="0" w:color="FFC000"/>
              <w:bottom w:val="single" w:sz="4" w:space="0" w:color="FFC000"/>
              <w:right w:val="single" w:sz="4" w:space="0" w:color="FFC000"/>
            </w:tcBorders>
          </w:tcPr>
          <w:p>
            <w:pPr/>
          </w:p>
        </w:tc>
      </w:tr>
      <w:tr>
        <w:trPr>
          <w:trHeight w:val="205" w:hRule="exact"/>
        </w:trPr>
        <w:tc>
          <w:tcPr>
            <w:tcW w:w="1304" w:type="dxa"/>
            <w:tcBorders>
              <w:top w:val="single" w:sz="4" w:space="0" w:color="FFC000"/>
              <w:left w:val="single" w:sz="4" w:space="0" w:color="FFC000"/>
              <w:bottom w:val="nil" w:sz="6" w:space="0" w:color="auto"/>
              <w:right w:val="single" w:sz="4" w:space="0" w:color="FFC000"/>
            </w:tcBorders>
            <w:shd w:val="clear" w:color="auto" w:fill="FFF8E6"/>
          </w:tcPr>
          <w:p>
            <w:pPr/>
          </w:p>
        </w:tc>
        <w:tc>
          <w:tcPr>
            <w:tcW w:w="992" w:type="dxa"/>
            <w:vMerge w:val="restart"/>
            <w:tcBorders>
              <w:top w:val="single" w:sz="4" w:space="0" w:color="FFC000"/>
              <w:left w:val="single" w:sz="9" w:space="0" w:color="FFF8E6"/>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30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货款</w:t>
            </w:r>
          </w:p>
        </w:tc>
        <w:tc>
          <w:tcPr>
            <w:tcW w:w="1844" w:type="dxa"/>
            <w:vMerge w:val="restart"/>
            <w:tcBorders>
              <w:top w:val="single" w:sz="4" w:space="0" w:color="FFC000"/>
              <w:left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662" w:right="0"/>
              <w:jc w:val="left"/>
              <w:rPr>
                <w:rFonts w:ascii="华文细黑" w:hAnsi="华文细黑" w:cs="华文细黑" w:eastAsia="华文细黑" w:hint="default"/>
                <w:sz w:val="18"/>
                <w:szCs w:val="18"/>
              </w:rPr>
            </w:pPr>
            <w:r>
              <w:rPr>
                <w:rFonts w:ascii="华文细黑"/>
                <w:sz w:val="18"/>
              </w:rPr>
              <w:t>10,238,000.00</w:t>
            </w:r>
          </w:p>
        </w:tc>
        <w:tc>
          <w:tcPr>
            <w:tcW w:w="2268" w:type="dxa"/>
            <w:vMerge w:val="restart"/>
            <w:tcBorders>
              <w:top w:val="single" w:sz="4" w:space="0" w:color="FFC000"/>
              <w:left w:val="single" w:sz="4" w:space="0" w:color="FFC000"/>
              <w:right w:val="single" w:sz="4" w:space="0" w:color="FFC000"/>
            </w:tcBorders>
          </w:tcPr>
          <w:p>
            <w:pPr>
              <w:pStyle w:val="TableParagraph"/>
              <w:spacing w:line="379" w:lineRule="auto" w:before="143"/>
              <w:ind w:left="22" w:right="17"/>
              <w:jc w:val="left"/>
              <w:rPr>
                <w:rFonts w:ascii="华文细黑" w:hAnsi="华文细黑" w:cs="华文细黑" w:eastAsia="华文细黑" w:hint="default"/>
                <w:sz w:val="18"/>
                <w:szCs w:val="18"/>
              </w:rPr>
            </w:pPr>
            <w:r>
              <w:rPr>
                <w:rFonts w:ascii="华文细黑" w:hAnsi="华文细黑" w:cs="华文细黑" w:eastAsia="华文细黑" w:hint="default"/>
                <w:spacing w:val="4"/>
                <w:sz w:val="18"/>
                <w:szCs w:val="18"/>
              </w:rPr>
              <w:t>法院裁定执行终结，目前未 </w:t>
            </w:r>
            <w:r>
              <w:rPr>
                <w:rFonts w:ascii="华文细黑" w:hAnsi="华文细黑" w:cs="华文细黑" w:eastAsia="华文细黑" w:hint="default"/>
                <w:sz w:val="18"/>
                <w:szCs w:val="18"/>
              </w:rPr>
              <w:t>收到任何执行回款。</w:t>
            </w:r>
          </w:p>
        </w:tc>
        <w:tc>
          <w:tcPr>
            <w:tcW w:w="1276" w:type="dxa"/>
            <w:vMerge w:val="restart"/>
            <w:tcBorders>
              <w:top w:val="single" w:sz="4" w:space="0" w:color="FFC000"/>
              <w:left w:val="single" w:sz="4" w:space="0" w:color="FFC000"/>
              <w:right w:val="single" w:sz="4" w:space="0" w:color="FFC000"/>
            </w:tcBorders>
          </w:tcPr>
          <w:p>
            <w:pPr>
              <w:pStyle w:val="TableParagraph"/>
              <w:spacing w:line="240" w:lineRule="auto" w:before="2"/>
              <w:ind w:right="0"/>
              <w:jc w:val="left"/>
              <w:rPr>
                <w:rFonts w:ascii="华文细黑" w:hAnsi="华文细黑" w:cs="华文细黑" w:eastAsia="华文细黑" w:hint="default"/>
                <w:sz w:val="20"/>
                <w:szCs w:val="20"/>
              </w:rPr>
            </w:pPr>
          </w:p>
          <w:p>
            <w:pPr>
              <w:pStyle w:val="TableParagraph"/>
              <w:spacing w:line="240" w:lineRule="auto"/>
              <w:ind w:left="18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董事会审批</w:t>
            </w:r>
          </w:p>
        </w:tc>
        <w:tc>
          <w:tcPr>
            <w:tcW w:w="1405" w:type="dxa"/>
            <w:vMerge w:val="restart"/>
            <w:tcBorders>
              <w:top w:val="single" w:sz="4" w:space="0" w:color="FFC000"/>
              <w:left w:val="single" w:sz="4" w:space="0" w:color="FFC000"/>
              <w:right w:val="single" w:sz="4" w:space="0" w:color="FFC000"/>
            </w:tcBorders>
          </w:tcPr>
          <w:p>
            <w:pPr>
              <w:pStyle w:val="TableParagraph"/>
              <w:spacing w:line="240" w:lineRule="auto" w:before="2"/>
              <w:ind w:right="0"/>
              <w:jc w:val="left"/>
              <w:rPr>
                <w:rFonts w:ascii="华文细黑" w:hAnsi="华文细黑" w:cs="华文细黑" w:eastAsia="华文细黑" w:hint="default"/>
                <w:sz w:val="20"/>
                <w:szCs w:val="20"/>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80" w:hRule="exact"/>
        </w:trPr>
        <w:tc>
          <w:tcPr>
            <w:tcW w:w="1304"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客户</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B</w:t>
            </w:r>
          </w:p>
        </w:tc>
        <w:tc>
          <w:tcPr>
            <w:tcW w:w="992" w:type="dxa"/>
            <w:vMerge/>
            <w:tcBorders>
              <w:left w:val="single" w:sz="9" w:space="0" w:color="FFF8E6"/>
              <w:right w:val="single" w:sz="4" w:space="0" w:color="FFC000"/>
            </w:tcBorders>
          </w:tcPr>
          <w:p>
            <w:pPr/>
          </w:p>
        </w:tc>
        <w:tc>
          <w:tcPr>
            <w:tcW w:w="1844" w:type="dxa"/>
            <w:vMerge/>
            <w:tcBorders>
              <w:left w:val="single" w:sz="4" w:space="0" w:color="FFC000"/>
              <w:right w:val="single" w:sz="4" w:space="0" w:color="FFC000"/>
            </w:tcBorders>
          </w:tcPr>
          <w:p>
            <w:pPr/>
          </w:p>
        </w:tc>
        <w:tc>
          <w:tcPr>
            <w:tcW w:w="2268" w:type="dxa"/>
            <w:vMerge/>
            <w:tcBorders>
              <w:left w:val="single" w:sz="4" w:space="0" w:color="FFC000"/>
              <w:right w:val="single" w:sz="4" w:space="0" w:color="FFC000"/>
            </w:tcBorders>
          </w:tcPr>
          <w:p>
            <w:pPr/>
          </w:p>
        </w:tc>
        <w:tc>
          <w:tcPr>
            <w:tcW w:w="1276" w:type="dxa"/>
            <w:vMerge/>
            <w:tcBorders>
              <w:left w:val="single" w:sz="4" w:space="0" w:color="FFC000"/>
              <w:right w:val="single" w:sz="4" w:space="0" w:color="FFC000"/>
            </w:tcBorders>
          </w:tcPr>
          <w:p>
            <w:pPr/>
          </w:p>
        </w:tc>
        <w:tc>
          <w:tcPr>
            <w:tcW w:w="1405" w:type="dxa"/>
            <w:vMerge/>
            <w:tcBorders>
              <w:left w:val="single" w:sz="4" w:space="0" w:color="FFC000"/>
              <w:right w:val="single" w:sz="4" w:space="0" w:color="FFC000"/>
            </w:tcBorders>
          </w:tcPr>
          <w:p>
            <w:pPr/>
          </w:p>
        </w:tc>
      </w:tr>
      <w:tr>
        <w:trPr>
          <w:trHeight w:val="204" w:hRule="exact"/>
        </w:trPr>
        <w:tc>
          <w:tcPr>
            <w:tcW w:w="1304" w:type="dxa"/>
            <w:tcBorders>
              <w:top w:val="nil" w:sz="6" w:space="0" w:color="auto"/>
              <w:left w:val="single" w:sz="4" w:space="0" w:color="FFC000"/>
              <w:bottom w:val="single" w:sz="4" w:space="0" w:color="FFC000"/>
              <w:right w:val="single" w:sz="4" w:space="0" w:color="FFC000"/>
            </w:tcBorders>
            <w:shd w:val="clear" w:color="auto" w:fill="FFF8E6"/>
          </w:tcPr>
          <w:p>
            <w:pPr/>
          </w:p>
        </w:tc>
        <w:tc>
          <w:tcPr>
            <w:tcW w:w="992" w:type="dxa"/>
            <w:vMerge/>
            <w:tcBorders>
              <w:left w:val="single" w:sz="9" w:space="0" w:color="FFF8E6"/>
              <w:bottom w:val="single" w:sz="4" w:space="0" w:color="FFC000"/>
              <w:right w:val="single" w:sz="4" w:space="0" w:color="FFC000"/>
            </w:tcBorders>
          </w:tcPr>
          <w:p>
            <w:pPr/>
          </w:p>
        </w:tc>
        <w:tc>
          <w:tcPr>
            <w:tcW w:w="1844" w:type="dxa"/>
            <w:vMerge/>
            <w:tcBorders>
              <w:left w:val="single" w:sz="4" w:space="0" w:color="FFC000"/>
              <w:bottom w:val="single" w:sz="4" w:space="0" w:color="FFC000"/>
              <w:right w:val="single" w:sz="4" w:space="0" w:color="FFC000"/>
            </w:tcBorders>
          </w:tcPr>
          <w:p>
            <w:pPr/>
          </w:p>
        </w:tc>
        <w:tc>
          <w:tcPr>
            <w:tcW w:w="2268" w:type="dxa"/>
            <w:vMerge/>
            <w:tcBorders>
              <w:left w:val="single" w:sz="4" w:space="0" w:color="FFC000"/>
              <w:bottom w:val="single" w:sz="4" w:space="0" w:color="FFC000"/>
              <w:right w:val="single" w:sz="4" w:space="0" w:color="FFC000"/>
            </w:tcBorders>
          </w:tcPr>
          <w:p>
            <w:pPr/>
          </w:p>
        </w:tc>
        <w:tc>
          <w:tcPr>
            <w:tcW w:w="1276" w:type="dxa"/>
            <w:vMerge/>
            <w:tcBorders>
              <w:left w:val="single" w:sz="4" w:space="0" w:color="FFC000"/>
              <w:bottom w:val="single" w:sz="4" w:space="0" w:color="FFC000"/>
              <w:right w:val="single" w:sz="4" w:space="0" w:color="FFC000"/>
            </w:tcBorders>
          </w:tcPr>
          <w:p>
            <w:pPr/>
          </w:p>
        </w:tc>
        <w:tc>
          <w:tcPr>
            <w:tcW w:w="1405" w:type="dxa"/>
            <w:vMerge/>
            <w:tcBorders>
              <w:left w:val="single" w:sz="4" w:space="0" w:color="FFC000"/>
              <w:bottom w:val="single" w:sz="4" w:space="0" w:color="FFC000"/>
              <w:right w:val="single" w:sz="4" w:space="0" w:color="FFC000"/>
            </w:tcBorders>
          </w:tcPr>
          <w:p>
            <w:pPr/>
          </w:p>
        </w:tc>
      </w:tr>
      <w:tr>
        <w:trPr>
          <w:trHeight w:val="205" w:hRule="exact"/>
        </w:trPr>
        <w:tc>
          <w:tcPr>
            <w:tcW w:w="1304" w:type="dxa"/>
            <w:tcBorders>
              <w:top w:val="single" w:sz="4" w:space="0" w:color="FFC000"/>
              <w:left w:val="single" w:sz="4" w:space="0" w:color="FFC000"/>
              <w:bottom w:val="nil" w:sz="6" w:space="0" w:color="auto"/>
              <w:right w:val="single" w:sz="4" w:space="0" w:color="FFC000"/>
            </w:tcBorders>
            <w:shd w:val="clear" w:color="auto" w:fill="FFF8E6"/>
          </w:tcPr>
          <w:p>
            <w:pPr/>
          </w:p>
        </w:tc>
        <w:tc>
          <w:tcPr>
            <w:tcW w:w="992" w:type="dxa"/>
            <w:vMerge w:val="restart"/>
            <w:tcBorders>
              <w:top w:val="single" w:sz="4" w:space="0" w:color="FFC000"/>
              <w:left w:val="single" w:sz="9" w:space="0" w:color="FFF8E6"/>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30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货款</w:t>
            </w:r>
          </w:p>
        </w:tc>
        <w:tc>
          <w:tcPr>
            <w:tcW w:w="1844" w:type="dxa"/>
            <w:vMerge w:val="restart"/>
            <w:tcBorders>
              <w:top w:val="single" w:sz="4" w:space="0" w:color="FFC000"/>
              <w:left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761" w:right="0"/>
              <w:jc w:val="left"/>
              <w:rPr>
                <w:rFonts w:ascii="华文细黑" w:hAnsi="华文细黑" w:cs="华文细黑" w:eastAsia="华文细黑" w:hint="default"/>
                <w:sz w:val="18"/>
                <w:szCs w:val="18"/>
              </w:rPr>
            </w:pPr>
            <w:r>
              <w:rPr>
                <w:rFonts w:ascii="华文细黑"/>
                <w:sz w:val="18"/>
              </w:rPr>
              <w:t>9,464,890.50</w:t>
            </w:r>
          </w:p>
        </w:tc>
        <w:tc>
          <w:tcPr>
            <w:tcW w:w="2268" w:type="dxa"/>
            <w:vMerge w:val="restart"/>
            <w:tcBorders>
              <w:top w:val="single" w:sz="4" w:space="0" w:color="FFC000"/>
              <w:left w:val="single" w:sz="4" w:space="0" w:color="FFC000"/>
              <w:right w:val="single" w:sz="4" w:space="0" w:color="FFC000"/>
            </w:tcBorders>
          </w:tcPr>
          <w:p>
            <w:pPr>
              <w:pStyle w:val="TableParagraph"/>
              <w:spacing w:line="376" w:lineRule="auto" w:before="144"/>
              <w:ind w:left="22" w:right="17"/>
              <w:jc w:val="left"/>
              <w:rPr>
                <w:rFonts w:ascii="华文细黑" w:hAnsi="华文细黑" w:cs="华文细黑" w:eastAsia="华文细黑" w:hint="default"/>
                <w:sz w:val="18"/>
                <w:szCs w:val="18"/>
              </w:rPr>
            </w:pPr>
            <w:r>
              <w:rPr>
                <w:rFonts w:ascii="华文细黑" w:hAnsi="华文细黑" w:cs="华文细黑" w:eastAsia="华文细黑" w:hint="default"/>
                <w:spacing w:val="4"/>
                <w:sz w:val="18"/>
                <w:szCs w:val="18"/>
              </w:rPr>
              <w:t>法院裁定执行终结，目前未 </w:t>
            </w:r>
            <w:r>
              <w:rPr>
                <w:rFonts w:ascii="华文细黑" w:hAnsi="华文细黑" w:cs="华文细黑" w:eastAsia="华文细黑" w:hint="default"/>
                <w:sz w:val="18"/>
                <w:szCs w:val="18"/>
              </w:rPr>
              <w:t>收到任何执行回款。</w:t>
            </w:r>
          </w:p>
        </w:tc>
        <w:tc>
          <w:tcPr>
            <w:tcW w:w="1276" w:type="dxa"/>
            <w:vMerge w:val="restart"/>
            <w:tcBorders>
              <w:top w:val="single" w:sz="4" w:space="0" w:color="FFC000"/>
              <w:left w:val="single" w:sz="4" w:space="0" w:color="FFC000"/>
              <w:right w:val="single" w:sz="4" w:space="0" w:color="FFC000"/>
            </w:tcBorders>
          </w:tcPr>
          <w:p>
            <w:pPr>
              <w:pStyle w:val="TableParagraph"/>
              <w:spacing w:line="240" w:lineRule="auto" w:before="2"/>
              <w:ind w:right="0"/>
              <w:jc w:val="left"/>
              <w:rPr>
                <w:rFonts w:ascii="华文细黑" w:hAnsi="华文细黑" w:cs="华文细黑" w:eastAsia="华文细黑" w:hint="default"/>
                <w:sz w:val="20"/>
                <w:szCs w:val="20"/>
              </w:rPr>
            </w:pPr>
          </w:p>
          <w:p>
            <w:pPr>
              <w:pStyle w:val="TableParagraph"/>
              <w:spacing w:line="240" w:lineRule="auto"/>
              <w:ind w:left="18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董事会审批</w:t>
            </w:r>
          </w:p>
        </w:tc>
        <w:tc>
          <w:tcPr>
            <w:tcW w:w="1405" w:type="dxa"/>
            <w:vMerge w:val="restart"/>
            <w:tcBorders>
              <w:top w:val="single" w:sz="4" w:space="0" w:color="FFC000"/>
              <w:left w:val="single" w:sz="4" w:space="0" w:color="FFC000"/>
              <w:right w:val="single" w:sz="4" w:space="0" w:color="FFC000"/>
            </w:tcBorders>
          </w:tcPr>
          <w:p>
            <w:pPr>
              <w:pStyle w:val="TableParagraph"/>
              <w:spacing w:line="240" w:lineRule="auto" w:before="2"/>
              <w:ind w:right="0"/>
              <w:jc w:val="left"/>
              <w:rPr>
                <w:rFonts w:ascii="华文细黑" w:hAnsi="华文细黑" w:cs="华文细黑" w:eastAsia="华文细黑" w:hint="default"/>
                <w:sz w:val="20"/>
                <w:szCs w:val="20"/>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80" w:hRule="exact"/>
        </w:trPr>
        <w:tc>
          <w:tcPr>
            <w:tcW w:w="1304"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客户</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C</w:t>
            </w:r>
          </w:p>
        </w:tc>
        <w:tc>
          <w:tcPr>
            <w:tcW w:w="992" w:type="dxa"/>
            <w:vMerge/>
            <w:tcBorders>
              <w:left w:val="single" w:sz="9" w:space="0" w:color="FFF8E6"/>
              <w:right w:val="single" w:sz="4" w:space="0" w:color="FFC000"/>
            </w:tcBorders>
          </w:tcPr>
          <w:p>
            <w:pPr/>
          </w:p>
        </w:tc>
        <w:tc>
          <w:tcPr>
            <w:tcW w:w="1844" w:type="dxa"/>
            <w:vMerge/>
            <w:tcBorders>
              <w:left w:val="single" w:sz="4" w:space="0" w:color="FFC000"/>
              <w:right w:val="single" w:sz="4" w:space="0" w:color="FFC000"/>
            </w:tcBorders>
          </w:tcPr>
          <w:p>
            <w:pPr/>
          </w:p>
        </w:tc>
        <w:tc>
          <w:tcPr>
            <w:tcW w:w="2268" w:type="dxa"/>
            <w:vMerge/>
            <w:tcBorders>
              <w:left w:val="single" w:sz="4" w:space="0" w:color="FFC000"/>
              <w:right w:val="single" w:sz="4" w:space="0" w:color="FFC000"/>
            </w:tcBorders>
          </w:tcPr>
          <w:p>
            <w:pPr/>
          </w:p>
        </w:tc>
        <w:tc>
          <w:tcPr>
            <w:tcW w:w="1276" w:type="dxa"/>
            <w:vMerge/>
            <w:tcBorders>
              <w:left w:val="single" w:sz="4" w:space="0" w:color="FFC000"/>
              <w:right w:val="single" w:sz="4" w:space="0" w:color="FFC000"/>
            </w:tcBorders>
          </w:tcPr>
          <w:p>
            <w:pPr/>
          </w:p>
        </w:tc>
        <w:tc>
          <w:tcPr>
            <w:tcW w:w="1405" w:type="dxa"/>
            <w:vMerge/>
            <w:tcBorders>
              <w:left w:val="single" w:sz="4" w:space="0" w:color="FFC000"/>
              <w:right w:val="single" w:sz="4" w:space="0" w:color="FFC000"/>
            </w:tcBorders>
          </w:tcPr>
          <w:p>
            <w:pPr/>
          </w:p>
        </w:tc>
      </w:tr>
      <w:tr>
        <w:trPr>
          <w:trHeight w:val="205" w:hRule="exact"/>
        </w:trPr>
        <w:tc>
          <w:tcPr>
            <w:tcW w:w="1304" w:type="dxa"/>
            <w:tcBorders>
              <w:top w:val="nil" w:sz="6" w:space="0" w:color="auto"/>
              <w:left w:val="single" w:sz="4" w:space="0" w:color="FFC000"/>
              <w:bottom w:val="single" w:sz="4" w:space="0" w:color="FFC000"/>
              <w:right w:val="single" w:sz="4" w:space="0" w:color="FFC000"/>
            </w:tcBorders>
            <w:shd w:val="clear" w:color="auto" w:fill="FFF8E6"/>
          </w:tcPr>
          <w:p>
            <w:pPr/>
          </w:p>
        </w:tc>
        <w:tc>
          <w:tcPr>
            <w:tcW w:w="992" w:type="dxa"/>
            <w:vMerge/>
            <w:tcBorders>
              <w:left w:val="single" w:sz="9" w:space="0" w:color="FFF8E6"/>
              <w:bottom w:val="single" w:sz="4" w:space="0" w:color="FFC000"/>
              <w:right w:val="single" w:sz="4" w:space="0" w:color="FFC000"/>
            </w:tcBorders>
          </w:tcPr>
          <w:p>
            <w:pPr/>
          </w:p>
        </w:tc>
        <w:tc>
          <w:tcPr>
            <w:tcW w:w="1844" w:type="dxa"/>
            <w:vMerge/>
            <w:tcBorders>
              <w:left w:val="single" w:sz="4" w:space="0" w:color="FFC000"/>
              <w:bottom w:val="single" w:sz="4" w:space="0" w:color="FFC000"/>
              <w:right w:val="single" w:sz="4" w:space="0" w:color="FFC000"/>
            </w:tcBorders>
          </w:tcPr>
          <w:p>
            <w:pPr/>
          </w:p>
        </w:tc>
        <w:tc>
          <w:tcPr>
            <w:tcW w:w="2268" w:type="dxa"/>
            <w:vMerge/>
            <w:tcBorders>
              <w:left w:val="single" w:sz="4" w:space="0" w:color="FFC000"/>
              <w:bottom w:val="single" w:sz="4" w:space="0" w:color="FFC000"/>
              <w:right w:val="single" w:sz="4" w:space="0" w:color="FFC000"/>
            </w:tcBorders>
          </w:tcPr>
          <w:p>
            <w:pPr/>
          </w:p>
        </w:tc>
        <w:tc>
          <w:tcPr>
            <w:tcW w:w="1276" w:type="dxa"/>
            <w:vMerge/>
            <w:tcBorders>
              <w:left w:val="single" w:sz="4" w:space="0" w:color="FFC000"/>
              <w:bottom w:val="single" w:sz="4" w:space="0" w:color="FFC000"/>
              <w:right w:val="single" w:sz="4" w:space="0" w:color="FFC000"/>
            </w:tcBorders>
          </w:tcPr>
          <w:p>
            <w:pPr/>
          </w:p>
        </w:tc>
        <w:tc>
          <w:tcPr>
            <w:tcW w:w="1405" w:type="dxa"/>
            <w:vMerge/>
            <w:tcBorders>
              <w:left w:val="single" w:sz="4" w:space="0" w:color="FFC000"/>
              <w:bottom w:val="single" w:sz="4" w:space="0" w:color="FFC000"/>
              <w:right w:val="single" w:sz="4" w:space="0" w:color="FFC000"/>
            </w:tcBorders>
          </w:tcPr>
          <w:p>
            <w:pPr/>
          </w:p>
        </w:tc>
      </w:tr>
      <w:tr>
        <w:trPr>
          <w:trHeight w:val="491" w:hRule="exact"/>
        </w:trPr>
        <w:tc>
          <w:tcPr>
            <w:tcW w:w="13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37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992" w:type="dxa"/>
            <w:tcBorders>
              <w:top w:val="single" w:sz="4" w:space="0" w:color="FFC000"/>
              <w:left w:val="single" w:sz="13" w:space="0" w:color="FFF8E6"/>
              <w:bottom w:val="single" w:sz="4" w:space="0" w:color="FFC000"/>
              <w:right w:val="single" w:sz="4" w:space="0" w:color="FFC000"/>
            </w:tcBorders>
          </w:tcPr>
          <w:p>
            <w:pPr/>
          </w:p>
        </w:tc>
        <w:tc>
          <w:tcPr>
            <w:tcW w:w="18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659" w:right="0"/>
              <w:jc w:val="left"/>
              <w:rPr>
                <w:rFonts w:ascii="华文细黑" w:hAnsi="华文细黑" w:cs="华文细黑" w:eastAsia="华文细黑" w:hint="default"/>
                <w:sz w:val="18"/>
                <w:szCs w:val="18"/>
              </w:rPr>
            </w:pPr>
            <w:r>
              <w:rPr>
                <w:rFonts w:ascii="华文细黑"/>
                <w:b/>
                <w:sz w:val="18"/>
              </w:rPr>
              <w:t>31,302,564.22</w:t>
            </w:r>
            <w:r>
              <w:rPr>
                <w:rFonts w:ascii="华文细黑"/>
                <w:sz w:val="18"/>
              </w:rPr>
            </w:r>
          </w:p>
        </w:tc>
        <w:tc>
          <w:tcPr>
            <w:tcW w:w="2268" w:type="dxa"/>
            <w:tcBorders>
              <w:top w:val="single" w:sz="4" w:space="0" w:color="FFC000"/>
              <w:left w:val="single" w:sz="4" w:space="0" w:color="FFC000"/>
              <w:bottom w:val="single" w:sz="4" w:space="0" w:color="FFC000"/>
              <w:right w:val="single" w:sz="4" w:space="0" w:color="FFC000"/>
            </w:tcBorders>
          </w:tcPr>
          <w:p>
            <w:pPr/>
          </w:p>
        </w:tc>
        <w:tc>
          <w:tcPr>
            <w:tcW w:w="1276" w:type="dxa"/>
            <w:tcBorders>
              <w:top w:val="single" w:sz="4" w:space="0" w:color="FFC000"/>
              <w:left w:val="single" w:sz="4" w:space="0" w:color="FFC000"/>
              <w:bottom w:val="single" w:sz="4" w:space="0" w:color="FFC000"/>
              <w:right w:val="single" w:sz="4" w:space="0" w:color="FFC000"/>
            </w:tcBorders>
          </w:tcPr>
          <w:p>
            <w:pPr/>
          </w:p>
        </w:tc>
        <w:tc>
          <w:tcPr>
            <w:tcW w:w="1405" w:type="dxa"/>
            <w:tcBorders>
              <w:top w:val="single" w:sz="4" w:space="0" w:color="FFC000"/>
              <w:left w:val="single" w:sz="4" w:space="0" w:color="FFC000"/>
              <w:bottom w:val="single" w:sz="4" w:space="0" w:color="FFC000"/>
              <w:right w:val="single" w:sz="4" w:space="0" w:color="FFC000"/>
            </w:tcBorders>
          </w:tcPr>
          <w:p>
            <w:pPr/>
          </w:p>
        </w:tc>
      </w:tr>
    </w:tbl>
    <w:p>
      <w:pPr>
        <w:spacing w:line="240" w:lineRule="auto" w:before="13"/>
        <w:rPr>
          <w:rFonts w:ascii="华文细黑" w:hAnsi="华文细黑" w:cs="华文细黑" w:eastAsia="华文细黑" w:hint="default"/>
          <w:sz w:val="6"/>
          <w:szCs w:val="6"/>
        </w:rPr>
      </w:pPr>
    </w:p>
    <w:p>
      <w:pPr>
        <w:pStyle w:val="BodyText"/>
        <w:spacing w:line="355" w:lineRule="auto" w:before="10"/>
        <w:ind w:left="620" w:right="1422"/>
        <w:jc w:val="left"/>
      </w:pPr>
      <w:r>
        <w:rPr/>
        <w:t>④按欠款方归集的年末余额前五名的应收账款情况 公司本年按欠款方归集的年末余额前五名应收账款汇总金额为 </w:t>
      </w:r>
      <w:r>
        <w:rPr>
          <w:rFonts w:ascii="华文细黑" w:hAnsi="华文细黑" w:cs="华文细黑" w:eastAsia="华文细黑" w:hint="default"/>
        </w:rPr>
        <w:t>1,073,636,325.12 </w:t>
      </w:r>
      <w:r>
        <w:rPr>
          <w:spacing w:val="-10"/>
        </w:rPr>
        <w:t>元，占应收账</w:t>
      </w:r>
    </w:p>
    <w:p>
      <w:pPr>
        <w:pStyle w:val="BodyText"/>
        <w:spacing w:line="291" w:lineRule="exact"/>
        <w:ind w:left="200" w:right="1289"/>
        <w:jc w:val="left"/>
      </w:pPr>
      <w:r>
        <w:rPr/>
        <w:t>款年末余额合计数的比例为 </w:t>
      </w:r>
      <w:r>
        <w:rPr>
          <w:rFonts w:ascii="华文细黑" w:hAnsi="华文细黑" w:cs="华文细黑" w:eastAsia="华文细黑" w:hint="default"/>
        </w:rPr>
        <w:t>66.71%</w:t>
      </w:r>
      <w:r>
        <w:rPr/>
        <w:t>，相应计提的坏账准备年末余额汇总金额为 </w:t>
      </w:r>
      <w:r>
        <w:rPr>
          <w:rFonts w:ascii="华文细黑" w:hAnsi="华文细黑" w:cs="华文细黑" w:eastAsia="华文细黑" w:hint="default"/>
        </w:rPr>
        <w:t>5,395,095.31</w:t>
      </w:r>
      <w:r>
        <w:rPr>
          <w:rFonts w:ascii="华文细黑" w:hAnsi="华文细黑" w:cs="华文细黑" w:eastAsia="华文细黑" w:hint="default"/>
          <w:spacing w:val="-1"/>
        </w:rPr>
        <w:t> </w:t>
      </w:r>
      <w:r>
        <w:rPr/>
        <w:t>元。</w:t>
      </w:r>
    </w:p>
    <w:p>
      <w:pPr>
        <w:pStyle w:val="BodyText"/>
        <w:spacing w:line="240" w:lineRule="auto" w:before="144"/>
        <w:ind w:left="620" w:right="1289"/>
        <w:jc w:val="left"/>
      </w:pPr>
      <w:r>
        <w:rPr/>
        <w:t>⑤因金融资产转移而终止确认的应收账款</w:t>
      </w:r>
    </w:p>
    <w:p>
      <w:pPr>
        <w:spacing w:line="240" w:lineRule="auto" w:before="9"/>
        <w:rPr>
          <w:rFonts w:ascii="华文细黑" w:hAnsi="华文细黑" w:cs="华文细黑" w:eastAsia="华文细黑" w:hint="default"/>
          <w:sz w:val="5"/>
          <w:szCs w:val="5"/>
        </w:rPr>
      </w:pPr>
    </w:p>
    <w:tbl>
      <w:tblPr>
        <w:tblW w:w="0" w:type="auto"/>
        <w:jc w:val="left"/>
        <w:tblInd w:w="101" w:type="dxa"/>
        <w:tblLayout w:type="fixed"/>
        <w:tblCellMar>
          <w:top w:w="0" w:type="dxa"/>
          <w:left w:w="0" w:type="dxa"/>
          <w:bottom w:w="0" w:type="dxa"/>
          <w:right w:w="0" w:type="dxa"/>
        </w:tblCellMar>
        <w:tblLook w:val="01E0"/>
      </w:tblPr>
      <w:tblGrid>
        <w:gridCol w:w="2952"/>
        <w:gridCol w:w="2762"/>
        <w:gridCol w:w="3501"/>
      </w:tblGrid>
      <w:tr>
        <w:trPr>
          <w:trHeight w:val="497" w:hRule="exact"/>
        </w:trPr>
        <w:tc>
          <w:tcPr>
            <w:tcW w:w="29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8"/>
              <w:ind w:left="75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金融资产转移方式</w:t>
            </w:r>
          </w:p>
        </w:tc>
        <w:tc>
          <w:tcPr>
            <w:tcW w:w="27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8"/>
              <w:ind w:left="38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终止确认的应收账款金额</w:t>
            </w:r>
          </w:p>
        </w:tc>
        <w:tc>
          <w:tcPr>
            <w:tcW w:w="350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8"/>
              <w:ind w:left="84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与终止确认相关的费用</w:t>
            </w:r>
          </w:p>
        </w:tc>
      </w:tr>
      <w:tr>
        <w:trPr>
          <w:trHeight w:val="494" w:hRule="exact"/>
        </w:trPr>
        <w:tc>
          <w:tcPr>
            <w:tcW w:w="29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应收货款保理</w:t>
            </w:r>
          </w:p>
        </w:tc>
        <w:tc>
          <w:tcPr>
            <w:tcW w:w="27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99"/>
              <w:jc w:val="right"/>
              <w:rPr>
                <w:rFonts w:ascii="华文细黑" w:hAnsi="华文细黑" w:cs="华文细黑" w:eastAsia="华文细黑" w:hint="default"/>
                <w:sz w:val="18"/>
                <w:szCs w:val="18"/>
              </w:rPr>
            </w:pPr>
            <w:r>
              <w:rPr>
                <w:rFonts w:ascii="华文细黑"/>
                <w:sz w:val="18"/>
              </w:rPr>
              <w:t>942,003,120.30</w:t>
            </w:r>
          </w:p>
        </w:tc>
        <w:tc>
          <w:tcPr>
            <w:tcW w:w="350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101"/>
              <w:jc w:val="right"/>
              <w:rPr>
                <w:rFonts w:ascii="华文细黑" w:hAnsi="华文细黑" w:cs="华文细黑" w:eastAsia="华文细黑" w:hint="default"/>
                <w:sz w:val="18"/>
                <w:szCs w:val="18"/>
              </w:rPr>
            </w:pPr>
            <w:r>
              <w:rPr>
                <w:rFonts w:ascii="华文细黑"/>
                <w:sz w:val="18"/>
              </w:rPr>
              <w:t>5,179,585.33</w:t>
            </w:r>
          </w:p>
        </w:tc>
      </w:tr>
      <w:tr>
        <w:trPr>
          <w:trHeight w:val="490" w:hRule="exact"/>
        </w:trPr>
        <w:tc>
          <w:tcPr>
            <w:tcW w:w="29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86"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计</w:t>
            </w:r>
          </w:p>
        </w:tc>
        <w:tc>
          <w:tcPr>
            <w:tcW w:w="27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b/>
                <w:w w:val="95"/>
                <w:sz w:val="18"/>
              </w:rPr>
              <w:t>942,003,120.30</w:t>
            </w:r>
            <w:r>
              <w:rPr>
                <w:rFonts w:ascii="华文细黑"/>
                <w:sz w:val="18"/>
              </w:rPr>
            </w:r>
          </w:p>
        </w:tc>
        <w:tc>
          <w:tcPr>
            <w:tcW w:w="350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b/>
                <w:w w:val="95"/>
                <w:sz w:val="18"/>
              </w:rPr>
              <w:t>5,179,585.33</w:t>
            </w:r>
            <w:r>
              <w:rPr>
                <w:rFonts w:ascii="华文细黑"/>
                <w:sz w:val="18"/>
              </w:rPr>
            </w:r>
          </w:p>
        </w:tc>
      </w:tr>
    </w:tbl>
    <w:p>
      <w:pPr>
        <w:spacing w:line="240" w:lineRule="auto" w:before="12"/>
        <w:rPr>
          <w:rFonts w:ascii="华文细黑" w:hAnsi="华文细黑" w:cs="华文细黑" w:eastAsia="华文细黑" w:hint="default"/>
          <w:sz w:val="6"/>
          <w:szCs w:val="6"/>
        </w:rPr>
      </w:pPr>
    </w:p>
    <w:p>
      <w:pPr>
        <w:pStyle w:val="BodyText"/>
        <w:spacing w:line="324" w:lineRule="auto" w:before="10"/>
        <w:ind w:left="200" w:right="1593" w:firstLine="420"/>
        <w:jc w:val="both"/>
      </w:pPr>
      <w:r>
        <w:rPr>
          <w:spacing w:val="8"/>
        </w:rPr>
        <w:t>注：于 </w:t>
      </w:r>
      <w:r>
        <w:rPr>
          <w:rFonts w:ascii="华文细黑" w:hAnsi="华文细黑" w:cs="华文细黑" w:eastAsia="华文细黑" w:hint="default"/>
        </w:rPr>
        <w:t>2018</w:t>
      </w:r>
      <w:r>
        <w:rPr>
          <w:rFonts w:ascii="华文细黑" w:hAnsi="华文细黑" w:cs="华文细黑" w:eastAsia="华文细黑" w:hint="default"/>
          <w:spacing w:val="21"/>
        </w:rPr>
        <w:t> </w:t>
      </w:r>
      <w:r>
        <w:rPr>
          <w:spacing w:val="11"/>
        </w:rPr>
        <w:t>年，本公司向保理公司、金融机构等以不附追索权的方式转让了应收账款</w:t>
      </w:r>
      <w:r>
        <w:rPr/>
        <w:t> </w:t>
      </w:r>
      <w:r>
        <w:rPr>
          <w:rFonts w:ascii="华文细黑" w:hAnsi="华文细黑" w:cs="华文细黑" w:eastAsia="华文细黑" w:hint="default"/>
        </w:rPr>
        <w:t>942,003,120.30 </w:t>
      </w:r>
      <w:r>
        <w:rPr/>
        <w:t>元，发生的相关费用为 </w:t>
      </w:r>
      <w:r>
        <w:rPr>
          <w:rFonts w:ascii="华文细黑" w:hAnsi="华文细黑" w:cs="华文细黑" w:eastAsia="华文细黑" w:hint="default"/>
        </w:rPr>
        <w:t>5,179,585.33</w:t>
      </w:r>
      <w:r>
        <w:rPr>
          <w:rFonts w:ascii="华文细黑" w:hAnsi="华文细黑" w:cs="华文细黑" w:eastAsia="华文细黑" w:hint="default"/>
          <w:spacing w:val="-2"/>
        </w:rPr>
        <w:t> </w:t>
      </w:r>
      <w:r>
        <w:rPr/>
        <w:t>元。</w:t>
      </w:r>
    </w:p>
    <w:p>
      <w:pPr>
        <w:pStyle w:val="BodyText"/>
        <w:spacing w:line="324" w:lineRule="auto" w:before="64"/>
        <w:ind w:left="200" w:right="1591" w:firstLine="420"/>
        <w:jc w:val="both"/>
      </w:pPr>
      <w:r>
        <w:rPr/>
        <w:t>⑥</w:t>
      </w:r>
      <w:r>
        <w:rPr>
          <w:rFonts w:ascii="华文细黑" w:hAnsi="华文细黑" w:cs="华文细黑" w:eastAsia="华文细黑" w:hint="default"/>
        </w:rPr>
        <w:t>2018</w:t>
      </w:r>
      <w:r>
        <w:rPr>
          <w:rFonts w:ascii="华文细黑" w:hAnsi="华文细黑" w:cs="华文细黑" w:eastAsia="华文细黑" w:hint="default"/>
          <w:spacing w:val="20"/>
        </w:rPr>
        <w:t> </w:t>
      </w:r>
      <w:r>
        <w:rPr>
          <w:spacing w:val="2"/>
        </w:rPr>
        <w:t>年本公司之下属公司西安市乐动电子数码有限公司向金融机构以附追索权的方式转</w:t>
      </w:r>
      <w:r>
        <w:rPr/>
        <w:t> 让了应收账款 </w:t>
      </w:r>
      <w:r>
        <w:rPr>
          <w:rFonts w:ascii="华文细黑" w:hAnsi="华文细黑" w:cs="华文细黑" w:eastAsia="华文细黑" w:hint="default"/>
        </w:rPr>
        <w:t>40,810,444.27 </w:t>
      </w:r>
      <w:r>
        <w:rPr/>
        <w:t>元。截至 </w:t>
      </w:r>
      <w:r>
        <w:rPr>
          <w:rFonts w:ascii="华文细黑" w:hAnsi="华文细黑" w:cs="华文细黑" w:eastAsia="华文细黑" w:hint="default"/>
        </w:rPr>
        <w:t>2018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31 </w:t>
      </w:r>
      <w:r>
        <w:rPr/>
        <w:t>日， </w:t>
      </w:r>
      <w:r>
        <w:rPr>
          <w:rFonts w:ascii="华文细黑" w:hAnsi="华文细黑" w:cs="华文细黑" w:eastAsia="华文细黑" w:hint="default"/>
        </w:rPr>
        <w:t>20,649,193.84</w:t>
      </w:r>
      <w:r>
        <w:rPr>
          <w:rFonts w:ascii="华文细黑" w:hAnsi="华文细黑" w:cs="华文细黑" w:eastAsia="华文细黑" w:hint="default"/>
          <w:spacing w:val="9"/>
        </w:rPr>
        <w:t> </w:t>
      </w:r>
      <w:r>
        <w:rPr/>
        <w:t>元未到期，金融机 构按该金额的 </w:t>
      </w:r>
      <w:r>
        <w:rPr>
          <w:rFonts w:ascii="华文细黑" w:hAnsi="华文细黑" w:cs="华文细黑" w:eastAsia="华文细黑" w:hint="default"/>
        </w:rPr>
        <w:t>90%</w:t>
      </w:r>
      <w:r>
        <w:rPr/>
        <w:t>即 </w:t>
      </w:r>
      <w:r>
        <w:rPr>
          <w:rFonts w:ascii="华文细黑" w:hAnsi="华文细黑" w:cs="华文细黑" w:eastAsia="华文细黑" w:hint="default"/>
        </w:rPr>
        <w:t>18,584,274.36</w:t>
      </w:r>
      <w:r>
        <w:rPr>
          <w:rFonts w:ascii="华文细黑" w:hAnsi="华文细黑" w:cs="华文细黑" w:eastAsia="华文细黑" w:hint="default"/>
          <w:spacing w:val="-3"/>
        </w:rPr>
        <w:t> </w:t>
      </w:r>
      <w:r>
        <w:rPr/>
        <w:t>元向西安市乐动电子数码有限公司支付保理融资款。</w:t>
      </w:r>
    </w:p>
    <w:p>
      <w:pPr>
        <w:pStyle w:val="Heading5"/>
        <w:spacing w:line="240" w:lineRule="auto" w:before="64"/>
        <w:ind w:left="620" w:right="1289"/>
        <w:jc w:val="left"/>
        <w:rPr>
          <w:b w:val="0"/>
          <w:bCs w:val="0"/>
        </w:rPr>
      </w:pPr>
      <w:bookmarkStart w:name="4、预付款项" w:id="264"/>
      <w:bookmarkEnd w:id="264"/>
      <w:r>
        <w:rPr>
          <w:b w:val="0"/>
          <w:bCs w:val="0"/>
        </w:rPr>
      </w:r>
      <w:r>
        <w:rPr>
          <w:rFonts w:ascii="华文细黑" w:hAnsi="华文细黑" w:cs="华文细黑" w:eastAsia="华文细黑" w:hint="default"/>
        </w:rPr>
        <w:t>4</w:t>
      </w:r>
      <w:r>
        <w:rPr/>
        <w:t>、预付款项</w:t>
      </w:r>
      <w:r>
        <w:rPr>
          <w:b w:val="0"/>
          <w:bCs w:val="0"/>
        </w:rPr>
      </w:r>
    </w:p>
    <w:p>
      <w:pPr>
        <w:pStyle w:val="BodyText"/>
        <w:spacing w:line="240" w:lineRule="auto" w:before="144"/>
        <w:ind w:left="620" w:right="1289"/>
        <w:jc w:val="left"/>
      </w:pPr>
      <w:r>
        <w:rPr/>
        <w:t>（</w:t>
      </w:r>
      <w:r>
        <w:rPr>
          <w:rFonts w:ascii="华文细黑" w:hAnsi="华文细黑" w:cs="华文细黑" w:eastAsia="华文细黑" w:hint="default"/>
        </w:rPr>
        <w:t>1</w:t>
      </w:r>
      <w:r>
        <w:rPr/>
        <w:t>）预付款项按账龄列示</w:t>
      </w:r>
    </w:p>
    <w:p>
      <w:pPr>
        <w:spacing w:line="240" w:lineRule="auto" w:before="5"/>
        <w:rPr>
          <w:rFonts w:ascii="华文细黑" w:hAnsi="华文细黑" w:cs="华文细黑" w:eastAsia="华文细黑" w:hint="default"/>
          <w:sz w:val="5"/>
          <w:szCs w:val="5"/>
        </w:rPr>
      </w:pPr>
    </w:p>
    <w:tbl>
      <w:tblPr>
        <w:tblW w:w="0" w:type="auto"/>
        <w:jc w:val="left"/>
        <w:tblInd w:w="137" w:type="dxa"/>
        <w:tblLayout w:type="fixed"/>
        <w:tblCellMar>
          <w:top w:w="0" w:type="dxa"/>
          <w:left w:w="0" w:type="dxa"/>
          <w:bottom w:w="0" w:type="dxa"/>
          <w:right w:w="0" w:type="dxa"/>
        </w:tblCellMar>
        <w:tblLook w:val="01E0"/>
      </w:tblPr>
      <w:tblGrid>
        <w:gridCol w:w="1340"/>
        <w:gridCol w:w="2304"/>
        <w:gridCol w:w="1789"/>
        <w:gridCol w:w="2057"/>
        <w:gridCol w:w="1663"/>
      </w:tblGrid>
      <w:tr>
        <w:trPr>
          <w:trHeight w:val="251" w:hRule="exact"/>
        </w:trPr>
        <w:tc>
          <w:tcPr>
            <w:tcW w:w="1340" w:type="dxa"/>
            <w:tcBorders>
              <w:top w:val="single" w:sz="4" w:space="0" w:color="FFC000"/>
              <w:left w:val="single" w:sz="4" w:space="0" w:color="FFC000"/>
              <w:bottom w:val="nil" w:sz="6" w:space="0" w:color="auto"/>
              <w:right w:val="single" w:sz="4" w:space="0" w:color="FFC000"/>
            </w:tcBorders>
            <w:shd w:val="clear" w:color="auto" w:fill="FFF8E6"/>
          </w:tcPr>
          <w:p>
            <w:pPr/>
          </w:p>
        </w:tc>
        <w:tc>
          <w:tcPr>
            <w:tcW w:w="4093"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12"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3720"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235" w:hRule="exact"/>
        </w:trPr>
        <w:tc>
          <w:tcPr>
            <w:tcW w:w="1340"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39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龄</w:t>
            </w:r>
          </w:p>
        </w:tc>
        <w:tc>
          <w:tcPr>
            <w:tcW w:w="4093" w:type="dxa"/>
            <w:gridSpan w:val="2"/>
            <w:vMerge/>
            <w:tcBorders>
              <w:left w:val="single" w:sz="4" w:space="0" w:color="FFC000"/>
              <w:bottom w:val="single" w:sz="4" w:space="0" w:color="FFC000"/>
              <w:right w:val="single" w:sz="4" w:space="0" w:color="FFC000"/>
            </w:tcBorders>
            <w:shd w:val="clear" w:color="auto" w:fill="FFF8E6"/>
          </w:tcPr>
          <w:p>
            <w:pPr/>
          </w:p>
        </w:tc>
        <w:tc>
          <w:tcPr>
            <w:tcW w:w="3720" w:type="dxa"/>
            <w:gridSpan w:val="2"/>
            <w:vMerge/>
            <w:tcBorders>
              <w:left w:val="single" w:sz="4" w:space="0" w:color="FFC000"/>
              <w:bottom w:val="single" w:sz="4" w:space="0" w:color="FFC000"/>
              <w:right w:val="single" w:sz="4" w:space="0" w:color="FFC000"/>
            </w:tcBorders>
            <w:shd w:val="clear" w:color="auto" w:fill="FFF8E6"/>
          </w:tcPr>
          <w:p>
            <w:pPr/>
          </w:p>
        </w:tc>
      </w:tr>
      <w:tr>
        <w:trPr>
          <w:trHeight w:val="245" w:hRule="exact"/>
        </w:trPr>
        <w:tc>
          <w:tcPr>
            <w:tcW w:w="1340" w:type="dxa"/>
            <w:vMerge/>
            <w:tcBorders>
              <w:left w:val="single" w:sz="4" w:space="0" w:color="FFC000"/>
              <w:bottom w:val="nil" w:sz="6" w:space="0" w:color="auto"/>
              <w:right w:val="single" w:sz="4" w:space="0" w:color="FFC000"/>
            </w:tcBorders>
            <w:shd w:val="clear" w:color="auto" w:fill="FFF8E6"/>
          </w:tcPr>
          <w:p>
            <w:pPr/>
          </w:p>
        </w:tc>
        <w:tc>
          <w:tcPr>
            <w:tcW w:w="2304"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10"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178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46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2057"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1663"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39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r>
      <w:tr>
        <w:trPr>
          <w:trHeight w:val="250" w:hRule="exact"/>
        </w:trPr>
        <w:tc>
          <w:tcPr>
            <w:tcW w:w="1340" w:type="dxa"/>
            <w:tcBorders>
              <w:top w:val="nil" w:sz="6" w:space="0" w:color="auto"/>
              <w:left w:val="single" w:sz="4" w:space="0" w:color="FFC000"/>
              <w:bottom w:val="single" w:sz="4" w:space="0" w:color="FFC000"/>
              <w:right w:val="single" w:sz="4" w:space="0" w:color="FFC000"/>
            </w:tcBorders>
            <w:shd w:val="clear" w:color="auto" w:fill="FFF8E6"/>
          </w:tcPr>
          <w:p>
            <w:pPr/>
          </w:p>
        </w:tc>
        <w:tc>
          <w:tcPr>
            <w:tcW w:w="2304" w:type="dxa"/>
            <w:vMerge/>
            <w:tcBorders>
              <w:left w:val="single" w:sz="4" w:space="0" w:color="FFC000"/>
              <w:bottom w:val="single" w:sz="4" w:space="0" w:color="FFC000"/>
              <w:right w:val="single" w:sz="4" w:space="0" w:color="FFC000"/>
            </w:tcBorders>
            <w:shd w:val="clear" w:color="auto" w:fill="FFF8E6"/>
          </w:tcPr>
          <w:p>
            <w:pPr/>
          </w:p>
        </w:tc>
        <w:tc>
          <w:tcPr>
            <w:tcW w:w="1789" w:type="dxa"/>
            <w:vMerge/>
            <w:tcBorders>
              <w:left w:val="single" w:sz="4" w:space="0" w:color="FFC000"/>
              <w:bottom w:val="single" w:sz="4" w:space="0" w:color="FFC000"/>
              <w:right w:val="single" w:sz="4" w:space="0" w:color="FFC000"/>
            </w:tcBorders>
            <w:shd w:val="clear" w:color="auto" w:fill="FFF8E6"/>
          </w:tcPr>
          <w:p>
            <w:pPr/>
          </w:p>
        </w:tc>
        <w:tc>
          <w:tcPr>
            <w:tcW w:w="2057" w:type="dxa"/>
            <w:vMerge/>
            <w:tcBorders>
              <w:left w:val="single" w:sz="4" w:space="0" w:color="FFC000"/>
              <w:bottom w:val="single" w:sz="4" w:space="0" w:color="FFC000"/>
              <w:right w:val="single" w:sz="4" w:space="0" w:color="FFC000"/>
            </w:tcBorders>
            <w:shd w:val="clear" w:color="auto" w:fill="FFF8E6"/>
          </w:tcPr>
          <w:p>
            <w:pPr/>
          </w:p>
        </w:tc>
        <w:tc>
          <w:tcPr>
            <w:tcW w:w="1663"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13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年以内</w:t>
            </w:r>
          </w:p>
        </w:tc>
        <w:tc>
          <w:tcPr>
            <w:tcW w:w="230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569,603,302.15</w:t>
            </w:r>
          </w:p>
        </w:tc>
        <w:tc>
          <w:tcPr>
            <w:tcW w:w="178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98.92</w:t>
            </w:r>
          </w:p>
        </w:tc>
        <w:tc>
          <w:tcPr>
            <w:tcW w:w="205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pacing w:val="-1"/>
                <w:sz w:val="18"/>
              </w:rPr>
              <w:t>1,756,733,257.16</w:t>
            </w:r>
          </w:p>
        </w:tc>
        <w:tc>
          <w:tcPr>
            <w:tcW w:w="16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99.89</w:t>
            </w:r>
          </w:p>
        </w:tc>
      </w:tr>
      <w:tr>
        <w:trPr>
          <w:trHeight w:val="491" w:hRule="exact"/>
        </w:trPr>
        <w:tc>
          <w:tcPr>
            <w:tcW w:w="13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 </w:t>
            </w:r>
            <w:r>
              <w:rPr>
                <w:rFonts w:ascii="华文细黑" w:hAnsi="华文细黑" w:cs="华文细黑" w:eastAsia="华文细黑" w:hint="default"/>
                <w:sz w:val="18"/>
                <w:szCs w:val="18"/>
              </w:rPr>
              <w:t>至 </w:t>
            </w:r>
            <w:r>
              <w:rPr>
                <w:rFonts w:ascii="华文细黑" w:hAnsi="华文细黑" w:cs="华文细黑" w:eastAsia="华文细黑" w:hint="default"/>
                <w:sz w:val="18"/>
                <w:szCs w:val="18"/>
              </w:rPr>
              <w:t>2</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w:t>
            </w:r>
          </w:p>
        </w:tc>
        <w:tc>
          <w:tcPr>
            <w:tcW w:w="230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5,983,559.54</w:t>
            </w:r>
          </w:p>
        </w:tc>
        <w:tc>
          <w:tcPr>
            <w:tcW w:w="178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1.04</w:t>
            </w:r>
          </w:p>
        </w:tc>
        <w:tc>
          <w:tcPr>
            <w:tcW w:w="205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1,622,215.53</w:t>
            </w:r>
          </w:p>
        </w:tc>
        <w:tc>
          <w:tcPr>
            <w:tcW w:w="16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0.09</w:t>
            </w:r>
          </w:p>
        </w:tc>
      </w:tr>
      <w:tr>
        <w:trPr>
          <w:trHeight w:val="490" w:hRule="exact"/>
        </w:trPr>
        <w:tc>
          <w:tcPr>
            <w:tcW w:w="13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 </w:t>
            </w:r>
            <w:r>
              <w:rPr>
                <w:rFonts w:ascii="华文细黑" w:hAnsi="华文细黑" w:cs="华文细黑" w:eastAsia="华文细黑" w:hint="default"/>
                <w:sz w:val="18"/>
                <w:szCs w:val="18"/>
              </w:rPr>
              <w:t>至 </w:t>
            </w:r>
            <w:r>
              <w:rPr>
                <w:rFonts w:ascii="华文细黑" w:hAnsi="华文细黑" w:cs="华文细黑" w:eastAsia="华文细黑" w:hint="default"/>
                <w:sz w:val="18"/>
                <w:szCs w:val="18"/>
              </w:rPr>
              <w:t>3</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w:t>
            </w:r>
          </w:p>
        </w:tc>
        <w:tc>
          <w:tcPr>
            <w:tcW w:w="230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221,943.20</w:t>
            </w:r>
          </w:p>
        </w:tc>
        <w:tc>
          <w:tcPr>
            <w:tcW w:w="178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0.04</w:t>
            </w:r>
          </w:p>
        </w:tc>
        <w:tc>
          <w:tcPr>
            <w:tcW w:w="205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6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13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年以上</w:t>
            </w:r>
          </w:p>
        </w:tc>
        <w:tc>
          <w:tcPr>
            <w:tcW w:w="230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w:t>
            </w:r>
          </w:p>
        </w:tc>
        <w:tc>
          <w:tcPr>
            <w:tcW w:w="178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205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313,329.64</w:t>
            </w:r>
          </w:p>
        </w:tc>
        <w:tc>
          <w:tcPr>
            <w:tcW w:w="16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0.02</w:t>
            </w:r>
          </w:p>
        </w:tc>
      </w:tr>
      <w:tr>
        <w:trPr>
          <w:trHeight w:val="491" w:hRule="exact"/>
        </w:trPr>
        <w:tc>
          <w:tcPr>
            <w:tcW w:w="13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39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30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575,808,804.89</w:t>
            </w:r>
            <w:r>
              <w:rPr>
                <w:rFonts w:ascii="华文细黑"/>
                <w:sz w:val="18"/>
              </w:rPr>
            </w:r>
          </w:p>
        </w:tc>
        <w:tc>
          <w:tcPr>
            <w:tcW w:w="178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b/>
                <w:w w:val="95"/>
                <w:sz w:val="18"/>
              </w:rPr>
              <w:t>100.00</w:t>
            </w:r>
            <w:r>
              <w:rPr>
                <w:rFonts w:ascii="华文细黑"/>
                <w:sz w:val="18"/>
              </w:rPr>
            </w:r>
          </w:p>
        </w:tc>
        <w:tc>
          <w:tcPr>
            <w:tcW w:w="205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1,758,668,802.33</w:t>
            </w:r>
            <w:r>
              <w:rPr>
                <w:rFonts w:ascii="华文细黑"/>
                <w:sz w:val="18"/>
              </w:rPr>
            </w:r>
          </w:p>
        </w:tc>
        <w:tc>
          <w:tcPr>
            <w:tcW w:w="16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b/>
                <w:w w:val="95"/>
                <w:sz w:val="18"/>
              </w:rPr>
              <w:t>100.00</w:t>
            </w:r>
            <w:r>
              <w:rPr>
                <w:rFonts w:ascii="华文细黑"/>
                <w:sz w:val="18"/>
              </w:rPr>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240" w:right="0"/>
        </w:sectPr>
      </w:pPr>
    </w:p>
    <w:p>
      <w:pPr>
        <w:spacing w:line="240" w:lineRule="auto" w:before="10"/>
        <w:rPr>
          <w:rFonts w:ascii="华文细黑" w:hAnsi="华文细黑" w:cs="华文细黑" w:eastAsia="华文细黑" w:hint="default"/>
          <w:sz w:val="27"/>
          <w:szCs w:val="27"/>
        </w:rPr>
      </w:pPr>
    </w:p>
    <w:p>
      <w:pPr>
        <w:pStyle w:val="BodyText"/>
        <w:spacing w:line="355" w:lineRule="auto" w:before="10"/>
        <w:ind w:left="620" w:right="1421"/>
        <w:jc w:val="left"/>
      </w:pPr>
      <w:r>
        <w:rPr/>
        <w:t>（</w:t>
      </w:r>
      <w:r>
        <w:rPr>
          <w:rFonts w:ascii="华文细黑" w:hAnsi="华文细黑" w:cs="华文细黑" w:eastAsia="华文细黑" w:hint="default"/>
        </w:rPr>
        <w:t>2</w:t>
      </w:r>
      <w:r>
        <w:rPr/>
        <w:t>）按预付对象归集的年末余额前五名的预付款情况 本公司按预付对象归集的年末余额前五名预付账款汇总金额为 </w:t>
      </w:r>
      <w:r>
        <w:rPr>
          <w:rFonts w:ascii="华文细黑" w:hAnsi="华文细黑" w:cs="华文细黑" w:eastAsia="华文细黑" w:hint="default"/>
          <w:spacing w:val="-1"/>
        </w:rPr>
        <w:t>373,160,254.32</w:t>
      </w:r>
      <w:r>
        <w:rPr>
          <w:rFonts w:ascii="华文细黑" w:hAnsi="华文细黑" w:cs="华文细黑" w:eastAsia="华文细黑" w:hint="default"/>
          <w:spacing w:val="18"/>
        </w:rPr>
        <w:t> </w:t>
      </w:r>
      <w:r>
        <w:rPr>
          <w:spacing w:val="-14"/>
        </w:rPr>
        <w:t>元，占预付账款</w:t>
      </w:r>
    </w:p>
    <w:p>
      <w:pPr>
        <w:spacing w:line="357" w:lineRule="auto" w:before="0"/>
        <w:ind w:left="620" w:right="7188" w:hanging="421"/>
        <w:jc w:val="left"/>
        <w:rPr>
          <w:rFonts w:ascii="华文细黑" w:hAnsi="华文细黑" w:cs="华文细黑" w:eastAsia="华文细黑" w:hint="default"/>
          <w:sz w:val="21"/>
          <w:szCs w:val="21"/>
        </w:rPr>
      </w:pPr>
      <w:r>
        <w:rPr/>
        <w:pict>
          <v:shape style="position:absolute;margin-left:67.139999pt;margin-top:40.831738pt;width:461.3pt;height:99.1pt;mso-position-horizontal-relative:page;mso-position-vertical-relative:paragraph;z-index:140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951"/>
                    <w:gridCol w:w="3110"/>
                    <w:gridCol w:w="3150"/>
                  </w:tblGrid>
                  <w:tr>
                    <w:trPr>
                      <w:trHeight w:val="497" w:hRule="exact"/>
                    </w:trPr>
                    <w:tc>
                      <w:tcPr>
                        <w:tcW w:w="29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8"/>
                          <w:ind w:right="1157"/>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31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8"/>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315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8"/>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4" w:hRule="exact"/>
                    </w:trPr>
                    <w:tc>
                      <w:tcPr>
                        <w:tcW w:w="29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应收利息</w:t>
                        </w:r>
                      </w:p>
                    </w:tc>
                    <w:tc>
                      <w:tcPr>
                        <w:tcW w:w="31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99"/>
                          <w:jc w:val="right"/>
                          <w:rPr>
                            <w:rFonts w:ascii="华文细黑" w:hAnsi="华文细黑" w:cs="华文细黑" w:eastAsia="华文细黑" w:hint="default"/>
                            <w:sz w:val="18"/>
                            <w:szCs w:val="18"/>
                          </w:rPr>
                        </w:pPr>
                        <w:r>
                          <w:rPr>
                            <w:rFonts w:ascii="华文细黑"/>
                            <w:sz w:val="18"/>
                          </w:rPr>
                          <w:t>14,425,278.68</w:t>
                        </w:r>
                      </w:p>
                    </w:tc>
                    <w:tc>
                      <w:tcPr>
                        <w:tcW w:w="31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101"/>
                          <w:jc w:val="right"/>
                          <w:rPr>
                            <w:rFonts w:ascii="华文细黑" w:hAnsi="华文细黑" w:cs="华文细黑" w:eastAsia="华文细黑" w:hint="default"/>
                            <w:sz w:val="18"/>
                            <w:szCs w:val="18"/>
                          </w:rPr>
                        </w:pPr>
                        <w:r>
                          <w:rPr>
                            <w:rFonts w:ascii="华文细黑"/>
                            <w:sz w:val="18"/>
                          </w:rPr>
                          <w:t>3,807,799.77</w:t>
                        </w:r>
                      </w:p>
                    </w:tc>
                  </w:tr>
                  <w:tr>
                    <w:trPr>
                      <w:trHeight w:val="490" w:hRule="exact"/>
                    </w:trPr>
                    <w:tc>
                      <w:tcPr>
                        <w:tcW w:w="29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其他应收款</w:t>
                        </w:r>
                      </w:p>
                    </w:tc>
                    <w:tc>
                      <w:tcPr>
                        <w:tcW w:w="31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99"/>
                          <w:jc w:val="right"/>
                          <w:rPr>
                            <w:rFonts w:ascii="华文细黑" w:hAnsi="华文细黑" w:cs="华文细黑" w:eastAsia="华文细黑" w:hint="default"/>
                            <w:sz w:val="18"/>
                            <w:szCs w:val="18"/>
                          </w:rPr>
                        </w:pPr>
                        <w:r>
                          <w:rPr>
                            <w:rFonts w:ascii="华文细黑"/>
                            <w:sz w:val="18"/>
                          </w:rPr>
                          <w:t>104,083,839.06</w:t>
                        </w:r>
                      </w:p>
                    </w:tc>
                    <w:tc>
                      <w:tcPr>
                        <w:tcW w:w="31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114,827,584.16</w:t>
                        </w:r>
                      </w:p>
                    </w:tc>
                  </w:tr>
                  <w:tr>
                    <w:trPr>
                      <w:trHeight w:val="491" w:hRule="exact"/>
                    </w:trPr>
                    <w:tc>
                      <w:tcPr>
                        <w:tcW w:w="29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157"/>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31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b/>
                            <w:w w:val="95"/>
                            <w:sz w:val="18"/>
                          </w:rPr>
                          <w:t>118,509,117.74</w:t>
                        </w:r>
                        <w:r>
                          <w:rPr>
                            <w:rFonts w:ascii="华文细黑"/>
                            <w:sz w:val="18"/>
                          </w:rPr>
                        </w:r>
                      </w:p>
                    </w:tc>
                    <w:tc>
                      <w:tcPr>
                        <w:tcW w:w="31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b/>
                            <w:w w:val="95"/>
                            <w:sz w:val="18"/>
                          </w:rPr>
                          <w:t>118,635,383.93</w:t>
                        </w:r>
                        <w:r>
                          <w:rPr>
                            <w:rFonts w:ascii="华文细黑"/>
                            <w:sz w:val="18"/>
                          </w:rPr>
                        </w:r>
                      </w:p>
                    </w:tc>
                  </w:tr>
                </w:tbl>
                <w:p>
                  <w:pPr/>
                </w:p>
              </w:txbxContent>
            </v:textbox>
            <w10:wrap type="none"/>
          </v:shape>
        </w:pict>
      </w:r>
      <w:r>
        <w:rPr>
          <w:rFonts w:ascii="华文细黑" w:hAnsi="华文细黑" w:cs="华文细黑" w:eastAsia="华文细黑" w:hint="default"/>
          <w:sz w:val="21"/>
          <w:szCs w:val="21"/>
        </w:rPr>
        <w:t>年末余额合计数的比例为 </w:t>
      </w:r>
      <w:r>
        <w:rPr>
          <w:rFonts w:ascii="华文细黑" w:hAnsi="华文细黑" w:cs="华文细黑" w:eastAsia="华文细黑" w:hint="default"/>
          <w:sz w:val="21"/>
          <w:szCs w:val="21"/>
        </w:rPr>
        <w:t>64.81%</w:t>
      </w:r>
      <w:r>
        <w:rPr>
          <w:rFonts w:ascii="华文细黑" w:hAnsi="华文细黑" w:cs="华文细黑" w:eastAsia="华文细黑" w:hint="default"/>
          <w:sz w:val="21"/>
          <w:szCs w:val="21"/>
        </w:rPr>
        <w:t>。 </w:t>
      </w:r>
      <w:bookmarkStart w:name="5、其他应收款" w:id="265"/>
      <w:bookmarkEnd w:id="265"/>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5</w:t>
      </w:r>
      <w:r>
        <w:rPr>
          <w:rFonts w:ascii="华文细黑" w:hAnsi="华文细黑" w:cs="华文细黑" w:eastAsia="华文细黑" w:hint="default"/>
          <w:b/>
          <w:bCs/>
          <w:sz w:val="21"/>
          <w:szCs w:val="21"/>
        </w:rPr>
        <w:t>、其他应收款</w:t>
      </w:r>
      <w:r>
        <w:rPr>
          <w:rFonts w:ascii="华文细黑" w:hAnsi="华文细黑" w:cs="华文细黑" w:eastAsia="华文细黑" w:hint="default"/>
          <w:sz w:val="21"/>
          <w:szCs w:val="21"/>
        </w:rPr>
      </w: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1"/>
        <w:rPr>
          <w:rFonts w:ascii="华文细黑" w:hAnsi="华文细黑" w:cs="华文细黑" w:eastAsia="华文细黑" w:hint="default"/>
          <w:b/>
          <w:bCs/>
          <w:sz w:val="25"/>
          <w:szCs w:val="25"/>
        </w:rPr>
      </w:pPr>
    </w:p>
    <w:p>
      <w:pPr>
        <w:pStyle w:val="Heading5"/>
        <w:spacing w:line="240" w:lineRule="auto"/>
        <w:ind w:left="620" w:right="1289"/>
        <w:jc w:val="left"/>
        <w:rPr>
          <w:b w:val="0"/>
          <w:bCs w:val="0"/>
        </w:rPr>
      </w:pPr>
      <w:bookmarkStart w:name="（1）应收利息" w:id="266"/>
      <w:bookmarkEnd w:id="266"/>
      <w:r>
        <w:rPr>
          <w:b w:val="0"/>
          <w:bCs w:val="0"/>
        </w:rPr>
      </w:r>
      <w:r>
        <w:rPr/>
        <w:t>（</w:t>
      </w:r>
      <w:r>
        <w:rPr>
          <w:rFonts w:ascii="华文细黑" w:hAnsi="华文细黑" w:cs="华文细黑" w:eastAsia="华文细黑" w:hint="default"/>
        </w:rPr>
        <w:t>1</w:t>
      </w:r>
      <w:r>
        <w:rPr/>
        <w:t>）应收利息</w:t>
      </w:r>
      <w:r>
        <w:rPr>
          <w:b w:val="0"/>
          <w:bCs w:val="0"/>
        </w:rPr>
      </w:r>
    </w:p>
    <w:p>
      <w:pPr>
        <w:spacing w:line="240" w:lineRule="auto" w:before="8"/>
        <w:rPr>
          <w:rFonts w:ascii="华文细黑" w:hAnsi="华文细黑" w:cs="华文细黑" w:eastAsia="华文细黑" w:hint="default"/>
          <w:b/>
          <w:bCs/>
          <w:sz w:val="5"/>
          <w:szCs w:val="5"/>
        </w:rPr>
      </w:pPr>
    </w:p>
    <w:tbl>
      <w:tblPr>
        <w:tblW w:w="0" w:type="auto"/>
        <w:jc w:val="left"/>
        <w:tblInd w:w="102" w:type="dxa"/>
        <w:tblLayout w:type="fixed"/>
        <w:tblCellMar>
          <w:top w:w="0" w:type="dxa"/>
          <w:left w:w="0" w:type="dxa"/>
          <w:bottom w:w="0" w:type="dxa"/>
          <w:right w:w="0" w:type="dxa"/>
        </w:tblCellMar>
        <w:tblLook w:val="01E0"/>
      </w:tblPr>
      <w:tblGrid>
        <w:gridCol w:w="2951"/>
        <w:gridCol w:w="3110"/>
        <w:gridCol w:w="3150"/>
      </w:tblGrid>
      <w:tr>
        <w:trPr>
          <w:trHeight w:val="497" w:hRule="exact"/>
        </w:trPr>
        <w:tc>
          <w:tcPr>
            <w:tcW w:w="29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8"/>
              <w:ind w:right="1157"/>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31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8"/>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315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8"/>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4" w:hRule="exact"/>
        </w:trPr>
        <w:tc>
          <w:tcPr>
            <w:tcW w:w="29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贷款利息原值</w:t>
            </w:r>
          </w:p>
        </w:tc>
        <w:tc>
          <w:tcPr>
            <w:tcW w:w="31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100"/>
              <w:jc w:val="right"/>
              <w:rPr>
                <w:rFonts w:ascii="华文细黑" w:hAnsi="华文细黑" w:cs="华文细黑" w:eastAsia="华文细黑" w:hint="default"/>
                <w:sz w:val="18"/>
                <w:szCs w:val="18"/>
              </w:rPr>
            </w:pPr>
            <w:r>
              <w:rPr>
                <w:rFonts w:ascii="华文细黑"/>
                <w:sz w:val="18"/>
              </w:rPr>
              <w:t>6,456,683.06</w:t>
            </w:r>
          </w:p>
        </w:tc>
        <w:tc>
          <w:tcPr>
            <w:tcW w:w="31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101"/>
              <w:jc w:val="right"/>
              <w:rPr>
                <w:rFonts w:ascii="华文细黑" w:hAnsi="华文细黑" w:cs="华文细黑" w:eastAsia="华文细黑" w:hint="default"/>
                <w:sz w:val="18"/>
                <w:szCs w:val="18"/>
              </w:rPr>
            </w:pPr>
            <w:r>
              <w:rPr>
                <w:rFonts w:ascii="华文细黑"/>
                <w:sz w:val="18"/>
              </w:rPr>
              <w:t>3,849,881.22</w:t>
            </w:r>
          </w:p>
        </w:tc>
      </w:tr>
      <w:tr>
        <w:trPr>
          <w:trHeight w:val="490" w:hRule="exact"/>
        </w:trPr>
        <w:tc>
          <w:tcPr>
            <w:tcW w:w="29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减：坏账准备</w:t>
            </w:r>
          </w:p>
        </w:tc>
        <w:tc>
          <w:tcPr>
            <w:tcW w:w="31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w w:val="95"/>
                <w:sz w:val="18"/>
              </w:rPr>
              <w:t>260,131.05</w:t>
            </w:r>
          </w:p>
        </w:tc>
        <w:tc>
          <w:tcPr>
            <w:tcW w:w="31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42,081.45</w:t>
            </w:r>
          </w:p>
        </w:tc>
      </w:tr>
      <w:tr>
        <w:trPr>
          <w:trHeight w:val="490" w:hRule="exact"/>
        </w:trPr>
        <w:tc>
          <w:tcPr>
            <w:tcW w:w="29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贷款利息净值</w:t>
            </w:r>
          </w:p>
        </w:tc>
        <w:tc>
          <w:tcPr>
            <w:tcW w:w="31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sz w:val="18"/>
              </w:rPr>
              <w:t>6,196,552.01</w:t>
            </w:r>
          </w:p>
        </w:tc>
        <w:tc>
          <w:tcPr>
            <w:tcW w:w="31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sz w:val="18"/>
              </w:rPr>
              <w:t>3,807,799.77</w:t>
            </w:r>
          </w:p>
        </w:tc>
      </w:tr>
      <w:tr>
        <w:trPr>
          <w:trHeight w:val="491" w:hRule="exact"/>
        </w:trPr>
        <w:tc>
          <w:tcPr>
            <w:tcW w:w="29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保证金利息</w:t>
            </w:r>
          </w:p>
        </w:tc>
        <w:tc>
          <w:tcPr>
            <w:tcW w:w="31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0"/>
              <w:jc w:val="right"/>
              <w:rPr>
                <w:rFonts w:ascii="华文细黑" w:hAnsi="华文细黑" w:cs="华文细黑" w:eastAsia="华文细黑" w:hint="default"/>
                <w:sz w:val="18"/>
                <w:szCs w:val="18"/>
              </w:rPr>
            </w:pPr>
            <w:r>
              <w:rPr>
                <w:rFonts w:ascii="华文细黑"/>
                <w:sz w:val="18"/>
              </w:rPr>
              <w:t>3,781,466.40</w:t>
            </w:r>
          </w:p>
        </w:tc>
        <w:tc>
          <w:tcPr>
            <w:tcW w:w="31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29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结构性存款固定收益</w:t>
            </w:r>
          </w:p>
        </w:tc>
        <w:tc>
          <w:tcPr>
            <w:tcW w:w="31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0"/>
              <w:jc w:val="right"/>
              <w:rPr>
                <w:rFonts w:ascii="华文细黑" w:hAnsi="华文细黑" w:cs="华文细黑" w:eastAsia="华文细黑" w:hint="default"/>
                <w:sz w:val="18"/>
                <w:szCs w:val="18"/>
              </w:rPr>
            </w:pPr>
            <w:r>
              <w:rPr>
                <w:rFonts w:ascii="华文细黑"/>
                <w:sz w:val="18"/>
              </w:rPr>
              <w:t>4,447,260.27</w:t>
            </w:r>
          </w:p>
        </w:tc>
        <w:tc>
          <w:tcPr>
            <w:tcW w:w="31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29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9" w:val="left" w:leader="none"/>
              </w:tabs>
              <w:spacing w:line="240" w:lineRule="auto" w:before="144"/>
              <w:ind w:right="111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31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b/>
                <w:w w:val="95"/>
                <w:sz w:val="18"/>
              </w:rPr>
              <w:t>14,425,278.68</w:t>
            </w:r>
            <w:r>
              <w:rPr>
                <w:rFonts w:ascii="华文细黑"/>
                <w:sz w:val="18"/>
              </w:rPr>
            </w:r>
          </w:p>
        </w:tc>
        <w:tc>
          <w:tcPr>
            <w:tcW w:w="31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b/>
                <w:w w:val="95"/>
                <w:sz w:val="18"/>
              </w:rPr>
              <w:t>3,807,799.77</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pStyle w:val="BodyText"/>
        <w:spacing w:line="240" w:lineRule="auto" w:before="10"/>
        <w:ind w:left="620" w:right="1289"/>
        <w:jc w:val="left"/>
      </w:pPr>
      <w:r>
        <w:rPr/>
        <w:t>重要逾期利息</w:t>
      </w:r>
    </w:p>
    <w:p>
      <w:pPr>
        <w:spacing w:line="240" w:lineRule="auto" w:before="9"/>
        <w:rPr>
          <w:rFonts w:ascii="华文细黑" w:hAnsi="华文细黑" w:cs="华文细黑" w:eastAsia="华文细黑" w:hint="default"/>
          <w:sz w:val="6"/>
          <w:szCs w:val="6"/>
        </w:rPr>
      </w:pPr>
    </w:p>
    <w:tbl>
      <w:tblPr>
        <w:tblW w:w="0" w:type="auto"/>
        <w:jc w:val="left"/>
        <w:tblInd w:w="114" w:type="dxa"/>
        <w:tblLayout w:type="fixed"/>
        <w:tblCellMar>
          <w:top w:w="0" w:type="dxa"/>
          <w:left w:w="0" w:type="dxa"/>
          <w:bottom w:w="0" w:type="dxa"/>
          <w:right w:w="0" w:type="dxa"/>
        </w:tblCellMar>
        <w:tblLook w:val="01E0"/>
      </w:tblPr>
      <w:tblGrid>
        <w:gridCol w:w="2073"/>
        <w:gridCol w:w="1568"/>
        <w:gridCol w:w="1448"/>
        <w:gridCol w:w="1420"/>
        <w:gridCol w:w="2690"/>
      </w:tblGrid>
      <w:tr>
        <w:trPr>
          <w:trHeight w:val="527" w:hRule="exact"/>
        </w:trPr>
        <w:tc>
          <w:tcPr>
            <w:tcW w:w="207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
              <w:ind w:right="0"/>
              <w:jc w:val="left"/>
              <w:rPr>
                <w:rFonts w:ascii="华文细黑" w:hAnsi="华文细黑" w:cs="华文细黑" w:eastAsia="华文细黑" w:hint="default"/>
                <w:sz w:val="11"/>
                <w:szCs w:val="11"/>
              </w:rPr>
            </w:pPr>
          </w:p>
          <w:p>
            <w:pPr>
              <w:pStyle w:val="TableParagraph"/>
              <w:spacing w:line="240" w:lineRule="auto"/>
              <w:ind w:right="669"/>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贷款单位</w:t>
            </w:r>
          </w:p>
        </w:tc>
        <w:tc>
          <w:tcPr>
            <w:tcW w:w="15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
              <w:ind w:right="0"/>
              <w:jc w:val="left"/>
              <w:rPr>
                <w:rFonts w:ascii="华文细黑" w:hAnsi="华文细黑" w:cs="华文细黑" w:eastAsia="华文细黑" w:hint="default"/>
                <w:sz w:val="11"/>
                <w:szCs w:val="11"/>
              </w:rPr>
            </w:pPr>
          </w:p>
          <w:p>
            <w:pPr>
              <w:pStyle w:val="TableParagraph"/>
              <w:spacing w:line="240" w:lineRule="auto"/>
              <w:ind w:left="4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14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
              <w:ind w:right="0"/>
              <w:jc w:val="left"/>
              <w:rPr>
                <w:rFonts w:ascii="华文细黑" w:hAnsi="华文细黑" w:cs="华文细黑" w:eastAsia="华文细黑" w:hint="default"/>
                <w:sz w:val="11"/>
                <w:szCs w:val="11"/>
              </w:rPr>
            </w:pPr>
          </w:p>
          <w:p>
            <w:pPr>
              <w:pStyle w:val="TableParagraph"/>
              <w:spacing w:line="240" w:lineRule="auto"/>
              <w:ind w:left="35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逾期时间</w:t>
            </w:r>
          </w:p>
        </w:tc>
        <w:tc>
          <w:tcPr>
            <w:tcW w:w="142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
              <w:ind w:right="0"/>
              <w:jc w:val="left"/>
              <w:rPr>
                <w:rFonts w:ascii="华文细黑" w:hAnsi="华文细黑" w:cs="华文细黑" w:eastAsia="华文细黑" w:hint="default"/>
                <w:sz w:val="11"/>
                <w:szCs w:val="11"/>
              </w:rPr>
            </w:pPr>
          </w:p>
          <w:p>
            <w:pPr>
              <w:pStyle w:val="TableParagraph"/>
              <w:spacing w:line="240" w:lineRule="auto"/>
              <w:ind w:left="34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逾期原因</w:t>
            </w:r>
          </w:p>
        </w:tc>
        <w:tc>
          <w:tcPr>
            <w:tcW w:w="26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
              <w:ind w:right="0"/>
              <w:jc w:val="left"/>
              <w:rPr>
                <w:rFonts w:ascii="华文细黑" w:hAnsi="华文细黑" w:cs="华文细黑" w:eastAsia="华文细黑" w:hint="default"/>
                <w:sz w:val="11"/>
                <w:szCs w:val="11"/>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是否发生减值及其判断依据</w:t>
            </w:r>
          </w:p>
        </w:tc>
      </w:tr>
      <w:tr>
        <w:trPr>
          <w:trHeight w:val="509" w:hRule="exact"/>
        </w:trPr>
        <w:tc>
          <w:tcPr>
            <w:tcW w:w="207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
              <w:ind w:right="0"/>
              <w:jc w:val="left"/>
              <w:rPr>
                <w:rFonts w:ascii="华文细黑" w:hAnsi="华文细黑" w:cs="华文细黑" w:eastAsia="华文细黑" w:hint="default"/>
                <w:sz w:val="11"/>
                <w:szCs w:val="11"/>
              </w:rPr>
            </w:pPr>
          </w:p>
          <w:p>
            <w:pPr>
              <w:pStyle w:val="TableParagraph"/>
              <w:spacing w:line="240" w:lineRule="auto"/>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客户</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D</w:t>
            </w:r>
          </w:p>
        </w:tc>
        <w:tc>
          <w:tcPr>
            <w:tcW w:w="1568" w:type="dxa"/>
            <w:tcBorders>
              <w:top w:val="single" w:sz="15" w:space="0" w:color="FFF8E6"/>
              <w:left w:val="single" w:sz="9" w:space="0" w:color="FFF8E6"/>
              <w:bottom w:val="single" w:sz="4" w:space="0" w:color="FFC000"/>
              <w:right w:val="single" w:sz="4" w:space="0" w:color="FFC000"/>
            </w:tcBorders>
          </w:tcPr>
          <w:p>
            <w:pPr>
              <w:pStyle w:val="TableParagraph"/>
              <w:spacing w:line="240" w:lineRule="auto" w:before="149"/>
              <w:ind w:right="23"/>
              <w:jc w:val="right"/>
              <w:rPr>
                <w:rFonts w:ascii="华文细黑" w:hAnsi="华文细黑" w:cs="华文细黑" w:eastAsia="华文细黑" w:hint="default"/>
                <w:sz w:val="18"/>
                <w:szCs w:val="18"/>
              </w:rPr>
            </w:pPr>
            <w:r>
              <w:rPr>
                <w:rFonts w:ascii="华文细黑"/>
                <w:w w:val="95"/>
                <w:sz w:val="18"/>
              </w:rPr>
              <w:t>218,049.60</w:t>
            </w:r>
          </w:p>
        </w:tc>
        <w:tc>
          <w:tcPr>
            <w:tcW w:w="1448" w:type="dxa"/>
            <w:tcBorders>
              <w:top w:val="single" w:sz="15" w:space="0" w:color="FFF8E6"/>
              <w:left w:val="single" w:sz="4" w:space="0" w:color="FFC000"/>
              <w:bottom w:val="single" w:sz="4" w:space="0" w:color="FFC000"/>
              <w:right w:val="single" w:sz="4" w:space="0" w:color="FFC000"/>
            </w:tcBorders>
          </w:tcPr>
          <w:p>
            <w:pPr>
              <w:pStyle w:val="TableParagraph"/>
              <w:spacing w:line="240" w:lineRule="auto" w:before="149"/>
              <w:ind w:right="20"/>
              <w:jc w:val="right"/>
              <w:rPr>
                <w:rFonts w:ascii="华文细黑" w:hAnsi="华文细黑" w:cs="华文细黑" w:eastAsia="华文细黑" w:hint="default"/>
                <w:sz w:val="18"/>
                <w:szCs w:val="18"/>
              </w:rPr>
            </w:pPr>
            <w:r>
              <w:rPr>
                <w:rFonts w:ascii="华文细黑"/>
                <w:spacing w:val="-1"/>
                <w:sz w:val="18"/>
              </w:rPr>
              <w:t>2018-3-20</w:t>
            </w:r>
            <w:r>
              <w:rPr>
                <w:rFonts w:ascii="华文细黑"/>
                <w:sz w:val="18"/>
              </w:rPr>
            </w:r>
          </w:p>
        </w:tc>
        <w:tc>
          <w:tcPr>
            <w:tcW w:w="1420" w:type="dxa"/>
            <w:tcBorders>
              <w:top w:val="single" w:sz="15" w:space="0" w:color="FFF8E6"/>
              <w:left w:val="single" w:sz="4" w:space="0" w:color="FFC000"/>
              <w:bottom w:val="single" w:sz="4" w:space="0" w:color="FFC000"/>
              <w:right w:val="single" w:sz="4" w:space="0" w:color="FFC000"/>
            </w:tcBorders>
          </w:tcPr>
          <w:p>
            <w:pPr>
              <w:pStyle w:val="TableParagraph"/>
              <w:spacing w:line="240" w:lineRule="auto" w:before="89"/>
              <w:ind w:left="30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客户无力偿还</w:t>
            </w:r>
          </w:p>
        </w:tc>
        <w:tc>
          <w:tcPr>
            <w:tcW w:w="2690" w:type="dxa"/>
            <w:tcBorders>
              <w:top w:val="single" w:sz="15" w:space="0" w:color="FFF8E6"/>
              <w:left w:val="single" w:sz="4" w:space="0" w:color="FFC000"/>
              <w:bottom w:val="single" w:sz="4" w:space="0" w:color="FFC000"/>
              <w:right w:val="single" w:sz="4" w:space="0" w:color="FFC000"/>
            </w:tcBorders>
          </w:tcPr>
          <w:p>
            <w:pPr>
              <w:pStyle w:val="TableParagraph"/>
              <w:spacing w:line="240" w:lineRule="auto" w:before="89"/>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已全额计提坏账</w:t>
            </w:r>
          </w:p>
        </w:tc>
      </w:tr>
      <w:tr>
        <w:trPr>
          <w:trHeight w:val="490" w:hRule="exact"/>
        </w:trPr>
        <w:tc>
          <w:tcPr>
            <w:tcW w:w="207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客户</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E</w:t>
            </w:r>
          </w:p>
        </w:tc>
        <w:tc>
          <w:tcPr>
            <w:tcW w:w="1568"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14,914.70</w:t>
            </w:r>
          </w:p>
        </w:tc>
        <w:tc>
          <w:tcPr>
            <w:tcW w:w="14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pacing w:val="-1"/>
                <w:sz w:val="18"/>
              </w:rPr>
              <w:t>2015-6-18</w:t>
            </w:r>
            <w:r>
              <w:rPr>
                <w:rFonts w:ascii="华文细黑"/>
                <w:sz w:val="18"/>
              </w:rPr>
            </w:r>
          </w:p>
        </w:tc>
        <w:tc>
          <w:tcPr>
            <w:tcW w:w="14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4"/>
              <w:ind w:left="30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客户无力偿还</w:t>
            </w:r>
          </w:p>
        </w:tc>
        <w:tc>
          <w:tcPr>
            <w:tcW w:w="26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已全额计提坏账</w:t>
            </w:r>
          </w:p>
        </w:tc>
      </w:tr>
      <w:tr>
        <w:trPr>
          <w:trHeight w:val="491" w:hRule="exact"/>
        </w:trPr>
        <w:tc>
          <w:tcPr>
            <w:tcW w:w="207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客户</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F</w:t>
            </w:r>
          </w:p>
        </w:tc>
        <w:tc>
          <w:tcPr>
            <w:tcW w:w="1568"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z w:val="18"/>
              </w:rPr>
              <w:t>11,902.46</w:t>
            </w:r>
          </w:p>
        </w:tc>
        <w:tc>
          <w:tcPr>
            <w:tcW w:w="14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pacing w:val="-1"/>
                <w:sz w:val="18"/>
              </w:rPr>
              <w:t>2015-8-12</w:t>
            </w:r>
            <w:r>
              <w:rPr>
                <w:rFonts w:ascii="华文细黑"/>
                <w:sz w:val="18"/>
              </w:rPr>
            </w:r>
          </w:p>
        </w:tc>
        <w:tc>
          <w:tcPr>
            <w:tcW w:w="14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4"/>
              <w:ind w:left="30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客户无力偿还</w:t>
            </w:r>
          </w:p>
        </w:tc>
        <w:tc>
          <w:tcPr>
            <w:tcW w:w="26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已全额计提坏账</w:t>
            </w:r>
          </w:p>
        </w:tc>
      </w:tr>
      <w:tr>
        <w:trPr>
          <w:trHeight w:val="490" w:hRule="exact"/>
        </w:trPr>
        <w:tc>
          <w:tcPr>
            <w:tcW w:w="207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客户</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G</w:t>
            </w:r>
          </w:p>
        </w:tc>
        <w:tc>
          <w:tcPr>
            <w:tcW w:w="1568"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7,050.78</w:t>
            </w:r>
          </w:p>
        </w:tc>
        <w:tc>
          <w:tcPr>
            <w:tcW w:w="14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pacing w:val="-1"/>
                <w:sz w:val="18"/>
              </w:rPr>
              <w:t>2015-8-12</w:t>
            </w:r>
            <w:r>
              <w:rPr>
                <w:rFonts w:ascii="华文细黑"/>
                <w:sz w:val="18"/>
              </w:rPr>
            </w:r>
          </w:p>
        </w:tc>
        <w:tc>
          <w:tcPr>
            <w:tcW w:w="14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4"/>
              <w:ind w:left="30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客户无力偿还</w:t>
            </w:r>
          </w:p>
        </w:tc>
        <w:tc>
          <w:tcPr>
            <w:tcW w:w="26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已全额计提坏账</w:t>
            </w:r>
          </w:p>
        </w:tc>
      </w:tr>
      <w:tr>
        <w:trPr>
          <w:trHeight w:val="490" w:hRule="exact"/>
        </w:trPr>
        <w:tc>
          <w:tcPr>
            <w:tcW w:w="207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客户</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H</w:t>
            </w:r>
          </w:p>
        </w:tc>
        <w:tc>
          <w:tcPr>
            <w:tcW w:w="1568"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5,991.84</w:t>
            </w:r>
          </w:p>
        </w:tc>
        <w:tc>
          <w:tcPr>
            <w:tcW w:w="14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pacing w:val="-1"/>
                <w:sz w:val="18"/>
              </w:rPr>
              <w:t>2015-12-26</w:t>
            </w:r>
            <w:r>
              <w:rPr>
                <w:rFonts w:ascii="华文细黑"/>
                <w:sz w:val="18"/>
              </w:rPr>
            </w:r>
          </w:p>
        </w:tc>
        <w:tc>
          <w:tcPr>
            <w:tcW w:w="14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4"/>
              <w:ind w:left="30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客户无力偿还</w:t>
            </w:r>
          </w:p>
        </w:tc>
        <w:tc>
          <w:tcPr>
            <w:tcW w:w="26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已全额计提坏账</w:t>
            </w:r>
          </w:p>
        </w:tc>
      </w:tr>
      <w:tr>
        <w:trPr>
          <w:trHeight w:val="491" w:hRule="exact"/>
        </w:trPr>
        <w:tc>
          <w:tcPr>
            <w:tcW w:w="207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客户</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I</w:t>
            </w:r>
          </w:p>
        </w:tc>
        <w:tc>
          <w:tcPr>
            <w:tcW w:w="1568"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z w:val="18"/>
              </w:rPr>
              <w:t>2,221.67</w:t>
            </w:r>
          </w:p>
        </w:tc>
        <w:tc>
          <w:tcPr>
            <w:tcW w:w="14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pacing w:val="-1"/>
                <w:sz w:val="18"/>
              </w:rPr>
              <w:t>2015-10-28</w:t>
            </w:r>
            <w:r>
              <w:rPr>
                <w:rFonts w:ascii="华文细黑"/>
                <w:sz w:val="18"/>
              </w:rPr>
            </w:r>
          </w:p>
        </w:tc>
        <w:tc>
          <w:tcPr>
            <w:tcW w:w="14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4"/>
              <w:ind w:left="30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客户无力偿还</w:t>
            </w:r>
          </w:p>
        </w:tc>
        <w:tc>
          <w:tcPr>
            <w:tcW w:w="26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已全额计提坏账</w:t>
            </w:r>
          </w:p>
        </w:tc>
      </w:tr>
      <w:tr>
        <w:trPr>
          <w:trHeight w:val="490" w:hRule="exact"/>
        </w:trPr>
        <w:tc>
          <w:tcPr>
            <w:tcW w:w="207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71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计</w:t>
            </w:r>
          </w:p>
        </w:tc>
        <w:tc>
          <w:tcPr>
            <w:tcW w:w="1568"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260,131.05</w:t>
            </w:r>
            <w:r>
              <w:rPr>
                <w:rFonts w:ascii="华文细黑"/>
                <w:sz w:val="18"/>
              </w:rPr>
            </w:r>
          </w:p>
        </w:tc>
        <w:tc>
          <w:tcPr>
            <w:tcW w:w="1448" w:type="dxa"/>
            <w:tcBorders>
              <w:top w:val="single" w:sz="4" w:space="0" w:color="FFC000"/>
              <w:left w:val="single" w:sz="4" w:space="0" w:color="FFC000"/>
              <w:bottom w:val="single" w:sz="4" w:space="0" w:color="FFC000"/>
              <w:right w:val="single" w:sz="4" w:space="0" w:color="FFC000"/>
            </w:tcBorders>
          </w:tcPr>
          <w:p>
            <w:pPr/>
          </w:p>
        </w:tc>
        <w:tc>
          <w:tcPr>
            <w:tcW w:w="1420" w:type="dxa"/>
            <w:tcBorders>
              <w:top w:val="single" w:sz="4" w:space="0" w:color="FFC000"/>
              <w:left w:val="single" w:sz="4" w:space="0" w:color="FFC000"/>
              <w:bottom w:val="single" w:sz="4" w:space="0" w:color="FFC000"/>
              <w:right w:val="single" w:sz="4" w:space="0" w:color="FFC000"/>
            </w:tcBorders>
          </w:tcPr>
          <w:p>
            <w:pPr/>
          </w:p>
        </w:tc>
        <w:tc>
          <w:tcPr>
            <w:tcW w:w="2690" w:type="dxa"/>
            <w:tcBorders>
              <w:top w:val="single" w:sz="4" w:space="0" w:color="FFC000"/>
              <w:left w:val="single" w:sz="4" w:space="0" w:color="FFC000"/>
              <w:bottom w:val="single" w:sz="4" w:space="0" w:color="FFC000"/>
              <w:right w:val="single" w:sz="4" w:space="0" w:color="FFC000"/>
            </w:tcBorders>
          </w:tcPr>
          <w:p>
            <w:pPr/>
          </w:p>
        </w:tc>
      </w:tr>
    </w:tbl>
    <w:p>
      <w:pPr>
        <w:spacing w:line="240" w:lineRule="auto" w:before="13"/>
        <w:rPr>
          <w:rFonts w:ascii="华文细黑" w:hAnsi="华文细黑" w:cs="华文细黑" w:eastAsia="华文细黑" w:hint="default"/>
          <w:sz w:val="6"/>
          <w:szCs w:val="6"/>
        </w:rPr>
      </w:pPr>
    </w:p>
    <w:p>
      <w:pPr>
        <w:pStyle w:val="Heading5"/>
        <w:spacing w:line="240" w:lineRule="auto"/>
        <w:ind w:left="620" w:right="1289"/>
        <w:jc w:val="left"/>
        <w:rPr>
          <w:b w:val="0"/>
          <w:bCs w:val="0"/>
        </w:rPr>
      </w:pPr>
      <w:bookmarkStart w:name="（2）其他应收款" w:id="267"/>
      <w:bookmarkEnd w:id="267"/>
      <w:r>
        <w:rPr>
          <w:b w:val="0"/>
          <w:bCs w:val="0"/>
        </w:rPr>
      </w:r>
      <w:r>
        <w:rPr/>
        <w:t>（</w:t>
      </w:r>
      <w:r>
        <w:rPr>
          <w:rFonts w:ascii="华文细黑" w:hAnsi="华文细黑" w:cs="华文细黑" w:eastAsia="华文细黑" w:hint="default"/>
        </w:rPr>
        <w:t>2</w:t>
      </w:r>
      <w:r>
        <w:rPr/>
        <w:t>）其他应收款</w:t>
      </w:r>
      <w:r>
        <w:rPr>
          <w:b w:val="0"/>
          <w:bCs w:val="0"/>
        </w:rPr>
      </w:r>
    </w:p>
    <w:p>
      <w:pPr>
        <w:pStyle w:val="BodyText"/>
        <w:spacing w:line="240" w:lineRule="auto" w:before="143"/>
        <w:ind w:left="620" w:right="1289"/>
        <w:jc w:val="left"/>
      </w:pPr>
      <w:r>
        <w:rPr/>
        <w:t>①其他应收款分类披露</w:t>
      </w:r>
    </w:p>
    <w:p>
      <w:pPr>
        <w:spacing w:after="0" w:line="240" w:lineRule="auto"/>
        <w:jc w:val="left"/>
        <w:sectPr>
          <w:pgSz w:w="11910" w:h="16840"/>
          <w:pgMar w:header="917" w:footer="1019" w:top="1100" w:bottom="1200" w:left="1240" w:right="0"/>
        </w:sectPr>
      </w:pPr>
    </w:p>
    <w:p>
      <w:pPr>
        <w:spacing w:line="240" w:lineRule="auto" w:before="8"/>
        <w:rPr>
          <w:rFonts w:ascii="华文细黑" w:hAnsi="华文细黑" w:cs="华文细黑" w:eastAsia="华文细黑" w:hint="default"/>
          <w:sz w:val="23"/>
          <w:szCs w:val="23"/>
        </w:rPr>
      </w:pPr>
    </w:p>
    <w:tbl>
      <w:tblPr>
        <w:tblW w:w="0" w:type="auto"/>
        <w:jc w:val="left"/>
        <w:tblInd w:w="115" w:type="dxa"/>
        <w:tblLayout w:type="fixed"/>
        <w:tblCellMar>
          <w:top w:w="0" w:type="dxa"/>
          <w:left w:w="0" w:type="dxa"/>
          <w:bottom w:w="0" w:type="dxa"/>
          <w:right w:w="0" w:type="dxa"/>
        </w:tblCellMar>
        <w:tblLook w:val="01E0"/>
      </w:tblPr>
      <w:tblGrid>
        <w:gridCol w:w="2652"/>
        <w:gridCol w:w="1701"/>
        <w:gridCol w:w="851"/>
        <w:gridCol w:w="1417"/>
        <w:gridCol w:w="1134"/>
        <w:gridCol w:w="1469"/>
      </w:tblGrid>
      <w:tr>
        <w:trPr>
          <w:trHeight w:val="490" w:hRule="exact"/>
        </w:trPr>
        <w:tc>
          <w:tcPr>
            <w:tcW w:w="2652" w:type="dxa"/>
            <w:tcBorders>
              <w:top w:val="single" w:sz="4" w:space="0" w:color="FFC000"/>
              <w:left w:val="single" w:sz="4" w:space="0" w:color="FFC000"/>
              <w:bottom w:val="nil" w:sz="6" w:space="0" w:color="auto"/>
              <w:right w:val="single" w:sz="4" w:space="0" w:color="FFC000"/>
            </w:tcBorders>
            <w:shd w:val="clear" w:color="auto" w:fill="FFF8E6"/>
          </w:tcPr>
          <w:p>
            <w:pPr/>
          </w:p>
        </w:tc>
        <w:tc>
          <w:tcPr>
            <w:tcW w:w="6572" w:type="dxa"/>
            <w:gridSpan w:val="5"/>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250" w:hRule="exact"/>
        </w:trPr>
        <w:tc>
          <w:tcPr>
            <w:tcW w:w="2652" w:type="dxa"/>
            <w:vMerge w:val="restart"/>
            <w:tcBorders>
              <w:top w:val="nil" w:sz="6" w:space="0" w:color="auto"/>
              <w:left w:val="single" w:sz="4" w:space="0" w:color="FFC000"/>
              <w:right w:val="single" w:sz="4" w:space="0" w:color="FFC000"/>
            </w:tcBorders>
            <w:shd w:val="clear" w:color="auto" w:fill="FFF8E6"/>
          </w:tcPr>
          <w:p>
            <w:pPr>
              <w:pStyle w:val="TableParagraph"/>
              <w:tabs>
                <w:tab w:pos="449" w:val="left" w:leader="none"/>
              </w:tabs>
              <w:spacing w:line="240" w:lineRule="auto" w:before="15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类</w:t>
              <w:tab/>
              <w:t>别</w:t>
            </w:r>
          </w:p>
        </w:tc>
        <w:tc>
          <w:tcPr>
            <w:tcW w:w="2552"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2552"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w:t>
            </w:r>
          </w:p>
        </w:tc>
        <w:tc>
          <w:tcPr>
            <w:tcW w:w="1469" w:type="dxa"/>
            <w:tcBorders>
              <w:top w:val="single" w:sz="4" w:space="0" w:color="FFC000"/>
              <w:left w:val="single" w:sz="4" w:space="0" w:color="FFC000"/>
              <w:bottom w:val="nil" w:sz="6" w:space="0" w:color="auto"/>
              <w:right w:val="single" w:sz="4" w:space="0" w:color="FFC000"/>
            </w:tcBorders>
            <w:shd w:val="clear" w:color="auto" w:fill="FFF8E6"/>
          </w:tcPr>
          <w:p>
            <w:pPr/>
          </w:p>
        </w:tc>
      </w:tr>
      <w:tr>
        <w:trPr>
          <w:trHeight w:val="240" w:hRule="exact"/>
        </w:trPr>
        <w:tc>
          <w:tcPr>
            <w:tcW w:w="2652" w:type="dxa"/>
            <w:vMerge/>
            <w:tcBorders>
              <w:left w:val="single" w:sz="4" w:space="0" w:color="FFC000"/>
              <w:bottom w:val="nil" w:sz="6" w:space="0" w:color="auto"/>
              <w:right w:val="single" w:sz="4" w:space="0" w:color="FFC000"/>
            </w:tcBorders>
            <w:shd w:val="clear" w:color="auto" w:fill="FFF8E6"/>
          </w:tcPr>
          <w:p>
            <w:pPr/>
          </w:p>
        </w:tc>
        <w:tc>
          <w:tcPr>
            <w:tcW w:w="2552" w:type="dxa"/>
            <w:gridSpan w:val="2"/>
            <w:vMerge/>
            <w:tcBorders>
              <w:left w:val="single" w:sz="4" w:space="0" w:color="FFC000"/>
              <w:bottom w:val="single" w:sz="4" w:space="0" w:color="FFC000"/>
              <w:right w:val="single" w:sz="4" w:space="0" w:color="FFC000"/>
            </w:tcBorders>
            <w:shd w:val="clear" w:color="auto" w:fill="FFF8E6"/>
          </w:tcPr>
          <w:p>
            <w:pPr/>
          </w:p>
        </w:tc>
        <w:tc>
          <w:tcPr>
            <w:tcW w:w="2552" w:type="dxa"/>
            <w:gridSpan w:val="2"/>
            <w:vMerge/>
            <w:tcBorders>
              <w:left w:val="single" w:sz="4" w:space="0" w:color="FFC000"/>
              <w:bottom w:val="single" w:sz="4" w:space="0" w:color="FFC000"/>
              <w:right w:val="single" w:sz="4" w:space="0" w:color="FFC000"/>
            </w:tcBorders>
            <w:shd w:val="clear" w:color="auto" w:fill="FFF8E6"/>
          </w:tcPr>
          <w:p>
            <w:pPr/>
          </w:p>
        </w:tc>
        <w:tc>
          <w:tcPr>
            <w:tcW w:w="1469"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36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账面价值</w:t>
            </w:r>
          </w:p>
        </w:tc>
      </w:tr>
      <w:tr>
        <w:trPr>
          <w:trHeight w:val="240" w:hRule="exact"/>
        </w:trPr>
        <w:tc>
          <w:tcPr>
            <w:tcW w:w="2652" w:type="dxa"/>
            <w:vMerge w:val="restart"/>
            <w:tcBorders>
              <w:top w:val="nil" w:sz="6" w:space="0" w:color="auto"/>
              <w:left w:val="single" w:sz="4" w:space="0" w:color="FFC000"/>
              <w:right w:val="single" w:sz="4" w:space="0" w:color="FFC000"/>
            </w:tcBorders>
            <w:shd w:val="clear" w:color="auto" w:fill="FFF8E6"/>
          </w:tcPr>
          <w:p>
            <w:pPr/>
          </w:p>
        </w:tc>
        <w:tc>
          <w:tcPr>
            <w:tcW w:w="1701"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851"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比例（</w:t>
            </w:r>
            <w:r>
              <w:rPr>
                <w:rFonts w:ascii="华文细黑" w:hAnsi="华文细黑" w:cs="华文细黑" w:eastAsia="华文细黑" w:hint="default"/>
                <w:sz w:val="18"/>
                <w:szCs w:val="18"/>
              </w:rPr>
              <w:t>%</w:t>
            </w:r>
          </w:p>
        </w:tc>
        <w:tc>
          <w:tcPr>
            <w:tcW w:w="1417" w:type="dxa"/>
            <w:vMerge w:val="restart"/>
            <w:tcBorders>
              <w:top w:val="single" w:sz="4" w:space="0" w:color="FFC000"/>
              <w:left w:val="single" w:sz="4" w:space="0" w:color="FFC000"/>
              <w:right w:val="single" w:sz="4" w:space="0" w:color="FFC000"/>
            </w:tcBorders>
            <w:shd w:val="clear" w:color="auto" w:fill="FFF8E6"/>
          </w:tcPr>
          <w:p>
            <w:pPr>
              <w:pStyle w:val="TableParagraph"/>
              <w:tabs>
                <w:tab w:pos="523" w:val="left" w:leader="none"/>
              </w:tabs>
              <w:spacing w:line="240" w:lineRule="auto" w:before="144"/>
              <w:ind w:left="-14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w:t>
              <w:tab/>
              <w:t>金额</w:t>
            </w:r>
          </w:p>
        </w:tc>
        <w:tc>
          <w:tcPr>
            <w:tcW w:w="1134"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计提比例（</w:t>
            </w:r>
            <w:r>
              <w:rPr>
                <w:rFonts w:ascii="华文细黑" w:hAnsi="华文细黑" w:cs="华文细黑" w:eastAsia="华文细黑" w:hint="default"/>
                <w:spacing w:val="-9"/>
                <w:sz w:val="18"/>
                <w:szCs w:val="18"/>
              </w:rPr>
              <w:t>%</w:t>
            </w:r>
          </w:p>
        </w:tc>
        <w:tc>
          <w:tcPr>
            <w:tcW w:w="1469" w:type="dxa"/>
            <w:vMerge/>
            <w:tcBorders>
              <w:left w:val="single" w:sz="4" w:space="0" w:color="FFC000"/>
              <w:bottom w:val="nil" w:sz="6" w:space="0" w:color="auto"/>
              <w:right w:val="single" w:sz="4" w:space="0" w:color="FFC000"/>
            </w:tcBorders>
            <w:shd w:val="clear" w:color="auto" w:fill="FFF8E6"/>
          </w:tcPr>
          <w:p>
            <w:pPr/>
          </w:p>
        </w:tc>
      </w:tr>
      <w:tr>
        <w:trPr>
          <w:trHeight w:val="250" w:hRule="exact"/>
        </w:trPr>
        <w:tc>
          <w:tcPr>
            <w:tcW w:w="2652" w:type="dxa"/>
            <w:vMerge/>
            <w:tcBorders>
              <w:left w:val="single" w:sz="4" w:space="0" w:color="FFC000"/>
              <w:bottom w:val="single" w:sz="4" w:space="0" w:color="FFC000"/>
              <w:right w:val="single" w:sz="4" w:space="0" w:color="FFC000"/>
            </w:tcBorders>
            <w:shd w:val="clear" w:color="auto" w:fill="FFF8E6"/>
          </w:tcPr>
          <w:p>
            <w:pPr/>
          </w:p>
        </w:tc>
        <w:tc>
          <w:tcPr>
            <w:tcW w:w="1701" w:type="dxa"/>
            <w:vMerge/>
            <w:tcBorders>
              <w:left w:val="single" w:sz="4" w:space="0" w:color="FFC000"/>
              <w:bottom w:val="single" w:sz="4" w:space="0" w:color="FFC000"/>
              <w:right w:val="single" w:sz="4" w:space="0" w:color="FFC000"/>
            </w:tcBorders>
            <w:shd w:val="clear" w:color="auto" w:fill="FFF8E6"/>
          </w:tcPr>
          <w:p>
            <w:pPr/>
          </w:p>
        </w:tc>
        <w:tc>
          <w:tcPr>
            <w:tcW w:w="851" w:type="dxa"/>
            <w:vMerge/>
            <w:tcBorders>
              <w:left w:val="single" w:sz="4" w:space="0" w:color="FFC000"/>
              <w:bottom w:val="single" w:sz="4" w:space="0" w:color="FFC000"/>
              <w:right w:val="single" w:sz="4" w:space="0" w:color="FFC000"/>
            </w:tcBorders>
            <w:shd w:val="clear" w:color="auto" w:fill="FFF8E6"/>
          </w:tcPr>
          <w:p>
            <w:pPr/>
          </w:p>
        </w:tc>
        <w:tc>
          <w:tcPr>
            <w:tcW w:w="1417" w:type="dxa"/>
            <w:vMerge/>
            <w:tcBorders>
              <w:left w:val="single" w:sz="4" w:space="0" w:color="FFC000"/>
              <w:bottom w:val="single" w:sz="4" w:space="0" w:color="FFC000"/>
              <w:right w:val="single" w:sz="4" w:space="0" w:color="FFC000"/>
            </w:tcBorders>
            <w:shd w:val="clear" w:color="auto" w:fill="FFF8E6"/>
          </w:tcPr>
          <w:p>
            <w:pPr/>
          </w:p>
        </w:tc>
        <w:tc>
          <w:tcPr>
            <w:tcW w:w="1134" w:type="dxa"/>
            <w:vMerge/>
            <w:tcBorders>
              <w:left w:val="single" w:sz="4" w:space="0" w:color="FFC000"/>
              <w:bottom w:val="single" w:sz="4" w:space="0" w:color="FFC000"/>
              <w:right w:val="single" w:sz="4" w:space="0" w:color="FFC000"/>
            </w:tcBorders>
            <w:shd w:val="clear" w:color="auto" w:fill="FFF8E6"/>
          </w:tcPr>
          <w:p>
            <w:pPr/>
          </w:p>
        </w:tc>
        <w:tc>
          <w:tcPr>
            <w:tcW w:w="1469" w:type="dxa"/>
            <w:tcBorders>
              <w:top w:val="nil" w:sz="6" w:space="0" w:color="auto"/>
              <w:left w:val="single" w:sz="4" w:space="0" w:color="FFC000"/>
              <w:bottom w:val="single" w:sz="4" w:space="0" w:color="FFC000"/>
              <w:right w:val="single" w:sz="4" w:space="0" w:color="FFC000"/>
            </w:tcBorders>
            <w:shd w:val="clear" w:color="auto" w:fill="FFF8E6"/>
          </w:tcPr>
          <w:p>
            <w:pPr>
              <w:pStyle w:val="TableParagraph"/>
              <w:spacing w:line="163" w:lineRule="exact"/>
              <w:ind w:left="-1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p>
        </w:tc>
      </w:tr>
      <w:tr>
        <w:trPr>
          <w:trHeight w:val="890" w:hRule="exact"/>
        </w:trPr>
        <w:tc>
          <w:tcPr>
            <w:tcW w:w="26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23" w:right="24"/>
              <w:jc w:val="left"/>
              <w:rPr>
                <w:rFonts w:ascii="华文细黑" w:hAnsi="华文细黑" w:cs="华文细黑" w:eastAsia="华文细黑" w:hint="default"/>
                <w:sz w:val="18"/>
                <w:szCs w:val="18"/>
              </w:rPr>
            </w:pPr>
            <w:r>
              <w:rPr>
                <w:rFonts w:ascii="华文细黑" w:hAnsi="华文细黑" w:cs="华文细黑" w:eastAsia="华文细黑" w:hint="default"/>
                <w:spacing w:val="4"/>
                <w:sz w:val="18"/>
                <w:szCs w:val="18"/>
              </w:rPr>
              <w:t>单项金额重大并单独计提坏账准</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备的其他应收款</w:t>
            </w:r>
          </w:p>
        </w:tc>
        <w:tc>
          <w:tcPr>
            <w:tcW w:w="170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6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r>
      <w:tr>
        <w:trPr>
          <w:trHeight w:val="889" w:hRule="exact"/>
        </w:trPr>
        <w:tc>
          <w:tcPr>
            <w:tcW w:w="26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23" w:right="24"/>
              <w:jc w:val="left"/>
              <w:rPr>
                <w:rFonts w:ascii="华文细黑" w:hAnsi="华文细黑" w:cs="华文细黑" w:eastAsia="华文细黑" w:hint="default"/>
                <w:sz w:val="18"/>
                <w:szCs w:val="18"/>
              </w:rPr>
            </w:pPr>
            <w:r>
              <w:rPr>
                <w:rFonts w:ascii="华文细黑" w:hAnsi="华文细黑" w:cs="华文细黑" w:eastAsia="华文细黑" w:hint="default"/>
                <w:spacing w:val="4"/>
                <w:sz w:val="18"/>
                <w:szCs w:val="18"/>
              </w:rPr>
              <w:t>按信用风险特征组合计提坏账准</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备的其他应收款</w:t>
            </w:r>
          </w:p>
        </w:tc>
        <w:tc>
          <w:tcPr>
            <w:tcW w:w="170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112,657,838.27</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3"/>
              <w:jc w:val="right"/>
              <w:rPr>
                <w:rFonts w:ascii="华文细黑" w:hAnsi="华文细黑" w:cs="华文细黑" w:eastAsia="华文细黑" w:hint="default"/>
                <w:sz w:val="18"/>
                <w:szCs w:val="18"/>
              </w:rPr>
            </w:pPr>
            <w:r>
              <w:rPr>
                <w:rFonts w:ascii="华文细黑"/>
                <w:sz w:val="18"/>
              </w:rPr>
              <w:t>95.94</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10,373,999.21</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9.21</w:t>
            </w:r>
          </w:p>
        </w:tc>
        <w:tc>
          <w:tcPr>
            <w:tcW w:w="146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102,283,839.06</w:t>
            </w:r>
          </w:p>
        </w:tc>
      </w:tr>
      <w:tr>
        <w:trPr>
          <w:trHeight w:val="491" w:hRule="exact"/>
        </w:trPr>
        <w:tc>
          <w:tcPr>
            <w:tcW w:w="26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5"/>
              <w:ind w:left="1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其中：账龄组合</w:t>
            </w:r>
          </w:p>
        </w:tc>
        <w:tc>
          <w:tcPr>
            <w:tcW w:w="170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37,220,666.84</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z w:val="18"/>
              </w:rPr>
              <w:t>31.70</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10,373,999.21</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27.87</w:t>
            </w:r>
          </w:p>
        </w:tc>
        <w:tc>
          <w:tcPr>
            <w:tcW w:w="146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26,846,667.63</w:t>
            </w:r>
          </w:p>
        </w:tc>
      </w:tr>
      <w:tr>
        <w:trPr>
          <w:trHeight w:val="490" w:hRule="exact"/>
        </w:trPr>
        <w:tc>
          <w:tcPr>
            <w:tcW w:w="26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65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款项性质组合</w:t>
            </w:r>
          </w:p>
        </w:tc>
        <w:tc>
          <w:tcPr>
            <w:tcW w:w="170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75,437,171.43</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64.24</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46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75,437,171.43</w:t>
            </w:r>
          </w:p>
        </w:tc>
      </w:tr>
      <w:tr>
        <w:trPr>
          <w:trHeight w:val="890" w:hRule="exact"/>
        </w:trPr>
        <w:tc>
          <w:tcPr>
            <w:tcW w:w="26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23" w:right="24"/>
              <w:jc w:val="left"/>
              <w:rPr>
                <w:rFonts w:ascii="华文细黑" w:hAnsi="华文细黑" w:cs="华文细黑" w:eastAsia="华文细黑" w:hint="default"/>
                <w:sz w:val="18"/>
                <w:szCs w:val="18"/>
              </w:rPr>
            </w:pPr>
            <w:r>
              <w:rPr>
                <w:rFonts w:ascii="华文细黑" w:hAnsi="华文细黑" w:cs="华文细黑" w:eastAsia="华文细黑" w:hint="default"/>
                <w:spacing w:val="4"/>
                <w:sz w:val="18"/>
                <w:szCs w:val="18"/>
              </w:rPr>
              <w:t>单项金额不重大但单独计提坏账</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准备的其他应收款</w:t>
            </w:r>
          </w:p>
        </w:tc>
        <w:tc>
          <w:tcPr>
            <w:tcW w:w="170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4,766,210.24</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4.06</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2,966,210.24</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w w:val="95"/>
                <w:sz w:val="18"/>
              </w:rPr>
              <w:t>62.23</w:t>
            </w:r>
          </w:p>
        </w:tc>
        <w:tc>
          <w:tcPr>
            <w:tcW w:w="146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1,800,000.00</w:t>
            </w:r>
          </w:p>
        </w:tc>
      </w:tr>
      <w:tr>
        <w:trPr>
          <w:trHeight w:val="490" w:hRule="exact"/>
        </w:trPr>
        <w:tc>
          <w:tcPr>
            <w:tcW w:w="26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9" w:val="left" w:leader="none"/>
              </w:tabs>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70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117,424,048.51</w:t>
            </w:r>
            <w:r>
              <w:rPr>
                <w:rFonts w:ascii="华文细黑"/>
                <w:sz w:val="18"/>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100.00</w:t>
            </w:r>
            <w:r>
              <w:rPr>
                <w:rFonts w:ascii="华文细黑"/>
                <w:sz w:val="18"/>
              </w:rPr>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13,340,209.45</w:t>
            </w:r>
            <w:r>
              <w:rPr>
                <w:rFonts w:ascii="华文细黑"/>
                <w:sz w:val="18"/>
              </w:rPr>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11.36</w:t>
            </w:r>
            <w:r>
              <w:rPr>
                <w:rFonts w:ascii="华文细黑"/>
                <w:sz w:val="18"/>
              </w:rPr>
            </w:r>
          </w:p>
        </w:tc>
        <w:tc>
          <w:tcPr>
            <w:tcW w:w="146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104,083,839.06</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40" w:right="6664"/>
        <w:jc w:val="left"/>
      </w:pPr>
      <w:r>
        <w:rPr/>
        <w:t>（续）</w:t>
      </w:r>
    </w:p>
    <w:p>
      <w:pPr>
        <w:spacing w:line="240" w:lineRule="auto" w:before="5"/>
        <w:rPr>
          <w:rFonts w:ascii="华文细黑" w:hAnsi="华文细黑" w:cs="华文细黑" w:eastAsia="华文细黑" w:hint="default"/>
          <w:sz w:val="5"/>
          <w:szCs w:val="5"/>
        </w:rPr>
      </w:pPr>
    </w:p>
    <w:tbl>
      <w:tblPr>
        <w:tblW w:w="0" w:type="auto"/>
        <w:jc w:val="left"/>
        <w:tblInd w:w="151" w:type="dxa"/>
        <w:tblLayout w:type="fixed"/>
        <w:tblCellMar>
          <w:top w:w="0" w:type="dxa"/>
          <w:left w:w="0" w:type="dxa"/>
          <w:bottom w:w="0" w:type="dxa"/>
          <w:right w:w="0" w:type="dxa"/>
        </w:tblCellMar>
        <w:tblLook w:val="01E0"/>
      </w:tblPr>
      <w:tblGrid>
        <w:gridCol w:w="2616"/>
        <w:gridCol w:w="1418"/>
        <w:gridCol w:w="851"/>
        <w:gridCol w:w="1339"/>
        <w:gridCol w:w="1402"/>
        <w:gridCol w:w="1526"/>
      </w:tblGrid>
      <w:tr>
        <w:trPr>
          <w:trHeight w:val="490" w:hRule="exact"/>
        </w:trPr>
        <w:tc>
          <w:tcPr>
            <w:tcW w:w="2616" w:type="dxa"/>
            <w:tcBorders>
              <w:top w:val="single" w:sz="4" w:space="0" w:color="FFC000"/>
              <w:left w:val="single" w:sz="4" w:space="0" w:color="FFC000"/>
              <w:bottom w:val="nil" w:sz="6" w:space="0" w:color="auto"/>
              <w:right w:val="single" w:sz="4" w:space="0" w:color="FFC000"/>
            </w:tcBorders>
            <w:shd w:val="clear" w:color="auto" w:fill="FFF8E6"/>
          </w:tcPr>
          <w:p>
            <w:pPr/>
          </w:p>
        </w:tc>
        <w:tc>
          <w:tcPr>
            <w:tcW w:w="6536" w:type="dxa"/>
            <w:gridSpan w:val="5"/>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250" w:hRule="exact"/>
        </w:trPr>
        <w:tc>
          <w:tcPr>
            <w:tcW w:w="2616" w:type="dxa"/>
            <w:vMerge w:val="restart"/>
            <w:tcBorders>
              <w:top w:val="nil" w:sz="6" w:space="0" w:color="auto"/>
              <w:left w:val="single" w:sz="4" w:space="0" w:color="FFC000"/>
              <w:right w:val="single" w:sz="4" w:space="0" w:color="FFC000"/>
            </w:tcBorders>
            <w:shd w:val="clear" w:color="auto" w:fill="FFF8E6"/>
          </w:tcPr>
          <w:p>
            <w:pPr>
              <w:pStyle w:val="TableParagraph"/>
              <w:tabs>
                <w:tab w:pos="448" w:val="left" w:leader="none"/>
              </w:tabs>
              <w:spacing w:line="240" w:lineRule="auto" w:before="149"/>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类</w:t>
              <w:tab/>
              <w:t>别</w:t>
            </w:r>
          </w:p>
        </w:tc>
        <w:tc>
          <w:tcPr>
            <w:tcW w:w="2268"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2741"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w:t>
            </w:r>
          </w:p>
        </w:tc>
        <w:tc>
          <w:tcPr>
            <w:tcW w:w="1526" w:type="dxa"/>
            <w:tcBorders>
              <w:top w:val="single" w:sz="4" w:space="0" w:color="FFC000"/>
              <w:left w:val="single" w:sz="4" w:space="0" w:color="FFC000"/>
              <w:bottom w:val="nil" w:sz="6" w:space="0" w:color="auto"/>
              <w:right w:val="single" w:sz="4" w:space="0" w:color="FFC000"/>
            </w:tcBorders>
            <w:shd w:val="clear" w:color="auto" w:fill="FFF8E6"/>
          </w:tcPr>
          <w:p>
            <w:pPr/>
          </w:p>
        </w:tc>
      </w:tr>
      <w:tr>
        <w:trPr>
          <w:trHeight w:val="236" w:hRule="exact"/>
        </w:trPr>
        <w:tc>
          <w:tcPr>
            <w:tcW w:w="2616" w:type="dxa"/>
            <w:vMerge/>
            <w:tcBorders>
              <w:left w:val="single" w:sz="4" w:space="0" w:color="FFC000"/>
              <w:bottom w:val="nil" w:sz="6" w:space="0" w:color="auto"/>
              <w:right w:val="single" w:sz="4" w:space="0" w:color="FFC000"/>
            </w:tcBorders>
            <w:shd w:val="clear" w:color="auto" w:fill="FFF8E6"/>
          </w:tcPr>
          <w:p>
            <w:pPr/>
          </w:p>
        </w:tc>
        <w:tc>
          <w:tcPr>
            <w:tcW w:w="2268" w:type="dxa"/>
            <w:gridSpan w:val="2"/>
            <w:vMerge/>
            <w:tcBorders>
              <w:left w:val="single" w:sz="4" w:space="0" w:color="FFC000"/>
              <w:bottom w:val="single" w:sz="4" w:space="0" w:color="FFC000"/>
              <w:right w:val="single" w:sz="4" w:space="0" w:color="FFC000"/>
            </w:tcBorders>
            <w:shd w:val="clear" w:color="auto" w:fill="FFF8E6"/>
          </w:tcPr>
          <w:p>
            <w:pPr/>
          </w:p>
        </w:tc>
        <w:tc>
          <w:tcPr>
            <w:tcW w:w="2741" w:type="dxa"/>
            <w:gridSpan w:val="2"/>
            <w:vMerge/>
            <w:tcBorders>
              <w:left w:val="single" w:sz="4" w:space="0" w:color="FFC000"/>
              <w:bottom w:val="single" w:sz="4" w:space="0" w:color="FFC000"/>
              <w:right w:val="single" w:sz="4" w:space="0" w:color="FFC000"/>
            </w:tcBorders>
            <w:shd w:val="clear" w:color="auto" w:fill="FFF8E6"/>
          </w:tcPr>
          <w:p>
            <w:pPr/>
          </w:p>
        </w:tc>
        <w:tc>
          <w:tcPr>
            <w:tcW w:w="1526"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5"/>
              <w:ind w:left="39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账面价值</w:t>
            </w:r>
          </w:p>
        </w:tc>
      </w:tr>
      <w:tr>
        <w:trPr>
          <w:trHeight w:val="245" w:hRule="exact"/>
        </w:trPr>
        <w:tc>
          <w:tcPr>
            <w:tcW w:w="2616" w:type="dxa"/>
            <w:vMerge w:val="restart"/>
            <w:tcBorders>
              <w:top w:val="nil" w:sz="6" w:space="0" w:color="auto"/>
              <w:left w:val="single" w:sz="4" w:space="0" w:color="FFC000"/>
              <w:right w:val="single" w:sz="4" w:space="0" w:color="FFC000"/>
            </w:tcBorders>
            <w:shd w:val="clear" w:color="auto" w:fill="FFF8E6"/>
          </w:tcPr>
          <w:p>
            <w:pPr/>
          </w:p>
        </w:tc>
        <w:tc>
          <w:tcPr>
            <w:tcW w:w="141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851"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22" w:right="-4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133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140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8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计提比例（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1526" w:type="dxa"/>
            <w:vMerge/>
            <w:tcBorders>
              <w:left w:val="single" w:sz="4" w:space="0" w:color="FFC000"/>
              <w:bottom w:val="nil" w:sz="6" w:space="0" w:color="auto"/>
              <w:right w:val="single" w:sz="4" w:space="0" w:color="FFC000"/>
            </w:tcBorders>
            <w:shd w:val="clear" w:color="auto" w:fill="FFF8E6"/>
          </w:tcPr>
          <w:p>
            <w:pPr/>
          </w:p>
        </w:tc>
      </w:tr>
      <w:tr>
        <w:trPr>
          <w:trHeight w:val="250" w:hRule="exact"/>
        </w:trPr>
        <w:tc>
          <w:tcPr>
            <w:tcW w:w="2616" w:type="dxa"/>
            <w:vMerge/>
            <w:tcBorders>
              <w:left w:val="single" w:sz="4" w:space="0" w:color="FFC000"/>
              <w:bottom w:val="single" w:sz="4" w:space="0" w:color="FFC000"/>
              <w:right w:val="single" w:sz="4" w:space="0" w:color="FFC000"/>
            </w:tcBorders>
            <w:shd w:val="clear" w:color="auto" w:fill="FFF8E6"/>
          </w:tcPr>
          <w:p>
            <w:pPr/>
          </w:p>
        </w:tc>
        <w:tc>
          <w:tcPr>
            <w:tcW w:w="1418" w:type="dxa"/>
            <w:vMerge/>
            <w:tcBorders>
              <w:left w:val="single" w:sz="4" w:space="0" w:color="FFC000"/>
              <w:bottom w:val="single" w:sz="4" w:space="0" w:color="FFC000"/>
              <w:right w:val="single" w:sz="4" w:space="0" w:color="FFC000"/>
            </w:tcBorders>
            <w:shd w:val="clear" w:color="auto" w:fill="FFF8E6"/>
          </w:tcPr>
          <w:p>
            <w:pPr/>
          </w:p>
        </w:tc>
        <w:tc>
          <w:tcPr>
            <w:tcW w:w="851" w:type="dxa"/>
            <w:vMerge/>
            <w:tcBorders>
              <w:left w:val="single" w:sz="4" w:space="0" w:color="FFC000"/>
              <w:bottom w:val="single" w:sz="4" w:space="0" w:color="FFC000"/>
              <w:right w:val="single" w:sz="4" w:space="0" w:color="FFC000"/>
            </w:tcBorders>
            <w:shd w:val="clear" w:color="auto" w:fill="FFF8E6"/>
          </w:tcPr>
          <w:p>
            <w:pPr/>
          </w:p>
        </w:tc>
        <w:tc>
          <w:tcPr>
            <w:tcW w:w="1339" w:type="dxa"/>
            <w:vMerge/>
            <w:tcBorders>
              <w:left w:val="single" w:sz="4" w:space="0" w:color="FFC000"/>
              <w:bottom w:val="single" w:sz="4" w:space="0" w:color="FFC000"/>
              <w:right w:val="single" w:sz="4" w:space="0" w:color="FFC000"/>
            </w:tcBorders>
            <w:shd w:val="clear" w:color="auto" w:fill="FFF8E6"/>
          </w:tcPr>
          <w:p>
            <w:pPr/>
          </w:p>
        </w:tc>
        <w:tc>
          <w:tcPr>
            <w:tcW w:w="1402" w:type="dxa"/>
            <w:vMerge/>
            <w:tcBorders>
              <w:left w:val="single" w:sz="4" w:space="0" w:color="FFC000"/>
              <w:bottom w:val="single" w:sz="4" w:space="0" w:color="FFC000"/>
              <w:right w:val="single" w:sz="4" w:space="0" w:color="FFC000"/>
            </w:tcBorders>
            <w:shd w:val="clear" w:color="auto" w:fill="FFF8E6"/>
          </w:tcPr>
          <w:p>
            <w:pPr/>
          </w:p>
        </w:tc>
        <w:tc>
          <w:tcPr>
            <w:tcW w:w="1526" w:type="dxa"/>
            <w:tcBorders>
              <w:top w:val="nil" w:sz="6" w:space="0" w:color="auto"/>
              <w:left w:val="single" w:sz="4" w:space="0" w:color="FFC000"/>
              <w:bottom w:val="single" w:sz="4" w:space="0" w:color="FFC000"/>
              <w:right w:val="single" w:sz="4" w:space="0" w:color="FFC000"/>
            </w:tcBorders>
            <w:shd w:val="clear" w:color="auto" w:fill="FFF8E6"/>
          </w:tcPr>
          <w:p>
            <w:pPr/>
          </w:p>
        </w:tc>
      </w:tr>
      <w:tr>
        <w:trPr>
          <w:trHeight w:val="890" w:hRule="exact"/>
        </w:trPr>
        <w:tc>
          <w:tcPr>
            <w:tcW w:w="26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4"/>
              <w:ind w:left="24" w:right="25"/>
              <w:jc w:val="left"/>
              <w:rPr>
                <w:rFonts w:ascii="华文细黑" w:hAnsi="华文细黑" w:cs="华文细黑" w:eastAsia="华文细黑" w:hint="default"/>
                <w:sz w:val="18"/>
                <w:szCs w:val="18"/>
              </w:rPr>
            </w:pPr>
            <w:r>
              <w:rPr>
                <w:rFonts w:ascii="华文细黑" w:hAnsi="华文细黑" w:cs="华文细黑" w:eastAsia="华文细黑" w:hint="default"/>
                <w:spacing w:val="2"/>
                <w:sz w:val="18"/>
                <w:szCs w:val="18"/>
              </w:rPr>
              <w:t>单项金额重大并单独计提坏账准</w:t>
            </w:r>
            <w:r>
              <w:rPr>
                <w:rFonts w:ascii="华文细黑" w:hAnsi="华文细黑" w:cs="华文细黑" w:eastAsia="华文细黑" w:hint="default"/>
                <w:spacing w:val="-42"/>
                <w:sz w:val="18"/>
                <w:szCs w:val="18"/>
              </w:rPr>
              <w:t> </w:t>
            </w:r>
            <w:r>
              <w:rPr>
                <w:rFonts w:ascii="华文细黑" w:hAnsi="华文细黑" w:cs="华文细黑" w:eastAsia="华文细黑" w:hint="default"/>
                <w:spacing w:val="-42"/>
                <w:sz w:val="18"/>
                <w:szCs w:val="18"/>
              </w:rPr>
            </w:r>
            <w:r>
              <w:rPr>
                <w:rFonts w:ascii="华文细黑" w:hAnsi="华文细黑" w:cs="华文细黑" w:eastAsia="华文细黑" w:hint="default"/>
                <w:sz w:val="18"/>
                <w:szCs w:val="18"/>
              </w:rPr>
              <w:t>备的其他应收款</w:t>
            </w:r>
          </w:p>
        </w:tc>
        <w:tc>
          <w:tcPr>
            <w:tcW w:w="141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67,487,643.59</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35.31</w:t>
            </w:r>
          </w:p>
        </w:tc>
        <w:tc>
          <w:tcPr>
            <w:tcW w:w="133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67,487,643.59</w:t>
            </w:r>
          </w:p>
        </w:tc>
        <w:tc>
          <w:tcPr>
            <w:tcW w:w="14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100.00</w:t>
            </w:r>
          </w:p>
        </w:tc>
        <w:tc>
          <w:tcPr>
            <w:tcW w:w="15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r>
      <w:tr>
        <w:trPr>
          <w:trHeight w:val="890" w:hRule="exact"/>
        </w:trPr>
        <w:tc>
          <w:tcPr>
            <w:tcW w:w="26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24" w:right="25"/>
              <w:jc w:val="left"/>
              <w:rPr>
                <w:rFonts w:ascii="华文细黑" w:hAnsi="华文细黑" w:cs="华文细黑" w:eastAsia="华文细黑" w:hint="default"/>
                <w:sz w:val="18"/>
                <w:szCs w:val="18"/>
              </w:rPr>
            </w:pPr>
            <w:r>
              <w:rPr>
                <w:rFonts w:ascii="华文细黑" w:hAnsi="华文细黑" w:cs="华文细黑" w:eastAsia="华文细黑" w:hint="default"/>
                <w:spacing w:val="2"/>
                <w:sz w:val="18"/>
                <w:szCs w:val="18"/>
              </w:rPr>
              <w:t>按信用风险特征组合计提坏账准</w:t>
            </w:r>
            <w:r>
              <w:rPr>
                <w:rFonts w:ascii="华文细黑" w:hAnsi="华文细黑" w:cs="华文细黑" w:eastAsia="华文细黑" w:hint="default"/>
                <w:spacing w:val="-42"/>
                <w:sz w:val="18"/>
                <w:szCs w:val="18"/>
              </w:rPr>
              <w:t> </w:t>
            </w:r>
            <w:r>
              <w:rPr>
                <w:rFonts w:ascii="华文细黑" w:hAnsi="华文细黑" w:cs="华文细黑" w:eastAsia="华文细黑" w:hint="default"/>
                <w:spacing w:val="-42"/>
                <w:sz w:val="18"/>
                <w:szCs w:val="18"/>
              </w:rPr>
            </w:r>
            <w:r>
              <w:rPr>
                <w:rFonts w:ascii="华文细黑" w:hAnsi="华文细黑" w:cs="华文细黑" w:eastAsia="华文细黑" w:hint="default"/>
                <w:sz w:val="18"/>
                <w:szCs w:val="18"/>
              </w:rPr>
              <w:t>备的其他应收款</w:t>
            </w:r>
          </w:p>
        </w:tc>
        <w:tc>
          <w:tcPr>
            <w:tcW w:w="141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120,651,057.81</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63.13</w:t>
            </w:r>
          </w:p>
        </w:tc>
        <w:tc>
          <w:tcPr>
            <w:tcW w:w="133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5,823,473.65</w:t>
            </w:r>
          </w:p>
        </w:tc>
        <w:tc>
          <w:tcPr>
            <w:tcW w:w="14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4.83</w:t>
            </w:r>
          </w:p>
        </w:tc>
        <w:tc>
          <w:tcPr>
            <w:tcW w:w="15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114,827,584.16</w:t>
            </w:r>
          </w:p>
        </w:tc>
      </w:tr>
      <w:tr>
        <w:trPr>
          <w:trHeight w:val="490" w:hRule="exact"/>
        </w:trPr>
        <w:tc>
          <w:tcPr>
            <w:tcW w:w="26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1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其中：账龄组合</w:t>
            </w:r>
          </w:p>
        </w:tc>
        <w:tc>
          <w:tcPr>
            <w:tcW w:w="141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55,463,606.62</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29.02</w:t>
            </w:r>
          </w:p>
        </w:tc>
        <w:tc>
          <w:tcPr>
            <w:tcW w:w="133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5,823,473.65</w:t>
            </w:r>
          </w:p>
        </w:tc>
        <w:tc>
          <w:tcPr>
            <w:tcW w:w="14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10.50</w:t>
            </w:r>
          </w:p>
        </w:tc>
        <w:tc>
          <w:tcPr>
            <w:tcW w:w="15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49,640,132.97</w:t>
            </w:r>
          </w:p>
        </w:tc>
      </w:tr>
      <w:tr>
        <w:trPr>
          <w:trHeight w:val="490" w:hRule="exact"/>
        </w:trPr>
        <w:tc>
          <w:tcPr>
            <w:tcW w:w="26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65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款项性质组合</w:t>
            </w:r>
          </w:p>
        </w:tc>
        <w:tc>
          <w:tcPr>
            <w:tcW w:w="141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65,187,451.19</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34.11</w:t>
            </w:r>
          </w:p>
        </w:tc>
        <w:tc>
          <w:tcPr>
            <w:tcW w:w="133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4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5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65,187,451.19</w:t>
            </w:r>
          </w:p>
        </w:tc>
      </w:tr>
      <w:tr>
        <w:trPr>
          <w:trHeight w:val="890" w:hRule="exact"/>
        </w:trPr>
        <w:tc>
          <w:tcPr>
            <w:tcW w:w="26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4"/>
              <w:ind w:left="24" w:right="25"/>
              <w:jc w:val="left"/>
              <w:rPr>
                <w:rFonts w:ascii="华文细黑" w:hAnsi="华文细黑" w:cs="华文细黑" w:eastAsia="华文细黑" w:hint="default"/>
                <w:sz w:val="18"/>
                <w:szCs w:val="18"/>
              </w:rPr>
            </w:pPr>
            <w:r>
              <w:rPr>
                <w:rFonts w:ascii="华文细黑" w:hAnsi="华文细黑" w:cs="华文细黑" w:eastAsia="华文细黑" w:hint="default"/>
                <w:spacing w:val="2"/>
                <w:sz w:val="18"/>
                <w:szCs w:val="18"/>
              </w:rPr>
              <w:t>单项金额不重大但单独计提坏账</w:t>
            </w:r>
            <w:r>
              <w:rPr>
                <w:rFonts w:ascii="华文细黑" w:hAnsi="华文细黑" w:cs="华文细黑" w:eastAsia="华文细黑" w:hint="default"/>
                <w:spacing w:val="-42"/>
                <w:sz w:val="18"/>
                <w:szCs w:val="18"/>
              </w:rPr>
              <w:t> </w:t>
            </w:r>
            <w:r>
              <w:rPr>
                <w:rFonts w:ascii="华文细黑" w:hAnsi="华文细黑" w:cs="华文细黑" w:eastAsia="华文细黑" w:hint="default"/>
                <w:spacing w:val="-42"/>
                <w:sz w:val="18"/>
                <w:szCs w:val="18"/>
              </w:rPr>
            </w:r>
            <w:r>
              <w:rPr>
                <w:rFonts w:ascii="华文细黑" w:hAnsi="华文细黑" w:cs="华文细黑" w:eastAsia="华文细黑" w:hint="default"/>
                <w:sz w:val="18"/>
                <w:szCs w:val="18"/>
              </w:rPr>
              <w:t>准备的其他应收款</w:t>
            </w:r>
          </w:p>
        </w:tc>
        <w:tc>
          <w:tcPr>
            <w:tcW w:w="141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2,977,066.35</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1.56</w:t>
            </w:r>
          </w:p>
        </w:tc>
        <w:tc>
          <w:tcPr>
            <w:tcW w:w="133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2,977,066.35</w:t>
            </w:r>
          </w:p>
        </w:tc>
        <w:tc>
          <w:tcPr>
            <w:tcW w:w="14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100.00</w:t>
            </w:r>
          </w:p>
        </w:tc>
        <w:tc>
          <w:tcPr>
            <w:tcW w:w="15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26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41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191,115,767.75</w:t>
            </w:r>
            <w:r>
              <w:rPr>
                <w:rFonts w:ascii="华文细黑"/>
                <w:sz w:val="18"/>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100.00</w:t>
            </w:r>
            <w:r>
              <w:rPr>
                <w:rFonts w:ascii="华文细黑"/>
                <w:sz w:val="18"/>
              </w:rPr>
            </w:r>
          </w:p>
        </w:tc>
        <w:tc>
          <w:tcPr>
            <w:tcW w:w="133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76,288,183.59</w:t>
            </w:r>
            <w:r>
              <w:rPr>
                <w:rFonts w:ascii="华文细黑"/>
                <w:sz w:val="18"/>
              </w:rPr>
            </w:r>
          </w:p>
        </w:tc>
        <w:tc>
          <w:tcPr>
            <w:tcW w:w="14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39.92</w:t>
            </w:r>
            <w:r>
              <w:rPr>
                <w:rFonts w:ascii="华文细黑"/>
                <w:sz w:val="18"/>
              </w:rPr>
            </w:r>
          </w:p>
        </w:tc>
        <w:tc>
          <w:tcPr>
            <w:tcW w:w="15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b/>
                <w:w w:val="95"/>
                <w:sz w:val="18"/>
              </w:rPr>
              <w:t>114,827,584.16</w:t>
            </w:r>
            <w:r>
              <w:rPr>
                <w:rFonts w:ascii="华文细黑"/>
                <w:sz w:val="18"/>
              </w:rPr>
            </w:r>
          </w:p>
        </w:tc>
      </w:tr>
    </w:tbl>
    <w:p>
      <w:pPr>
        <w:pStyle w:val="BodyText"/>
        <w:spacing w:line="240" w:lineRule="auto" w:before="67"/>
        <w:ind w:left="700" w:right="1423"/>
        <w:jc w:val="left"/>
      </w:pPr>
      <w:r>
        <w:rPr>
          <w:rFonts w:ascii="华文细黑" w:hAnsi="华文细黑" w:cs="华文细黑" w:eastAsia="华文细黑" w:hint="default"/>
        </w:rPr>
        <w:t>A</w:t>
      </w:r>
      <w:r>
        <w:rPr/>
        <w:t>、组合中，按账龄分析法计提坏账准备的其他应收款</w:t>
      </w:r>
    </w:p>
    <w:p>
      <w:pPr>
        <w:spacing w:line="240" w:lineRule="auto" w:before="7"/>
        <w:rPr>
          <w:rFonts w:ascii="华文细黑" w:hAnsi="华文细黑" w:cs="华文细黑" w:eastAsia="华文细黑" w:hint="default"/>
          <w:sz w:val="2"/>
          <w:szCs w:val="2"/>
        </w:rPr>
      </w:pPr>
    </w:p>
    <w:tbl>
      <w:tblPr>
        <w:tblW w:w="0" w:type="auto"/>
        <w:jc w:val="left"/>
        <w:tblInd w:w="220" w:type="dxa"/>
        <w:tblLayout w:type="fixed"/>
        <w:tblCellMar>
          <w:top w:w="0" w:type="dxa"/>
          <w:left w:w="0" w:type="dxa"/>
          <w:bottom w:w="0" w:type="dxa"/>
          <w:right w:w="0" w:type="dxa"/>
        </w:tblCellMar>
        <w:tblLook w:val="01E0"/>
      </w:tblPr>
      <w:tblGrid>
        <w:gridCol w:w="3008"/>
        <w:gridCol w:w="1986"/>
        <w:gridCol w:w="1985"/>
        <w:gridCol w:w="2116"/>
      </w:tblGrid>
      <w:tr>
        <w:trPr>
          <w:trHeight w:val="251" w:hRule="exact"/>
        </w:trPr>
        <w:tc>
          <w:tcPr>
            <w:tcW w:w="3008" w:type="dxa"/>
            <w:tcBorders>
              <w:top w:val="single" w:sz="4" w:space="0" w:color="FFC000"/>
              <w:left w:val="single" w:sz="4" w:space="0" w:color="FFC000"/>
              <w:bottom w:val="nil" w:sz="6" w:space="0" w:color="auto"/>
              <w:right w:val="single" w:sz="4" w:space="0" w:color="FFC000"/>
            </w:tcBorders>
            <w:shd w:val="clear" w:color="auto" w:fill="FFF8E6"/>
          </w:tcPr>
          <w:p>
            <w:pPr/>
          </w:p>
        </w:tc>
        <w:tc>
          <w:tcPr>
            <w:tcW w:w="6087" w:type="dxa"/>
            <w:gridSpan w:val="3"/>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9"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240" w:hRule="exact"/>
        </w:trPr>
        <w:tc>
          <w:tcPr>
            <w:tcW w:w="3008"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账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龄</w:t>
            </w:r>
          </w:p>
        </w:tc>
        <w:tc>
          <w:tcPr>
            <w:tcW w:w="6087" w:type="dxa"/>
            <w:gridSpan w:val="3"/>
            <w:vMerge/>
            <w:tcBorders>
              <w:left w:val="single" w:sz="4" w:space="0" w:color="FFC000"/>
              <w:bottom w:val="single" w:sz="4" w:space="0" w:color="FFC000"/>
              <w:right w:val="single" w:sz="4" w:space="0" w:color="FFC000"/>
            </w:tcBorders>
            <w:shd w:val="clear" w:color="auto" w:fill="FFF8E6"/>
          </w:tcPr>
          <w:p>
            <w:pPr/>
          </w:p>
        </w:tc>
      </w:tr>
      <w:tr>
        <w:trPr>
          <w:trHeight w:val="241" w:hRule="exact"/>
        </w:trPr>
        <w:tc>
          <w:tcPr>
            <w:tcW w:w="3008" w:type="dxa"/>
            <w:vMerge/>
            <w:tcBorders>
              <w:left w:val="single" w:sz="4" w:space="0" w:color="FFC000"/>
              <w:bottom w:val="nil" w:sz="6" w:space="0" w:color="auto"/>
              <w:right w:val="single" w:sz="4" w:space="0" w:color="FFC000"/>
            </w:tcBorders>
            <w:shd w:val="clear" w:color="auto" w:fill="FFF8E6"/>
          </w:tcPr>
          <w:p>
            <w:pPr/>
          </w:p>
        </w:tc>
        <w:tc>
          <w:tcPr>
            <w:tcW w:w="1986"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53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其他应收款</w:t>
            </w:r>
          </w:p>
        </w:tc>
        <w:tc>
          <w:tcPr>
            <w:tcW w:w="1985"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62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w:t>
            </w:r>
          </w:p>
        </w:tc>
        <w:tc>
          <w:tcPr>
            <w:tcW w:w="2116"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44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计提比例（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r>
      <w:tr>
        <w:trPr>
          <w:trHeight w:val="250" w:hRule="exact"/>
        </w:trPr>
        <w:tc>
          <w:tcPr>
            <w:tcW w:w="3008" w:type="dxa"/>
            <w:tcBorders>
              <w:top w:val="nil" w:sz="6" w:space="0" w:color="auto"/>
              <w:left w:val="single" w:sz="4" w:space="0" w:color="FFC000"/>
              <w:bottom w:val="single" w:sz="4" w:space="0" w:color="FFC000"/>
              <w:right w:val="single" w:sz="4" w:space="0" w:color="FFC000"/>
            </w:tcBorders>
            <w:shd w:val="clear" w:color="auto" w:fill="FFF8E6"/>
          </w:tcPr>
          <w:p>
            <w:pPr/>
          </w:p>
        </w:tc>
        <w:tc>
          <w:tcPr>
            <w:tcW w:w="1986" w:type="dxa"/>
            <w:vMerge/>
            <w:tcBorders>
              <w:left w:val="single" w:sz="4" w:space="0" w:color="FFC000"/>
              <w:bottom w:val="single" w:sz="4" w:space="0" w:color="FFC000"/>
              <w:right w:val="single" w:sz="4" w:space="0" w:color="FFC000"/>
            </w:tcBorders>
            <w:shd w:val="clear" w:color="auto" w:fill="FFF8E6"/>
          </w:tcPr>
          <w:p>
            <w:pPr/>
          </w:p>
        </w:tc>
        <w:tc>
          <w:tcPr>
            <w:tcW w:w="1985" w:type="dxa"/>
            <w:vMerge/>
            <w:tcBorders>
              <w:left w:val="single" w:sz="4" w:space="0" w:color="FFC000"/>
              <w:bottom w:val="single" w:sz="4" w:space="0" w:color="FFC000"/>
              <w:right w:val="single" w:sz="4" w:space="0" w:color="FFC000"/>
            </w:tcBorders>
            <w:shd w:val="clear" w:color="auto" w:fill="FFF8E6"/>
          </w:tcPr>
          <w:p>
            <w:pPr/>
          </w:p>
        </w:tc>
        <w:tc>
          <w:tcPr>
            <w:tcW w:w="2116"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30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年以内</w:t>
            </w:r>
          </w:p>
        </w:tc>
        <w:tc>
          <w:tcPr>
            <w:tcW w:w="1986"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893" w:right="0"/>
              <w:jc w:val="left"/>
              <w:rPr>
                <w:rFonts w:ascii="华文细黑" w:hAnsi="华文细黑" w:cs="华文细黑" w:eastAsia="华文细黑" w:hint="default"/>
                <w:sz w:val="18"/>
                <w:szCs w:val="18"/>
              </w:rPr>
            </w:pPr>
            <w:r>
              <w:rPr>
                <w:rFonts w:ascii="华文细黑"/>
                <w:sz w:val="18"/>
              </w:rPr>
              <w:t>7,582,322.91</w:t>
            </w:r>
          </w:p>
        </w:tc>
        <w:tc>
          <w:tcPr>
            <w:tcW w:w="19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1052" w:right="0"/>
              <w:jc w:val="left"/>
              <w:rPr>
                <w:rFonts w:ascii="华文细黑" w:hAnsi="华文细黑" w:cs="华文细黑" w:eastAsia="华文细黑" w:hint="default"/>
                <w:sz w:val="18"/>
                <w:szCs w:val="18"/>
              </w:rPr>
            </w:pPr>
            <w:r>
              <w:rPr>
                <w:rFonts w:ascii="华文细黑"/>
                <w:sz w:val="18"/>
              </w:rPr>
              <w:t>379,116.15</w:t>
            </w:r>
          </w:p>
        </w:tc>
        <w:tc>
          <w:tcPr>
            <w:tcW w:w="21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1"/>
              <w:jc w:val="right"/>
              <w:rPr>
                <w:rFonts w:ascii="华文细黑" w:hAnsi="华文细黑" w:cs="华文细黑" w:eastAsia="华文细黑" w:hint="default"/>
                <w:sz w:val="18"/>
                <w:szCs w:val="18"/>
              </w:rPr>
            </w:pPr>
            <w:r>
              <w:rPr>
                <w:rFonts w:ascii="华文细黑"/>
                <w:w w:val="95"/>
                <w:sz w:val="18"/>
              </w:rPr>
              <w:t>5.00</w:t>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220" w:right="0"/>
        </w:sectPr>
      </w:pPr>
    </w:p>
    <w:p>
      <w:pPr>
        <w:spacing w:line="240" w:lineRule="auto" w:before="8"/>
        <w:rPr>
          <w:rFonts w:ascii="华文细黑" w:hAnsi="华文细黑" w:cs="华文细黑" w:eastAsia="华文细黑" w:hint="default"/>
          <w:sz w:val="23"/>
          <w:szCs w:val="23"/>
        </w:rPr>
      </w:pPr>
    </w:p>
    <w:tbl>
      <w:tblPr>
        <w:tblW w:w="0" w:type="auto"/>
        <w:jc w:val="left"/>
        <w:tblInd w:w="151" w:type="dxa"/>
        <w:tblLayout w:type="fixed"/>
        <w:tblCellMar>
          <w:top w:w="0" w:type="dxa"/>
          <w:left w:w="0" w:type="dxa"/>
          <w:bottom w:w="0" w:type="dxa"/>
          <w:right w:w="0" w:type="dxa"/>
        </w:tblCellMar>
        <w:tblLook w:val="01E0"/>
      </w:tblPr>
      <w:tblGrid>
        <w:gridCol w:w="2985"/>
        <w:gridCol w:w="1998"/>
        <w:gridCol w:w="1985"/>
        <w:gridCol w:w="2128"/>
      </w:tblGrid>
      <w:tr>
        <w:trPr>
          <w:trHeight w:val="251" w:hRule="exact"/>
        </w:trPr>
        <w:tc>
          <w:tcPr>
            <w:tcW w:w="2985" w:type="dxa"/>
            <w:tcBorders>
              <w:top w:val="single" w:sz="4" w:space="0" w:color="FFC000"/>
              <w:left w:val="single" w:sz="4" w:space="0" w:color="FFC000"/>
              <w:bottom w:val="nil" w:sz="6" w:space="0" w:color="auto"/>
              <w:right w:val="single" w:sz="4" w:space="0" w:color="FFC000"/>
            </w:tcBorders>
            <w:shd w:val="clear" w:color="auto" w:fill="FFF8E6"/>
          </w:tcPr>
          <w:p>
            <w:pPr/>
          </w:p>
        </w:tc>
        <w:tc>
          <w:tcPr>
            <w:tcW w:w="6111" w:type="dxa"/>
            <w:gridSpan w:val="3"/>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8"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239" w:hRule="exact"/>
        </w:trPr>
        <w:tc>
          <w:tcPr>
            <w:tcW w:w="2985"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账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龄</w:t>
            </w:r>
          </w:p>
        </w:tc>
        <w:tc>
          <w:tcPr>
            <w:tcW w:w="6111" w:type="dxa"/>
            <w:gridSpan w:val="3"/>
            <w:vMerge/>
            <w:tcBorders>
              <w:left w:val="single" w:sz="4" w:space="0" w:color="FFC000"/>
              <w:bottom w:val="single" w:sz="4" w:space="0" w:color="FFC000"/>
              <w:right w:val="single" w:sz="4" w:space="0" w:color="FFC000"/>
            </w:tcBorders>
            <w:shd w:val="clear" w:color="auto" w:fill="FFF8E6"/>
          </w:tcPr>
          <w:p>
            <w:pPr/>
          </w:p>
        </w:tc>
      </w:tr>
      <w:tr>
        <w:trPr>
          <w:trHeight w:val="241" w:hRule="exact"/>
        </w:trPr>
        <w:tc>
          <w:tcPr>
            <w:tcW w:w="2985" w:type="dxa"/>
            <w:vMerge/>
            <w:tcBorders>
              <w:left w:val="single" w:sz="4" w:space="0" w:color="FFC000"/>
              <w:bottom w:val="nil" w:sz="6" w:space="0" w:color="auto"/>
              <w:right w:val="single" w:sz="4" w:space="0" w:color="FFC000"/>
            </w:tcBorders>
            <w:shd w:val="clear" w:color="auto" w:fill="FFF8E6"/>
          </w:tcPr>
          <w:p>
            <w:pPr/>
          </w:p>
        </w:tc>
        <w:tc>
          <w:tcPr>
            <w:tcW w:w="199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54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其他应收款</w:t>
            </w:r>
          </w:p>
        </w:tc>
        <w:tc>
          <w:tcPr>
            <w:tcW w:w="1985"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62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w:t>
            </w:r>
          </w:p>
        </w:tc>
        <w:tc>
          <w:tcPr>
            <w:tcW w:w="212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44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计提比例（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r>
      <w:tr>
        <w:trPr>
          <w:trHeight w:val="250" w:hRule="exact"/>
        </w:trPr>
        <w:tc>
          <w:tcPr>
            <w:tcW w:w="2985" w:type="dxa"/>
            <w:tcBorders>
              <w:top w:val="nil" w:sz="6" w:space="0" w:color="auto"/>
              <w:left w:val="single" w:sz="4" w:space="0" w:color="FFC000"/>
              <w:bottom w:val="single" w:sz="4" w:space="0" w:color="FFC000"/>
              <w:right w:val="single" w:sz="4" w:space="0" w:color="FFC000"/>
            </w:tcBorders>
            <w:shd w:val="clear" w:color="auto" w:fill="FFF8E6"/>
          </w:tcPr>
          <w:p>
            <w:pPr/>
          </w:p>
        </w:tc>
        <w:tc>
          <w:tcPr>
            <w:tcW w:w="1998" w:type="dxa"/>
            <w:vMerge/>
            <w:tcBorders>
              <w:left w:val="single" w:sz="4" w:space="0" w:color="FFC000"/>
              <w:bottom w:val="single" w:sz="4" w:space="0" w:color="FFC000"/>
              <w:right w:val="single" w:sz="4" w:space="0" w:color="FFC000"/>
            </w:tcBorders>
            <w:shd w:val="clear" w:color="auto" w:fill="FFF8E6"/>
          </w:tcPr>
          <w:p>
            <w:pPr/>
          </w:p>
        </w:tc>
        <w:tc>
          <w:tcPr>
            <w:tcW w:w="1985" w:type="dxa"/>
            <w:vMerge/>
            <w:tcBorders>
              <w:left w:val="single" w:sz="4" w:space="0" w:color="FFC000"/>
              <w:bottom w:val="single" w:sz="4" w:space="0" w:color="FFC000"/>
              <w:right w:val="single" w:sz="4" w:space="0" w:color="FFC000"/>
            </w:tcBorders>
            <w:shd w:val="clear" w:color="auto" w:fill="FFF8E6"/>
          </w:tcPr>
          <w:p>
            <w:pPr/>
          </w:p>
        </w:tc>
        <w:tc>
          <w:tcPr>
            <w:tcW w:w="2128"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29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 </w:t>
            </w:r>
            <w:r>
              <w:rPr>
                <w:rFonts w:ascii="华文细黑" w:hAnsi="华文细黑" w:cs="华文细黑" w:eastAsia="华文细黑" w:hint="default"/>
                <w:sz w:val="18"/>
                <w:szCs w:val="18"/>
              </w:rPr>
              <w:t>至 </w:t>
            </w:r>
            <w:r>
              <w:rPr>
                <w:rFonts w:ascii="华文细黑" w:hAnsi="华文细黑" w:cs="华文细黑" w:eastAsia="华文细黑" w:hint="default"/>
                <w:sz w:val="18"/>
                <w:szCs w:val="18"/>
              </w:rPr>
              <w:t>2</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w:t>
            </w:r>
          </w:p>
        </w:tc>
        <w:tc>
          <w:tcPr>
            <w:tcW w:w="199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w w:val="95"/>
                <w:sz w:val="18"/>
              </w:rPr>
              <w:t>282,473.00</w:t>
            </w:r>
          </w:p>
        </w:tc>
        <w:tc>
          <w:tcPr>
            <w:tcW w:w="19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28,247.30</w:t>
            </w:r>
          </w:p>
        </w:tc>
        <w:tc>
          <w:tcPr>
            <w:tcW w:w="21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10.00</w:t>
            </w:r>
          </w:p>
        </w:tc>
      </w:tr>
      <w:tr>
        <w:trPr>
          <w:trHeight w:val="490" w:hRule="exact"/>
        </w:trPr>
        <w:tc>
          <w:tcPr>
            <w:tcW w:w="29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 </w:t>
            </w:r>
            <w:r>
              <w:rPr>
                <w:rFonts w:ascii="华文细黑" w:hAnsi="华文细黑" w:cs="华文细黑" w:eastAsia="华文细黑" w:hint="default"/>
                <w:sz w:val="18"/>
                <w:szCs w:val="18"/>
              </w:rPr>
              <w:t>至 </w:t>
            </w:r>
            <w:r>
              <w:rPr>
                <w:rFonts w:ascii="华文细黑" w:hAnsi="华文细黑" w:cs="华文细黑" w:eastAsia="华文细黑" w:hint="default"/>
                <w:sz w:val="18"/>
                <w:szCs w:val="18"/>
              </w:rPr>
              <w:t>3</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w:t>
            </w:r>
          </w:p>
        </w:tc>
        <w:tc>
          <w:tcPr>
            <w:tcW w:w="199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27,009,129.44</w:t>
            </w:r>
          </w:p>
        </w:tc>
        <w:tc>
          <w:tcPr>
            <w:tcW w:w="19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8,102,738.83</w:t>
            </w:r>
          </w:p>
        </w:tc>
        <w:tc>
          <w:tcPr>
            <w:tcW w:w="21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30.00</w:t>
            </w:r>
          </w:p>
        </w:tc>
      </w:tr>
      <w:tr>
        <w:trPr>
          <w:trHeight w:val="491" w:hRule="exact"/>
        </w:trPr>
        <w:tc>
          <w:tcPr>
            <w:tcW w:w="29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 </w:t>
            </w:r>
            <w:r>
              <w:rPr>
                <w:rFonts w:ascii="华文细黑" w:hAnsi="华文细黑" w:cs="华文细黑" w:eastAsia="华文细黑" w:hint="default"/>
                <w:sz w:val="18"/>
                <w:szCs w:val="18"/>
              </w:rPr>
              <w:t>至 </w:t>
            </w:r>
            <w:r>
              <w:rPr>
                <w:rFonts w:ascii="华文细黑" w:hAnsi="华文细黑" w:cs="华文细黑" w:eastAsia="华文细黑" w:hint="default"/>
                <w:sz w:val="18"/>
                <w:szCs w:val="18"/>
              </w:rPr>
              <w:t>4</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w:t>
            </w:r>
          </w:p>
        </w:tc>
        <w:tc>
          <w:tcPr>
            <w:tcW w:w="199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z w:val="18"/>
              </w:rPr>
              <w:t>57,423.51</w:t>
            </w:r>
          </w:p>
        </w:tc>
        <w:tc>
          <w:tcPr>
            <w:tcW w:w="19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z w:val="18"/>
              </w:rPr>
              <w:t>28,711.75</w:t>
            </w:r>
          </w:p>
        </w:tc>
        <w:tc>
          <w:tcPr>
            <w:tcW w:w="21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z w:val="18"/>
              </w:rPr>
              <w:t>50.00</w:t>
            </w:r>
          </w:p>
        </w:tc>
      </w:tr>
      <w:tr>
        <w:trPr>
          <w:trHeight w:val="490" w:hRule="exact"/>
        </w:trPr>
        <w:tc>
          <w:tcPr>
            <w:tcW w:w="29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4 </w:t>
            </w:r>
            <w:r>
              <w:rPr>
                <w:rFonts w:ascii="华文细黑" w:hAnsi="华文细黑" w:cs="华文细黑" w:eastAsia="华文细黑" w:hint="default"/>
                <w:sz w:val="18"/>
                <w:szCs w:val="18"/>
              </w:rPr>
              <w:t>至 </w:t>
            </w:r>
            <w:r>
              <w:rPr>
                <w:rFonts w:ascii="华文细黑" w:hAnsi="华文细黑" w:cs="华文细黑" w:eastAsia="华文细黑" w:hint="default"/>
                <w:sz w:val="18"/>
                <w:szCs w:val="18"/>
              </w:rPr>
              <w:t>5</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w:t>
            </w:r>
          </w:p>
        </w:tc>
        <w:tc>
          <w:tcPr>
            <w:tcW w:w="199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2,270,663.98</w:t>
            </w:r>
          </w:p>
        </w:tc>
        <w:tc>
          <w:tcPr>
            <w:tcW w:w="19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1,816,531.18</w:t>
            </w:r>
          </w:p>
        </w:tc>
        <w:tc>
          <w:tcPr>
            <w:tcW w:w="21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80.00</w:t>
            </w:r>
          </w:p>
        </w:tc>
      </w:tr>
      <w:tr>
        <w:trPr>
          <w:trHeight w:val="490" w:hRule="exact"/>
        </w:trPr>
        <w:tc>
          <w:tcPr>
            <w:tcW w:w="29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5</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年以上</w:t>
            </w:r>
          </w:p>
        </w:tc>
        <w:tc>
          <w:tcPr>
            <w:tcW w:w="199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18,654.00</w:t>
            </w:r>
          </w:p>
        </w:tc>
        <w:tc>
          <w:tcPr>
            <w:tcW w:w="19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18,654.00</w:t>
            </w:r>
          </w:p>
        </w:tc>
        <w:tc>
          <w:tcPr>
            <w:tcW w:w="21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pacing w:val="-1"/>
                <w:sz w:val="18"/>
              </w:rPr>
              <w:t>100.00</w:t>
            </w:r>
          </w:p>
        </w:tc>
      </w:tr>
      <w:tr>
        <w:trPr>
          <w:trHeight w:val="491" w:hRule="exact"/>
        </w:trPr>
        <w:tc>
          <w:tcPr>
            <w:tcW w:w="29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199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w w:val="95"/>
                <w:sz w:val="18"/>
              </w:rPr>
              <w:t>37,220,666.84</w:t>
            </w:r>
            <w:r>
              <w:rPr>
                <w:rFonts w:ascii="华文细黑"/>
                <w:sz w:val="18"/>
              </w:rPr>
            </w:r>
          </w:p>
        </w:tc>
        <w:tc>
          <w:tcPr>
            <w:tcW w:w="19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10,373,999.21</w:t>
            </w:r>
            <w:r>
              <w:rPr>
                <w:rFonts w:ascii="华文细黑"/>
                <w:sz w:val="18"/>
              </w:rPr>
            </w:r>
          </w:p>
        </w:tc>
        <w:tc>
          <w:tcPr>
            <w:tcW w:w="21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sz w:val="18"/>
              </w:rPr>
              <w:t>27.87</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560" w:right="1246"/>
        <w:jc w:val="left"/>
      </w:pPr>
      <w:r>
        <w:rPr/>
        <w:t>②其他应收款按款项性质分类披露</w:t>
      </w:r>
    </w:p>
    <w:p>
      <w:pPr>
        <w:spacing w:line="240" w:lineRule="auto" w:before="5"/>
        <w:rPr>
          <w:rFonts w:ascii="华文细黑" w:hAnsi="华文细黑" w:cs="华文细黑" w:eastAsia="华文细黑" w:hint="default"/>
          <w:sz w:val="5"/>
          <w:szCs w:val="5"/>
        </w:rPr>
      </w:pPr>
    </w:p>
    <w:tbl>
      <w:tblPr>
        <w:tblW w:w="0" w:type="auto"/>
        <w:jc w:val="left"/>
        <w:tblInd w:w="151" w:type="dxa"/>
        <w:tblLayout w:type="fixed"/>
        <w:tblCellMar>
          <w:top w:w="0" w:type="dxa"/>
          <w:left w:w="0" w:type="dxa"/>
          <w:bottom w:w="0" w:type="dxa"/>
          <w:right w:w="0" w:type="dxa"/>
        </w:tblCellMar>
        <w:tblLook w:val="01E0"/>
      </w:tblPr>
      <w:tblGrid>
        <w:gridCol w:w="4404"/>
        <w:gridCol w:w="2548"/>
        <w:gridCol w:w="2143"/>
      </w:tblGrid>
      <w:tr>
        <w:trPr>
          <w:trHeight w:val="490" w:hRule="exact"/>
        </w:trPr>
        <w:tc>
          <w:tcPr>
            <w:tcW w:w="44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款项性质</w:t>
            </w:r>
          </w:p>
        </w:tc>
        <w:tc>
          <w:tcPr>
            <w:tcW w:w="2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73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年末账面余额</w:t>
            </w:r>
          </w:p>
        </w:tc>
        <w:tc>
          <w:tcPr>
            <w:tcW w:w="214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2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年初账面余额</w:t>
            </w:r>
          </w:p>
        </w:tc>
      </w:tr>
      <w:tr>
        <w:trPr>
          <w:trHeight w:val="490" w:hRule="exact"/>
        </w:trPr>
        <w:tc>
          <w:tcPr>
            <w:tcW w:w="44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保证金、押金</w:t>
            </w:r>
          </w:p>
        </w:tc>
        <w:tc>
          <w:tcPr>
            <w:tcW w:w="254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75,437,171.43</w:t>
            </w:r>
          </w:p>
        </w:tc>
        <w:tc>
          <w:tcPr>
            <w:tcW w:w="21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65,187,451.19</w:t>
            </w:r>
          </w:p>
        </w:tc>
      </w:tr>
      <w:tr>
        <w:trPr>
          <w:trHeight w:val="490" w:hRule="exact"/>
        </w:trPr>
        <w:tc>
          <w:tcPr>
            <w:tcW w:w="44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单位往来款</w:t>
            </w:r>
          </w:p>
        </w:tc>
        <w:tc>
          <w:tcPr>
            <w:tcW w:w="254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27,484,715.37</w:t>
            </w:r>
          </w:p>
        </w:tc>
        <w:tc>
          <w:tcPr>
            <w:tcW w:w="21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119,030,456.28</w:t>
            </w:r>
          </w:p>
        </w:tc>
      </w:tr>
      <w:tr>
        <w:trPr>
          <w:trHeight w:val="490" w:hRule="exact"/>
        </w:trPr>
        <w:tc>
          <w:tcPr>
            <w:tcW w:w="44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员工备用金</w:t>
            </w:r>
          </w:p>
        </w:tc>
        <w:tc>
          <w:tcPr>
            <w:tcW w:w="254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1,022,211.16</w:t>
            </w:r>
          </w:p>
        </w:tc>
        <w:tc>
          <w:tcPr>
            <w:tcW w:w="21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3,850,740.26</w:t>
            </w:r>
          </w:p>
        </w:tc>
      </w:tr>
      <w:tr>
        <w:trPr>
          <w:trHeight w:val="490" w:hRule="exact"/>
        </w:trPr>
        <w:tc>
          <w:tcPr>
            <w:tcW w:w="44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代垫费用</w:t>
            </w:r>
          </w:p>
        </w:tc>
        <w:tc>
          <w:tcPr>
            <w:tcW w:w="254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12,990,525.31</w:t>
            </w:r>
          </w:p>
        </w:tc>
        <w:tc>
          <w:tcPr>
            <w:tcW w:w="21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w w:val="95"/>
                <w:sz w:val="18"/>
              </w:rPr>
              <w:t>753,208.37</w:t>
            </w:r>
          </w:p>
        </w:tc>
      </w:tr>
      <w:tr>
        <w:trPr>
          <w:trHeight w:val="490" w:hRule="exact"/>
        </w:trPr>
        <w:tc>
          <w:tcPr>
            <w:tcW w:w="44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代扣社保</w:t>
            </w:r>
          </w:p>
        </w:tc>
        <w:tc>
          <w:tcPr>
            <w:tcW w:w="254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489,425.24</w:t>
            </w:r>
          </w:p>
        </w:tc>
        <w:tc>
          <w:tcPr>
            <w:tcW w:w="21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2,293,911.65</w:t>
            </w:r>
          </w:p>
        </w:tc>
      </w:tr>
      <w:tr>
        <w:trPr>
          <w:trHeight w:val="491" w:hRule="exact"/>
        </w:trPr>
        <w:tc>
          <w:tcPr>
            <w:tcW w:w="44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54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117,424,048.51</w:t>
            </w:r>
            <w:r>
              <w:rPr>
                <w:rFonts w:ascii="华文细黑"/>
                <w:sz w:val="18"/>
              </w:rPr>
            </w:r>
          </w:p>
        </w:tc>
        <w:tc>
          <w:tcPr>
            <w:tcW w:w="21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191,115,767.75</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560" w:right="1246"/>
        <w:jc w:val="left"/>
      </w:pPr>
      <w:r>
        <w:rPr/>
        <w:t>③本年计提、收回或转回的其他应收款坏账准备情况</w:t>
      </w:r>
    </w:p>
    <w:p>
      <w:pPr>
        <w:pStyle w:val="BodyText"/>
        <w:spacing w:line="240" w:lineRule="auto" w:before="142"/>
        <w:ind w:left="560" w:right="1246"/>
        <w:jc w:val="left"/>
      </w:pPr>
      <w:r>
        <w:rPr/>
        <w:t>本年计提坏账准备金额 </w:t>
      </w:r>
      <w:r>
        <w:rPr>
          <w:rFonts w:ascii="华文细黑" w:hAnsi="华文细黑" w:cs="华文细黑" w:eastAsia="华文细黑" w:hint="default"/>
        </w:rPr>
        <w:t>5,211,123.69 </w:t>
      </w:r>
      <w:r>
        <w:rPr/>
        <w:t>元；本年转回坏账准备金额 </w:t>
      </w:r>
      <w:r>
        <w:rPr>
          <w:rFonts w:ascii="华文细黑" w:hAnsi="华文细黑" w:cs="华文细黑" w:eastAsia="华文细黑" w:hint="default"/>
        </w:rPr>
        <w:t>47,218.20</w:t>
      </w:r>
      <w:r>
        <w:rPr>
          <w:rFonts w:ascii="华文细黑" w:hAnsi="华文细黑" w:cs="华文细黑" w:eastAsia="华文细黑" w:hint="default"/>
          <w:spacing w:val="-1"/>
        </w:rPr>
        <w:t> </w:t>
      </w:r>
      <w:r>
        <w:rPr/>
        <w:t>元。</w:t>
      </w:r>
    </w:p>
    <w:p>
      <w:pPr>
        <w:pStyle w:val="BodyText"/>
        <w:spacing w:line="240" w:lineRule="auto" w:before="142"/>
        <w:ind w:left="560" w:right="1246"/>
        <w:jc w:val="left"/>
      </w:pPr>
      <w:r>
        <w:rPr/>
        <w:t>④本年实际核销的其他应收款情况</w:t>
      </w:r>
    </w:p>
    <w:p>
      <w:pPr>
        <w:spacing w:line="240" w:lineRule="auto" w:before="6"/>
        <w:rPr>
          <w:rFonts w:ascii="华文细黑" w:hAnsi="华文细黑" w:cs="华文细黑" w:eastAsia="华文细黑" w:hint="default"/>
          <w:sz w:val="5"/>
          <w:szCs w:val="5"/>
        </w:rPr>
      </w:pPr>
    </w:p>
    <w:tbl>
      <w:tblPr>
        <w:tblW w:w="0" w:type="auto"/>
        <w:jc w:val="left"/>
        <w:tblInd w:w="151" w:type="dxa"/>
        <w:tblLayout w:type="fixed"/>
        <w:tblCellMar>
          <w:top w:w="0" w:type="dxa"/>
          <w:left w:w="0" w:type="dxa"/>
          <w:bottom w:w="0" w:type="dxa"/>
          <w:right w:w="0" w:type="dxa"/>
        </w:tblCellMar>
        <w:tblLook w:val="01E0"/>
      </w:tblPr>
      <w:tblGrid>
        <w:gridCol w:w="4403"/>
        <w:gridCol w:w="4692"/>
      </w:tblGrid>
      <w:tr>
        <w:trPr>
          <w:trHeight w:val="490" w:hRule="exact"/>
        </w:trPr>
        <w:tc>
          <w:tcPr>
            <w:tcW w:w="440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46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9"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核销金额</w:t>
            </w:r>
          </w:p>
        </w:tc>
      </w:tr>
      <w:tr>
        <w:trPr>
          <w:trHeight w:val="490" w:hRule="exact"/>
        </w:trPr>
        <w:tc>
          <w:tcPr>
            <w:tcW w:w="440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实际核销的其他应收款</w:t>
            </w:r>
          </w:p>
        </w:tc>
        <w:tc>
          <w:tcPr>
            <w:tcW w:w="4692"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68,111,879.63</w:t>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560" w:right="1246"/>
        <w:jc w:val="left"/>
      </w:pPr>
      <w:r>
        <w:rPr/>
        <w:t>其中重要的其他应收款核销情况</w:t>
      </w:r>
    </w:p>
    <w:p>
      <w:pPr>
        <w:spacing w:line="240" w:lineRule="auto" w:before="5"/>
        <w:rPr>
          <w:rFonts w:ascii="华文细黑" w:hAnsi="华文细黑" w:cs="华文细黑" w:eastAsia="华文细黑" w:hint="default"/>
          <w:sz w:val="5"/>
          <w:szCs w:val="5"/>
        </w:rPr>
      </w:pPr>
    </w:p>
    <w:tbl>
      <w:tblPr>
        <w:tblW w:w="0" w:type="auto"/>
        <w:jc w:val="left"/>
        <w:tblInd w:w="151" w:type="dxa"/>
        <w:tblLayout w:type="fixed"/>
        <w:tblCellMar>
          <w:top w:w="0" w:type="dxa"/>
          <w:left w:w="0" w:type="dxa"/>
          <w:bottom w:w="0" w:type="dxa"/>
          <w:right w:w="0" w:type="dxa"/>
        </w:tblCellMar>
        <w:tblLook w:val="01E0"/>
      </w:tblPr>
      <w:tblGrid>
        <w:gridCol w:w="2015"/>
        <w:gridCol w:w="1548"/>
        <w:gridCol w:w="1418"/>
        <w:gridCol w:w="1560"/>
        <w:gridCol w:w="1419"/>
        <w:gridCol w:w="1135"/>
      </w:tblGrid>
      <w:tr>
        <w:trPr>
          <w:trHeight w:val="226" w:hRule="exact"/>
        </w:trPr>
        <w:tc>
          <w:tcPr>
            <w:tcW w:w="2015" w:type="dxa"/>
            <w:tcBorders>
              <w:top w:val="single" w:sz="4" w:space="0" w:color="FFC000"/>
              <w:left w:val="single" w:sz="4" w:space="0" w:color="FFC000"/>
              <w:bottom w:val="nil" w:sz="6" w:space="0" w:color="auto"/>
              <w:right w:val="single" w:sz="4" w:space="0" w:color="FFC000"/>
            </w:tcBorders>
            <w:shd w:val="clear" w:color="auto" w:fill="FFF8E6"/>
          </w:tcPr>
          <w:p>
            <w:pPr/>
          </w:p>
        </w:tc>
        <w:tc>
          <w:tcPr>
            <w:tcW w:w="1548" w:type="dxa"/>
            <w:tcBorders>
              <w:top w:val="single" w:sz="4" w:space="0" w:color="FFC000"/>
              <w:left w:val="single" w:sz="4" w:space="0" w:color="FFC000"/>
              <w:bottom w:val="nil" w:sz="6" w:space="0" w:color="auto"/>
              <w:right w:val="single" w:sz="4" w:space="0" w:color="FFC000"/>
            </w:tcBorders>
            <w:shd w:val="clear" w:color="auto" w:fill="FFF8E6"/>
          </w:tcPr>
          <w:p>
            <w:pPr/>
          </w:p>
        </w:tc>
        <w:tc>
          <w:tcPr>
            <w:tcW w:w="1418" w:type="dxa"/>
            <w:tcBorders>
              <w:top w:val="single" w:sz="4" w:space="0" w:color="FFC000"/>
              <w:left w:val="single" w:sz="4" w:space="0" w:color="FFC000"/>
              <w:bottom w:val="nil" w:sz="6" w:space="0" w:color="auto"/>
              <w:right w:val="single" w:sz="4" w:space="0" w:color="FFC000"/>
            </w:tcBorders>
            <w:shd w:val="clear" w:color="auto" w:fill="FFF8E6"/>
          </w:tcPr>
          <w:p>
            <w:pPr/>
          </w:p>
        </w:tc>
        <w:tc>
          <w:tcPr>
            <w:tcW w:w="1560" w:type="dxa"/>
            <w:tcBorders>
              <w:top w:val="single" w:sz="4" w:space="0" w:color="FFC000"/>
              <w:left w:val="single" w:sz="4" w:space="0" w:color="FFC000"/>
              <w:bottom w:val="nil" w:sz="6" w:space="0" w:color="auto"/>
              <w:right w:val="single" w:sz="4" w:space="0" w:color="FFC000"/>
            </w:tcBorders>
            <w:shd w:val="clear" w:color="auto" w:fill="FFF8E6"/>
          </w:tcPr>
          <w:p>
            <w:pPr/>
          </w:p>
        </w:tc>
        <w:tc>
          <w:tcPr>
            <w:tcW w:w="1419" w:type="dxa"/>
            <w:vMerge w:val="restart"/>
            <w:tcBorders>
              <w:top w:val="single" w:sz="4" w:space="0" w:color="FFC000"/>
              <w:left w:val="single" w:sz="4" w:space="0" w:color="FFC000"/>
              <w:right w:val="single" w:sz="4" w:space="0" w:color="FFC000"/>
            </w:tcBorders>
            <w:shd w:val="clear" w:color="auto" w:fill="FFF8E6"/>
          </w:tcPr>
          <w:p>
            <w:pPr>
              <w:pStyle w:val="TableParagraph"/>
              <w:spacing w:line="440" w:lineRule="exact" w:before="9"/>
              <w:ind w:left="524" w:right="252" w:hanging="27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履行的核销 程序</w:t>
            </w:r>
          </w:p>
        </w:tc>
        <w:tc>
          <w:tcPr>
            <w:tcW w:w="1135" w:type="dxa"/>
            <w:vMerge w:val="restart"/>
            <w:tcBorders>
              <w:top w:val="single" w:sz="4" w:space="0" w:color="FFC000"/>
              <w:left w:val="single" w:sz="4" w:space="0" w:color="FFC000"/>
              <w:right w:val="single" w:sz="4" w:space="0" w:color="FFC000"/>
            </w:tcBorders>
            <w:shd w:val="clear" w:color="auto" w:fill="FFF8E6"/>
          </w:tcPr>
          <w:p>
            <w:pPr>
              <w:pStyle w:val="TableParagraph"/>
              <w:spacing w:line="440" w:lineRule="exact" w:before="9"/>
              <w:ind w:left="201" w:right="113" w:hanging="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是否因关联 交易产生</w:t>
            </w:r>
          </w:p>
        </w:tc>
      </w:tr>
      <w:tr>
        <w:trPr>
          <w:trHeight w:val="480" w:hRule="exact"/>
        </w:trPr>
        <w:tc>
          <w:tcPr>
            <w:tcW w:w="2015"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63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单位名称</w:t>
            </w:r>
          </w:p>
        </w:tc>
        <w:tc>
          <w:tcPr>
            <w:tcW w:w="1548"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3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其他应收款性质</w:t>
            </w:r>
          </w:p>
        </w:tc>
        <w:tc>
          <w:tcPr>
            <w:tcW w:w="1418"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34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核销金额</w:t>
            </w:r>
          </w:p>
        </w:tc>
        <w:tc>
          <w:tcPr>
            <w:tcW w:w="1560"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41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核销原因</w:t>
            </w:r>
          </w:p>
        </w:tc>
        <w:tc>
          <w:tcPr>
            <w:tcW w:w="1419" w:type="dxa"/>
            <w:vMerge/>
            <w:tcBorders>
              <w:left w:val="single" w:sz="4" w:space="0" w:color="FFC000"/>
              <w:right w:val="single" w:sz="4" w:space="0" w:color="FFC000"/>
            </w:tcBorders>
            <w:shd w:val="clear" w:color="auto" w:fill="FFF8E6"/>
          </w:tcPr>
          <w:p>
            <w:pPr/>
          </w:p>
        </w:tc>
        <w:tc>
          <w:tcPr>
            <w:tcW w:w="1135" w:type="dxa"/>
            <w:vMerge/>
            <w:tcBorders>
              <w:left w:val="single" w:sz="4" w:space="0" w:color="FFC000"/>
              <w:right w:val="single" w:sz="4" w:space="0" w:color="FFC000"/>
            </w:tcBorders>
            <w:shd w:val="clear" w:color="auto" w:fill="FFF8E6"/>
          </w:tcPr>
          <w:p>
            <w:pPr/>
          </w:p>
        </w:tc>
      </w:tr>
      <w:tr>
        <w:trPr>
          <w:trHeight w:val="224" w:hRule="exact"/>
        </w:trPr>
        <w:tc>
          <w:tcPr>
            <w:tcW w:w="2015" w:type="dxa"/>
            <w:tcBorders>
              <w:top w:val="nil" w:sz="6" w:space="0" w:color="auto"/>
              <w:left w:val="single" w:sz="4" w:space="0" w:color="FFC000"/>
              <w:bottom w:val="single" w:sz="4" w:space="0" w:color="FFC000"/>
              <w:right w:val="single" w:sz="4" w:space="0" w:color="FFC000"/>
            </w:tcBorders>
            <w:shd w:val="clear" w:color="auto" w:fill="FFF8E6"/>
          </w:tcPr>
          <w:p>
            <w:pPr/>
          </w:p>
        </w:tc>
        <w:tc>
          <w:tcPr>
            <w:tcW w:w="1548" w:type="dxa"/>
            <w:tcBorders>
              <w:top w:val="nil" w:sz="6" w:space="0" w:color="auto"/>
              <w:left w:val="single" w:sz="4" w:space="0" w:color="FFC000"/>
              <w:bottom w:val="single" w:sz="4" w:space="0" w:color="FFC000"/>
              <w:right w:val="single" w:sz="4" w:space="0" w:color="FFC000"/>
            </w:tcBorders>
            <w:shd w:val="clear" w:color="auto" w:fill="FFF8E6"/>
          </w:tcPr>
          <w:p>
            <w:pPr/>
          </w:p>
        </w:tc>
        <w:tc>
          <w:tcPr>
            <w:tcW w:w="1418" w:type="dxa"/>
            <w:tcBorders>
              <w:top w:val="nil" w:sz="6" w:space="0" w:color="auto"/>
              <w:left w:val="single" w:sz="4" w:space="0" w:color="FFC000"/>
              <w:bottom w:val="single" w:sz="4" w:space="0" w:color="FFC000"/>
              <w:right w:val="single" w:sz="4" w:space="0" w:color="FFC000"/>
            </w:tcBorders>
            <w:shd w:val="clear" w:color="auto" w:fill="FFF8E6"/>
          </w:tcPr>
          <w:p>
            <w:pPr/>
          </w:p>
        </w:tc>
        <w:tc>
          <w:tcPr>
            <w:tcW w:w="1560" w:type="dxa"/>
            <w:tcBorders>
              <w:top w:val="nil" w:sz="6" w:space="0" w:color="auto"/>
              <w:left w:val="single" w:sz="4" w:space="0" w:color="FFC000"/>
              <w:bottom w:val="single" w:sz="4" w:space="0" w:color="FFC000"/>
              <w:right w:val="single" w:sz="4" w:space="0" w:color="FFC000"/>
            </w:tcBorders>
            <w:shd w:val="clear" w:color="auto" w:fill="FFF8E6"/>
          </w:tcPr>
          <w:p>
            <w:pPr/>
          </w:p>
        </w:tc>
        <w:tc>
          <w:tcPr>
            <w:tcW w:w="1419" w:type="dxa"/>
            <w:vMerge/>
            <w:tcBorders>
              <w:left w:val="single" w:sz="4" w:space="0" w:color="FFC000"/>
              <w:bottom w:val="single" w:sz="4" w:space="0" w:color="FFC000"/>
              <w:right w:val="single" w:sz="4" w:space="0" w:color="FFC000"/>
            </w:tcBorders>
            <w:shd w:val="clear" w:color="auto" w:fill="FFF8E6"/>
          </w:tcPr>
          <w:p>
            <w:pPr/>
          </w:p>
        </w:tc>
        <w:tc>
          <w:tcPr>
            <w:tcW w:w="1135" w:type="dxa"/>
            <w:vMerge/>
            <w:tcBorders>
              <w:left w:val="single" w:sz="4" w:space="0" w:color="FFC000"/>
              <w:bottom w:val="single" w:sz="4" w:space="0" w:color="FFC000"/>
              <w:right w:val="single" w:sz="4" w:space="0" w:color="FFC000"/>
            </w:tcBorders>
            <w:shd w:val="clear" w:color="auto" w:fill="FFF8E6"/>
          </w:tcPr>
          <w:p>
            <w:pPr/>
          </w:p>
        </w:tc>
      </w:tr>
      <w:tr>
        <w:trPr>
          <w:trHeight w:val="205" w:hRule="exact"/>
        </w:trPr>
        <w:tc>
          <w:tcPr>
            <w:tcW w:w="2015" w:type="dxa"/>
            <w:tcBorders>
              <w:top w:val="single" w:sz="4" w:space="0" w:color="FFC000"/>
              <w:left w:val="single" w:sz="4" w:space="0" w:color="FFC000"/>
              <w:bottom w:val="nil" w:sz="6" w:space="0" w:color="auto"/>
              <w:right w:val="single" w:sz="4" w:space="0" w:color="FFC000"/>
            </w:tcBorders>
            <w:shd w:val="clear" w:color="auto" w:fill="FFF8E6"/>
          </w:tcPr>
          <w:p>
            <w:pPr/>
          </w:p>
        </w:tc>
        <w:tc>
          <w:tcPr>
            <w:tcW w:w="1548" w:type="dxa"/>
            <w:vMerge w:val="restart"/>
            <w:tcBorders>
              <w:top w:val="single" w:sz="4" w:space="0" w:color="FFC000"/>
              <w:left w:val="single" w:sz="10" w:space="0" w:color="FFF8E6"/>
              <w:right w:val="single" w:sz="4" w:space="0" w:color="FFC000"/>
            </w:tcBorders>
          </w:tcPr>
          <w:p>
            <w:pPr>
              <w:pStyle w:val="TableParagraph"/>
              <w:spacing w:line="379" w:lineRule="auto" w:before="143"/>
              <w:ind w:left="15" w:right="23"/>
              <w:jc w:val="left"/>
              <w:rPr>
                <w:rFonts w:ascii="华文细黑" w:hAnsi="华文细黑" w:cs="华文细黑" w:eastAsia="华文细黑" w:hint="default"/>
                <w:sz w:val="18"/>
                <w:szCs w:val="18"/>
              </w:rPr>
            </w:pPr>
            <w:r>
              <w:rPr>
                <w:rFonts w:ascii="华文细黑" w:hAnsi="华文细黑" w:cs="华文细黑" w:eastAsia="华文细黑" w:hint="default"/>
                <w:spacing w:val="6"/>
                <w:sz w:val="18"/>
                <w:szCs w:val="18"/>
              </w:rPr>
              <w:t>合作结束，预付货</w:t>
            </w:r>
            <w:r>
              <w:rPr>
                <w:rFonts w:ascii="华文细黑" w:hAnsi="华文细黑" w:cs="华文细黑" w:eastAsia="华文细黑" w:hint="default"/>
                <w:sz w:val="18"/>
                <w:szCs w:val="18"/>
              </w:rPr>
              <w:t> 款转入</w:t>
            </w:r>
          </w:p>
        </w:tc>
        <w:tc>
          <w:tcPr>
            <w:tcW w:w="1418" w:type="dxa"/>
            <w:vMerge w:val="restart"/>
            <w:tcBorders>
              <w:top w:val="single" w:sz="4" w:space="0" w:color="FFC000"/>
              <w:left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238" w:right="0"/>
              <w:jc w:val="left"/>
              <w:rPr>
                <w:rFonts w:ascii="华文细黑" w:hAnsi="华文细黑" w:cs="华文细黑" w:eastAsia="华文细黑" w:hint="default"/>
                <w:sz w:val="18"/>
                <w:szCs w:val="18"/>
              </w:rPr>
            </w:pPr>
            <w:r>
              <w:rPr>
                <w:rFonts w:ascii="华文细黑"/>
                <w:sz w:val="18"/>
              </w:rPr>
              <w:t>67,487,941.45</w:t>
            </w:r>
          </w:p>
        </w:tc>
        <w:tc>
          <w:tcPr>
            <w:tcW w:w="1560" w:type="dxa"/>
            <w:vMerge w:val="restart"/>
            <w:tcBorders>
              <w:top w:val="single" w:sz="4" w:space="0" w:color="FFC000"/>
              <w:left w:val="single" w:sz="4" w:space="0" w:color="FFC000"/>
              <w:right w:val="single" w:sz="4" w:space="0" w:color="FFC000"/>
            </w:tcBorders>
          </w:tcPr>
          <w:p>
            <w:pPr>
              <w:pStyle w:val="TableParagraph"/>
              <w:spacing w:line="240" w:lineRule="auto" w:before="2"/>
              <w:ind w:right="0"/>
              <w:jc w:val="left"/>
              <w:rPr>
                <w:rFonts w:ascii="华文细黑" w:hAnsi="华文细黑" w:cs="华文细黑" w:eastAsia="华文细黑" w:hint="default"/>
                <w:sz w:val="20"/>
                <w:szCs w:val="20"/>
              </w:rPr>
            </w:pPr>
          </w:p>
          <w:p>
            <w:pPr>
              <w:pStyle w:val="TableParagraph"/>
              <w:spacing w:line="240" w:lineRule="auto"/>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预计无法收回</w:t>
            </w:r>
          </w:p>
        </w:tc>
        <w:tc>
          <w:tcPr>
            <w:tcW w:w="1419" w:type="dxa"/>
            <w:vMerge w:val="restart"/>
            <w:tcBorders>
              <w:top w:val="single" w:sz="4" w:space="0" w:color="FFC000"/>
              <w:left w:val="single" w:sz="4" w:space="0" w:color="FFC000"/>
              <w:right w:val="single" w:sz="4" w:space="0" w:color="FFC000"/>
            </w:tcBorders>
          </w:tcPr>
          <w:p>
            <w:pPr>
              <w:pStyle w:val="TableParagraph"/>
              <w:spacing w:line="240" w:lineRule="auto" w:before="2"/>
              <w:ind w:right="0"/>
              <w:jc w:val="left"/>
              <w:rPr>
                <w:rFonts w:ascii="华文细黑" w:hAnsi="华文细黑" w:cs="华文细黑" w:eastAsia="华文细黑" w:hint="default"/>
                <w:sz w:val="20"/>
                <w:szCs w:val="20"/>
              </w:rPr>
            </w:pPr>
          </w:p>
          <w:p>
            <w:pPr>
              <w:pStyle w:val="TableParagraph"/>
              <w:spacing w:line="240" w:lineRule="auto"/>
              <w:ind w:left="25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董事会审批</w:t>
            </w:r>
          </w:p>
        </w:tc>
        <w:tc>
          <w:tcPr>
            <w:tcW w:w="1135" w:type="dxa"/>
            <w:vMerge w:val="restart"/>
            <w:tcBorders>
              <w:top w:val="single" w:sz="4" w:space="0" w:color="FFC000"/>
              <w:left w:val="single" w:sz="4" w:space="0" w:color="FFC000"/>
              <w:right w:val="single" w:sz="4" w:space="0" w:color="FFC000"/>
            </w:tcBorders>
          </w:tcPr>
          <w:p>
            <w:pPr>
              <w:pStyle w:val="TableParagraph"/>
              <w:spacing w:line="240" w:lineRule="auto" w:before="2"/>
              <w:ind w:right="0"/>
              <w:jc w:val="left"/>
              <w:rPr>
                <w:rFonts w:ascii="华文细黑" w:hAnsi="华文细黑" w:cs="华文细黑" w:eastAsia="华文细黑" w:hint="default"/>
                <w:sz w:val="20"/>
                <w:szCs w:val="20"/>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80" w:hRule="exact"/>
        </w:trPr>
        <w:tc>
          <w:tcPr>
            <w:tcW w:w="2015"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供应商</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A</w:t>
            </w:r>
          </w:p>
        </w:tc>
        <w:tc>
          <w:tcPr>
            <w:tcW w:w="1548" w:type="dxa"/>
            <w:vMerge/>
            <w:tcBorders>
              <w:left w:val="single" w:sz="10" w:space="0" w:color="FFF8E6"/>
              <w:right w:val="single" w:sz="4" w:space="0" w:color="FFC000"/>
            </w:tcBorders>
          </w:tcPr>
          <w:p>
            <w:pPr/>
          </w:p>
        </w:tc>
        <w:tc>
          <w:tcPr>
            <w:tcW w:w="1418" w:type="dxa"/>
            <w:vMerge/>
            <w:tcBorders>
              <w:left w:val="single" w:sz="4" w:space="0" w:color="FFC000"/>
              <w:right w:val="single" w:sz="4" w:space="0" w:color="FFC000"/>
            </w:tcBorders>
          </w:tcPr>
          <w:p>
            <w:pPr/>
          </w:p>
        </w:tc>
        <w:tc>
          <w:tcPr>
            <w:tcW w:w="1560" w:type="dxa"/>
            <w:vMerge/>
            <w:tcBorders>
              <w:left w:val="single" w:sz="4" w:space="0" w:color="FFC000"/>
              <w:right w:val="single" w:sz="4" w:space="0" w:color="FFC000"/>
            </w:tcBorders>
          </w:tcPr>
          <w:p>
            <w:pPr/>
          </w:p>
        </w:tc>
        <w:tc>
          <w:tcPr>
            <w:tcW w:w="1419" w:type="dxa"/>
            <w:vMerge/>
            <w:tcBorders>
              <w:left w:val="single" w:sz="4" w:space="0" w:color="FFC000"/>
              <w:right w:val="single" w:sz="4" w:space="0" w:color="FFC000"/>
            </w:tcBorders>
          </w:tcPr>
          <w:p>
            <w:pPr/>
          </w:p>
        </w:tc>
        <w:tc>
          <w:tcPr>
            <w:tcW w:w="1135" w:type="dxa"/>
            <w:vMerge/>
            <w:tcBorders>
              <w:left w:val="single" w:sz="4" w:space="0" w:color="FFC000"/>
              <w:right w:val="single" w:sz="4" w:space="0" w:color="FFC000"/>
            </w:tcBorders>
          </w:tcPr>
          <w:p>
            <w:pPr/>
          </w:p>
        </w:tc>
      </w:tr>
      <w:tr>
        <w:trPr>
          <w:trHeight w:val="205" w:hRule="exact"/>
        </w:trPr>
        <w:tc>
          <w:tcPr>
            <w:tcW w:w="2015" w:type="dxa"/>
            <w:tcBorders>
              <w:top w:val="nil" w:sz="6" w:space="0" w:color="auto"/>
              <w:left w:val="single" w:sz="4" w:space="0" w:color="FFC000"/>
              <w:bottom w:val="single" w:sz="4" w:space="0" w:color="FFC000"/>
              <w:right w:val="single" w:sz="4" w:space="0" w:color="FFC000"/>
            </w:tcBorders>
            <w:shd w:val="clear" w:color="auto" w:fill="FFF8E6"/>
          </w:tcPr>
          <w:p>
            <w:pPr/>
          </w:p>
        </w:tc>
        <w:tc>
          <w:tcPr>
            <w:tcW w:w="1548" w:type="dxa"/>
            <w:vMerge/>
            <w:tcBorders>
              <w:left w:val="single" w:sz="10" w:space="0" w:color="FFF8E6"/>
              <w:bottom w:val="single" w:sz="4" w:space="0" w:color="FFC000"/>
              <w:right w:val="single" w:sz="4" w:space="0" w:color="FFC000"/>
            </w:tcBorders>
          </w:tcPr>
          <w:p>
            <w:pPr/>
          </w:p>
        </w:tc>
        <w:tc>
          <w:tcPr>
            <w:tcW w:w="1418" w:type="dxa"/>
            <w:vMerge/>
            <w:tcBorders>
              <w:left w:val="single" w:sz="4" w:space="0" w:color="FFC000"/>
              <w:bottom w:val="single" w:sz="4" w:space="0" w:color="FFC000"/>
              <w:right w:val="single" w:sz="4" w:space="0" w:color="FFC000"/>
            </w:tcBorders>
          </w:tcPr>
          <w:p>
            <w:pPr/>
          </w:p>
        </w:tc>
        <w:tc>
          <w:tcPr>
            <w:tcW w:w="1560" w:type="dxa"/>
            <w:vMerge/>
            <w:tcBorders>
              <w:left w:val="single" w:sz="4" w:space="0" w:color="FFC000"/>
              <w:bottom w:val="single" w:sz="4" w:space="0" w:color="FFC000"/>
              <w:right w:val="single" w:sz="4" w:space="0" w:color="FFC000"/>
            </w:tcBorders>
          </w:tcPr>
          <w:p>
            <w:pPr/>
          </w:p>
        </w:tc>
        <w:tc>
          <w:tcPr>
            <w:tcW w:w="1419" w:type="dxa"/>
            <w:vMerge/>
            <w:tcBorders>
              <w:left w:val="single" w:sz="4" w:space="0" w:color="FFC000"/>
              <w:bottom w:val="single" w:sz="4" w:space="0" w:color="FFC000"/>
              <w:right w:val="single" w:sz="4" w:space="0" w:color="FFC000"/>
            </w:tcBorders>
          </w:tcPr>
          <w:p>
            <w:pPr/>
          </w:p>
        </w:tc>
        <w:tc>
          <w:tcPr>
            <w:tcW w:w="1135" w:type="dxa"/>
            <w:vMerge/>
            <w:tcBorders>
              <w:left w:val="single" w:sz="4" w:space="0" w:color="FFC000"/>
              <w:bottom w:val="single" w:sz="4" w:space="0" w:color="FFC000"/>
              <w:right w:val="single" w:sz="4" w:space="0" w:color="FFC000"/>
            </w:tcBorders>
          </w:tcPr>
          <w:p>
            <w:pPr/>
          </w:p>
        </w:tc>
      </w:tr>
      <w:tr>
        <w:trPr>
          <w:trHeight w:val="490" w:hRule="exact"/>
        </w:trPr>
        <w:tc>
          <w:tcPr>
            <w:tcW w:w="201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1548" w:type="dxa"/>
            <w:tcBorders>
              <w:top w:val="single" w:sz="4" w:space="0" w:color="FFC000"/>
              <w:left w:val="single" w:sz="13" w:space="0" w:color="FFF8E6"/>
              <w:bottom w:val="single" w:sz="4" w:space="0" w:color="FFC000"/>
              <w:right w:val="single" w:sz="4" w:space="0" w:color="FFC000"/>
            </w:tcBorders>
          </w:tcPr>
          <w:p>
            <w:pP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36" w:right="0"/>
              <w:jc w:val="left"/>
              <w:rPr>
                <w:rFonts w:ascii="华文细黑" w:hAnsi="华文细黑" w:cs="华文细黑" w:eastAsia="华文细黑" w:hint="default"/>
                <w:sz w:val="18"/>
                <w:szCs w:val="18"/>
              </w:rPr>
            </w:pPr>
            <w:r>
              <w:rPr>
                <w:rFonts w:ascii="华文细黑"/>
                <w:b/>
                <w:sz w:val="18"/>
              </w:rPr>
              <w:t>67,487,941.45</w:t>
            </w:r>
            <w:r>
              <w:rPr>
                <w:rFonts w:ascii="华文细黑"/>
                <w:sz w:val="18"/>
              </w:rPr>
            </w:r>
          </w:p>
        </w:tc>
        <w:tc>
          <w:tcPr>
            <w:tcW w:w="1560" w:type="dxa"/>
            <w:tcBorders>
              <w:top w:val="single" w:sz="4" w:space="0" w:color="FFC000"/>
              <w:left w:val="single" w:sz="4" w:space="0" w:color="FFC000"/>
              <w:bottom w:val="single" w:sz="4" w:space="0" w:color="FFC000"/>
              <w:right w:val="single" w:sz="4" w:space="0" w:color="FFC000"/>
            </w:tcBorders>
          </w:tcPr>
          <w:p>
            <w:pPr/>
          </w:p>
        </w:tc>
        <w:tc>
          <w:tcPr>
            <w:tcW w:w="1419" w:type="dxa"/>
            <w:tcBorders>
              <w:top w:val="single" w:sz="4" w:space="0" w:color="FFC000"/>
              <w:left w:val="single" w:sz="4" w:space="0" w:color="FFC000"/>
              <w:bottom w:val="single" w:sz="4" w:space="0" w:color="FFC000"/>
              <w:right w:val="single" w:sz="4" w:space="0" w:color="FFC000"/>
            </w:tcBorders>
          </w:tcPr>
          <w:p>
            <w:pPr/>
          </w:p>
        </w:tc>
        <w:tc>
          <w:tcPr>
            <w:tcW w:w="1135" w:type="dxa"/>
            <w:tcBorders>
              <w:top w:val="single" w:sz="4" w:space="0" w:color="FFC000"/>
              <w:left w:val="single" w:sz="4" w:space="0" w:color="FFC000"/>
              <w:bottom w:val="single" w:sz="4" w:space="0" w:color="FFC000"/>
              <w:right w:val="single" w:sz="4" w:space="0" w:color="FFC000"/>
            </w:tcBorders>
          </w:tcPr>
          <w:p>
            <w:pP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560" w:right="1246"/>
        <w:jc w:val="left"/>
      </w:pPr>
      <w:r>
        <w:rPr/>
        <w:t>⑤按欠款方归集的年末余额前五名的其他应收款情况</w:t>
      </w:r>
    </w:p>
    <w:p>
      <w:pPr>
        <w:spacing w:after="0" w:line="240" w:lineRule="auto"/>
        <w:jc w:val="left"/>
        <w:sectPr>
          <w:pgSz w:w="11910" w:h="16840"/>
          <w:pgMar w:header="917" w:footer="1019" w:top="1100" w:bottom="1200" w:left="1300" w:right="0"/>
        </w:sectPr>
      </w:pPr>
    </w:p>
    <w:p>
      <w:pPr>
        <w:spacing w:line="240" w:lineRule="auto" w:before="8"/>
        <w:rPr>
          <w:rFonts w:ascii="华文细黑" w:hAnsi="华文细黑" w:cs="华文细黑" w:eastAsia="华文细黑" w:hint="default"/>
          <w:sz w:val="23"/>
          <w:szCs w:val="23"/>
        </w:rPr>
      </w:pPr>
    </w:p>
    <w:tbl>
      <w:tblPr>
        <w:tblW w:w="0" w:type="auto"/>
        <w:jc w:val="left"/>
        <w:tblInd w:w="105" w:type="dxa"/>
        <w:tblLayout w:type="fixed"/>
        <w:tblCellMar>
          <w:top w:w="0" w:type="dxa"/>
          <w:left w:w="0" w:type="dxa"/>
          <w:bottom w:w="0" w:type="dxa"/>
          <w:right w:w="0" w:type="dxa"/>
        </w:tblCellMar>
        <w:tblLook w:val="01E0"/>
      </w:tblPr>
      <w:tblGrid>
        <w:gridCol w:w="2149"/>
        <w:gridCol w:w="1560"/>
        <w:gridCol w:w="1418"/>
        <w:gridCol w:w="994"/>
        <w:gridCol w:w="1578"/>
        <w:gridCol w:w="1504"/>
      </w:tblGrid>
      <w:tr>
        <w:trPr>
          <w:trHeight w:val="185" w:hRule="exact"/>
        </w:trPr>
        <w:tc>
          <w:tcPr>
            <w:tcW w:w="2149" w:type="dxa"/>
            <w:vMerge w:val="restart"/>
            <w:tcBorders>
              <w:top w:val="single" w:sz="4" w:space="0" w:color="FFC000"/>
              <w:left w:val="single" w:sz="4" w:space="0" w:color="FFC000"/>
              <w:right w:val="single" w:sz="4" w:space="0" w:color="FFC000"/>
            </w:tcBorders>
            <w:shd w:val="clear" w:color="auto" w:fill="FFF8E6"/>
          </w:tcPr>
          <w:p>
            <w:pPr/>
          </w:p>
        </w:tc>
        <w:tc>
          <w:tcPr>
            <w:tcW w:w="1560" w:type="dxa"/>
            <w:vMerge w:val="restart"/>
            <w:tcBorders>
              <w:top w:val="single" w:sz="4" w:space="0" w:color="FFC000"/>
              <w:left w:val="single" w:sz="4" w:space="0" w:color="FFC000"/>
              <w:right w:val="single" w:sz="4" w:space="0" w:color="FFC000"/>
            </w:tcBorders>
            <w:shd w:val="clear" w:color="auto" w:fill="FFF8E6"/>
          </w:tcPr>
          <w:p>
            <w:pPr/>
          </w:p>
        </w:tc>
        <w:tc>
          <w:tcPr>
            <w:tcW w:w="1418" w:type="dxa"/>
            <w:vMerge w:val="restart"/>
            <w:tcBorders>
              <w:top w:val="single" w:sz="4" w:space="0" w:color="FFC000"/>
              <w:left w:val="single" w:sz="4" w:space="0" w:color="FFC000"/>
              <w:right w:val="single" w:sz="4" w:space="0" w:color="FFC000"/>
            </w:tcBorders>
            <w:shd w:val="clear" w:color="auto" w:fill="FFF8E6"/>
          </w:tcPr>
          <w:p>
            <w:pPr/>
          </w:p>
        </w:tc>
        <w:tc>
          <w:tcPr>
            <w:tcW w:w="994" w:type="dxa"/>
            <w:vMerge w:val="restart"/>
            <w:tcBorders>
              <w:top w:val="single" w:sz="4" w:space="0" w:color="FFC000"/>
              <w:left w:val="single" w:sz="4" w:space="0" w:color="FFC000"/>
              <w:right w:val="single" w:sz="4" w:space="0" w:color="FFC000"/>
            </w:tcBorders>
            <w:shd w:val="clear" w:color="auto" w:fill="FFF8E6"/>
          </w:tcPr>
          <w:p>
            <w:pPr/>
          </w:p>
        </w:tc>
        <w:tc>
          <w:tcPr>
            <w:tcW w:w="1578"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3"/>
              <w:ind w:left="63" w:right="63"/>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占其他应收款年末 余额合计数的比例</w:t>
            </w:r>
          </w:p>
          <w:p>
            <w:pPr>
              <w:pStyle w:val="TableParagraph"/>
              <w:spacing w:line="240" w:lineRule="auto" w:before="32"/>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1504" w:type="dxa"/>
            <w:tcBorders>
              <w:top w:val="single" w:sz="4" w:space="0" w:color="FFC000"/>
              <w:left w:val="single" w:sz="4" w:space="0" w:color="FFC000"/>
              <w:bottom w:val="nil" w:sz="6" w:space="0" w:color="auto"/>
              <w:right w:val="single" w:sz="4" w:space="0" w:color="FFC000"/>
            </w:tcBorders>
            <w:shd w:val="clear" w:color="auto" w:fill="FFF8E6"/>
          </w:tcPr>
          <w:p>
            <w:pPr/>
          </w:p>
        </w:tc>
      </w:tr>
      <w:tr>
        <w:trPr>
          <w:trHeight w:val="221" w:hRule="exact"/>
        </w:trPr>
        <w:tc>
          <w:tcPr>
            <w:tcW w:w="2149" w:type="dxa"/>
            <w:vMerge/>
            <w:tcBorders>
              <w:left w:val="single" w:sz="4" w:space="0" w:color="FFC000"/>
              <w:bottom w:val="nil" w:sz="6" w:space="0" w:color="auto"/>
              <w:right w:val="single" w:sz="4" w:space="0" w:color="FFC000"/>
            </w:tcBorders>
            <w:shd w:val="clear" w:color="auto" w:fill="FFF8E6"/>
          </w:tcPr>
          <w:p>
            <w:pPr/>
          </w:p>
        </w:tc>
        <w:tc>
          <w:tcPr>
            <w:tcW w:w="1560" w:type="dxa"/>
            <w:vMerge/>
            <w:tcBorders>
              <w:left w:val="single" w:sz="4" w:space="0" w:color="FFC000"/>
              <w:bottom w:val="nil" w:sz="6" w:space="0" w:color="auto"/>
              <w:right w:val="single" w:sz="4" w:space="0" w:color="FFC000"/>
            </w:tcBorders>
            <w:shd w:val="clear" w:color="auto" w:fill="FFF8E6"/>
          </w:tcPr>
          <w:p>
            <w:pPr/>
          </w:p>
        </w:tc>
        <w:tc>
          <w:tcPr>
            <w:tcW w:w="1418" w:type="dxa"/>
            <w:vMerge/>
            <w:tcBorders>
              <w:left w:val="single" w:sz="4" w:space="0" w:color="FFC000"/>
              <w:bottom w:val="nil" w:sz="6" w:space="0" w:color="auto"/>
              <w:right w:val="single" w:sz="4" w:space="0" w:color="FFC000"/>
            </w:tcBorders>
            <w:shd w:val="clear" w:color="auto" w:fill="FFF8E6"/>
          </w:tcPr>
          <w:p>
            <w:pPr/>
          </w:p>
        </w:tc>
        <w:tc>
          <w:tcPr>
            <w:tcW w:w="994" w:type="dxa"/>
            <w:vMerge/>
            <w:tcBorders>
              <w:left w:val="single" w:sz="4" w:space="0" w:color="FFC000"/>
              <w:bottom w:val="nil" w:sz="6" w:space="0" w:color="auto"/>
              <w:right w:val="single" w:sz="4" w:space="0" w:color="FFC000"/>
            </w:tcBorders>
            <w:shd w:val="clear" w:color="auto" w:fill="FFF8E6"/>
          </w:tcPr>
          <w:p>
            <w:pPr/>
          </w:p>
        </w:tc>
        <w:tc>
          <w:tcPr>
            <w:tcW w:w="1578" w:type="dxa"/>
            <w:vMerge/>
            <w:tcBorders>
              <w:left w:val="single" w:sz="4" w:space="0" w:color="FFC000"/>
              <w:right w:val="single" w:sz="4" w:space="0" w:color="FFC000"/>
            </w:tcBorders>
            <w:shd w:val="clear" w:color="auto" w:fill="FFF8E6"/>
          </w:tcPr>
          <w:p>
            <w:pPr/>
          </w:p>
        </w:tc>
        <w:tc>
          <w:tcPr>
            <w:tcW w:w="1504" w:type="dxa"/>
            <w:vMerge w:val="restart"/>
            <w:tcBorders>
              <w:top w:val="nil" w:sz="6" w:space="0" w:color="auto"/>
              <w:left w:val="single" w:sz="4" w:space="0" w:color="FFC000"/>
              <w:right w:val="single" w:sz="4" w:space="0" w:color="FFC000"/>
            </w:tcBorders>
            <w:shd w:val="clear" w:color="auto" w:fill="FFF8E6"/>
          </w:tcPr>
          <w:p>
            <w:pPr>
              <w:pStyle w:val="TableParagraph"/>
              <w:spacing w:line="440" w:lineRule="exact" w:before="9"/>
              <w:ind w:left="386" w:right="385"/>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 年末余额</w:t>
            </w:r>
          </w:p>
        </w:tc>
      </w:tr>
      <w:tr>
        <w:trPr>
          <w:trHeight w:val="480" w:hRule="exact"/>
        </w:trPr>
        <w:tc>
          <w:tcPr>
            <w:tcW w:w="2149"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70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单位名称</w:t>
            </w:r>
          </w:p>
        </w:tc>
        <w:tc>
          <w:tcPr>
            <w:tcW w:w="1560"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42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款项性质</w:t>
            </w:r>
          </w:p>
        </w:tc>
        <w:tc>
          <w:tcPr>
            <w:tcW w:w="1418"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34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994"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right="311"/>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账龄</w:t>
            </w:r>
          </w:p>
        </w:tc>
        <w:tc>
          <w:tcPr>
            <w:tcW w:w="1578" w:type="dxa"/>
            <w:vMerge/>
            <w:tcBorders>
              <w:left w:val="single" w:sz="4" w:space="0" w:color="FFC000"/>
              <w:right w:val="single" w:sz="4" w:space="0" w:color="FFC000"/>
            </w:tcBorders>
            <w:shd w:val="clear" w:color="auto" w:fill="FFF8E6"/>
          </w:tcPr>
          <w:p>
            <w:pPr/>
          </w:p>
        </w:tc>
        <w:tc>
          <w:tcPr>
            <w:tcW w:w="1504" w:type="dxa"/>
            <w:vMerge/>
            <w:tcBorders>
              <w:left w:val="single" w:sz="4" w:space="0" w:color="FFC000"/>
              <w:right w:val="single" w:sz="4" w:space="0" w:color="FFC000"/>
            </w:tcBorders>
            <w:shd w:val="clear" w:color="auto" w:fill="FFF8E6"/>
          </w:tcPr>
          <w:p>
            <w:pPr/>
          </w:p>
        </w:tc>
      </w:tr>
      <w:tr>
        <w:trPr>
          <w:trHeight w:val="220" w:hRule="exact"/>
        </w:trPr>
        <w:tc>
          <w:tcPr>
            <w:tcW w:w="2149" w:type="dxa"/>
            <w:vMerge w:val="restart"/>
            <w:tcBorders>
              <w:top w:val="nil" w:sz="6" w:space="0" w:color="auto"/>
              <w:left w:val="single" w:sz="4" w:space="0" w:color="FFC000"/>
              <w:right w:val="single" w:sz="4" w:space="0" w:color="FFC000"/>
            </w:tcBorders>
            <w:shd w:val="clear" w:color="auto" w:fill="FFF8E6"/>
          </w:tcPr>
          <w:p>
            <w:pPr/>
          </w:p>
        </w:tc>
        <w:tc>
          <w:tcPr>
            <w:tcW w:w="1560" w:type="dxa"/>
            <w:vMerge w:val="restart"/>
            <w:tcBorders>
              <w:top w:val="nil" w:sz="6" w:space="0" w:color="auto"/>
              <w:left w:val="single" w:sz="4" w:space="0" w:color="FFC000"/>
              <w:right w:val="single" w:sz="4" w:space="0" w:color="FFC000"/>
            </w:tcBorders>
            <w:shd w:val="clear" w:color="auto" w:fill="FFF8E6"/>
          </w:tcPr>
          <w:p>
            <w:pPr/>
          </w:p>
        </w:tc>
        <w:tc>
          <w:tcPr>
            <w:tcW w:w="1418" w:type="dxa"/>
            <w:vMerge w:val="restart"/>
            <w:tcBorders>
              <w:top w:val="nil" w:sz="6" w:space="0" w:color="auto"/>
              <w:left w:val="single" w:sz="4" w:space="0" w:color="FFC000"/>
              <w:right w:val="single" w:sz="4" w:space="0" w:color="FFC000"/>
            </w:tcBorders>
            <w:shd w:val="clear" w:color="auto" w:fill="FFF8E6"/>
          </w:tcPr>
          <w:p>
            <w:pPr/>
          </w:p>
        </w:tc>
        <w:tc>
          <w:tcPr>
            <w:tcW w:w="994" w:type="dxa"/>
            <w:vMerge w:val="restart"/>
            <w:tcBorders>
              <w:top w:val="nil" w:sz="6" w:space="0" w:color="auto"/>
              <w:left w:val="single" w:sz="4" w:space="0" w:color="FFC000"/>
              <w:right w:val="single" w:sz="4" w:space="0" w:color="FFC000"/>
            </w:tcBorders>
            <w:shd w:val="clear" w:color="auto" w:fill="FFF8E6"/>
          </w:tcPr>
          <w:p>
            <w:pPr/>
          </w:p>
        </w:tc>
        <w:tc>
          <w:tcPr>
            <w:tcW w:w="1578" w:type="dxa"/>
            <w:vMerge/>
            <w:tcBorders>
              <w:left w:val="single" w:sz="4" w:space="0" w:color="FFC000"/>
              <w:right w:val="single" w:sz="4" w:space="0" w:color="FFC000"/>
            </w:tcBorders>
            <w:shd w:val="clear" w:color="auto" w:fill="FFF8E6"/>
          </w:tcPr>
          <w:p>
            <w:pPr/>
          </w:p>
        </w:tc>
        <w:tc>
          <w:tcPr>
            <w:tcW w:w="1504" w:type="dxa"/>
            <w:vMerge/>
            <w:tcBorders>
              <w:left w:val="single" w:sz="4" w:space="0" w:color="FFC000"/>
              <w:bottom w:val="nil" w:sz="6" w:space="0" w:color="auto"/>
              <w:right w:val="single" w:sz="4" w:space="0" w:color="FFC000"/>
            </w:tcBorders>
            <w:shd w:val="clear" w:color="auto" w:fill="FFF8E6"/>
          </w:tcPr>
          <w:p>
            <w:pPr/>
          </w:p>
        </w:tc>
      </w:tr>
      <w:tr>
        <w:trPr>
          <w:trHeight w:val="185" w:hRule="exact"/>
        </w:trPr>
        <w:tc>
          <w:tcPr>
            <w:tcW w:w="2149" w:type="dxa"/>
            <w:vMerge/>
            <w:tcBorders>
              <w:left w:val="single" w:sz="4" w:space="0" w:color="FFC000"/>
              <w:bottom w:val="single" w:sz="4" w:space="0" w:color="FFC000"/>
              <w:right w:val="single" w:sz="4" w:space="0" w:color="FFC000"/>
            </w:tcBorders>
            <w:shd w:val="clear" w:color="auto" w:fill="FFF8E6"/>
          </w:tcPr>
          <w:p>
            <w:pPr/>
          </w:p>
        </w:tc>
        <w:tc>
          <w:tcPr>
            <w:tcW w:w="1560" w:type="dxa"/>
            <w:vMerge/>
            <w:tcBorders>
              <w:left w:val="single" w:sz="4" w:space="0" w:color="FFC000"/>
              <w:bottom w:val="single" w:sz="4" w:space="0" w:color="FFC000"/>
              <w:right w:val="single" w:sz="4" w:space="0" w:color="FFC000"/>
            </w:tcBorders>
            <w:shd w:val="clear" w:color="auto" w:fill="FFF8E6"/>
          </w:tcPr>
          <w:p>
            <w:pPr/>
          </w:p>
        </w:tc>
        <w:tc>
          <w:tcPr>
            <w:tcW w:w="1418" w:type="dxa"/>
            <w:vMerge/>
            <w:tcBorders>
              <w:left w:val="single" w:sz="4" w:space="0" w:color="FFC000"/>
              <w:bottom w:val="single" w:sz="4" w:space="0" w:color="FFC000"/>
              <w:right w:val="single" w:sz="4" w:space="0" w:color="FFC000"/>
            </w:tcBorders>
            <w:shd w:val="clear" w:color="auto" w:fill="FFF8E6"/>
          </w:tcPr>
          <w:p>
            <w:pPr/>
          </w:p>
        </w:tc>
        <w:tc>
          <w:tcPr>
            <w:tcW w:w="994" w:type="dxa"/>
            <w:vMerge/>
            <w:tcBorders>
              <w:left w:val="single" w:sz="4" w:space="0" w:color="FFC000"/>
              <w:bottom w:val="single" w:sz="4" w:space="0" w:color="FFC000"/>
              <w:right w:val="single" w:sz="4" w:space="0" w:color="FFC000"/>
            </w:tcBorders>
            <w:shd w:val="clear" w:color="auto" w:fill="FFF8E6"/>
          </w:tcPr>
          <w:p>
            <w:pPr/>
          </w:p>
        </w:tc>
        <w:tc>
          <w:tcPr>
            <w:tcW w:w="1578" w:type="dxa"/>
            <w:vMerge/>
            <w:tcBorders>
              <w:left w:val="single" w:sz="4" w:space="0" w:color="FFC000"/>
              <w:bottom w:val="single" w:sz="4" w:space="0" w:color="FFC000"/>
              <w:right w:val="single" w:sz="4" w:space="0" w:color="FFC000"/>
            </w:tcBorders>
            <w:shd w:val="clear" w:color="auto" w:fill="FFF8E6"/>
          </w:tcPr>
          <w:p>
            <w:pPr/>
          </w:p>
        </w:tc>
        <w:tc>
          <w:tcPr>
            <w:tcW w:w="1504" w:type="dxa"/>
            <w:tcBorders>
              <w:top w:val="nil" w:sz="6" w:space="0" w:color="auto"/>
              <w:left w:val="single" w:sz="4" w:space="0" w:color="FFC000"/>
              <w:bottom w:val="single" w:sz="4" w:space="0" w:color="FFC000"/>
              <w:right w:val="single" w:sz="4" w:space="0" w:color="FFC000"/>
            </w:tcBorders>
            <w:shd w:val="clear" w:color="auto" w:fill="FFF8E6"/>
          </w:tcPr>
          <w:p>
            <w:pPr/>
          </w:p>
        </w:tc>
      </w:tr>
      <w:tr>
        <w:trPr>
          <w:trHeight w:val="490" w:hRule="exact"/>
        </w:trPr>
        <w:tc>
          <w:tcPr>
            <w:tcW w:w="214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第一名</w:t>
            </w:r>
          </w:p>
        </w:tc>
        <w:tc>
          <w:tcPr>
            <w:tcW w:w="156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预付货款转入</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26,751,300.00</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64"/>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2 </w:t>
            </w:r>
            <w:r>
              <w:rPr>
                <w:rFonts w:ascii="华文细黑" w:hAnsi="华文细黑" w:cs="华文细黑" w:eastAsia="华文细黑" w:hint="default"/>
                <w:sz w:val="18"/>
                <w:szCs w:val="18"/>
              </w:rPr>
              <w:t>至 </w:t>
            </w:r>
            <w:r>
              <w:rPr>
                <w:rFonts w:ascii="华文细黑" w:hAnsi="华文细黑" w:cs="华文细黑" w:eastAsia="华文细黑" w:hint="default"/>
                <w:sz w:val="18"/>
                <w:szCs w:val="18"/>
              </w:rPr>
              <w:t>3</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年</w:t>
            </w:r>
          </w:p>
        </w:tc>
        <w:tc>
          <w:tcPr>
            <w:tcW w:w="157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22.78</w:t>
            </w:r>
          </w:p>
        </w:tc>
        <w:tc>
          <w:tcPr>
            <w:tcW w:w="150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8,025,390.00</w:t>
            </w:r>
          </w:p>
        </w:tc>
      </w:tr>
      <w:tr>
        <w:trPr>
          <w:trHeight w:val="491" w:hRule="exact"/>
        </w:trPr>
        <w:tc>
          <w:tcPr>
            <w:tcW w:w="214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第二名</w:t>
            </w:r>
          </w:p>
        </w:tc>
        <w:tc>
          <w:tcPr>
            <w:tcW w:w="156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保证金</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22,850,000.00</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75"/>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4</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年以内</w:t>
            </w:r>
          </w:p>
        </w:tc>
        <w:tc>
          <w:tcPr>
            <w:tcW w:w="157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19.46</w:t>
            </w:r>
          </w:p>
        </w:tc>
        <w:tc>
          <w:tcPr>
            <w:tcW w:w="150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214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第三名</w:t>
            </w:r>
          </w:p>
        </w:tc>
        <w:tc>
          <w:tcPr>
            <w:tcW w:w="156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保证金</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10,500,000.00</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75"/>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年以内</w:t>
            </w:r>
          </w:p>
        </w:tc>
        <w:tc>
          <w:tcPr>
            <w:tcW w:w="157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8.94</w:t>
            </w:r>
          </w:p>
        </w:tc>
        <w:tc>
          <w:tcPr>
            <w:tcW w:w="150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214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第四名</w:t>
            </w:r>
          </w:p>
        </w:tc>
        <w:tc>
          <w:tcPr>
            <w:tcW w:w="156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保证金</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9,510,000.00</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75"/>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3</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年以内</w:t>
            </w:r>
          </w:p>
        </w:tc>
        <w:tc>
          <w:tcPr>
            <w:tcW w:w="157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8.10</w:t>
            </w:r>
          </w:p>
        </w:tc>
        <w:tc>
          <w:tcPr>
            <w:tcW w:w="150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214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第五名</w:t>
            </w:r>
          </w:p>
        </w:tc>
        <w:tc>
          <w:tcPr>
            <w:tcW w:w="156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代垫款</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2,371,728.44</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75"/>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年以内</w:t>
            </w:r>
          </w:p>
        </w:tc>
        <w:tc>
          <w:tcPr>
            <w:tcW w:w="157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2.02</w:t>
            </w:r>
          </w:p>
        </w:tc>
        <w:tc>
          <w:tcPr>
            <w:tcW w:w="150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w w:val="95"/>
                <w:sz w:val="18"/>
              </w:rPr>
              <w:t>571,728.44</w:t>
            </w:r>
          </w:p>
        </w:tc>
      </w:tr>
      <w:tr>
        <w:trPr>
          <w:trHeight w:val="490" w:hRule="exact"/>
        </w:trPr>
        <w:tc>
          <w:tcPr>
            <w:tcW w:w="214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1560" w:type="dxa"/>
            <w:tcBorders>
              <w:top w:val="single" w:sz="4" w:space="0" w:color="FFC000"/>
              <w:left w:val="single" w:sz="13" w:space="0" w:color="FFF8E6"/>
              <w:bottom w:val="single" w:sz="4" w:space="0" w:color="FFC000"/>
              <w:right w:val="single" w:sz="4" w:space="0" w:color="FFC000"/>
            </w:tcBorders>
          </w:tcPr>
          <w:p>
            <w:pP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b/>
                <w:w w:val="95"/>
                <w:sz w:val="18"/>
              </w:rPr>
              <w:t>71,983,028.44</w:t>
            </w:r>
            <w:r>
              <w:rPr>
                <w:rFonts w:ascii="华文细黑"/>
                <w:sz w:val="18"/>
              </w:rPr>
            </w:r>
          </w:p>
        </w:tc>
        <w:tc>
          <w:tcPr>
            <w:tcW w:w="994" w:type="dxa"/>
            <w:tcBorders>
              <w:top w:val="single" w:sz="4" w:space="0" w:color="FFC000"/>
              <w:left w:val="single" w:sz="4" w:space="0" w:color="FFC000"/>
              <w:bottom w:val="single" w:sz="4" w:space="0" w:color="FFC000"/>
              <w:right w:val="single" w:sz="4" w:space="0" w:color="FFC000"/>
            </w:tcBorders>
          </w:tcPr>
          <w:p>
            <w:pPr/>
          </w:p>
        </w:tc>
        <w:tc>
          <w:tcPr>
            <w:tcW w:w="157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sz w:val="18"/>
              </w:rPr>
              <w:t>61.30</w:t>
            </w:r>
            <w:r>
              <w:rPr>
                <w:rFonts w:ascii="华文细黑"/>
                <w:sz w:val="18"/>
              </w:rPr>
            </w:r>
          </w:p>
        </w:tc>
        <w:tc>
          <w:tcPr>
            <w:tcW w:w="150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b/>
                <w:w w:val="95"/>
                <w:sz w:val="18"/>
              </w:rPr>
              <w:t>8,597,118.44</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Heading5"/>
        <w:spacing w:line="240" w:lineRule="auto"/>
        <w:ind w:left="660" w:right="1246"/>
        <w:jc w:val="left"/>
        <w:rPr>
          <w:b w:val="0"/>
          <w:bCs w:val="0"/>
        </w:rPr>
      </w:pPr>
      <w:bookmarkStart w:name="6、存货" w:id="268"/>
      <w:bookmarkEnd w:id="268"/>
      <w:r>
        <w:rPr>
          <w:b w:val="0"/>
          <w:bCs w:val="0"/>
        </w:rPr>
      </w:r>
      <w:r>
        <w:rPr>
          <w:rFonts w:ascii="华文细黑" w:hAnsi="华文细黑" w:cs="华文细黑" w:eastAsia="华文细黑" w:hint="default"/>
        </w:rPr>
        <w:t>6</w:t>
      </w:r>
      <w:r>
        <w:rPr/>
        <w:t>、存货</w:t>
      </w:r>
      <w:r>
        <w:rPr>
          <w:b w:val="0"/>
          <w:bCs w:val="0"/>
        </w:rPr>
      </w:r>
    </w:p>
    <w:p>
      <w:pPr>
        <w:pStyle w:val="BodyText"/>
        <w:spacing w:line="240" w:lineRule="auto" w:before="142"/>
        <w:ind w:left="660" w:right="1246"/>
        <w:jc w:val="left"/>
      </w:pPr>
      <w:r>
        <w:rPr/>
        <w:t>（</w:t>
      </w:r>
      <w:r>
        <w:rPr>
          <w:rFonts w:ascii="华文细黑" w:hAnsi="华文细黑" w:cs="华文细黑" w:eastAsia="华文细黑" w:hint="default"/>
        </w:rPr>
        <w:t>1</w:t>
      </w:r>
      <w:r>
        <w:rPr/>
        <w:t>）存货分类</w:t>
      </w:r>
    </w:p>
    <w:p>
      <w:pPr>
        <w:spacing w:line="240" w:lineRule="auto" w:before="6"/>
        <w:rPr>
          <w:rFonts w:ascii="华文细黑" w:hAnsi="华文细黑" w:cs="华文细黑" w:eastAsia="华文细黑" w:hint="default"/>
          <w:sz w:val="5"/>
          <w:szCs w:val="5"/>
        </w:rPr>
      </w:pPr>
    </w:p>
    <w:tbl>
      <w:tblPr>
        <w:tblW w:w="0" w:type="auto"/>
        <w:jc w:val="left"/>
        <w:tblInd w:w="135" w:type="dxa"/>
        <w:tblLayout w:type="fixed"/>
        <w:tblCellMar>
          <w:top w:w="0" w:type="dxa"/>
          <w:left w:w="0" w:type="dxa"/>
          <w:bottom w:w="0" w:type="dxa"/>
          <w:right w:w="0" w:type="dxa"/>
        </w:tblCellMar>
        <w:tblLook w:val="01E0"/>
      </w:tblPr>
      <w:tblGrid>
        <w:gridCol w:w="3402"/>
        <w:gridCol w:w="1961"/>
        <w:gridCol w:w="1845"/>
        <w:gridCol w:w="2017"/>
      </w:tblGrid>
      <w:tr>
        <w:trPr>
          <w:trHeight w:val="490" w:hRule="exact"/>
        </w:trPr>
        <w:tc>
          <w:tcPr>
            <w:tcW w:w="340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tabs>
                <w:tab w:pos="627" w:val="left" w:leader="none"/>
              </w:tabs>
              <w:spacing w:line="240" w:lineRule="auto" w:before="136"/>
              <w:ind w:left="178"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5823" w:type="dxa"/>
            <w:gridSpan w:val="3"/>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490" w:hRule="exact"/>
        </w:trPr>
        <w:tc>
          <w:tcPr>
            <w:tcW w:w="3402" w:type="dxa"/>
            <w:vMerge/>
            <w:tcBorders>
              <w:left w:val="single" w:sz="4" w:space="0" w:color="FFC000"/>
              <w:bottom w:val="single" w:sz="4" w:space="0" w:color="FFC000"/>
              <w:right w:val="single" w:sz="4" w:space="0" w:color="FFC000"/>
            </w:tcBorders>
            <w:shd w:val="clear" w:color="auto" w:fill="FFF8E6"/>
          </w:tcPr>
          <w:p>
            <w:pPr/>
          </w:p>
        </w:tc>
        <w:tc>
          <w:tcPr>
            <w:tcW w:w="196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61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18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55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跌价准备</w:t>
            </w:r>
          </w:p>
        </w:tc>
        <w:tc>
          <w:tcPr>
            <w:tcW w:w="20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64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账面价值</w:t>
            </w:r>
          </w:p>
        </w:tc>
      </w:tr>
      <w:tr>
        <w:trPr>
          <w:trHeight w:val="490" w:hRule="exact"/>
        </w:trPr>
        <w:tc>
          <w:tcPr>
            <w:tcW w:w="34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库存商品</w:t>
            </w:r>
          </w:p>
        </w:tc>
        <w:tc>
          <w:tcPr>
            <w:tcW w:w="196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2,454,335,868.98</w:t>
            </w:r>
          </w:p>
        </w:tc>
        <w:tc>
          <w:tcPr>
            <w:tcW w:w="18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99,197,062.95</w:t>
            </w:r>
          </w:p>
        </w:tc>
        <w:tc>
          <w:tcPr>
            <w:tcW w:w="20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sz w:val="18"/>
              </w:rPr>
              <w:t>2,355,138,806.03</w:t>
            </w:r>
          </w:p>
        </w:tc>
      </w:tr>
      <w:tr>
        <w:trPr>
          <w:trHeight w:val="490" w:hRule="exact"/>
        </w:trPr>
        <w:tc>
          <w:tcPr>
            <w:tcW w:w="34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委托代销商品</w:t>
            </w:r>
          </w:p>
        </w:tc>
        <w:tc>
          <w:tcPr>
            <w:tcW w:w="196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w w:val="95"/>
                <w:sz w:val="18"/>
              </w:rPr>
              <w:t>141,812.63</w:t>
            </w:r>
          </w:p>
        </w:tc>
        <w:tc>
          <w:tcPr>
            <w:tcW w:w="18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3"/>
              <w:jc w:val="right"/>
              <w:rPr>
                <w:rFonts w:ascii="华文细黑" w:hAnsi="华文细黑" w:cs="华文细黑" w:eastAsia="华文细黑" w:hint="default"/>
                <w:sz w:val="18"/>
                <w:szCs w:val="18"/>
              </w:rPr>
            </w:pPr>
            <w:r>
              <w:rPr>
                <w:rFonts w:ascii="华文细黑"/>
                <w:sz w:val="18"/>
              </w:rPr>
              <w:t>87,038.35</w:t>
            </w:r>
          </w:p>
        </w:tc>
        <w:tc>
          <w:tcPr>
            <w:tcW w:w="20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54,774.28</w:t>
            </w:r>
          </w:p>
        </w:tc>
      </w:tr>
      <w:tr>
        <w:trPr>
          <w:trHeight w:val="491" w:hRule="exact"/>
        </w:trPr>
        <w:tc>
          <w:tcPr>
            <w:tcW w:w="34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88"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计</w:t>
            </w:r>
          </w:p>
        </w:tc>
        <w:tc>
          <w:tcPr>
            <w:tcW w:w="196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b/>
                <w:w w:val="95"/>
                <w:sz w:val="18"/>
              </w:rPr>
              <w:t>2,454,477,681.61</w:t>
            </w:r>
            <w:r>
              <w:rPr>
                <w:rFonts w:ascii="华文细黑"/>
                <w:sz w:val="18"/>
              </w:rPr>
            </w:r>
          </w:p>
        </w:tc>
        <w:tc>
          <w:tcPr>
            <w:tcW w:w="18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b/>
                <w:w w:val="95"/>
                <w:sz w:val="18"/>
              </w:rPr>
              <w:t>99,284,101.30</w:t>
            </w:r>
            <w:r>
              <w:rPr>
                <w:rFonts w:ascii="华文细黑"/>
                <w:sz w:val="18"/>
              </w:rPr>
            </w:r>
          </w:p>
        </w:tc>
        <w:tc>
          <w:tcPr>
            <w:tcW w:w="20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b/>
                <w:w w:val="95"/>
                <w:sz w:val="18"/>
              </w:rPr>
              <w:t>2,355,193,580.31</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60" w:right="1246"/>
        <w:jc w:val="left"/>
      </w:pPr>
      <w:r>
        <w:rPr/>
        <w:t>（续）</w:t>
      </w:r>
    </w:p>
    <w:p>
      <w:pPr>
        <w:spacing w:line="240" w:lineRule="auto" w:before="5"/>
        <w:rPr>
          <w:rFonts w:ascii="华文细黑" w:hAnsi="华文细黑" w:cs="华文细黑" w:eastAsia="华文细黑" w:hint="default"/>
          <w:sz w:val="5"/>
          <w:szCs w:val="5"/>
        </w:rPr>
      </w:pPr>
    </w:p>
    <w:tbl>
      <w:tblPr>
        <w:tblW w:w="0" w:type="auto"/>
        <w:jc w:val="left"/>
        <w:tblInd w:w="135" w:type="dxa"/>
        <w:tblLayout w:type="fixed"/>
        <w:tblCellMar>
          <w:top w:w="0" w:type="dxa"/>
          <w:left w:w="0" w:type="dxa"/>
          <w:bottom w:w="0" w:type="dxa"/>
          <w:right w:w="0" w:type="dxa"/>
        </w:tblCellMar>
        <w:tblLook w:val="01E0"/>
      </w:tblPr>
      <w:tblGrid>
        <w:gridCol w:w="3402"/>
        <w:gridCol w:w="1961"/>
        <w:gridCol w:w="1845"/>
        <w:gridCol w:w="2017"/>
      </w:tblGrid>
      <w:tr>
        <w:trPr>
          <w:trHeight w:val="490" w:hRule="exact"/>
        </w:trPr>
        <w:tc>
          <w:tcPr>
            <w:tcW w:w="340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tabs>
                <w:tab w:pos="627" w:val="left" w:leader="none"/>
              </w:tabs>
              <w:spacing w:line="240" w:lineRule="auto" w:before="136"/>
              <w:ind w:left="178"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5823" w:type="dxa"/>
            <w:gridSpan w:val="3"/>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0" w:hRule="exact"/>
        </w:trPr>
        <w:tc>
          <w:tcPr>
            <w:tcW w:w="3402" w:type="dxa"/>
            <w:vMerge/>
            <w:tcBorders>
              <w:left w:val="single" w:sz="4" w:space="0" w:color="FFC000"/>
              <w:bottom w:val="single" w:sz="4" w:space="0" w:color="FFC000"/>
              <w:right w:val="single" w:sz="4" w:space="0" w:color="FFC000"/>
            </w:tcBorders>
            <w:shd w:val="clear" w:color="auto" w:fill="FFF8E6"/>
          </w:tcPr>
          <w:p>
            <w:pPr/>
          </w:p>
        </w:tc>
        <w:tc>
          <w:tcPr>
            <w:tcW w:w="196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61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18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55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跌价准备</w:t>
            </w:r>
          </w:p>
        </w:tc>
        <w:tc>
          <w:tcPr>
            <w:tcW w:w="20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64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账面价值</w:t>
            </w:r>
          </w:p>
        </w:tc>
      </w:tr>
      <w:tr>
        <w:trPr>
          <w:trHeight w:val="490" w:hRule="exact"/>
        </w:trPr>
        <w:tc>
          <w:tcPr>
            <w:tcW w:w="34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库存商品</w:t>
            </w:r>
          </w:p>
        </w:tc>
        <w:tc>
          <w:tcPr>
            <w:tcW w:w="196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4,069,109,210.05</w:t>
            </w:r>
          </w:p>
        </w:tc>
        <w:tc>
          <w:tcPr>
            <w:tcW w:w="18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135,680,431.39</w:t>
            </w:r>
          </w:p>
        </w:tc>
        <w:tc>
          <w:tcPr>
            <w:tcW w:w="20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sz w:val="18"/>
              </w:rPr>
              <w:t>3,933,428,778.66</w:t>
            </w:r>
          </w:p>
        </w:tc>
      </w:tr>
      <w:tr>
        <w:trPr>
          <w:trHeight w:val="490" w:hRule="exact"/>
        </w:trPr>
        <w:tc>
          <w:tcPr>
            <w:tcW w:w="34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委托代销商品</w:t>
            </w:r>
          </w:p>
        </w:tc>
        <w:tc>
          <w:tcPr>
            <w:tcW w:w="196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5,109,322.04</w:t>
            </w:r>
          </w:p>
        </w:tc>
        <w:tc>
          <w:tcPr>
            <w:tcW w:w="18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spacing w:val="-1"/>
                <w:sz w:val="18"/>
              </w:rPr>
              <w:t>897,892.40</w:t>
            </w:r>
          </w:p>
        </w:tc>
        <w:tc>
          <w:tcPr>
            <w:tcW w:w="20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sz w:val="18"/>
              </w:rPr>
              <w:t>4,211,429.64</w:t>
            </w:r>
          </w:p>
        </w:tc>
      </w:tr>
      <w:tr>
        <w:trPr>
          <w:trHeight w:val="491" w:hRule="exact"/>
        </w:trPr>
        <w:tc>
          <w:tcPr>
            <w:tcW w:w="34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88"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计</w:t>
            </w:r>
          </w:p>
        </w:tc>
        <w:tc>
          <w:tcPr>
            <w:tcW w:w="196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b/>
                <w:w w:val="95"/>
                <w:sz w:val="18"/>
              </w:rPr>
              <w:t>4,074,218,532.09</w:t>
            </w:r>
            <w:r>
              <w:rPr>
                <w:rFonts w:ascii="华文细黑"/>
                <w:sz w:val="18"/>
              </w:rPr>
            </w:r>
          </w:p>
        </w:tc>
        <w:tc>
          <w:tcPr>
            <w:tcW w:w="184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b/>
                <w:w w:val="95"/>
                <w:sz w:val="18"/>
              </w:rPr>
              <w:t>136,578,323.79</w:t>
            </w:r>
            <w:r>
              <w:rPr>
                <w:rFonts w:ascii="华文细黑"/>
                <w:sz w:val="18"/>
              </w:rPr>
            </w:r>
          </w:p>
        </w:tc>
        <w:tc>
          <w:tcPr>
            <w:tcW w:w="20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b/>
                <w:w w:val="95"/>
                <w:sz w:val="18"/>
              </w:rPr>
              <w:t>3,937,640,208.30</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60" w:right="1246"/>
        <w:jc w:val="left"/>
      </w:pPr>
      <w:r>
        <w:rPr/>
        <w:t>（</w:t>
      </w:r>
      <w:r>
        <w:rPr>
          <w:rFonts w:ascii="华文细黑" w:hAnsi="华文细黑" w:cs="华文细黑" w:eastAsia="华文细黑" w:hint="default"/>
        </w:rPr>
        <w:t>2</w:t>
      </w:r>
      <w:r>
        <w:rPr/>
        <w:t>）存货跌价准备</w:t>
      </w:r>
    </w:p>
    <w:p>
      <w:pPr>
        <w:spacing w:line="240" w:lineRule="auto" w:before="5"/>
        <w:rPr>
          <w:rFonts w:ascii="华文细黑" w:hAnsi="华文细黑" w:cs="华文细黑" w:eastAsia="华文细黑" w:hint="default"/>
          <w:sz w:val="5"/>
          <w:szCs w:val="5"/>
        </w:rPr>
      </w:pPr>
    </w:p>
    <w:tbl>
      <w:tblPr>
        <w:tblW w:w="0" w:type="auto"/>
        <w:jc w:val="left"/>
        <w:tblInd w:w="165" w:type="dxa"/>
        <w:tblLayout w:type="fixed"/>
        <w:tblCellMar>
          <w:top w:w="0" w:type="dxa"/>
          <w:left w:w="0" w:type="dxa"/>
          <w:bottom w:w="0" w:type="dxa"/>
          <w:right w:w="0" w:type="dxa"/>
        </w:tblCellMar>
        <w:tblLook w:val="01E0"/>
      </w:tblPr>
      <w:tblGrid>
        <w:gridCol w:w="1559"/>
        <w:gridCol w:w="1700"/>
        <w:gridCol w:w="1560"/>
        <w:gridCol w:w="660"/>
        <w:gridCol w:w="1580"/>
        <w:gridCol w:w="689"/>
        <w:gridCol w:w="1417"/>
      </w:tblGrid>
      <w:tr>
        <w:trPr>
          <w:trHeight w:val="251" w:hRule="exact"/>
        </w:trPr>
        <w:tc>
          <w:tcPr>
            <w:tcW w:w="1559" w:type="dxa"/>
            <w:tcBorders>
              <w:top w:val="single" w:sz="4" w:space="0" w:color="FFC000"/>
              <w:left w:val="single" w:sz="4" w:space="0" w:color="FFC000"/>
              <w:bottom w:val="nil" w:sz="6" w:space="0" w:color="auto"/>
              <w:right w:val="single" w:sz="4" w:space="0" w:color="FFC000"/>
            </w:tcBorders>
            <w:shd w:val="clear" w:color="auto" w:fill="FFF8E6"/>
          </w:tcPr>
          <w:p>
            <w:pPr/>
          </w:p>
        </w:tc>
        <w:tc>
          <w:tcPr>
            <w:tcW w:w="1700" w:type="dxa"/>
            <w:tcBorders>
              <w:top w:val="single" w:sz="4" w:space="0" w:color="FFC000"/>
              <w:left w:val="single" w:sz="4" w:space="0" w:color="FFC000"/>
              <w:bottom w:val="nil" w:sz="6" w:space="0" w:color="auto"/>
              <w:right w:val="single" w:sz="4" w:space="0" w:color="FFC000"/>
            </w:tcBorders>
            <w:shd w:val="clear" w:color="auto" w:fill="FFF8E6"/>
          </w:tcPr>
          <w:p>
            <w:pPr/>
          </w:p>
        </w:tc>
        <w:tc>
          <w:tcPr>
            <w:tcW w:w="2220"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56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本年增加金额</w:t>
            </w:r>
          </w:p>
        </w:tc>
        <w:tc>
          <w:tcPr>
            <w:tcW w:w="2268"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58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本年减少金额</w:t>
            </w:r>
          </w:p>
        </w:tc>
        <w:tc>
          <w:tcPr>
            <w:tcW w:w="1417" w:type="dxa"/>
            <w:tcBorders>
              <w:top w:val="single" w:sz="4" w:space="0" w:color="FFC000"/>
              <w:left w:val="single" w:sz="4" w:space="0" w:color="FFC000"/>
              <w:bottom w:val="nil" w:sz="6" w:space="0" w:color="auto"/>
              <w:right w:val="single" w:sz="4" w:space="0" w:color="FFC000"/>
            </w:tcBorders>
            <w:shd w:val="clear" w:color="auto" w:fill="FFF8E6"/>
          </w:tcPr>
          <w:p>
            <w:pPr/>
          </w:p>
        </w:tc>
      </w:tr>
      <w:tr>
        <w:trPr>
          <w:trHeight w:val="239" w:hRule="exact"/>
        </w:trPr>
        <w:tc>
          <w:tcPr>
            <w:tcW w:w="1559" w:type="dxa"/>
            <w:vMerge w:val="restart"/>
            <w:tcBorders>
              <w:top w:val="nil" w:sz="6" w:space="0" w:color="auto"/>
              <w:left w:val="single" w:sz="4" w:space="0" w:color="FFC000"/>
              <w:right w:val="single" w:sz="4" w:space="0" w:color="FFC000"/>
            </w:tcBorders>
            <w:shd w:val="clear" w:color="auto" w:fill="FFF8E6"/>
          </w:tcPr>
          <w:p>
            <w:pPr>
              <w:pStyle w:val="TableParagraph"/>
              <w:tabs>
                <w:tab w:pos="953" w:val="left" w:leader="none"/>
              </w:tabs>
              <w:spacing w:line="240" w:lineRule="auto" w:before="144"/>
              <w:ind w:left="41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1700"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48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2220" w:type="dxa"/>
            <w:gridSpan w:val="2"/>
            <w:vMerge/>
            <w:tcBorders>
              <w:left w:val="single" w:sz="4" w:space="0" w:color="FFC000"/>
              <w:bottom w:val="single" w:sz="4" w:space="0" w:color="FFC000"/>
              <w:right w:val="single" w:sz="4" w:space="0" w:color="FFC000"/>
            </w:tcBorders>
            <w:shd w:val="clear" w:color="auto" w:fill="FFF8E6"/>
          </w:tcPr>
          <w:p>
            <w:pPr/>
          </w:p>
        </w:tc>
        <w:tc>
          <w:tcPr>
            <w:tcW w:w="2268" w:type="dxa"/>
            <w:gridSpan w:val="2"/>
            <w:vMerge/>
            <w:tcBorders>
              <w:left w:val="single" w:sz="4" w:space="0" w:color="FFC000"/>
              <w:bottom w:val="single" w:sz="4" w:space="0" w:color="FFC000"/>
              <w:right w:val="single" w:sz="4" w:space="0" w:color="FFC000"/>
            </w:tcBorders>
            <w:shd w:val="clear" w:color="auto" w:fill="FFF8E6"/>
          </w:tcPr>
          <w:p>
            <w:pPr/>
          </w:p>
        </w:tc>
        <w:tc>
          <w:tcPr>
            <w:tcW w:w="1417"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34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241" w:hRule="exact"/>
        </w:trPr>
        <w:tc>
          <w:tcPr>
            <w:tcW w:w="1559" w:type="dxa"/>
            <w:vMerge/>
            <w:tcBorders>
              <w:left w:val="single" w:sz="4" w:space="0" w:color="FFC000"/>
              <w:bottom w:val="nil" w:sz="6" w:space="0" w:color="auto"/>
              <w:right w:val="single" w:sz="4" w:space="0" w:color="FFC000"/>
            </w:tcBorders>
            <w:shd w:val="clear" w:color="auto" w:fill="FFF8E6"/>
          </w:tcPr>
          <w:p>
            <w:pPr/>
          </w:p>
        </w:tc>
        <w:tc>
          <w:tcPr>
            <w:tcW w:w="1700" w:type="dxa"/>
            <w:vMerge/>
            <w:tcBorders>
              <w:left w:val="single" w:sz="4" w:space="0" w:color="FFC000"/>
              <w:bottom w:val="nil" w:sz="6" w:space="0" w:color="auto"/>
              <w:right w:val="single" w:sz="4" w:space="0" w:color="FFC000"/>
            </w:tcBorders>
            <w:shd w:val="clear" w:color="auto" w:fill="FFF8E6"/>
          </w:tcPr>
          <w:p>
            <w:pPr/>
          </w:p>
        </w:tc>
        <w:tc>
          <w:tcPr>
            <w:tcW w:w="156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计提</w:t>
            </w:r>
          </w:p>
        </w:tc>
        <w:tc>
          <w:tcPr>
            <w:tcW w:w="66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14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158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33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转回或转销</w:t>
            </w:r>
          </w:p>
        </w:tc>
        <w:tc>
          <w:tcPr>
            <w:tcW w:w="68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15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1417" w:type="dxa"/>
            <w:vMerge/>
            <w:tcBorders>
              <w:left w:val="single" w:sz="4" w:space="0" w:color="FFC000"/>
              <w:bottom w:val="nil" w:sz="6" w:space="0" w:color="auto"/>
              <w:right w:val="single" w:sz="4" w:space="0" w:color="FFC000"/>
            </w:tcBorders>
            <w:shd w:val="clear" w:color="auto" w:fill="FFF8E6"/>
          </w:tcPr>
          <w:p>
            <w:pPr/>
          </w:p>
        </w:tc>
      </w:tr>
      <w:tr>
        <w:trPr>
          <w:trHeight w:val="250" w:hRule="exact"/>
        </w:trPr>
        <w:tc>
          <w:tcPr>
            <w:tcW w:w="1559" w:type="dxa"/>
            <w:tcBorders>
              <w:top w:val="nil" w:sz="6" w:space="0" w:color="auto"/>
              <w:left w:val="single" w:sz="4" w:space="0" w:color="FFC000"/>
              <w:bottom w:val="single" w:sz="4" w:space="0" w:color="FFC000"/>
              <w:right w:val="single" w:sz="4" w:space="0" w:color="FFC000"/>
            </w:tcBorders>
            <w:shd w:val="clear" w:color="auto" w:fill="FFF8E6"/>
          </w:tcPr>
          <w:p>
            <w:pPr/>
          </w:p>
        </w:tc>
        <w:tc>
          <w:tcPr>
            <w:tcW w:w="1700" w:type="dxa"/>
            <w:tcBorders>
              <w:top w:val="nil" w:sz="6" w:space="0" w:color="auto"/>
              <w:left w:val="single" w:sz="4" w:space="0" w:color="FFC000"/>
              <w:bottom w:val="single" w:sz="4" w:space="0" w:color="FFC000"/>
              <w:right w:val="single" w:sz="4" w:space="0" w:color="FFC000"/>
            </w:tcBorders>
            <w:shd w:val="clear" w:color="auto" w:fill="FFF8E6"/>
          </w:tcPr>
          <w:p>
            <w:pPr/>
          </w:p>
        </w:tc>
        <w:tc>
          <w:tcPr>
            <w:tcW w:w="1560" w:type="dxa"/>
            <w:vMerge/>
            <w:tcBorders>
              <w:left w:val="single" w:sz="4" w:space="0" w:color="FFC000"/>
              <w:bottom w:val="single" w:sz="4" w:space="0" w:color="FFC000"/>
              <w:right w:val="single" w:sz="4" w:space="0" w:color="FFC000"/>
            </w:tcBorders>
            <w:shd w:val="clear" w:color="auto" w:fill="FFF8E6"/>
          </w:tcPr>
          <w:p>
            <w:pPr/>
          </w:p>
        </w:tc>
        <w:tc>
          <w:tcPr>
            <w:tcW w:w="660" w:type="dxa"/>
            <w:vMerge/>
            <w:tcBorders>
              <w:left w:val="single" w:sz="4" w:space="0" w:color="FFC000"/>
              <w:bottom w:val="single" w:sz="4" w:space="0" w:color="FFC000"/>
              <w:right w:val="single" w:sz="4" w:space="0" w:color="FFC000"/>
            </w:tcBorders>
            <w:shd w:val="clear" w:color="auto" w:fill="FFF8E6"/>
          </w:tcPr>
          <w:p>
            <w:pPr/>
          </w:p>
        </w:tc>
        <w:tc>
          <w:tcPr>
            <w:tcW w:w="1580" w:type="dxa"/>
            <w:vMerge/>
            <w:tcBorders>
              <w:left w:val="single" w:sz="4" w:space="0" w:color="FFC000"/>
              <w:bottom w:val="single" w:sz="4" w:space="0" w:color="FFC000"/>
              <w:right w:val="single" w:sz="4" w:space="0" w:color="FFC000"/>
            </w:tcBorders>
            <w:shd w:val="clear" w:color="auto" w:fill="FFF8E6"/>
          </w:tcPr>
          <w:p>
            <w:pPr/>
          </w:p>
        </w:tc>
        <w:tc>
          <w:tcPr>
            <w:tcW w:w="689" w:type="dxa"/>
            <w:vMerge/>
            <w:tcBorders>
              <w:left w:val="single" w:sz="4" w:space="0" w:color="FFC000"/>
              <w:bottom w:val="single" w:sz="4" w:space="0" w:color="FFC000"/>
              <w:right w:val="single" w:sz="4" w:space="0" w:color="FFC000"/>
            </w:tcBorders>
            <w:shd w:val="clear" w:color="auto" w:fill="FFF8E6"/>
          </w:tcPr>
          <w:p>
            <w:pPr/>
          </w:p>
        </w:tc>
        <w:tc>
          <w:tcPr>
            <w:tcW w:w="1417" w:type="dxa"/>
            <w:tcBorders>
              <w:top w:val="nil" w:sz="6" w:space="0" w:color="auto"/>
              <w:left w:val="single" w:sz="4" w:space="0" w:color="FFC000"/>
              <w:bottom w:val="single" w:sz="4" w:space="0" w:color="FFC000"/>
              <w:right w:val="single" w:sz="4" w:space="0" w:color="FFC000"/>
            </w:tcBorders>
            <w:shd w:val="clear" w:color="auto" w:fill="FFF8E6"/>
          </w:tcPr>
          <w:p>
            <w:pPr/>
          </w:p>
        </w:tc>
      </w:tr>
      <w:tr>
        <w:trPr>
          <w:trHeight w:val="490" w:hRule="exact"/>
        </w:trPr>
        <w:tc>
          <w:tcPr>
            <w:tcW w:w="1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库存商品</w:t>
            </w:r>
          </w:p>
        </w:tc>
        <w:tc>
          <w:tcPr>
            <w:tcW w:w="170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135,680,431.39</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94,628,801.13</w:t>
            </w:r>
          </w:p>
        </w:tc>
        <w:tc>
          <w:tcPr>
            <w:tcW w:w="6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131,112,169.57</w:t>
            </w:r>
          </w:p>
        </w:tc>
        <w:tc>
          <w:tcPr>
            <w:tcW w:w="68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99,197,062.95</w:t>
            </w:r>
          </w:p>
        </w:tc>
      </w:tr>
      <w:tr>
        <w:trPr>
          <w:trHeight w:val="490" w:hRule="exact"/>
        </w:trPr>
        <w:tc>
          <w:tcPr>
            <w:tcW w:w="1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委托代销商品</w:t>
            </w:r>
          </w:p>
        </w:tc>
        <w:tc>
          <w:tcPr>
            <w:tcW w:w="170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897,892.40</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z w:val="18"/>
              </w:rPr>
              <w:t>79,532.04</w:t>
            </w:r>
          </w:p>
        </w:tc>
        <w:tc>
          <w:tcPr>
            <w:tcW w:w="6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5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890,386.09</w:t>
            </w:r>
          </w:p>
        </w:tc>
        <w:tc>
          <w:tcPr>
            <w:tcW w:w="68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z w:val="18"/>
              </w:rPr>
              <w:t>---</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87,038.35</w:t>
            </w:r>
          </w:p>
        </w:tc>
      </w:tr>
      <w:tr>
        <w:trPr>
          <w:trHeight w:val="491" w:hRule="exact"/>
        </w:trPr>
        <w:tc>
          <w:tcPr>
            <w:tcW w:w="1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953" w:val="left" w:leader="none"/>
              </w:tabs>
              <w:spacing w:line="240" w:lineRule="auto" w:before="145"/>
              <w:ind w:left="41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70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136,578,323.79</w:t>
            </w:r>
            <w:r>
              <w:rPr>
                <w:rFonts w:ascii="华文细黑"/>
                <w:sz w:val="18"/>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w w:val="95"/>
                <w:sz w:val="18"/>
              </w:rPr>
              <w:t>94,708,333.17</w:t>
            </w:r>
            <w:r>
              <w:rPr>
                <w:rFonts w:ascii="华文细黑"/>
                <w:sz w:val="18"/>
              </w:rPr>
            </w:r>
          </w:p>
        </w:tc>
        <w:tc>
          <w:tcPr>
            <w:tcW w:w="6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5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w w:val="95"/>
                <w:sz w:val="18"/>
              </w:rPr>
              <w:t>132,002,555.66</w:t>
            </w:r>
            <w:r>
              <w:rPr>
                <w:rFonts w:ascii="华文细黑"/>
                <w:sz w:val="18"/>
              </w:rPr>
            </w:r>
          </w:p>
        </w:tc>
        <w:tc>
          <w:tcPr>
            <w:tcW w:w="68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b/>
                <w:w w:val="95"/>
                <w:sz w:val="18"/>
              </w:rPr>
              <w:t>99,284,101.30</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60" w:right="1246"/>
        <w:jc w:val="left"/>
      </w:pPr>
      <w:r>
        <w:rPr/>
        <w:t>（</w:t>
      </w:r>
      <w:r>
        <w:rPr>
          <w:rFonts w:ascii="华文细黑" w:hAnsi="华文细黑" w:cs="华文细黑" w:eastAsia="华文细黑" w:hint="default"/>
        </w:rPr>
        <w:t>3</w:t>
      </w:r>
      <w:r>
        <w:rPr/>
        <w:t>）存货跌价准备计提依据及本年转回或转销原因</w:t>
      </w:r>
    </w:p>
    <w:p>
      <w:pPr>
        <w:spacing w:after="0" w:line="240" w:lineRule="auto"/>
        <w:jc w:val="left"/>
        <w:sectPr>
          <w:pgSz w:w="11910" w:h="16840"/>
          <w:pgMar w:header="917" w:footer="1019" w:top="1100" w:bottom="1200" w:left="1200" w:right="0"/>
        </w:sectPr>
      </w:pPr>
    </w:p>
    <w:p>
      <w:pPr>
        <w:spacing w:line="240" w:lineRule="auto" w:before="8"/>
        <w:rPr>
          <w:rFonts w:ascii="华文细黑" w:hAnsi="华文细黑" w:cs="华文细黑" w:eastAsia="华文细黑" w:hint="default"/>
          <w:sz w:val="23"/>
          <w:szCs w:val="23"/>
        </w:rPr>
      </w:pPr>
    </w:p>
    <w:tbl>
      <w:tblPr>
        <w:tblW w:w="0" w:type="auto"/>
        <w:jc w:val="left"/>
        <w:tblInd w:w="162" w:type="dxa"/>
        <w:tblLayout w:type="fixed"/>
        <w:tblCellMar>
          <w:top w:w="0" w:type="dxa"/>
          <w:left w:w="0" w:type="dxa"/>
          <w:bottom w:w="0" w:type="dxa"/>
          <w:right w:w="0" w:type="dxa"/>
        </w:tblCellMar>
        <w:tblLook w:val="01E0"/>
      </w:tblPr>
      <w:tblGrid>
        <w:gridCol w:w="2066"/>
        <w:gridCol w:w="2162"/>
        <w:gridCol w:w="2363"/>
        <w:gridCol w:w="2501"/>
      </w:tblGrid>
      <w:tr>
        <w:trPr>
          <w:trHeight w:val="890" w:hRule="exact"/>
        </w:trPr>
        <w:tc>
          <w:tcPr>
            <w:tcW w:w="206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21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805" w:right="174" w:hanging="63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计提存货跌价准备的具 体依据</w:t>
            </w:r>
          </w:p>
        </w:tc>
        <w:tc>
          <w:tcPr>
            <w:tcW w:w="23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996" w:right="185" w:hanging="81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本年转回存货跌价准备的 原因</w:t>
            </w:r>
          </w:p>
        </w:tc>
        <w:tc>
          <w:tcPr>
            <w:tcW w:w="250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55" w:right="163" w:hanging="9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本年转销存货跌价准备的原 因</w:t>
            </w:r>
          </w:p>
        </w:tc>
      </w:tr>
      <w:tr>
        <w:trPr>
          <w:trHeight w:val="490" w:hRule="exact"/>
        </w:trPr>
        <w:tc>
          <w:tcPr>
            <w:tcW w:w="206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库存商品</w:t>
            </w:r>
          </w:p>
        </w:tc>
        <w:tc>
          <w:tcPr>
            <w:tcW w:w="21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可变现净值低于成本</w:t>
            </w:r>
          </w:p>
        </w:tc>
        <w:tc>
          <w:tcPr>
            <w:tcW w:w="23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1" w:right="0"/>
              <w:jc w:val="center"/>
              <w:rPr>
                <w:rFonts w:ascii="华文细黑" w:hAnsi="华文细黑" w:cs="华文细黑" w:eastAsia="华文细黑" w:hint="default"/>
                <w:sz w:val="18"/>
                <w:szCs w:val="18"/>
              </w:rPr>
            </w:pPr>
            <w:r>
              <w:rPr>
                <w:rFonts w:ascii="华文细黑"/>
                <w:sz w:val="18"/>
              </w:rPr>
              <w:t>---</w:t>
            </w:r>
          </w:p>
        </w:tc>
        <w:tc>
          <w:tcPr>
            <w:tcW w:w="250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实现销售</w:t>
            </w:r>
          </w:p>
        </w:tc>
      </w:tr>
      <w:tr>
        <w:trPr>
          <w:trHeight w:val="491" w:hRule="exact"/>
        </w:trPr>
        <w:tc>
          <w:tcPr>
            <w:tcW w:w="206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委托代销商品</w:t>
            </w:r>
          </w:p>
        </w:tc>
        <w:tc>
          <w:tcPr>
            <w:tcW w:w="21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可变现净值低于成本</w:t>
            </w:r>
          </w:p>
        </w:tc>
        <w:tc>
          <w:tcPr>
            <w:tcW w:w="23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1" w:right="0"/>
              <w:jc w:val="center"/>
              <w:rPr>
                <w:rFonts w:ascii="华文细黑" w:hAnsi="华文细黑" w:cs="华文细黑" w:eastAsia="华文细黑" w:hint="default"/>
                <w:sz w:val="18"/>
                <w:szCs w:val="18"/>
              </w:rPr>
            </w:pPr>
            <w:r>
              <w:rPr>
                <w:rFonts w:ascii="华文细黑"/>
                <w:sz w:val="18"/>
              </w:rPr>
              <w:t>---</w:t>
            </w:r>
          </w:p>
        </w:tc>
        <w:tc>
          <w:tcPr>
            <w:tcW w:w="250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实现销售</w:t>
            </w:r>
          </w:p>
        </w:tc>
      </w:tr>
    </w:tbl>
    <w:p>
      <w:pPr>
        <w:spacing w:line="240" w:lineRule="auto" w:before="13"/>
        <w:rPr>
          <w:rFonts w:ascii="华文细黑" w:hAnsi="华文细黑" w:cs="华文细黑" w:eastAsia="华文细黑" w:hint="default"/>
          <w:sz w:val="6"/>
          <w:szCs w:val="6"/>
        </w:rPr>
      </w:pPr>
    </w:p>
    <w:p>
      <w:pPr>
        <w:pStyle w:val="Heading5"/>
        <w:spacing w:line="240" w:lineRule="auto"/>
        <w:ind w:left="620" w:right="1289"/>
        <w:jc w:val="left"/>
        <w:rPr>
          <w:b w:val="0"/>
          <w:bCs w:val="0"/>
        </w:rPr>
      </w:pPr>
      <w:bookmarkStart w:name="7、其他流动资产" w:id="269"/>
      <w:bookmarkEnd w:id="269"/>
      <w:r>
        <w:rPr>
          <w:b w:val="0"/>
          <w:bCs w:val="0"/>
        </w:rPr>
      </w:r>
      <w:r>
        <w:rPr>
          <w:rFonts w:ascii="华文细黑" w:hAnsi="华文细黑" w:cs="华文细黑" w:eastAsia="华文细黑" w:hint="default"/>
        </w:rPr>
        <w:t>7</w:t>
      </w:r>
      <w:r>
        <w:rPr/>
        <w:t>、其他流动资产</w:t>
      </w:r>
      <w:r>
        <w:rPr>
          <w:b w:val="0"/>
          <w:bCs w:val="0"/>
        </w:rPr>
      </w:r>
    </w:p>
    <w:p>
      <w:pPr>
        <w:spacing w:line="240" w:lineRule="auto" w:before="5"/>
        <w:rPr>
          <w:rFonts w:ascii="华文细黑" w:hAnsi="华文细黑" w:cs="华文细黑" w:eastAsia="华文细黑" w:hint="default"/>
          <w:b/>
          <w:bCs/>
          <w:sz w:val="5"/>
          <w:szCs w:val="5"/>
        </w:rPr>
      </w:pPr>
    </w:p>
    <w:tbl>
      <w:tblPr>
        <w:tblW w:w="0" w:type="auto"/>
        <w:jc w:val="left"/>
        <w:tblInd w:w="211" w:type="dxa"/>
        <w:tblLayout w:type="fixed"/>
        <w:tblCellMar>
          <w:top w:w="0" w:type="dxa"/>
          <w:left w:w="0" w:type="dxa"/>
          <w:bottom w:w="0" w:type="dxa"/>
          <w:right w:w="0" w:type="dxa"/>
        </w:tblCellMar>
        <w:tblLook w:val="01E0"/>
      </w:tblPr>
      <w:tblGrid>
        <w:gridCol w:w="3978"/>
        <w:gridCol w:w="2564"/>
        <w:gridCol w:w="2514"/>
      </w:tblGrid>
      <w:tr>
        <w:trPr>
          <w:trHeight w:val="490" w:hRule="exact"/>
        </w:trPr>
        <w:tc>
          <w:tcPr>
            <w:tcW w:w="39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628" w:val="left" w:leader="none"/>
              </w:tabs>
              <w:spacing w:line="240" w:lineRule="auto" w:before="144"/>
              <w:ind w:right="157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5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51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0" w:hRule="exact"/>
        </w:trPr>
        <w:tc>
          <w:tcPr>
            <w:tcW w:w="39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留抵的增值税</w:t>
            </w:r>
          </w:p>
        </w:tc>
        <w:tc>
          <w:tcPr>
            <w:tcW w:w="256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128,151,603.54</w:t>
            </w:r>
          </w:p>
        </w:tc>
        <w:tc>
          <w:tcPr>
            <w:tcW w:w="25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311,561,202.61</w:t>
            </w:r>
          </w:p>
        </w:tc>
      </w:tr>
      <w:tr>
        <w:trPr>
          <w:trHeight w:val="490" w:hRule="exact"/>
        </w:trPr>
        <w:tc>
          <w:tcPr>
            <w:tcW w:w="39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预缴的企业所得税</w:t>
            </w:r>
          </w:p>
        </w:tc>
        <w:tc>
          <w:tcPr>
            <w:tcW w:w="256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3,150,621.69</w:t>
            </w:r>
          </w:p>
        </w:tc>
        <w:tc>
          <w:tcPr>
            <w:tcW w:w="25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w w:val="95"/>
                <w:sz w:val="18"/>
              </w:rPr>
              <w:t>931,941.83</w:t>
            </w:r>
          </w:p>
        </w:tc>
      </w:tr>
      <w:tr>
        <w:trPr>
          <w:trHeight w:val="490" w:hRule="exact"/>
        </w:trPr>
        <w:tc>
          <w:tcPr>
            <w:tcW w:w="39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待摊费用</w:t>
            </w:r>
          </w:p>
        </w:tc>
        <w:tc>
          <w:tcPr>
            <w:tcW w:w="256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3,528,680.89</w:t>
            </w:r>
          </w:p>
        </w:tc>
        <w:tc>
          <w:tcPr>
            <w:tcW w:w="25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4,396,497.46</w:t>
            </w:r>
          </w:p>
        </w:tc>
      </w:tr>
      <w:tr>
        <w:trPr>
          <w:trHeight w:val="490" w:hRule="exact"/>
        </w:trPr>
        <w:tc>
          <w:tcPr>
            <w:tcW w:w="39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理财产品</w:t>
            </w:r>
          </w:p>
        </w:tc>
        <w:tc>
          <w:tcPr>
            <w:tcW w:w="256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350,000,000.00</w:t>
            </w:r>
          </w:p>
        </w:tc>
        <w:tc>
          <w:tcPr>
            <w:tcW w:w="25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450,038,491.10</w:t>
            </w:r>
          </w:p>
        </w:tc>
      </w:tr>
      <w:tr>
        <w:trPr>
          <w:trHeight w:val="490" w:hRule="exact"/>
        </w:trPr>
        <w:tc>
          <w:tcPr>
            <w:tcW w:w="39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628" w:val="left" w:leader="none"/>
              </w:tabs>
              <w:spacing w:line="240" w:lineRule="auto" w:before="145"/>
              <w:ind w:right="157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256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484,830,906.12</w:t>
            </w:r>
            <w:r>
              <w:rPr>
                <w:rFonts w:ascii="华文细黑"/>
                <w:sz w:val="18"/>
              </w:rPr>
            </w:r>
          </w:p>
        </w:tc>
        <w:tc>
          <w:tcPr>
            <w:tcW w:w="25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w w:val="95"/>
                <w:sz w:val="18"/>
              </w:rPr>
              <w:t>766,928,133.00</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spacing w:before="10"/>
        <w:ind w:left="620" w:right="1289" w:firstLine="0"/>
        <w:jc w:val="left"/>
        <w:rPr>
          <w:rFonts w:ascii="华文细黑" w:hAnsi="华文细黑" w:cs="华文细黑" w:eastAsia="华文细黑" w:hint="default"/>
          <w:sz w:val="21"/>
          <w:szCs w:val="21"/>
        </w:rPr>
      </w:pPr>
      <w:bookmarkStart w:name="8、发放贷款及垫款" w:id="270"/>
      <w:bookmarkEnd w:id="270"/>
      <w:r>
        <w:rPr/>
      </w:r>
      <w:r>
        <w:rPr>
          <w:rFonts w:ascii="华文细黑" w:hAnsi="华文细黑" w:cs="华文细黑" w:eastAsia="华文细黑" w:hint="default"/>
          <w:b/>
          <w:bCs/>
          <w:sz w:val="21"/>
          <w:szCs w:val="21"/>
        </w:rPr>
        <w:t>8</w:t>
      </w:r>
      <w:r>
        <w:rPr>
          <w:rFonts w:ascii="华文细黑" w:hAnsi="华文细黑" w:cs="华文细黑" w:eastAsia="华文细黑" w:hint="default"/>
          <w:b/>
          <w:bCs/>
          <w:sz w:val="21"/>
          <w:szCs w:val="21"/>
        </w:rPr>
        <w:t>、发放贷款及垫款</w:t>
      </w:r>
      <w:r>
        <w:rPr>
          <w:rFonts w:ascii="华文细黑" w:hAnsi="华文细黑" w:cs="华文细黑" w:eastAsia="华文细黑" w:hint="default"/>
          <w:sz w:val="21"/>
          <w:szCs w:val="21"/>
        </w:rPr>
      </w:r>
    </w:p>
    <w:p>
      <w:pPr>
        <w:pStyle w:val="BodyText"/>
        <w:spacing w:line="240" w:lineRule="auto" w:before="142"/>
        <w:ind w:left="620" w:right="1289"/>
        <w:jc w:val="left"/>
      </w:pPr>
      <w:r>
        <w:rPr/>
        <w:t>（</w:t>
      </w:r>
      <w:r>
        <w:rPr>
          <w:rFonts w:ascii="华文细黑" w:hAnsi="华文细黑" w:cs="华文细黑" w:eastAsia="华文细黑" w:hint="default"/>
        </w:rPr>
        <w:t>1</w:t>
      </w:r>
      <w:r>
        <w:rPr/>
        <w:t>）发放贷款按类别分类</w:t>
      </w:r>
    </w:p>
    <w:p>
      <w:pPr>
        <w:spacing w:line="240" w:lineRule="auto" w:before="6"/>
        <w:rPr>
          <w:rFonts w:ascii="华文细黑" w:hAnsi="华文细黑" w:cs="华文细黑" w:eastAsia="华文细黑" w:hint="default"/>
          <w:sz w:val="5"/>
          <w:szCs w:val="5"/>
        </w:rPr>
      </w:pPr>
    </w:p>
    <w:tbl>
      <w:tblPr>
        <w:tblW w:w="0" w:type="auto"/>
        <w:jc w:val="left"/>
        <w:tblInd w:w="162" w:type="dxa"/>
        <w:tblLayout w:type="fixed"/>
        <w:tblCellMar>
          <w:top w:w="0" w:type="dxa"/>
          <w:left w:w="0" w:type="dxa"/>
          <w:bottom w:w="0" w:type="dxa"/>
          <w:right w:w="0" w:type="dxa"/>
        </w:tblCellMar>
        <w:tblLook w:val="01E0"/>
      </w:tblPr>
      <w:tblGrid>
        <w:gridCol w:w="3089"/>
        <w:gridCol w:w="2030"/>
        <w:gridCol w:w="1842"/>
        <w:gridCol w:w="2130"/>
      </w:tblGrid>
      <w:tr>
        <w:trPr>
          <w:trHeight w:val="490" w:hRule="exact"/>
        </w:trPr>
        <w:tc>
          <w:tcPr>
            <w:tcW w:w="308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tabs>
                <w:tab w:pos="626" w:val="left" w:leader="none"/>
              </w:tabs>
              <w:spacing w:line="240" w:lineRule="auto" w:before="135"/>
              <w:ind w:left="176"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6002" w:type="dxa"/>
            <w:gridSpan w:val="3"/>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490" w:hRule="exact"/>
        </w:trPr>
        <w:tc>
          <w:tcPr>
            <w:tcW w:w="3089" w:type="dxa"/>
            <w:vMerge/>
            <w:tcBorders>
              <w:left w:val="single" w:sz="4" w:space="0" w:color="FFC000"/>
              <w:bottom w:val="single" w:sz="4" w:space="0" w:color="FFC000"/>
              <w:right w:val="single" w:sz="4" w:space="0" w:color="FFC000"/>
            </w:tcBorders>
            <w:shd w:val="clear" w:color="auto" w:fill="FFF8E6"/>
          </w:tcPr>
          <w:p>
            <w:pPr/>
          </w:p>
        </w:tc>
        <w:tc>
          <w:tcPr>
            <w:tcW w:w="203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65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55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损失准备</w:t>
            </w:r>
          </w:p>
        </w:tc>
        <w:tc>
          <w:tcPr>
            <w:tcW w:w="213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69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账面价值</w:t>
            </w:r>
          </w:p>
        </w:tc>
      </w:tr>
      <w:tr>
        <w:trPr>
          <w:trHeight w:val="491" w:hRule="exact"/>
        </w:trPr>
        <w:tc>
          <w:tcPr>
            <w:tcW w:w="308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保证贷款</w:t>
            </w:r>
          </w:p>
        </w:tc>
        <w:tc>
          <w:tcPr>
            <w:tcW w:w="20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99"/>
              <w:jc w:val="right"/>
              <w:rPr>
                <w:rFonts w:ascii="华文细黑" w:hAnsi="华文细黑" w:cs="华文细黑" w:eastAsia="华文细黑" w:hint="default"/>
                <w:sz w:val="18"/>
                <w:szCs w:val="18"/>
              </w:rPr>
            </w:pPr>
            <w:r>
              <w:rPr>
                <w:rFonts w:ascii="华文细黑"/>
                <w:sz w:val="18"/>
              </w:rPr>
              <w:t>590,989,295.39</w:t>
            </w:r>
          </w:p>
        </w:tc>
        <w:tc>
          <w:tcPr>
            <w:tcW w:w="184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9,661,293.77</w:t>
            </w:r>
          </w:p>
        </w:tc>
        <w:tc>
          <w:tcPr>
            <w:tcW w:w="21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581,328,001.62</w:t>
            </w:r>
          </w:p>
        </w:tc>
      </w:tr>
      <w:tr>
        <w:trPr>
          <w:trHeight w:val="490" w:hRule="exact"/>
        </w:trPr>
        <w:tc>
          <w:tcPr>
            <w:tcW w:w="308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抵押贷款</w:t>
            </w:r>
          </w:p>
        </w:tc>
        <w:tc>
          <w:tcPr>
            <w:tcW w:w="20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99"/>
              <w:jc w:val="right"/>
              <w:rPr>
                <w:rFonts w:ascii="华文细黑" w:hAnsi="华文细黑" w:cs="华文细黑" w:eastAsia="华文细黑" w:hint="default"/>
                <w:sz w:val="18"/>
                <w:szCs w:val="18"/>
              </w:rPr>
            </w:pPr>
            <w:r>
              <w:rPr>
                <w:rFonts w:ascii="华文细黑"/>
                <w:sz w:val="18"/>
              </w:rPr>
              <w:t>94,300,000.00</w:t>
            </w:r>
          </w:p>
        </w:tc>
        <w:tc>
          <w:tcPr>
            <w:tcW w:w="184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1,485,750.00</w:t>
            </w:r>
          </w:p>
        </w:tc>
        <w:tc>
          <w:tcPr>
            <w:tcW w:w="21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92,814,250.00</w:t>
            </w:r>
          </w:p>
        </w:tc>
      </w:tr>
      <w:tr>
        <w:trPr>
          <w:trHeight w:val="490" w:hRule="exact"/>
        </w:trPr>
        <w:tc>
          <w:tcPr>
            <w:tcW w:w="308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信用贷款</w:t>
            </w:r>
          </w:p>
        </w:tc>
        <w:tc>
          <w:tcPr>
            <w:tcW w:w="20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99"/>
              <w:jc w:val="right"/>
              <w:rPr>
                <w:rFonts w:ascii="华文细黑" w:hAnsi="华文细黑" w:cs="华文细黑" w:eastAsia="华文细黑" w:hint="default"/>
                <w:sz w:val="18"/>
                <w:szCs w:val="18"/>
              </w:rPr>
            </w:pPr>
            <w:r>
              <w:rPr>
                <w:rFonts w:ascii="华文细黑"/>
                <w:sz w:val="18"/>
              </w:rPr>
              <w:t>266,268,320.00</w:t>
            </w:r>
          </w:p>
        </w:tc>
        <w:tc>
          <w:tcPr>
            <w:tcW w:w="184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21,098,320.00</w:t>
            </w:r>
          </w:p>
        </w:tc>
        <w:tc>
          <w:tcPr>
            <w:tcW w:w="21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245,170,000.00</w:t>
            </w:r>
          </w:p>
        </w:tc>
      </w:tr>
      <w:tr>
        <w:trPr>
          <w:trHeight w:val="491" w:hRule="exact"/>
        </w:trPr>
        <w:tc>
          <w:tcPr>
            <w:tcW w:w="308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质押贷款</w:t>
            </w:r>
          </w:p>
        </w:tc>
        <w:tc>
          <w:tcPr>
            <w:tcW w:w="20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98"/>
              <w:jc w:val="right"/>
              <w:rPr>
                <w:rFonts w:ascii="华文细黑" w:hAnsi="华文细黑" w:cs="华文细黑" w:eastAsia="华文细黑" w:hint="default"/>
                <w:sz w:val="18"/>
                <w:szCs w:val="18"/>
              </w:rPr>
            </w:pPr>
            <w:r>
              <w:rPr>
                <w:rFonts w:ascii="华文细黑"/>
                <w:sz w:val="18"/>
              </w:rPr>
              <w:t>---</w:t>
            </w:r>
          </w:p>
        </w:tc>
        <w:tc>
          <w:tcPr>
            <w:tcW w:w="184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0"/>
              <w:jc w:val="right"/>
              <w:rPr>
                <w:rFonts w:ascii="华文细黑" w:hAnsi="华文细黑" w:cs="华文细黑" w:eastAsia="华文细黑" w:hint="default"/>
                <w:sz w:val="18"/>
                <w:szCs w:val="18"/>
              </w:rPr>
            </w:pPr>
            <w:r>
              <w:rPr>
                <w:rFonts w:ascii="华文细黑"/>
                <w:sz w:val="18"/>
              </w:rPr>
              <w:t>---</w:t>
            </w:r>
          </w:p>
        </w:tc>
        <w:tc>
          <w:tcPr>
            <w:tcW w:w="21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308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86"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计</w:t>
            </w:r>
          </w:p>
        </w:tc>
        <w:tc>
          <w:tcPr>
            <w:tcW w:w="20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b/>
                <w:w w:val="95"/>
                <w:sz w:val="18"/>
              </w:rPr>
              <w:t>951,557,615.39</w:t>
            </w:r>
            <w:r>
              <w:rPr>
                <w:rFonts w:ascii="华文细黑"/>
                <w:sz w:val="18"/>
              </w:rPr>
            </w:r>
          </w:p>
        </w:tc>
        <w:tc>
          <w:tcPr>
            <w:tcW w:w="184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3"/>
              <w:jc w:val="right"/>
              <w:rPr>
                <w:rFonts w:ascii="华文细黑" w:hAnsi="华文细黑" w:cs="华文细黑" w:eastAsia="华文细黑" w:hint="default"/>
                <w:sz w:val="18"/>
                <w:szCs w:val="18"/>
              </w:rPr>
            </w:pPr>
            <w:r>
              <w:rPr>
                <w:rFonts w:ascii="华文细黑"/>
                <w:b/>
                <w:w w:val="95"/>
                <w:sz w:val="18"/>
              </w:rPr>
              <w:t>32,245,363.77</w:t>
            </w:r>
            <w:r>
              <w:rPr>
                <w:rFonts w:ascii="华文细黑"/>
                <w:sz w:val="18"/>
              </w:rPr>
            </w:r>
          </w:p>
        </w:tc>
        <w:tc>
          <w:tcPr>
            <w:tcW w:w="21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b/>
                <w:w w:val="95"/>
                <w:sz w:val="18"/>
              </w:rPr>
              <w:t>919,312,251.62</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20" w:right="1289"/>
        <w:jc w:val="left"/>
      </w:pPr>
      <w:r>
        <w:rPr/>
        <w:t>（续）</w:t>
      </w:r>
    </w:p>
    <w:p>
      <w:pPr>
        <w:spacing w:line="240" w:lineRule="auto" w:before="5"/>
        <w:rPr>
          <w:rFonts w:ascii="华文细黑" w:hAnsi="华文细黑" w:cs="华文细黑" w:eastAsia="华文细黑" w:hint="default"/>
          <w:sz w:val="5"/>
          <w:szCs w:val="5"/>
        </w:rPr>
      </w:pPr>
    </w:p>
    <w:tbl>
      <w:tblPr>
        <w:tblW w:w="0" w:type="auto"/>
        <w:jc w:val="left"/>
        <w:tblInd w:w="110" w:type="dxa"/>
        <w:tblLayout w:type="fixed"/>
        <w:tblCellMar>
          <w:top w:w="0" w:type="dxa"/>
          <w:left w:w="0" w:type="dxa"/>
          <w:bottom w:w="0" w:type="dxa"/>
          <w:right w:w="0" w:type="dxa"/>
        </w:tblCellMar>
        <w:tblLook w:val="01E0"/>
      </w:tblPr>
      <w:tblGrid>
        <w:gridCol w:w="3496"/>
        <w:gridCol w:w="1965"/>
        <w:gridCol w:w="1720"/>
        <w:gridCol w:w="2016"/>
      </w:tblGrid>
      <w:tr>
        <w:trPr>
          <w:trHeight w:val="490" w:hRule="exact"/>
        </w:trPr>
        <w:tc>
          <w:tcPr>
            <w:tcW w:w="3496"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tabs>
                <w:tab w:pos="625" w:val="left" w:leader="none"/>
              </w:tabs>
              <w:spacing w:line="240" w:lineRule="auto" w:before="135"/>
              <w:ind w:left="175"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5701" w:type="dxa"/>
            <w:gridSpan w:val="3"/>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0" w:hRule="exact"/>
        </w:trPr>
        <w:tc>
          <w:tcPr>
            <w:tcW w:w="3496" w:type="dxa"/>
            <w:vMerge/>
            <w:tcBorders>
              <w:left w:val="single" w:sz="4" w:space="0" w:color="FFC000"/>
              <w:bottom w:val="single" w:sz="4" w:space="0" w:color="FFC000"/>
              <w:right w:val="single" w:sz="4" w:space="0" w:color="FFC000"/>
            </w:tcBorders>
            <w:shd w:val="clear" w:color="auto" w:fill="FFF8E6"/>
          </w:tcPr>
          <w:p>
            <w:pPr/>
          </w:p>
        </w:tc>
        <w:tc>
          <w:tcPr>
            <w:tcW w:w="196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61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172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9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损失准备</w:t>
            </w:r>
          </w:p>
        </w:tc>
        <w:tc>
          <w:tcPr>
            <w:tcW w:w="20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64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账面价值</w:t>
            </w:r>
          </w:p>
        </w:tc>
      </w:tr>
      <w:tr>
        <w:trPr>
          <w:trHeight w:val="490" w:hRule="exact"/>
        </w:trPr>
        <w:tc>
          <w:tcPr>
            <w:tcW w:w="34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保证贷款</w:t>
            </w:r>
          </w:p>
        </w:tc>
        <w:tc>
          <w:tcPr>
            <w:tcW w:w="196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173,063,255.60</w:t>
            </w:r>
          </w:p>
        </w:tc>
        <w:tc>
          <w:tcPr>
            <w:tcW w:w="17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sz w:val="18"/>
              </w:rPr>
              <w:t>6,870,948.83</w:t>
            </w:r>
          </w:p>
        </w:tc>
        <w:tc>
          <w:tcPr>
            <w:tcW w:w="20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166,192,306.77</w:t>
            </w:r>
          </w:p>
        </w:tc>
      </w:tr>
      <w:tr>
        <w:trPr>
          <w:trHeight w:val="490" w:hRule="exact"/>
        </w:trPr>
        <w:tc>
          <w:tcPr>
            <w:tcW w:w="34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抵押贷款</w:t>
            </w:r>
          </w:p>
        </w:tc>
        <w:tc>
          <w:tcPr>
            <w:tcW w:w="196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2,221,504.20</w:t>
            </w:r>
          </w:p>
        </w:tc>
        <w:tc>
          <w:tcPr>
            <w:tcW w:w="17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4"/>
              <w:jc w:val="right"/>
              <w:rPr>
                <w:rFonts w:ascii="华文细黑" w:hAnsi="华文细黑" w:cs="华文细黑" w:eastAsia="华文细黑" w:hint="default"/>
                <w:sz w:val="18"/>
                <w:szCs w:val="18"/>
              </w:rPr>
            </w:pPr>
            <w:r>
              <w:rPr>
                <w:rFonts w:ascii="华文细黑"/>
                <w:sz w:val="18"/>
              </w:rPr>
              <w:t>82,201.26</w:t>
            </w:r>
          </w:p>
        </w:tc>
        <w:tc>
          <w:tcPr>
            <w:tcW w:w="20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2,139,302.94</w:t>
            </w:r>
          </w:p>
        </w:tc>
      </w:tr>
      <w:tr>
        <w:trPr>
          <w:trHeight w:val="490" w:hRule="exact"/>
        </w:trPr>
        <w:tc>
          <w:tcPr>
            <w:tcW w:w="34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信用贷款</w:t>
            </w:r>
          </w:p>
        </w:tc>
        <w:tc>
          <w:tcPr>
            <w:tcW w:w="196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983,551,474.63</w:t>
            </w:r>
          </w:p>
        </w:tc>
        <w:tc>
          <w:tcPr>
            <w:tcW w:w="17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sz w:val="18"/>
              </w:rPr>
              <w:t>15,548,658.11</w:t>
            </w:r>
          </w:p>
        </w:tc>
        <w:tc>
          <w:tcPr>
            <w:tcW w:w="20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968,002,816.52</w:t>
            </w:r>
          </w:p>
        </w:tc>
      </w:tr>
      <w:tr>
        <w:trPr>
          <w:trHeight w:val="490" w:hRule="exact"/>
        </w:trPr>
        <w:tc>
          <w:tcPr>
            <w:tcW w:w="34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质押贷款</w:t>
            </w:r>
          </w:p>
        </w:tc>
        <w:tc>
          <w:tcPr>
            <w:tcW w:w="196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10,000,000.00</w:t>
            </w:r>
          </w:p>
        </w:tc>
        <w:tc>
          <w:tcPr>
            <w:tcW w:w="17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4"/>
              <w:jc w:val="right"/>
              <w:rPr>
                <w:rFonts w:ascii="华文细黑" w:hAnsi="华文细黑" w:cs="华文细黑" w:eastAsia="华文细黑" w:hint="default"/>
                <w:sz w:val="18"/>
                <w:szCs w:val="18"/>
              </w:rPr>
            </w:pPr>
            <w:r>
              <w:rPr>
                <w:rFonts w:ascii="华文细黑"/>
                <w:w w:val="95"/>
                <w:sz w:val="18"/>
              </w:rPr>
              <w:t>150,000.00</w:t>
            </w:r>
          </w:p>
        </w:tc>
        <w:tc>
          <w:tcPr>
            <w:tcW w:w="20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9,850,000.00</w:t>
            </w:r>
          </w:p>
        </w:tc>
      </w:tr>
      <w:tr>
        <w:trPr>
          <w:trHeight w:val="490" w:hRule="exact"/>
        </w:trPr>
        <w:tc>
          <w:tcPr>
            <w:tcW w:w="34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85"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计</w:t>
            </w:r>
          </w:p>
        </w:tc>
        <w:tc>
          <w:tcPr>
            <w:tcW w:w="196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b/>
                <w:w w:val="95"/>
                <w:sz w:val="18"/>
              </w:rPr>
              <w:t>1,168,836,234.43</w:t>
            </w:r>
            <w:r>
              <w:rPr>
                <w:rFonts w:ascii="华文细黑"/>
                <w:sz w:val="18"/>
              </w:rPr>
            </w:r>
          </w:p>
        </w:tc>
        <w:tc>
          <w:tcPr>
            <w:tcW w:w="17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4"/>
              <w:jc w:val="right"/>
              <w:rPr>
                <w:rFonts w:ascii="华文细黑" w:hAnsi="华文细黑" w:cs="华文细黑" w:eastAsia="华文细黑" w:hint="default"/>
                <w:sz w:val="18"/>
                <w:szCs w:val="18"/>
              </w:rPr>
            </w:pPr>
            <w:r>
              <w:rPr>
                <w:rFonts w:ascii="华文细黑"/>
                <w:b/>
                <w:w w:val="95"/>
                <w:sz w:val="18"/>
              </w:rPr>
              <w:t>22,651,808.20</w:t>
            </w:r>
            <w:r>
              <w:rPr>
                <w:rFonts w:ascii="华文细黑"/>
                <w:sz w:val="18"/>
              </w:rPr>
            </w:r>
          </w:p>
        </w:tc>
        <w:tc>
          <w:tcPr>
            <w:tcW w:w="20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b/>
                <w:w w:val="95"/>
                <w:sz w:val="18"/>
              </w:rPr>
              <w:t>1,146,184,426.23</w:t>
            </w:r>
            <w:r>
              <w:rPr>
                <w:rFonts w:ascii="华文细黑"/>
                <w:sz w:val="18"/>
              </w:rPr>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240" w:right="0"/>
        </w:sectPr>
      </w:pPr>
    </w:p>
    <w:p>
      <w:pPr>
        <w:spacing w:line="240" w:lineRule="auto" w:before="10"/>
        <w:rPr>
          <w:rFonts w:ascii="华文细黑" w:hAnsi="华文细黑" w:cs="华文细黑" w:eastAsia="华文细黑" w:hint="default"/>
          <w:sz w:val="27"/>
          <w:szCs w:val="27"/>
        </w:rPr>
      </w:pPr>
    </w:p>
    <w:p>
      <w:pPr>
        <w:pStyle w:val="BodyText"/>
        <w:spacing w:line="240" w:lineRule="auto" w:before="10"/>
        <w:ind w:left="620" w:right="1289"/>
        <w:jc w:val="left"/>
      </w:pPr>
      <w:r>
        <w:rPr/>
        <w:t>（</w:t>
      </w:r>
      <w:r>
        <w:rPr>
          <w:rFonts w:ascii="华文细黑" w:hAnsi="华文细黑" w:cs="华文细黑" w:eastAsia="华文细黑" w:hint="default"/>
        </w:rPr>
        <w:t>2</w:t>
      </w:r>
      <w:r>
        <w:rPr/>
        <w:t>）贷款按信用五级分类</w:t>
      </w:r>
    </w:p>
    <w:p>
      <w:pPr>
        <w:spacing w:line="240" w:lineRule="auto" w:before="5"/>
        <w:rPr>
          <w:rFonts w:ascii="华文细黑" w:hAnsi="华文细黑" w:cs="华文细黑" w:eastAsia="华文细黑" w:hint="default"/>
          <w:sz w:val="5"/>
          <w:szCs w:val="5"/>
        </w:rPr>
      </w:pPr>
    </w:p>
    <w:tbl>
      <w:tblPr>
        <w:tblW w:w="0" w:type="auto"/>
        <w:jc w:val="left"/>
        <w:tblInd w:w="161" w:type="dxa"/>
        <w:tblLayout w:type="fixed"/>
        <w:tblCellMar>
          <w:top w:w="0" w:type="dxa"/>
          <w:left w:w="0" w:type="dxa"/>
          <w:bottom w:w="0" w:type="dxa"/>
          <w:right w:w="0" w:type="dxa"/>
        </w:tblCellMar>
        <w:tblLook w:val="01E0"/>
      </w:tblPr>
      <w:tblGrid>
        <w:gridCol w:w="3452"/>
        <w:gridCol w:w="2033"/>
        <w:gridCol w:w="1844"/>
        <w:gridCol w:w="1764"/>
      </w:tblGrid>
      <w:tr>
        <w:trPr>
          <w:trHeight w:val="490" w:hRule="exact"/>
        </w:trPr>
        <w:tc>
          <w:tcPr>
            <w:tcW w:w="345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tabs>
                <w:tab w:pos="629" w:val="left" w:leader="none"/>
              </w:tabs>
              <w:spacing w:line="240" w:lineRule="auto" w:before="135"/>
              <w:ind w:left="179"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5641" w:type="dxa"/>
            <w:gridSpan w:val="3"/>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491" w:hRule="exact"/>
        </w:trPr>
        <w:tc>
          <w:tcPr>
            <w:tcW w:w="3452" w:type="dxa"/>
            <w:vMerge/>
            <w:tcBorders>
              <w:left w:val="single" w:sz="4" w:space="0" w:color="FFC000"/>
              <w:bottom w:val="single" w:sz="4" w:space="0" w:color="FFC000"/>
              <w:right w:val="single" w:sz="4" w:space="0" w:color="FFC000"/>
            </w:tcBorders>
            <w:shd w:val="clear" w:color="auto" w:fill="FFF8E6"/>
          </w:tcPr>
          <w:p>
            <w:pPr/>
          </w:p>
        </w:tc>
        <w:tc>
          <w:tcPr>
            <w:tcW w:w="203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65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18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5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损失准备</w:t>
            </w:r>
          </w:p>
        </w:tc>
        <w:tc>
          <w:tcPr>
            <w:tcW w:w="17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1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账面价值</w:t>
            </w:r>
          </w:p>
        </w:tc>
      </w:tr>
      <w:tr>
        <w:trPr>
          <w:trHeight w:val="490" w:hRule="exact"/>
        </w:trPr>
        <w:tc>
          <w:tcPr>
            <w:tcW w:w="34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正常</w:t>
            </w:r>
          </w:p>
        </w:tc>
        <w:tc>
          <w:tcPr>
            <w:tcW w:w="203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sz w:val="18"/>
              </w:rPr>
              <w:t>819,608,438.40</w:t>
            </w:r>
          </w:p>
        </w:tc>
        <w:tc>
          <w:tcPr>
            <w:tcW w:w="18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0"/>
              <w:jc w:val="right"/>
              <w:rPr>
                <w:rFonts w:ascii="华文细黑" w:hAnsi="华文细黑" w:cs="华文细黑" w:eastAsia="华文细黑" w:hint="default"/>
                <w:sz w:val="18"/>
                <w:szCs w:val="18"/>
              </w:rPr>
            </w:pPr>
            <w:r>
              <w:rPr>
                <w:rFonts w:ascii="华文细黑"/>
                <w:sz w:val="18"/>
              </w:rPr>
              <w:t>12,294,126.59</w:t>
            </w:r>
          </w:p>
        </w:tc>
        <w:tc>
          <w:tcPr>
            <w:tcW w:w="17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807,314,311.81</w:t>
            </w:r>
          </w:p>
        </w:tc>
      </w:tr>
      <w:tr>
        <w:trPr>
          <w:trHeight w:val="490" w:hRule="exact"/>
        </w:trPr>
        <w:tc>
          <w:tcPr>
            <w:tcW w:w="34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关注</w:t>
            </w:r>
          </w:p>
        </w:tc>
        <w:tc>
          <w:tcPr>
            <w:tcW w:w="203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sz w:val="18"/>
              </w:rPr>
              <w:t>93,071,222.83</w:t>
            </w:r>
          </w:p>
        </w:tc>
        <w:tc>
          <w:tcPr>
            <w:tcW w:w="18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sz w:val="18"/>
              </w:rPr>
              <w:t>2,792,136.68</w:t>
            </w:r>
          </w:p>
        </w:tc>
        <w:tc>
          <w:tcPr>
            <w:tcW w:w="17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90,279,086.15</w:t>
            </w:r>
          </w:p>
        </w:tc>
      </w:tr>
      <w:tr>
        <w:trPr>
          <w:trHeight w:val="490" w:hRule="exact"/>
        </w:trPr>
        <w:tc>
          <w:tcPr>
            <w:tcW w:w="34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次级</w:t>
            </w:r>
          </w:p>
        </w:tc>
        <w:tc>
          <w:tcPr>
            <w:tcW w:w="203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sz w:val="18"/>
              </w:rPr>
              <w:t>30,250,000.00</w:t>
            </w:r>
          </w:p>
        </w:tc>
        <w:tc>
          <w:tcPr>
            <w:tcW w:w="18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sz w:val="18"/>
              </w:rPr>
              <w:t>9,075,000.00</w:t>
            </w:r>
          </w:p>
        </w:tc>
        <w:tc>
          <w:tcPr>
            <w:tcW w:w="17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21,175,000.00</w:t>
            </w:r>
          </w:p>
        </w:tc>
      </w:tr>
      <w:tr>
        <w:trPr>
          <w:trHeight w:val="490" w:hRule="exact"/>
        </w:trPr>
        <w:tc>
          <w:tcPr>
            <w:tcW w:w="34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可疑</w:t>
            </w:r>
          </w:p>
        </w:tc>
        <w:tc>
          <w:tcPr>
            <w:tcW w:w="203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sz w:val="18"/>
              </w:rPr>
              <w:t>1,359,634.16</w:t>
            </w:r>
          </w:p>
        </w:tc>
        <w:tc>
          <w:tcPr>
            <w:tcW w:w="18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w w:val="95"/>
                <w:sz w:val="18"/>
              </w:rPr>
              <w:t>815,780.50</w:t>
            </w:r>
          </w:p>
        </w:tc>
        <w:tc>
          <w:tcPr>
            <w:tcW w:w="17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w w:val="95"/>
                <w:sz w:val="18"/>
              </w:rPr>
              <w:t>543,853.66</w:t>
            </w:r>
          </w:p>
        </w:tc>
      </w:tr>
      <w:tr>
        <w:trPr>
          <w:trHeight w:val="490" w:hRule="exact"/>
        </w:trPr>
        <w:tc>
          <w:tcPr>
            <w:tcW w:w="34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损失</w:t>
            </w:r>
          </w:p>
        </w:tc>
        <w:tc>
          <w:tcPr>
            <w:tcW w:w="203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sz w:val="18"/>
              </w:rPr>
              <w:t>7,268,320.00</w:t>
            </w:r>
          </w:p>
        </w:tc>
        <w:tc>
          <w:tcPr>
            <w:tcW w:w="18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sz w:val="18"/>
              </w:rPr>
              <w:t>7,268,320.00</w:t>
            </w:r>
          </w:p>
        </w:tc>
        <w:tc>
          <w:tcPr>
            <w:tcW w:w="17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34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89"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计</w:t>
            </w:r>
          </w:p>
        </w:tc>
        <w:tc>
          <w:tcPr>
            <w:tcW w:w="203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3"/>
              <w:jc w:val="right"/>
              <w:rPr>
                <w:rFonts w:ascii="华文细黑" w:hAnsi="华文细黑" w:cs="华文细黑" w:eastAsia="华文细黑" w:hint="default"/>
                <w:sz w:val="18"/>
                <w:szCs w:val="18"/>
              </w:rPr>
            </w:pPr>
            <w:r>
              <w:rPr>
                <w:rFonts w:ascii="华文细黑"/>
                <w:b/>
                <w:w w:val="95"/>
                <w:sz w:val="18"/>
              </w:rPr>
              <w:t>951,557,615.39</w:t>
            </w:r>
            <w:r>
              <w:rPr>
                <w:rFonts w:ascii="华文细黑"/>
                <w:sz w:val="18"/>
              </w:rPr>
            </w:r>
          </w:p>
        </w:tc>
        <w:tc>
          <w:tcPr>
            <w:tcW w:w="18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b/>
                <w:w w:val="95"/>
                <w:sz w:val="18"/>
              </w:rPr>
              <w:t>32,245,363.77</w:t>
            </w:r>
            <w:r>
              <w:rPr>
                <w:rFonts w:ascii="华文细黑"/>
                <w:sz w:val="18"/>
              </w:rPr>
            </w:r>
          </w:p>
        </w:tc>
        <w:tc>
          <w:tcPr>
            <w:tcW w:w="17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b/>
                <w:w w:val="95"/>
                <w:sz w:val="18"/>
              </w:rPr>
              <w:t>919,312,251.62</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20" w:right="1289"/>
        <w:jc w:val="left"/>
      </w:pPr>
      <w:r>
        <w:rPr/>
        <w:t>（续）</w:t>
      </w:r>
    </w:p>
    <w:p>
      <w:pPr>
        <w:spacing w:line="240" w:lineRule="auto" w:before="5"/>
        <w:rPr>
          <w:rFonts w:ascii="华文细黑" w:hAnsi="华文细黑" w:cs="华文细黑" w:eastAsia="华文细黑" w:hint="default"/>
          <w:sz w:val="5"/>
          <w:szCs w:val="5"/>
        </w:rPr>
      </w:pPr>
    </w:p>
    <w:tbl>
      <w:tblPr>
        <w:tblW w:w="0" w:type="auto"/>
        <w:jc w:val="left"/>
        <w:tblInd w:w="102" w:type="dxa"/>
        <w:tblLayout w:type="fixed"/>
        <w:tblCellMar>
          <w:top w:w="0" w:type="dxa"/>
          <w:left w:w="0" w:type="dxa"/>
          <w:bottom w:w="0" w:type="dxa"/>
          <w:right w:w="0" w:type="dxa"/>
        </w:tblCellMar>
        <w:tblLook w:val="01E0"/>
      </w:tblPr>
      <w:tblGrid>
        <w:gridCol w:w="3510"/>
        <w:gridCol w:w="1918"/>
        <w:gridCol w:w="1767"/>
        <w:gridCol w:w="2016"/>
      </w:tblGrid>
      <w:tr>
        <w:trPr>
          <w:trHeight w:val="490" w:hRule="exact"/>
        </w:trPr>
        <w:tc>
          <w:tcPr>
            <w:tcW w:w="351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tabs>
                <w:tab w:pos="627" w:val="left" w:leader="none"/>
              </w:tabs>
              <w:spacing w:line="240" w:lineRule="auto" w:before="135"/>
              <w:ind w:left="178"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5701" w:type="dxa"/>
            <w:gridSpan w:val="3"/>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0" w:hRule="exact"/>
        </w:trPr>
        <w:tc>
          <w:tcPr>
            <w:tcW w:w="3510" w:type="dxa"/>
            <w:vMerge/>
            <w:tcBorders>
              <w:left w:val="single" w:sz="4" w:space="0" w:color="FFC000"/>
              <w:bottom w:val="single" w:sz="4" w:space="0" w:color="FFC000"/>
              <w:right w:val="single" w:sz="4" w:space="0" w:color="FFC000"/>
            </w:tcBorders>
            <w:shd w:val="clear" w:color="auto" w:fill="FFF8E6"/>
          </w:tcPr>
          <w:p>
            <w:pPr/>
          </w:p>
        </w:tc>
        <w:tc>
          <w:tcPr>
            <w:tcW w:w="191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9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17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1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损失准备</w:t>
            </w:r>
          </w:p>
        </w:tc>
        <w:tc>
          <w:tcPr>
            <w:tcW w:w="20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64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账面价值</w:t>
            </w:r>
          </w:p>
        </w:tc>
      </w:tr>
      <w:tr>
        <w:trPr>
          <w:trHeight w:val="490" w:hRule="exact"/>
        </w:trPr>
        <w:tc>
          <w:tcPr>
            <w:tcW w:w="35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正常</w:t>
            </w:r>
          </w:p>
        </w:tc>
        <w:tc>
          <w:tcPr>
            <w:tcW w:w="19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pacing w:val="-1"/>
                <w:sz w:val="18"/>
              </w:rPr>
              <w:t>1,152,305,096.07</w:t>
            </w:r>
          </w:p>
        </w:tc>
        <w:tc>
          <w:tcPr>
            <w:tcW w:w="17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0"/>
              <w:jc w:val="right"/>
              <w:rPr>
                <w:rFonts w:ascii="华文细黑" w:hAnsi="华文细黑" w:cs="华文细黑" w:eastAsia="华文细黑" w:hint="default"/>
                <w:sz w:val="18"/>
                <w:szCs w:val="18"/>
              </w:rPr>
            </w:pPr>
            <w:r>
              <w:rPr>
                <w:rFonts w:ascii="华文细黑"/>
                <w:sz w:val="18"/>
              </w:rPr>
              <w:t>17,284,576.44</w:t>
            </w:r>
          </w:p>
        </w:tc>
        <w:tc>
          <w:tcPr>
            <w:tcW w:w="20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pacing w:val="-1"/>
                <w:sz w:val="18"/>
              </w:rPr>
              <w:t>1,135,020,519.63</w:t>
            </w:r>
          </w:p>
        </w:tc>
      </w:tr>
      <w:tr>
        <w:trPr>
          <w:trHeight w:val="490" w:hRule="exact"/>
        </w:trPr>
        <w:tc>
          <w:tcPr>
            <w:tcW w:w="35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关注</w:t>
            </w:r>
          </w:p>
        </w:tc>
        <w:tc>
          <w:tcPr>
            <w:tcW w:w="19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c>
          <w:tcPr>
            <w:tcW w:w="17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98"/>
              <w:jc w:val="right"/>
              <w:rPr>
                <w:rFonts w:ascii="华文细黑" w:hAnsi="华文细黑" w:cs="华文细黑" w:eastAsia="华文细黑" w:hint="default"/>
                <w:sz w:val="18"/>
                <w:szCs w:val="18"/>
              </w:rPr>
            </w:pPr>
            <w:r>
              <w:rPr>
                <w:rFonts w:ascii="华文细黑"/>
                <w:sz w:val="18"/>
              </w:rPr>
              <w:t>---</w:t>
            </w:r>
          </w:p>
        </w:tc>
        <w:tc>
          <w:tcPr>
            <w:tcW w:w="20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35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次级</w:t>
            </w:r>
          </w:p>
        </w:tc>
        <w:tc>
          <w:tcPr>
            <w:tcW w:w="19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15,171,504.20</w:t>
            </w:r>
          </w:p>
        </w:tc>
        <w:tc>
          <w:tcPr>
            <w:tcW w:w="17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99"/>
              <w:jc w:val="right"/>
              <w:rPr>
                <w:rFonts w:ascii="华文细黑" w:hAnsi="华文细黑" w:cs="华文细黑" w:eastAsia="华文细黑" w:hint="default"/>
                <w:sz w:val="18"/>
                <w:szCs w:val="18"/>
              </w:rPr>
            </w:pPr>
            <w:r>
              <w:rPr>
                <w:rFonts w:ascii="华文细黑"/>
                <w:sz w:val="18"/>
              </w:rPr>
              <w:t>4,551,451.26</w:t>
            </w:r>
          </w:p>
        </w:tc>
        <w:tc>
          <w:tcPr>
            <w:tcW w:w="20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10,620,052.94</w:t>
            </w:r>
          </w:p>
        </w:tc>
      </w:tr>
      <w:tr>
        <w:trPr>
          <w:trHeight w:val="490" w:hRule="exact"/>
        </w:trPr>
        <w:tc>
          <w:tcPr>
            <w:tcW w:w="35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可疑</w:t>
            </w:r>
          </w:p>
        </w:tc>
        <w:tc>
          <w:tcPr>
            <w:tcW w:w="19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0"/>
              <w:jc w:val="right"/>
              <w:rPr>
                <w:rFonts w:ascii="华文细黑" w:hAnsi="华文细黑" w:cs="华文细黑" w:eastAsia="华文细黑" w:hint="default"/>
                <w:sz w:val="18"/>
                <w:szCs w:val="18"/>
              </w:rPr>
            </w:pPr>
            <w:r>
              <w:rPr>
                <w:rFonts w:ascii="华文细黑"/>
                <w:sz w:val="18"/>
              </w:rPr>
              <w:t>1,359,634.16</w:t>
            </w:r>
          </w:p>
        </w:tc>
        <w:tc>
          <w:tcPr>
            <w:tcW w:w="17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0"/>
              <w:jc w:val="right"/>
              <w:rPr>
                <w:rFonts w:ascii="华文细黑" w:hAnsi="华文细黑" w:cs="华文细黑" w:eastAsia="华文细黑" w:hint="default"/>
                <w:sz w:val="18"/>
                <w:szCs w:val="18"/>
              </w:rPr>
            </w:pPr>
            <w:r>
              <w:rPr>
                <w:rFonts w:ascii="华文细黑"/>
                <w:w w:val="95"/>
                <w:sz w:val="18"/>
              </w:rPr>
              <w:t>815,780.50</w:t>
            </w:r>
          </w:p>
        </w:tc>
        <w:tc>
          <w:tcPr>
            <w:tcW w:w="20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w w:val="95"/>
                <w:sz w:val="18"/>
              </w:rPr>
              <w:t>543,853.66</w:t>
            </w:r>
          </w:p>
        </w:tc>
      </w:tr>
      <w:tr>
        <w:trPr>
          <w:trHeight w:val="490" w:hRule="exact"/>
        </w:trPr>
        <w:tc>
          <w:tcPr>
            <w:tcW w:w="35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损失</w:t>
            </w:r>
          </w:p>
        </w:tc>
        <w:tc>
          <w:tcPr>
            <w:tcW w:w="19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c>
          <w:tcPr>
            <w:tcW w:w="17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98"/>
              <w:jc w:val="right"/>
              <w:rPr>
                <w:rFonts w:ascii="华文细黑" w:hAnsi="华文细黑" w:cs="华文细黑" w:eastAsia="华文细黑" w:hint="default"/>
                <w:sz w:val="18"/>
                <w:szCs w:val="18"/>
              </w:rPr>
            </w:pPr>
            <w:r>
              <w:rPr>
                <w:rFonts w:ascii="华文细黑"/>
                <w:sz w:val="18"/>
              </w:rPr>
              <w:t>---</w:t>
            </w:r>
          </w:p>
        </w:tc>
        <w:tc>
          <w:tcPr>
            <w:tcW w:w="20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35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88"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计</w:t>
            </w:r>
          </w:p>
        </w:tc>
        <w:tc>
          <w:tcPr>
            <w:tcW w:w="19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b/>
                <w:w w:val="95"/>
                <w:sz w:val="18"/>
              </w:rPr>
              <w:t>1,168,836,234.43</w:t>
            </w:r>
            <w:r>
              <w:rPr>
                <w:rFonts w:ascii="华文细黑"/>
                <w:sz w:val="18"/>
              </w:rPr>
            </w:r>
          </w:p>
        </w:tc>
        <w:tc>
          <w:tcPr>
            <w:tcW w:w="17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b/>
                <w:w w:val="95"/>
                <w:sz w:val="18"/>
              </w:rPr>
              <w:t>22,651,808.20</w:t>
            </w:r>
            <w:r>
              <w:rPr>
                <w:rFonts w:ascii="华文细黑"/>
                <w:sz w:val="18"/>
              </w:rPr>
            </w:r>
          </w:p>
        </w:tc>
        <w:tc>
          <w:tcPr>
            <w:tcW w:w="20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b/>
                <w:w w:val="95"/>
                <w:sz w:val="18"/>
              </w:rPr>
              <w:t>1,146,184,426.23</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20" w:right="1289"/>
        <w:jc w:val="left"/>
      </w:pPr>
      <w:r>
        <w:rPr/>
        <w:t>（</w:t>
      </w:r>
      <w:r>
        <w:rPr>
          <w:rFonts w:ascii="华文细黑" w:hAnsi="华文细黑" w:cs="华文细黑" w:eastAsia="华文细黑" w:hint="default"/>
        </w:rPr>
        <w:t>3</w:t>
      </w:r>
      <w:r>
        <w:rPr/>
        <w:t>）贷款减值准备变动情况</w:t>
      </w:r>
    </w:p>
    <w:p>
      <w:pPr>
        <w:spacing w:line="240" w:lineRule="auto" w:before="5"/>
        <w:rPr>
          <w:rFonts w:ascii="华文细黑" w:hAnsi="华文细黑" w:cs="华文细黑" w:eastAsia="华文细黑" w:hint="default"/>
          <w:sz w:val="5"/>
          <w:szCs w:val="5"/>
        </w:rPr>
      </w:pPr>
    </w:p>
    <w:tbl>
      <w:tblPr>
        <w:tblW w:w="0" w:type="auto"/>
        <w:jc w:val="left"/>
        <w:tblInd w:w="125" w:type="dxa"/>
        <w:tblLayout w:type="fixed"/>
        <w:tblCellMar>
          <w:top w:w="0" w:type="dxa"/>
          <w:left w:w="0" w:type="dxa"/>
          <w:bottom w:w="0" w:type="dxa"/>
          <w:right w:w="0" w:type="dxa"/>
        </w:tblCellMar>
        <w:tblLook w:val="01E0"/>
      </w:tblPr>
      <w:tblGrid>
        <w:gridCol w:w="1362"/>
        <w:gridCol w:w="1596"/>
        <w:gridCol w:w="1481"/>
        <w:gridCol w:w="648"/>
        <w:gridCol w:w="1295"/>
        <w:gridCol w:w="1277"/>
        <w:gridCol w:w="1519"/>
      </w:tblGrid>
      <w:tr>
        <w:trPr>
          <w:trHeight w:val="250" w:hRule="exact"/>
        </w:trPr>
        <w:tc>
          <w:tcPr>
            <w:tcW w:w="1362" w:type="dxa"/>
            <w:tcBorders>
              <w:top w:val="single" w:sz="4" w:space="0" w:color="FFC000"/>
              <w:left w:val="single" w:sz="4" w:space="0" w:color="FFC000"/>
              <w:bottom w:val="nil" w:sz="6" w:space="0" w:color="auto"/>
              <w:right w:val="single" w:sz="4" w:space="0" w:color="FFC000"/>
            </w:tcBorders>
            <w:shd w:val="clear" w:color="auto" w:fill="FFF8E6"/>
          </w:tcPr>
          <w:p>
            <w:pPr/>
          </w:p>
        </w:tc>
        <w:tc>
          <w:tcPr>
            <w:tcW w:w="1596" w:type="dxa"/>
            <w:tcBorders>
              <w:top w:val="single" w:sz="4" w:space="0" w:color="FFC000"/>
              <w:left w:val="single" w:sz="4" w:space="0" w:color="FFC000"/>
              <w:bottom w:val="nil" w:sz="6" w:space="0" w:color="auto"/>
              <w:right w:val="single" w:sz="4" w:space="0" w:color="FFC000"/>
            </w:tcBorders>
            <w:shd w:val="clear" w:color="auto" w:fill="FFF8E6"/>
          </w:tcPr>
          <w:p>
            <w:pPr/>
          </w:p>
        </w:tc>
        <w:tc>
          <w:tcPr>
            <w:tcW w:w="2129"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51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本年增加金额</w:t>
            </w:r>
          </w:p>
        </w:tc>
        <w:tc>
          <w:tcPr>
            <w:tcW w:w="2572"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73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本年减少金额</w:t>
            </w:r>
          </w:p>
        </w:tc>
        <w:tc>
          <w:tcPr>
            <w:tcW w:w="151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39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240" w:hRule="exact"/>
        </w:trPr>
        <w:tc>
          <w:tcPr>
            <w:tcW w:w="1362" w:type="dxa"/>
            <w:vMerge w:val="restart"/>
            <w:tcBorders>
              <w:top w:val="nil" w:sz="6" w:space="0" w:color="auto"/>
              <w:left w:val="single" w:sz="4" w:space="0" w:color="FFC000"/>
              <w:right w:val="single" w:sz="4" w:space="0" w:color="FFC000"/>
            </w:tcBorders>
            <w:shd w:val="clear" w:color="auto" w:fill="FFF8E6"/>
          </w:tcPr>
          <w:p>
            <w:pPr>
              <w:pStyle w:val="TableParagraph"/>
              <w:tabs>
                <w:tab w:pos="850" w:val="left" w:leader="none"/>
              </w:tabs>
              <w:spacing w:line="240" w:lineRule="auto" w:before="144"/>
              <w:ind w:left="3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1596"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43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2129" w:type="dxa"/>
            <w:gridSpan w:val="2"/>
            <w:vMerge/>
            <w:tcBorders>
              <w:left w:val="single" w:sz="4" w:space="0" w:color="FFC000"/>
              <w:bottom w:val="single" w:sz="4" w:space="0" w:color="FFC000"/>
              <w:right w:val="single" w:sz="4" w:space="0" w:color="FFC000"/>
            </w:tcBorders>
            <w:shd w:val="clear" w:color="auto" w:fill="FFF8E6"/>
          </w:tcPr>
          <w:p>
            <w:pPr/>
          </w:p>
        </w:tc>
        <w:tc>
          <w:tcPr>
            <w:tcW w:w="2572" w:type="dxa"/>
            <w:gridSpan w:val="2"/>
            <w:vMerge/>
            <w:tcBorders>
              <w:left w:val="single" w:sz="4" w:space="0" w:color="FFC000"/>
              <w:bottom w:val="single" w:sz="4" w:space="0" w:color="FFC000"/>
              <w:right w:val="single" w:sz="4" w:space="0" w:color="FFC000"/>
            </w:tcBorders>
            <w:shd w:val="clear" w:color="auto" w:fill="FFF8E6"/>
          </w:tcPr>
          <w:p>
            <w:pPr/>
          </w:p>
        </w:tc>
        <w:tc>
          <w:tcPr>
            <w:tcW w:w="1519" w:type="dxa"/>
            <w:vMerge/>
            <w:tcBorders>
              <w:left w:val="single" w:sz="4" w:space="0" w:color="FFC000"/>
              <w:bottom w:val="single" w:sz="4" w:space="0" w:color="FFC000"/>
              <w:right w:val="single" w:sz="4" w:space="0" w:color="FFC000"/>
            </w:tcBorders>
            <w:shd w:val="clear" w:color="auto" w:fill="FFF8E6"/>
          </w:tcPr>
          <w:p>
            <w:pPr/>
          </w:p>
        </w:tc>
      </w:tr>
      <w:tr>
        <w:trPr>
          <w:trHeight w:val="240" w:hRule="exact"/>
        </w:trPr>
        <w:tc>
          <w:tcPr>
            <w:tcW w:w="1362" w:type="dxa"/>
            <w:vMerge/>
            <w:tcBorders>
              <w:left w:val="single" w:sz="4" w:space="0" w:color="FFC000"/>
              <w:bottom w:val="nil" w:sz="6" w:space="0" w:color="auto"/>
              <w:right w:val="single" w:sz="4" w:space="0" w:color="FFC000"/>
            </w:tcBorders>
            <w:shd w:val="clear" w:color="auto" w:fill="FFF8E6"/>
          </w:tcPr>
          <w:p>
            <w:pPr/>
          </w:p>
        </w:tc>
        <w:tc>
          <w:tcPr>
            <w:tcW w:w="1596" w:type="dxa"/>
            <w:vMerge/>
            <w:tcBorders>
              <w:left w:val="single" w:sz="4" w:space="0" w:color="FFC000"/>
              <w:bottom w:val="nil" w:sz="6" w:space="0" w:color="auto"/>
              <w:right w:val="single" w:sz="4" w:space="0" w:color="FFC000"/>
            </w:tcBorders>
            <w:shd w:val="clear" w:color="auto" w:fill="FFF8E6"/>
          </w:tcPr>
          <w:p>
            <w:pPr/>
          </w:p>
        </w:tc>
        <w:tc>
          <w:tcPr>
            <w:tcW w:w="1481"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right="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计提</w:t>
            </w:r>
          </w:p>
        </w:tc>
        <w:tc>
          <w:tcPr>
            <w:tcW w:w="64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13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1295"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right="5"/>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转回</w:t>
            </w:r>
          </w:p>
        </w:tc>
        <w:tc>
          <w:tcPr>
            <w:tcW w:w="1277"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right="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1519" w:type="dxa"/>
            <w:vMerge w:val="restart"/>
            <w:tcBorders>
              <w:top w:val="single" w:sz="4" w:space="0" w:color="FFC000"/>
              <w:left w:val="single" w:sz="4" w:space="0" w:color="FFC000"/>
              <w:right w:val="single" w:sz="4" w:space="0" w:color="FFC000"/>
            </w:tcBorders>
            <w:shd w:val="clear" w:color="auto" w:fill="FFF8E6"/>
          </w:tcPr>
          <w:p>
            <w:pPr/>
          </w:p>
        </w:tc>
      </w:tr>
      <w:tr>
        <w:trPr>
          <w:trHeight w:val="250" w:hRule="exact"/>
        </w:trPr>
        <w:tc>
          <w:tcPr>
            <w:tcW w:w="1362" w:type="dxa"/>
            <w:tcBorders>
              <w:top w:val="nil" w:sz="6" w:space="0" w:color="auto"/>
              <w:left w:val="single" w:sz="4" w:space="0" w:color="FFC000"/>
              <w:bottom w:val="single" w:sz="4" w:space="0" w:color="FFC000"/>
              <w:right w:val="single" w:sz="4" w:space="0" w:color="FFC000"/>
            </w:tcBorders>
            <w:shd w:val="clear" w:color="auto" w:fill="FFF8E6"/>
          </w:tcPr>
          <w:p>
            <w:pPr/>
          </w:p>
        </w:tc>
        <w:tc>
          <w:tcPr>
            <w:tcW w:w="1596" w:type="dxa"/>
            <w:tcBorders>
              <w:top w:val="nil" w:sz="6" w:space="0" w:color="auto"/>
              <w:left w:val="single" w:sz="4" w:space="0" w:color="FFC000"/>
              <w:bottom w:val="single" w:sz="4" w:space="0" w:color="FFC000"/>
              <w:right w:val="single" w:sz="4" w:space="0" w:color="FFC000"/>
            </w:tcBorders>
            <w:shd w:val="clear" w:color="auto" w:fill="FFF8E6"/>
          </w:tcPr>
          <w:p>
            <w:pPr/>
          </w:p>
        </w:tc>
        <w:tc>
          <w:tcPr>
            <w:tcW w:w="1481" w:type="dxa"/>
            <w:vMerge/>
            <w:tcBorders>
              <w:left w:val="single" w:sz="4" w:space="0" w:color="FFC000"/>
              <w:bottom w:val="single" w:sz="4" w:space="0" w:color="FFC000"/>
              <w:right w:val="single" w:sz="4" w:space="0" w:color="FFC000"/>
            </w:tcBorders>
            <w:shd w:val="clear" w:color="auto" w:fill="FFF8E6"/>
          </w:tcPr>
          <w:p>
            <w:pPr/>
          </w:p>
        </w:tc>
        <w:tc>
          <w:tcPr>
            <w:tcW w:w="648" w:type="dxa"/>
            <w:vMerge/>
            <w:tcBorders>
              <w:left w:val="single" w:sz="4" w:space="0" w:color="FFC000"/>
              <w:bottom w:val="single" w:sz="4" w:space="0" w:color="FFC000"/>
              <w:right w:val="single" w:sz="4" w:space="0" w:color="FFC000"/>
            </w:tcBorders>
            <w:shd w:val="clear" w:color="auto" w:fill="FFF8E6"/>
          </w:tcPr>
          <w:p>
            <w:pPr/>
          </w:p>
        </w:tc>
        <w:tc>
          <w:tcPr>
            <w:tcW w:w="1295" w:type="dxa"/>
            <w:vMerge/>
            <w:tcBorders>
              <w:left w:val="single" w:sz="4" w:space="0" w:color="FFC000"/>
              <w:bottom w:val="single" w:sz="4" w:space="0" w:color="FFC000"/>
              <w:right w:val="single" w:sz="4" w:space="0" w:color="FFC000"/>
            </w:tcBorders>
            <w:shd w:val="clear" w:color="auto" w:fill="FFF8E6"/>
          </w:tcPr>
          <w:p>
            <w:pPr/>
          </w:p>
        </w:tc>
        <w:tc>
          <w:tcPr>
            <w:tcW w:w="1277" w:type="dxa"/>
            <w:vMerge/>
            <w:tcBorders>
              <w:left w:val="single" w:sz="4" w:space="0" w:color="FFC000"/>
              <w:bottom w:val="single" w:sz="4" w:space="0" w:color="FFC000"/>
              <w:right w:val="single" w:sz="4" w:space="0" w:color="FFC000"/>
            </w:tcBorders>
            <w:shd w:val="clear" w:color="auto" w:fill="FFF8E6"/>
          </w:tcPr>
          <w:p>
            <w:pPr/>
          </w:p>
        </w:tc>
        <w:tc>
          <w:tcPr>
            <w:tcW w:w="1519" w:type="dxa"/>
            <w:vMerge/>
            <w:tcBorders>
              <w:left w:val="single" w:sz="4" w:space="0" w:color="FFC000"/>
              <w:bottom w:val="single" w:sz="4" w:space="0" w:color="FFC000"/>
              <w:right w:val="single" w:sz="4" w:space="0" w:color="FFC000"/>
            </w:tcBorders>
            <w:shd w:val="clear" w:color="auto" w:fill="FFF8E6"/>
          </w:tcPr>
          <w:p>
            <w:pPr/>
          </w:p>
        </w:tc>
      </w:tr>
      <w:tr>
        <w:trPr>
          <w:trHeight w:val="491" w:hRule="exact"/>
        </w:trPr>
        <w:tc>
          <w:tcPr>
            <w:tcW w:w="13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正常</w:t>
            </w:r>
          </w:p>
        </w:tc>
        <w:tc>
          <w:tcPr>
            <w:tcW w:w="1596"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17,284,576.44</w:t>
            </w:r>
          </w:p>
        </w:tc>
        <w:tc>
          <w:tcPr>
            <w:tcW w:w="148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6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29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4,401,066.16</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589,383.69</w:t>
            </w:r>
          </w:p>
        </w:tc>
        <w:tc>
          <w:tcPr>
            <w:tcW w:w="15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12,294,126.59</w:t>
            </w:r>
          </w:p>
        </w:tc>
      </w:tr>
      <w:tr>
        <w:trPr>
          <w:trHeight w:val="490" w:hRule="exact"/>
        </w:trPr>
        <w:tc>
          <w:tcPr>
            <w:tcW w:w="13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关注</w:t>
            </w:r>
          </w:p>
        </w:tc>
        <w:tc>
          <w:tcPr>
            <w:tcW w:w="1596"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48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2,792,136.68</w:t>
            </w:r>
          </w:p>
        </w:tc>
        <w:tc>
          <w:tcPr>
            <w:tcW w:w="6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29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5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2,792,136.68</w:t>
            </w:r>
          </w:p>
        </w:tc>
      </w:tr>
      <w:tr>
        <w:trPr>
          <w:trHeight w:val="490" w:hRule="exact"/>
        </w:trPr>
        <w:tc>
          <w:tcPr>
            <w:tcW w:w="13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次级</w:t>
            </w:r>
          </w:p>
        </w:tc>
        <w:tc>
          <w:tcPr>
            <w:tcW w:w="1596"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4,551,451.26</w:t>
            </w:r>
          </w:p>
        </w:tc>
        <w:tc>
          <w:tcPr>
            <w:tcW w:w="148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4,523,548.74</w:t>
            </w:r>
          </w:p>
        </w:tc>
        <w:tc>
          <w:tcPr>
            <w:tcW w:w="6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29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5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9,075,000.00</w:t>
            </w:r>
          </w:p>
        </w:tc>
      </w:tr>
      <w:tr>
        <w:trPr>
          <w:trHeight w:val="491" w:hRule="exact"/>
        </w:trPr>
        <w:tc>
          <w:tcPr>
            <w:tcW w:w="13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可疑</w:t>
            </w:r>
          </w:p>
        </w:tc>
        <w:tc>
          <w:tcPr>
            <w:tcW w:w="1596"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w w:val="95"/>
                <w:sz w:val="18"/>
              </w:rPr>
              <w:t>815,780.50</w:t>
            </w:r>
          </w:p>
        </w:tc>
        <w:tc>
          <w:tcPr>
            <w:tcW w:w="148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6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29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15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815,780.50</w:t>
            </w:r>
          </w:p>
        </w:tc>
      </w:tr>
      <w:tr>
        <w:trPr>
          <w:trHeight w:val="490" w:hRule="exact"/>
        </w:trPr>
        <w:tc>
          <w:tcPr>
            <w:tcW w:w="13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损失</w:t>
            </w:r>
          </w:p>
        </w:tc>
        <w:tc>
          <w:tcPr>
            <w:tcW w:w="1596"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48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7,268,320.00</w:t>
            </w:r>
          </w:p>
        </w:tc>
        <w:tc>
          <w:tcPr>
            <w:tcW w:w="6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29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5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7,268,320.00</w:t>
            </w:r>
          </w:p>
        </w:tc>
      </w:tr>
      <w:tr>
        <w:trPr>
          <w:trHeight w:val="491" w:hRule="exact"/>
        </w:trPr>
        <w:tc>
          <w:tcPr>
            <w:tcW w:w="13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854" w:val="left" w:leader="none"/>
              </w:tabs>
              <w:spacing w:line="240" w:lineRule="auto" w:before="144"/>
              <w:ind w:left="31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596"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22,651,808.20</w:t>
            </w:r>
            <w:r>
              <w:rPr>
                <w:rFonts w:ascii="华文细黑"/>
                <w:sz w:val="18"/>
              </w:rPr>
            </w:r>
          </w:p>
        </w:tc>
        <w:tc>
          <w:tcPr>
            <w:tcW w:w="148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b/>
                <w:w w:val="95"/>
                <w:sz w:val="18"/>
              </w:rPr>
              <w:t>14,584,005.42</w:t>
            </w:r>
            <w:r>
              <w:rPr>
                <w:rFonts w:ascii="华文细黑"/>
                <w:sz w:val="18"/>
              </w:rPr>
            </w:r>
          </w:p>
        </w:tc>
        <w:tc>
          <w:tcPr>
            <w:tcW w:w="6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29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4,401,066.16</w:t>
            </w:r>
            <w:r>
              <w:rPr>
                <w:rFonts w:ascii="华文细黑"/>
                <w:sz w:val="18"/>
              </w:rPr>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589,383.69</w:t>
            </w:r>
            <w:r>
              <w:rPr>
                <w:rFonts w:ascii="华文细黑"/>
                <w:sz w:val="18"/>
              </w:rPr>
            </w:r>
          </w:p>
        </w:tc>
        <w:tc>
          <w:tcPr>
            <w:tcW w:w="15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32,245,363.77</w:t>
            </w:r>
            <w:r>
              <w:rPr>
                <w:rFonts w:ascii="华文细黑"/>
                <w:sz w:val="18"/>
              </w:rPr>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240" w:right="0"/>
        </w:sectPr>
      </w:pPr>
    </w:p>
    <w:p>
      <w:pPr>
        <w:spacing w:line="240" w:lineRule="auto" w:before="9"/>
        <w:rPr>
          <w:rFonts w:ascii="华文细黑" w:hAnsi="华文细黑" w:cs="华文细黑" w:eastAsia="华文细黑" w:hint="default"/>
          <w:sz w:val="27"/>
          <w:szCs w:val="27"/>
        </w:rPr>
      </w:pPr>
    </w:p>
    <w:p>
      <w:pPr>
        <w:pStyle w:val="Heading5"/>
        <w:spacing w:line="240" w:lineRule="auto"/>
        <w:ind w:left="1520" w:right="0"/>
        <w:jc w:val="left"/>
        <w:rPr>
          <w:b w:val="0"/>
          <w:bCs w:val="0"/>
        </w:rPr>
      </w:pPr>
      <w:bookmarkStart w:name="9、可供出售金融资产" w:id="271"/>
      <w:bookmarkEnd w:id="271"/>
      <w:r>
        <w:rPr>
          <w:b w:val="0"/>
          <w:bCs w:val="0"/>
        </w:rPr>
      </w:r>
      <w:r>
        <w:rPr>
          <w:rFonts w:ascii="华文细黑" w:hAnsi="华文细黑" w:cs="华文细黑" w:eastAsia="华文细黑" w:hint="default"/>
        </w:rPr>
        <w:t>9</w:t>
      </w:r>
      <w:r>
        <w:rPr/>
        <w:t>、可供出售金融资产</w:t>
      </w:r>
      <w:r>
        <w:rPr>
          <w:b w:val="0"/>
          <w:bCs w:val="0"/>
        </w:rPr>
      </w:r>
    </w:p>
    <w:p>
      <w:pPr>
        <w:pStyle w:val="BodyText"/>
        <w:spacing w:line="240" w:lineRule="auto" w:before="144"/>
        <w:ind w:left="1520" w:right="0"/>
        <w:jc w:val="left"/>
      </w:pPr>
      <w:r>
        <w:rPr/>
        <w:t>（</w:t>
      </w:r>
      <w:r>
        <w:rPr>
          <w:rFonts w:ascii="华文细黑" w:hAnsi="华文细黑" w:cs="华文细黑" w:eastAsia="华文细黑" w:hint="default"/>
        </w:rPr>
        <w:t>1</w:t>
      </w:r>
      <w:r>
        <w:rPr/>
        <w:t>）可供出售金融资产情况</w:t>
      </w:r>
    </w:p>
    <w:p>
      <w:pPr>
        <w:spacing w:line="240" w:lineRule="auto" w:before="5"/>
        <w:rPr>
          <w:rFonts w:ascii="华文细黑" w:hAnsi="华文细黑" w:cs="华文细黑" w:eastAsia="华文细黑" w:hint="default"/>
          <w:sz w:val="5"/>
          <w:szCs w:val="5"/>
        </w:rPr>
      </w:pPr>
    </w:p>
    <w:tbl>
      <w:tblPr>
        <w:tblW w:w="0" w:type="auto"/>
        <w:jc w:val="left"/>
        <w:tblInd w:w="810" w:type="dxa"/>
        <w:tblLayout w:type="fixed"/>
        <w:tblCellMar>
          <w:top w:w="0" w:type="dxa"/>
          <w:left w:w="0" w:type="dxa"/>
          <w:bottom w:w="0" w:type="dxa"/>
          <w:right w:w="0" w:type="dxa"/>
        </w:tblCellMar>
        <w:tblLook w:val="01E0"/>
      </w:tblPr>
      <w:tblGrid>
        <w:gridCol w:w="2117"/>
        <w:gridCol w:w="1429"/>
        <w:gridCol w:w="1418"/>
        <w:gridCol w:w="1417"/>
        <w:gridCol w:w="1419"/>
        <w:gridCol w:w="850"/>
        <w:gridCol w:w="1418"/>
      </w:tblGrid>
      <w:tr>
        <w:trPr>
          <w:trHeight w:val="251" w:hRule="exact"/>
        </w:trPr>
        <w:tc>
          <w:tcPr>
            <w:tcW w:w="2117" w:type="dxa"/>
            <w:tcBorders>
              <w:top w:val="single" w:sz="4" w:space="0" w:color="FFC000"/>
              <w:left w:val="single" w:sz="4" w:space="0" w:color="FFC000"/>
              <w:bottom w:val="nil" w:sz="6" w:space="0" w:color="auto"/>
              <w:right w:val="single" w:sz="4" w:space="0" w:color="FFC000"/>
            </w:tcBorders>
            <w:shd w:val="clear" w:color="auto" w:fill="FFF8E6"/>
          </w:tcPr>
          <w:p>
            <w:pPr/>
          </w:p>
        </w:tc>
        <w:tc>
          <w:tcPr>
            <w:tcW w:w="4263" w:type="dxa"/>
            <w:gridSpan w:val="3"/>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10"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3687" w:type="dxa"/>
            <w:gridSpan w:val="3"/>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236" w:hRule="exact"/>
        </w:trPr>
        <w:tc>
          <w:tcPr>
            <w:tcW w:w="2117"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5"/>
              <w:ind w:left="1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4263" w:type="dxa"/>
            <w:gridSpan w:val="3"/>
            <w:vMerge/>
            <w:tcBorders>
              <w:left w:val="single" w:sz="4" w:space="0" w:color="FFC000"/>
              <w:bottom w:val="single" w:sz="4" w:space="0" w:color="FFC000"/>
              <w:right w:val="single" w:sz="4" w:space="0" w:color="FFC000"/>
            </w:tcBorders>
            <w:shd w:val="clear" w:color="auto" w:fill="FFF8E6"/>
          </w:tcPr>
          <w:p>
            <w:pPr/>
          </w:p>
        </w:tc>
        <w:tc>
          <w:tcPr>
            <w:tcW w:w="3687" w:type="dxa"/>
            <w:gridSpan w:val="3"/>
            <w:vMerge/>
            <w:tcBorders>
              <w:left w:val="single" w:sz="4" w:space="0" w:color="FFC000"/>
              <w:bottom w:val="single" w:sz="4" w:space="0" w:color="FFC000"/>
              <w:right w:val="single" w:sz="4" w:space="0" w:color="FFC000"/>
            </w:tcBorders>
            <w:shd w:val="clear" w:color="auto" w:fill="FFF8E6"/>
          </w:tcPr>
          <w:p>
            <w:pPr/>
          </w:p>
        </w:tc>
      </w:tr>
      <w:tr>
        <w:trPr>
          <w:trHeight w:val="245" w:hRule="exact"/>
        </w:trPr>
        <w:tc>
          <w:tcPr>
            <w:tcW w:w="2117" w:type="dxa"/>
            <w:vMerge/>
            <w:tcBorders>
              <w:left w:val="single" w:sz="4" w:space="0" w:color="FFC000"/>
              <w:bottom w:val="nil" w:sz="6" w:space="0" w:color="auto"/>
              <w:right w:val="single" w:sz="4" w:space="0" w:color="FFC000"/>
            </w:tcBorders>
            <w:shd w:val="clear" w:color="auto" w:fill="FFF8E6"/>
          </w:tcPr>
          <w:p>
            <w:pPr/>
          </w:p>
        </w:tc>
        <w:tc>
          <w:tcPr>
            <w:tcW w:w="142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35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141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34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减值准备</w:t>
            </w:r>
          </w:p>
        </w:tc>
        <w:tc>
          <w:tcPr>
            <w:tcW w:w="1417"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34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账面价值</w:t>
            </w:r>
          </w:p>
        </w:tc>
        <w:tc>
          <w:tcPr>
            <w:tcW w:w="141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34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85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5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减值准备</w:t>
            </w:r>
          </w:p>
        </w:tc>
        <w:tc>
          <w:tcPr>
            <w:tcW w:w="141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34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账面价值</w:t>
            </w:r>
          </w:p>
        </w:tc>
      </w:tr>
      <w:tr>
        <w:trPr>
          <w:trHeight w:val="250" w:hRule="exact"/>
        </w:trPr>
        <w:tc>
          <w:tcPr>
            <w:tcW w:w="2117" w:type="dxa"/>
            <w:tcBorders>
              <w:top w:val="nil" w:sz="6" w:space="0" w:color="auto"/>
              <w:left w:val="single" w:sz="4" w:space="0" w:color="FFC000"/>
              <w:bottom w:val="single" w:sz="4" w:space="0" w:color="FFC000"/>
              <w:right w:val="single" w:sz="4" w:space="0" w:color="FFC000"/>
            </w:tcBorders>
            <w:shd w:val="clear" w:color="auto" w:fill="FFF8E6"/>
          </w:tcPr>
          <w:p>
            <w:pPr/>
          </w:p>
        </w:tc>
        <w:tc>
          <w:tcPr>
            <w:tcW w:w="1429" w:type="dxa"/>
            <w:vMerge/>
            <w:tcBorders>
              <w:left w:val="single" w:sz="4" w:space="0" w:color="FFC000"/>
              <w:bottom w:val="single" w:sz="4" w:space="0" w:color="FFC000"/>
              <w:right w:val="single" w:sz="4" w:space="0" w:color="FFC000"/>
            </w:tcBorders>
            <w:shd w:val="clear" w:color="auto" w:fill="FFF8E6"/>
          </w:tcPr>
          <w:p>
            <w:pPr/>
          </w:p>
        </w:tc>
        <w:tc>
          <w:tcPr>
            <w:tcW w:w="1418" w:type="dxa"/>
            <w:vMerge/>
            <w:tcBorders>
              <w:left w:val="single" w:sz="4" w:space="0" w:color="FFC000"/>
              <w:bottom w:val="single" w:sz="4" w:space="0" w:color="FFC000"/>
              <w:right w:val="single" w:sz="4" w:space="0" w:color="FFC000"/>
            </w:tcBorders>
            <w:shd w:val="clear" w:color="auto" w:fill="FFF8E6"/>
          </w:tcPr>
          <w:p>
            <w:pPr/>
          </w:p>
        </w:tc>
        <w:tc>
          <w:tcPr>
            <w:tcW w:w="1417" w:type="dxa"/>
            <w:vMerge/>
            <w:tcBorders>
              <w:left w:val="single" w:sz="4" w:space="0" w:color="FFC000"/>
              <w:bottom w:val="single" w:sz="4" w:space="0" w:color="FFC000"/>
              <w:right w:val="single" w:sz="4" w:space="0" w:color="FFC000"/>
            </w:tcBorders>
            <w:shd w:val="clear" w:color="auto" w:fill="FFF8E6"/>
          </w:tcPr>
          <w:p>
            <w:pPr/>
          </w:p>
        </w:tc>
        <w:tc>
          <w:tcPr>
            <w:tcW w:w="1419" w:type="dxa"/>
            <w:vMerge/>
            <w:tcBorders>
              <w:left w:val="single" w:sz="4" w:space="0" w:color="FFC000"/>
              <w:bottom w:val="single" w:sz="4" w:space="0" w:color="FFC000"/>
              <w:right w:val="single" w:sz="4" w:space="0" w:color="FFC000"/>
            </w:tcBorders>
            <w:shd w:val="clear" w:color="auto" w:fill="FFF8E6"/>
          </w:tcPr>
          <w:p>
            <w:pPr/>
          </w:p>
        </w:tc>
        <w:tc>
          <w:tcPr>
            <w:tcW w:w="850" w:type="dxa"/>
            <w:vMerge/>
            <w:tcBorders>
              <w:left w:val="single" w:sz="4" w:space="0" w:color="FFC000"/>
              <w:bottom w:val="single" w:sz="4" w:space="0" w:color="FFC000"/>
              <w:right w:val="single" w:sz="4" w:space="0" w:color="FFC000"/>
            </w:tcBorders>
            <w:shd w:val="clear" w:color="auto" w:fill="FFF8E6"/>
          </w:tcPr>
          <w:p>
            <w:pPr/>
          </w:p>
        </w:tc>
        <w:tc>
          <w:tcPr>
            <w:tcW w:w="1418"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21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可供出售债务工具</w:t>
            </w:r>
          </w:p>
        </w:tc>
        <w:tc>
          <w:tcPr>
            <w:tcW w:w="142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250,773,000.00</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250,773,000.00</w:t>
            </w:r>
          </w:p>
        </w:tc>
      </w:tr>
      <w:tr>
        <w:trPr>
          <w:trHeight w:val="491" w:hRule="exact"/>
        </w:trPr>
        <w:tc>
          <w:tcPr>
            <w:tcW w:w="21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可供出售权益工具</w:t>
            </w:r>
          </w:p>
        </w:tc>
        <w:tc>
          <w:tcPr>
            <w:tcW w:w="142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630,069,599.18</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413,408,644.20</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216,660,954.98</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587,591,981.27</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587,591,981.27</w:t>
            </w:r>
          </w:p>
        </w:tc>
      </w:tr>
      <w:tr>
        <w:trPr>
          <w:trHeight w:val="490" w:hRule="exact"/>
        </w:trPr>
        <w:tc>
          <w:tcPr>
            <w:tcW w:w="21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其中：按公允价值计量的</w:t>
            </w:r>
          </w:p>
        </w:tc>
        <w:tc>
          <w:tcPr>
            <w:tcW w:w="142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454,380,579.18</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367,919,644.20</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86,460,934.98</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412,102,961.27</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412,102,961.27</w:t>
            </w:r>
          </w:p>
        </w:tc>
      </w:tr>
      <w:tr>
        <w:trPr>
          <w:trHeight w:val="490" w:hRule="exact"/>
        </w:trPr>
        <w:tc>
          <w:tcPr>
            <w:tcW w:w="21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按成本计量的</w:t>
            </w:r>
          </w:p>
        </w:tc>
        <w:tc>
          <w:tcPr>
            <w:tcW w:w="142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175,689,020.00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45,489,000.00</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130,200,020.00</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175,489,020.00</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175,489,020.00</w:t>
            </w:r>
          </w:p>
        </w:tc>
      </w:tr>
      <w:tr>
        <w:trPr>
          <w:trHeight w:val="491" w:hRule="exact"/>
        </w:trPr>
        <w:tc>
          <w:tcPr>
            <w:tcW w:w="21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142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w w:val="95"/>
                <w:sz w:val="18"/>
              </w:rPr>
              <w:t>630,069,599.18</w:t>
            </w:r>
            <w:r>
              <w:rPr>
                <w:rFonts w:ascii="华文细黑"/>
                <w:sz w:val="18"/>
              </w:rPr>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413,408,644.20</w:t>
            </w:r>
            <w:r>
              <w:rPr>
                <w:rFonts w:ascii="华文细黑"/>
                <w:sz w:val="18"/>
              </w:rPr>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216,660,954.98</w:t>
            </w:r>
            <w:r>
              <w:rPr>
                <w:rFonts w:ascii="华文细黑"/>
                <w:sz w:val="18"/>
              </w:rPr>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w w:val="95"/>
                <w:sz w:val="18"/>
              </w:rPr>
              <w:t>838,364,981.27</w:t>
            </w:r>
            <w:r>
              <w:rPr>
                <w:rFonts w:ascii="华文细黑"/>
                <w:sz w:val="18"/>
              </w:rPr>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838,364,981.27</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1520" w:right="0"/>
        <w:jc w:val="left"/>
      </w:pPr>
      <w:r>
        <w:rPr/>
        <w:t>（</w:t>
      </w:r>
      <w:r>
        <w:rPr>
          <w:rFonts w:ascii="华文细黑" w:hAnsi="华文细黑" w:cs="华文细黑" w:eastAsia="华文细黑" w:hint="default"/>
        </w:rPr>
        <w:t>2</w:t>
      </w:r>
      <w:r>
        <w:rPr/>
        <w:t>）年末按公允价值计量的可供出售金融资产</w:t>
      </w:r>
    </w:p>
    <w:p>
      <w:pPr>
        <w:spacing w:line="240" w:lineRule="auto" w:before="5"/>
        <w:rPr>
          <w:rFonts w:ascii="华文细黑" w:hAnsi="华文细黑" w:cs="华文细黑" w:eastAsia="华文细黑" w:hint="default"/>
          <w:sz w:val="5"/>
          <w:szCs w:val="5"/>
        </w:rPr>
      </w:pPr>
    </w:p>
    <w:tbl>
      <w:tblPr>
        <w:tblW w:w="0" w:type="auto"/>
        <w:jc w:val="left"/>
        <w:tblInd w:w="810" w:type="dxa"/>
        <w:tblLayout w:type="fixed"/>
        <w:tblCellMar>
          <w:top w:w="0" w:type="dxa"/>
          <w:left w:w="0" w:type="dxa"/>
          <w:bottom w:w="0" w:type="dxa"/>
          <w:right w:w="0" w:type="dxa"/>
        </w:tblCellMar>
        <w:tblLook w:val="01E0"/>
      </w:tblPr>
      <w:tblGrid>
        <w:gridCol w:w="4539"/>
        <w:gridCol w:w="1703"/>
        <w:gridCol w:w="1982"/>
        <w:gridCol w:w="1843"/>
      </w:tblGrid>
      <w:tr>
        <w:trPr>
          <w:trHeight w:val="406" w:hRule="exact"/>
        </w:trPr>
        <w:tc>
          <w:tcPr>
            <w:tcW w:w="45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3"/>
              <w:ind w:left="154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可供出售金融资产分类</w:t>
            </w:r>
          </w:p>
        </w:tc>
        <w:tc>
          <w:tcPr>
            <w:tcW w:w="170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3"/>
              <w:ind w:right="149"/>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可供出售权益工具</w:t>
            </w:r>
          </w:p>
        </w:tc>
        <w:tc>
          <w:tcPr>
            <w:tcW w:w="198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3"/>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可供出售债务工具</w:t>
            </w:r>
          </w:p>
        </w:tc>
        <w:tc>
          <w:tcPr>
            <w:tcW w:w="184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3"/>
              <w:ind w:left="91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合计</w:t>
            </w:r>
          </w:p>
        </w:tc>
      </w:tr>
      <w:tr>
        <w:trPr>
          <w:trHeight w:val="494" w:hRule="exact"/>
        </w:trPr>
        <w:tc>
          <w:tcPr>
            <w:tcW w:w="45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8"/>
              <w:ind w:left="4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权益工具的成本</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债务工具的摊余成本</w:t>
            </w:r>
          </w:p>
        </w:tc>
        <w:tc>
          <w:tcPr>
            <w:tcW w:w="17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101"/>
              <w:jc w:val="right"/>
              <w:rPr>
                <w:rFonts w:ascii="华文细黑" w:hAnsi="华文细黑" w:cs="华文细黑" w:eastAsia="华文细黑" w:hint="default"/>
                <w:sz w:val="18"/>
                <w:szCs w:val="18"/>
              </w:rPr>
            </w:pPr>
            <w:r>
              <w:rPr>
                <w:rFonts w:ascii="华文细黑"/>
                <w:sz w:val="18"/>
              </w:rPr>
              <w:t>454,380,579.18</w:t>
            </w:r>
          </w:p>
        </w:tc>
        <w:tc>
          <w:tcPr>
            <w:tcW w:w="198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101"/>
              <w:jc w:val="right"/>
              <w:rPr>
                <w:rFonts w:ascii="华文细黑" w:hAnsi="华文细黑" w:cs="华文细黑" w:eastAsia="华文细黑" w:hint="default"/>
                <w:sz w:val="18"/>
                <w:szCs w:val="18"/>
              </w:rPr>
            </w:pPr>
            <w:r>
              <w:rPr>
                <w:rFonts w:ascii="华文细黑"/>
                <w:sz w:val="18"/>
              </w:rPr>
              <w:t>---</w:t>
            </w:r>
          </w:p>
        </w:tc>
        <w:tc>
          <w:tcPr>
            <w:tcW w:w="18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102"/>
              <w:jc w:val="right"/>
              <w:rPr>
                <w:rFonts w:ascii="华文细黑" w:hAnsi="华文细黑" w:cs="华文细黑" w:eastAsia="华文细黑" w:hint="default"/>
                <w:sz w:val="18"/>
                <w:szCs w:val="18"/>
              </w:rPr>
            </w:pPr>
            <w:r>
              <w:rPr>
                <w:rFonts w:ascii="华文细黑"/>
                <w:b/>
                <w:w w:val="95"/>
                <w:sz w:val="18"/>
              </w:rPr>
              <w:t>454,380,579.18</w:t>
            </w:r>
            <w:r>
              <w:rPr>
                <w:rFonts w:ascii="华文细黑"/>
                <w:sz w:val="18"/>
              </w:rPr>
            </w:r>
          </w:p>
        </w:tc>
      </w:tr>
      <w:tr>
        <w:trPr>
          <w:trHeight w:val="490" w:hRule="exact"/>
        </w:trPr>
        <w:tc>
          <w:tcPr>
            <w:tcW w:w="45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公允价值</w:t>
            </w:r>
          </w:p>
        </w:tc>
        <w:tc>
          <w:tcPr>
            <w:tcW w:w="17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86,460,934.98</w:t>
            </w:r>
          </w:p>
        </w:tc>
        <w:tc>
          <w:tcPr>
            <w:tcW w:w="198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c>
          <w:tcPr>
            <w:tcW w:w="18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b/>
                <w:w w:val="95"/>
                <w:sz w:val="18"/>
              </w:rPr>
              <w:t>86,460,934.98</w:t>
            </w:r>
            <w:r>
              <w:rPr>
                <w:rFonts w:ascii="华文细黑"/>
                <w:sz w:val="18"/>
              </w:rPr>
            </w:r>
          </w:p>
        </w:tc>
      </w:tr>
      <w:tr>
        <w:trPr>
          <w:trHeight w:val="511" w:hRule="exact"/>
        </w:trPr>
        <w:tc>
          <w:tcPr>
            <w:tcW w:w="45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累计计入其他综合收益的公允价值变动金额</w:t>
            </w:r>
          </w:p>
        </w:tc>
        <w:tc>
          <w:tcPr>
            <w:tcW w:w="17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c>
          <w:tcPr>
            <w:tcW w:w="198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c>
          <w:tcPr>
            <w:tcW w:w="18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r>
      <w:tr>
        <w:trPr>
          <w:trHeight w:val="470" w:hRule="exact"/>
        </w:trPr>
        <w:tc>
          <w:tcPr>
            <w:tcW w:w="45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4"/>
              <w:ind w:left="4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已计提减值准备</w:t>
            </w:r>
          </w:p>
        </w:tc>
        <w:tc>
          <w:tcPr>
            <w:tcW w:w="17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5"/>
              <w:ind w:right="101"/>
              <w:jc w:val="right"/>
              <w:rPr>
                <w:rFonts w:ascii="华文细黑" w:hAnsi="华文细黑" w:cs="华文细黑" w:eastAsia="华文细黑" w:hint="default"/>
                <w:sz w:val="18"/>
                <w:szCs w:val="18"/>
              </w:rPr>
            </w:pPr>
            <w:r>
              <w:rPr>
                <w:rFonts w:ascii="华文细黑"/>
                <w:sz w:val="18"/>
              </w:rPr>
              <w:t>367,919,644.20</w:t>
            </w:r>
          </w:p>
        </w:tc>
        <w:tc>
          <w:tcPr>
            <w:tcW w:w="198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5"/>
              <w:ind w:right="101"/>
              <w:jc w:val="right"/>
              <w:rPr>
                <w:rFonts w:ascii="华文细黑" w:hAnsi="华文细黑" w:cs="华文细黑" w:eastAsia="华文细黑" w:hint="default"/>
                <w:sz w:val="18"/>
                <w:szCs w:val="18"/>
              </w:rPr>
            </w:pPr>
            <w:r>
              <w:rPr>
                <w:rFonts w:ascii="华文细黑"/>
                <w:sz w:val="18"/>
              </w:rPr>
              <w:t>---</w:t>
            </w:r>
          </w:p>
        </w:tc>
        <w:tc>
          <w:tcPr>
            <w:tcW w:w="18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25"/>
              <w:ind w:right="102"/>
              <w:jc w:val="right"/>
              <w:rPr>
                <w:rFonts w:ascii="华文细黑" w:hAnsi="华文细黑" w:cs="华文细黑" w:eastAsia="华文细黑" w:hint="default"/>
                <w:sz w:val="18"/>
                <w:szCs w:val="18"/>
              </w:rPr>
            </w:pPr>
            <w:r>
              <w:rPr>
                <w:rFonts w:ascii="华文细黑"/>
                <w:b/>
                <w:w w:val="95"/>
                <w:sz w:val="18"/>
              </w:rPr>
              <w:t>367,919,644.20</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1520" w:right="0"/>
        <w:jc w:val="left"/>
      </w:pPr>
      <w:r>
        <w:rPr/>
        <w:t>（</w:t>
      </w:r>
      <w:r>
        <w:rPr>
          <w:rFonts w:ascii="华文细黑" w:hAnsi="华文细黑" w:cs="华文细黑" w:eastAsia="华文细黑" w:hint="default"/>
        </w:rPr>
        <w:t>3</w:t>
      </w:r>
      <w:r>
        <w:rPr/>
        <w:t>）年末按成本计量的可供出售金融资产</w:t>
      </w:r>
    </w:p>
    <w:p>
      <w:pPr>
        <w:spacing w:line="240" w:lineRule="auto" w:before="5"/>
        <w:rPr>
          <w:rFonts w:ascii="华文细黑" w:hAnsi="华文细黑" w:cs="华文细黑" w:eastAsia="华文细黑" w:hint="default"/>
          <w:sz w:val="5"/>
          <w:szCs w:val="5"/>
        </w:rPr>
      </w:pPr>
    </w:p>
    <w:tbl>
      <w:tblPr>
        <w:tblW w:w="0" w:type="auto"/>
        <w:jc w:val="left"/>
        <w:tblInd w:w="101" w:type="dxa"/>
        <w:tblLayout w:type="fixed"/>
        <w:tblCellMar>
          <w:top w:w="0" w:type="dxa"/>
          <w:left w:w="0" w:type="dxa"/>
          <w:bottom w:w="0" w:type="dxa"/>
          <w:right w:w="0" w:type="dxa"/>
        </w:tblCellMar>
        <w:tblLook w:val="01E0"/>
      </w:tblPr>
      <w:tblGrid>
        <w:gridCol w:w="1278"/>
        <w:gridCol w:w="1273"/>
        <w:gridCol w:w="994"/>
        <w:gridCol w:w="708"/>
        <w:gridCol w:w="1275"/>
        <w:gridCol w:w="709"/>
        <w:gridCol w:w="1276"/>
        <w:gridCol w:w="710"/>
        <w:gridCol w:w="1276"/>
        <w:gridCol w:w="851"/>
        <w:gridCol w:w="708"/>
      </w:tblGrid>
      <w:tr>
        <w:trPr>
          <w:trHeight w:val="646" w:hRule="exact"/>
        </w:trPr>
        <w:tc>
          <w:tcPr>
            <w:tcW w:w="127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1"/>
              <w:ind w:right="0"/>
              <w:jc w:val="left"/>
              <w:rPr>
                <w:rFonts w:ascii="华文细黑" w:hAnsi="华文细黑" w:cs="华文细黑" w:eastAsia="华文细黑" w:hint="default"/>
                <w:sz w:val="16"/>
                <w:szCs w:val="16"/>
              </w:rPr>
            </w:pPr>
          </w:p>
          <w:p>
            <w:pPr>
              <w:pStyle w:val="TableParagraph"/>
              <w:spacing w:line="240" w:lineRule="auto"/>
              <w:ind w:left="18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被投资单位</w:t>
            </w:r>
          </w:p>
        </w:tc>
        <w:tc>
          <w:tcPr>
            <w:tcW w:w="4250" w:type="dxa"/>
            <w:gridSpan w:val="4"/>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right="0"/>
              <w:jc w:val="left"/>
              <w:rPr>
                <w:rFonts w:ascii="华文细黑" w:hAnsi="华文细黑" w:cs="华文细黑" w:eastAsia="华文细黑" w:hint="default"/>
                <w:sz w:val="15"/>
                <w:szCs w:val="15"/>
              </w:rPr>
            </w:pPr>
          </w:p>
          <w:p>
            <w:pPr>
              <w:pStyle w:val="TableParagraph"/>
              <w:spacing w:line="240" w:lineRule="auto"/>
              <w:ind w:left="10"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3970" w:type="dxa"/>
            <w:gridSpan w:val="4"/>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right="0"/>
              <w:jc w:val="left"/>
              <w:rPr>
                <w:rFonts w:ascii="华文细黑" w:hAnsi="华文细黑" w:cs="华文细黑" w:eastAsia="华文细黑" w:hint="default"/>
                <w:sz w:val="15"/>
                <w:szCs w:val="15"/>
              </w:rPr>
            </w:pPr>
          </w:p>
          <w:p>
            <w:pPr>
              <w:pStyle w:val="TableParagraph"/>
              <w:spacing w:line="240" w:lineRule="auto"/>
              <w:ind w:left="9"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减值准备</w:t>
            </w:r>
          </w:p>
        </w:tc>
        <w:tc>
          <w:tcPr>
            <w:tcW w:w="851" w:type="dxa"/>
            <w:vMerge w:val="restart"/>
            <w:tcBorders>
              <w:top w:val="single" w:sz="4" w:space="0" w:color="FFC000"/>
              <w:left w:val="single" w:sz="4" w:space="0" w:color="FFC000"/>
              <w:right w:val="single" w:sz="4" w:space="0" w:color="FFC000"/>
            </w:tcBorders>
            <w:shd w:val="clear" w:color="auto" w:fill="FFF8E6"/>
          </w:tcPr>
          <w:p>
            <w:pPr>
              <w:pStyle w:val="TableParagraph"/>
              <w:spacing w:line="376" w:lineRule="auto" w:before="144"/>
              <w:ind w:left="103" w:right="56" w:firstLine="46"/>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在被投 资单位 持股比 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70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4"/>
              <w:ind w:right="0"/>
              <w:jc w:val="left"/>
              <w:rPr>
                <w:rFonts w:ascii="华文细黑" w:hAnsi="华文细黑" w:cs="华文细黑" w:eastAsia="华文细黑" w:hint="default"/>
                <w:sz w:val="24"/>
                <w:szCs w:val="24"/>
              </w:rPr>
            </w:pPr>
          </w:p>
          <w:p>
            <w:pPr>
              <w:pStyle w:val="TableParagraph"/>
              <w:spacing w:line="376" w:lineRule="auto"/>
              <w:ind w:left="169" w:right="167"/>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本年 现金 红利</w:t>
            </w:r>
          </w:p>
        </w:tc>
      </w:tr>
      <w:tr>
        <w:trPr>
          <w:trHeight w:val="1044" w:hRule="exact"/>
        </w:trPr>
        <w:tc>
          <w:tcPr>
            <w:tcW w:w="1278" w:type="dxa"/>
            <w:vMerge/>
            <w:tcBorders>
              <w:left w:val="single" w:sz="4" w:space="0" w:color="FFC000"/>
              <w:bottom w:val="single" w:sz="4" w:space="0" w:color="FFC000"/>
              <w:right w:val="single" w:sz="4" w:space="0" w:color="FFC000"/>
            </w:tcBorders>
            <w:shd w:val="clear" w:color="auto" w:fill="FFF8E6"/>
          </w:tcPr>
          <w:p>
            <w:pPr/>
          </w:p>
        </w:tc>
        <w:tc>
          <w:tcPr>
            <w:tcW w:w="127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2"/>
              <w:ind w:right="0"/>
              <w:jc w:val="left"/>
              <w:rPr>
                <w:rFonts w:ascii="华文细黑" w:hAnsi="华文细黑" w:cs="华文细黑" w:eastAsia="华文细黑" w:hint="default"/>
                <w:sz w:val="11"/>
                <w:szCs w:val="11"/>
              </w:rPr>
            </w:pPr>
          </w:p>
          <w:p>
            <w:pPr>
              <w:pStyle w:val="TableParagraph"/>
              <w:spacing w:line="240" w:lineRule="auto"/>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w:t>
            </w:r>
          </w:p>
        </w:tc>
        <w:tc>
          <w:tcPr>
            <w:tcW w:w="99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2"/>
              <w:ind w:right="0"/>
              <w:jc w:val="left"/>
              <w:rPr>
                <w:rFonts w:ascii="华文细黑" w:hAnsi="华文细黑" w:cs="华文细黑" w:eastAsia="华文细黑" w:hint="default"/>
                <w:sz w:val="11"/>
                <w:szCs w:val="11"/>
              </w:rPr>
            </w:pPr>
          </w:p>
          <w:p>
            <w:pPr>
              <w:pStyle w:val="TableParagraph"/>
              <w:spacing w:line="240" w:lineRule="auto"/>
              <w:ind w:right="131"/>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本年增加</w:t>
            </w:r>
          </w:p>
        </w:tc>
        <w:tc>
          <w:tcPr>
            <w:tcW w:w="7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379" w:lineRule="auto"/>
              <w:ind w:left="169" w:right="16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 减少</w:t>
            </w:r>
          </w:p>
        </w:tc>
        <w:tc>
          <w:tcPr>
            <w:tcW w:w="127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2"/>
              <w:ind w:right="0"/>
              <w:jc w:val="left"/>
              <w:rPr>
                <w:rFonts w:ascii="华文细黑" w:hAnsi="华文细黑" w:cs="华文细黑" w:eastAsia="华文细黑" w:hint="default"/>
                <w:sz w:val="11"/>
                <w:szCs w:val="11"/>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w:t>
            </w:r>
          </w:p>
        </w:tc>
        <w:tc>
          <w:tcPr>
            <w:tcW w:w="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2"/>
              <w:ind w:right="0"/>
              <w:jc w:val="left"/>
              <w:rPr>
                <w:rFonts w:ascii="华文细黑" w:hAnsi="华文细黑" w:cs="华文细黑" w:eastAsia="华文细黑" w:hint="default"/>
                <w:sz w:val="11"/>
                <w:szCs w:val="11"/>
              </w:rPr>
            </w:pPr>
          </w:p>
          <w:p>
            <w:pPr>
              <w:pStyle w:val="TableParagraph"/>
              <w:spacing w:line="240" w:lineRule="auto"/>
              <w:ind w:left="16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w:t>
            </w:r>
          </w:p>
        </w:tc>
        <w:tc>
          <w:tcPr>
            <w:tcW w:w="12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2"/>
              <w:ind w:right="0"/>
              <w:jc w:val="left"/>
              <w:rPr>
                <w:rFonts w:ascii="华文细黑" w:hAnsi="华文细黑" w:cs="华文细黑" w:eastAsia="华文细黑" w:hint="default"/>
                <w:sz w:val="11"/>
                <w:szCs w:val="11"/>
              </w:rPr>
            </w:pPr>
          </w:p>
          <w:p>
            <w:pPr>
              <w:pStyle w:val="TableParagraph"/>
              <w:spacing w:line="240" w:lineRule="auto"/>
              <w:ind w:left="27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本年增加</w:t>
            </w:r>
          </w:p>
        </w:tc>
        <w:tc>
          <w:tcPr>
            <w:tcW w:w="7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379" w:lineRule="auto"/>
              <w:ind w:left="169" w:right="168"/>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 减少</w:t>
            </w:r>
          </w:p>
        </w:tc>
        <w:tc>
          <w:tcPr>
            <w:tcW w:w="12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2"/>
              <w:ind w:right="0"/>
              <w:jc w:val="left"/>
              <w:rPr>
                <w:rFonts w:ascii="华文细黑" w:hAnsi="华文细黑" w:cs="华文细黑" w:eastAsia="华文细黑" w:hint="default"/>
                <w:sz w:val="11"/>
                <w:szCs w:val="11"/>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w:t>
            </w:r>
          </w:p>
        </w:tc>
        <w:tc>
          <w:tcPr>
            <w:tcW w:w="851" w:type="dxa"/>
            <w:vMerge/>
            <w:tcBorders>
              <w:left w:val="single" w:sz="4" w:space="0" w:color="FFC000"/>
              <w:bottom w:val="single" w:sz="4" w:space="0" w:color="FFC000"/>
              <w:right w:val="single" w:sz="4" w:space="0" w:color="FFC000"/>
            </w:tcBorders>
            <w:shd w:val="clear" w:color="auto" w:fill="FFF8E6"/>
          </w:tcPr>
          <w:p>
            <w:pPr/>
          </w:p>
        </w:tc>
        <w:tc>
          <w:tcPr>
            <w:tcW w:w="708" w:type="dxa"/>
            <w:vMerge/>
            <w:tcBorders>
              <w:left w:val="single" w:sz="4" w:space="0" w:color="FFC000"/>
              <w:bottom w:val="single" w:sz="4" w:space="0" w:color="FFC000"/>
              <w:right w:val="single" w:sz="4" w:space="0" w:color="FFC000"/>
            </w:tcBorders>
            <w:shd w:val="clear" w:color="auto" w:fill="FFF8E6"/>
          </w:tcPr>
          <w:p>
            <w:pPr/>
          </w:p>
        </w:tc>
      </w:tr>
      <w:tr>
        <w:trPr>
          <w:trHeight w:val="1249" w:hRule="exact"/>
        </w:trPr>
        <w:tc>
          <w:tcPr>
            <w:tcW w:w="12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4" w:right="10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北 京 新 龙</w:t>
            </w:r>
            <w:r>
              <w:rPr>
                <w:rFonts w:ascii="华文细黑" w:hAnsi="华文细黑" w:cs="华文细黑" w:eastAsia="华文细黑" w:hint="default"/>
                <w:spacing w:val="-21"/>
                <w:sz w:val="18"/>
                <w:szCs w:val="18"/>
              </w:rPr>
              <w:t> </w:t>
            </w:r>
            <w:r>
              <w:rPr>
                <w:rFonts w:ascii="华文细黑" w:hAnsi="华文细黑" w:cs="华文细黑" w:eastAsia="华文细黑" w:hint="default"/>
                <w:sz w:val="18"/>
                <w:szCs w:val="18"/>
              </w:rPr>
              <w:t>脉</w:t>
            </w:r>
            <w:r>
              <w:rPr>
                <w:rFonts w:ascii="华文细黑" w:hAnsi="华文细黑" w:cs="华文细黑" w:eastAsia="华文细黑" w:hint="default"/>
                <w:sz w:val="18"/>
                <w:szCs w:val="18"/>
              </w:rPr>
              <w:t> 壹 号 投 资</w:t>
            </w:r>
            <w:r>
              <w:rPr>
                <w:rFonts w:ascii="华文细黑" w:hAnsi="华文细黑" w:cs="华文细黑" w:eastAsia="华文细黑" w:hint="default"/>
                <w:spacing w:val="-21"/>
                <w:sz w:val="18"/>
                <w:szCs w:val="18"/>
              </w:rPr>
              <w:t> </w:t>
            </w:r>
            <w:r>
              <w:rPr>
                <w:rFonts w:ascii="华文细黑" w:hAnsi="华文细黑" w:cs="华文细黑" w:eastAsia="华文细黑" w:hint="default"/>
                <w:sz w:val="18"/>
                <w:szCs w:val="18"/>
              </w:rPr>
              <w:t>基</w:t>
            </w:r>
            <w:r>
              <w:rPr>
                <w:rFonts w:ascii="华文细黑" w:hAnsi="华文细黑" w:cs="华文细黑" w:eastAsia="华文细黑" w:hint="default"/>
                <w:sz w:val="18"/>
                <w:szCs w:val="18"/>
              </w:rPr>
              <w:t> 金 管 理 中</w:t>
            </w:r>
            <w:r>
              <w:rPr>
                <w:rFonts w:ascii="华文细黑" w:hAnsi="华文细黑" w:cs="华文细黑" w:eastAsia="华文细黑" w:hint="default"/>
                <w:spacing w:val="-21"/>
                <w:sz w:val="18"/>
                <w:szCs w:val="18"/>
              </w:rPr>
              <w:t> </w:t>
            </w:r>
            <w:r>
              <w:rPr>
                <w:rFonts w:ascii="华文细黑" w:hAnsi="华文细黑" w:cs="华文细黑" w:eastAsia="华文细黑" w:hint="default"/>
                <w:sz w:val="18"/>
                <w:szCs w:val="18"/>
              </w:rPr>
              <w:t>心</w:t>
            </w:r>
          </w:p>
          <w:p>
            <w:pPr>
              <w:pStyle w:val="TableParagraph"/>
              <w:spacing w:line="240" w:lineRule="auto" w:before="9"/>
              <w:ind w:left="104" w:right="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（有限合伙）</w:t>
            </w:r>
          </w:p>
        </w:tc>
        <w:tc>
          <w:tcPr>
            <w:tcW w:w="127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1"/>
                <w:szCs w:val="11"/>
              </w:rPr>
            </w:pPr>
          </w:p>
          <w:p>
            <w:pPr>
              <w:pStyle w:val="TableParagraph"/>
              <w:spacing w:line="240" w:lineRule="auto"/>
              <w:ind w:left="103" w:right="0"/>
              <w:jc w:val="center"/>
              <w:rPr>
                <w:rFonts w:ascii="华文细黑" w:hAnsi="华文细黑" w:cs="华文细黑" w:eastAsia="华文细黑" w:hint="default"/>
                <w:sz w:val="15"/>
                <w:szCs w:val="15"/>
              </w:rPr>
            </w:pPr>
            <w:r>
              <w:rPr>
                <w:rFonts w:ascii="华文细黑"/>
                <w:sz w:val="15"/>
              </w:rPr>
              <w:t>10,000,000.00</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1"/>
                <w:szCs w:val="11"/>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1"/>
                <w:szCs w:val="11"/>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1"/>
                <w:szCs w:val="11"/>
              </w:rPr>
            </w:pPr>
          </w:p>
          <w:p>
            <w:pPr>
              <w:pStyle w:val="TableParagraph"/>
              <w:spacing w:line="240" w:lineRule="auto"/>
              <w:ind w:left="102" w:right="0"/>
              <w:jc w:val="center"/>
              <w:rPr>
                <w:rFonts w:ascii="华文细黑" w:hAnsi="华文细黑" w:cs="华文细黑" w:eastAsia="华文细黑" w:hint="default"/>
                <w:sz w:val="15"/>
                <w:szCs w:val="15"/>
              </w:rPr>
            </w:pPr>
            <w:r>
              <w:rPr>
                <w:rFonts w:ascii="华文细黑"/>
                <w:sz w:val="15"/>
              </w:rPr>
              <w:t>10,000,000.00</w:t>
            </w:r>
          </w:p>
        </w:tc>
        <w:tc>
          <w:tcPr>
            <w:tcW w:w="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1"/>
                <w:szCs w:val="11"/>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1"/>
                <w:szCs w:val="11"/>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1"/>
                <w:szCs w:val="11"/>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1"/>
                <w:szCs w:val="11"/>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1"/>
                <w:szCs w:val="11"/>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z w:val="15"/>
              </w:rPr>
              <w:t>5.00</w:t>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1"/>
                <w:szCs w:val="11"/>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w:t>
            </w:r>
          </w:p>
        </w:tc>
      </w:tr>
      <w:tr>
        <w:trPr>
          <w:trHeight w:val="960" w:hRule="exact"/>
        </w:trPr>
        <w:tc>
          <w:tcPr>
            <w:tcW w:w="12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04" w:right="101"/>
              <w:jc w:val="both"/>
              <w:rPr>
                <w:rFonts w:ascii="华文细黑" w:hAnsi="华文细黑" w:cs="华文细黑" w:eastAsia="华文细黑" w:hint="default"/>
                <w:sz w:val="18"/>
                <w:szCs w:val="18"/>
              </w:rPr>
            </w:pPr>
            <w:r>
              <w:rPr>
                <w:rFonts w:ascii="华文细黑" w:hAnsi="华文细黑" w:cs="华文细黑" w:eastAsia="华文细黑" w:hint="default"/>
                <w:spacing w:val="-4"/>
                <w:sz w:val="18"/>
                <w:szCs w:val="18"/>
              </w:rPr>
              <w:t>店商互联（北</w:t>
            </w:r>
            <w:r>
              <w:rPr>
                <w:rFonts w:ascii="华文细黑" w:hAnsi="华文细黑" w:cs="华文细黑" w:eastAsia="华文细黑" w:hint="default"/>
                <w:spacing w:val="-41"/>
                <w:sz w:val="18"/>
                <w:szCs w:val="18"/>
              </w:rPr>
              <w:t> </w:t>
            </w:r>
            <w:r>
              <w:rPr>
                <w:rFonts w:ascii="华文细黑" w:hAnsi="华文细黑" w:cs="华文细黑" w:eastAsia="华文细黑" w:hint="default"/>
                <w:spacing w:val="-41"/>
                <w:sz w:val="18"/>
                <w:szCs w:val="18"/>
              </w:rPr>
            </w:r>
            <w:r>
              <w:rPr>
                <w:rFonts w:ascii="华文细黑" w:hAnsi="华文细黑" w:cs="华文细黑" w:eastAsia="华文细黑" w:hint="default"/>
                <w:spacing w:val="-4"/>
                <w:sz w:val="18"/>
                <w:szCs w:val="18"/>
              </w:rPr>
              <w:t>京）科技发展</w:t>
            </w:r>
            <w:r>
              <w:rPr>
                <w:rFonts w:ascii="华文细黑" w:hAnsi="华文细黑" w:cs="华文细黑" w:eastAsia="华文细黑" w:hint="default"/>
                <w:spacing w:val="-41"/>
                <w:sz w:val="18"/>
                <w:szCs w:val="18"/>
              </w:rPr>
              <w:t> </w:t>
            </w:r>
            <w:r>
              <w:rPr>
                <w:rFonts w:ascii="华文细黑" w:hAnsi="华文细黑" w:cs="华文细黑" w:eastAsia="华文细黑" w:hint="default"/>
                <w:spacing w:val="-41"/>
                <w:sz w:val="18"/>
                <w:szCs w:val="18"/>
              </w:rPr>
            </w:r>
            <w:r>
              <w:rPr>
                <w:rFonts w:ascii="华文细黑" w:hAnsi="华文细黑" w:cs="华文细黑" w:eastAsia="华文细黑" w:hint="default"/>
                <w:sz w:val="18"/>
                <w:szCs w:val="18"/>
              </w:rPr>
              <w:t>有限公司</w:t>
            </w:r>
          </w:p>
        </w:tc>
        <w:tc>
          <w:tcPr>
            <w:tcW w:w="127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left="103" w:right="0"/>
              <w:jc w:val="center"/>
              <w:rPr>
                <w:rFonts w:ascii="华文细黑" w:hAnsi="华文细黑" w:cs="华文细黑" w:eastAsia="华文细黑" w:hint="default"/>
                <w:sz w:val="15"/>
                <w:szCs w:val="15"/>
              </w:rPr>
            </w:pPr>
            <w:r>
              <w:rPr>
                <w:rFonts w:ascii="华文细黑"/>
                <w:sz w:val="15"/>
              </w:rPr>
              <w:t>30,000,000.00</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w:t>
            </w:r>
            <w:r>
              <w:rPr>
                <w:rFonts w:ascii="华文细黑"/>
                <w:sz w:val="15"/>
              </w:rPr>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left="102" w:right="0"/>
              <w:jc w:val="center"/>
              <w:rPr>
                <w:rFonts w:ascii="华文细黑" w:hAnsi="华文细黑" w:cs="华文细黑" w:eastAsia="华文细黑" w:hint="default"/>
                <w:sz w:val="15"/>
                <w:szCs w:val="15"/>
              </w:rPr>
            </w:pPr>
            <w:r>
              <w:rPr>
                <w:rFonts w:ascii="华文细黑"/>
                <w:sz w:val="15"/>
              </w:rPr>
              <w:t>30,000,000.00</w:t>
            </w:r>
          </w:p>
        </w:tc>
        <w:tc>
          <w:tcPr>
            <w:tcW w:w="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3"/>
              <w:jc w:val="right"/>
              <w:rPr>
                <w:rFonts w:ascii="华文细黑" w:hAnsi="华文细黑" w:cs="华文细黑" w:eastAsia="华文细黑" w:hint="default"/>
                <w:sz w:val="15"/>
                <w:szCs w:val="15"/>
              </w:rPr>
            </w:pPr>
            <w:r>
              <w:rPr>
                <w:rFonts w:ascii="华文细黑"/>
                <w:spacing w:val="-1"/>
                <w:sz w:val="15"/>
              </w:rPr>
              <w:t>30,000,000.00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30,000,000.00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z w:val="15"/>
              </w:rPr>
              <w:t>4.59</w:t>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w:t>
            </w:r>
          </w:p>
        </w:tc>
      </w:tr>
      <w:tr>
        <w:trPr>
          <w:trHeight w:val="960" w:hRule="exact"/>
        </w:trPr>
        <w:tc>
          <w:tcPr>
            <w:tcW w:w="12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04" w:right="10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北 京 魔 镜</w:t>
            </w:r>
            <w:r>
              <w:rPr>
                <w:rFonts w:ascii="华文细黑" w:hAnsi="华文细黑" w:cs="华文细黑" w:eastAsia="华文细黑" w:hint="default"/>
                <w:spacing w:val="-21"/>
                <w:sz w:val="18"/>
                <w:szCs w:val="18"/>
              </w:rPr>
              <w:t> </w:t>
            </w:r>
            <w:r>
              <w:rPr>
                <w:rFonts w:ascii="华文细黑" w:hAnsi="华文细黑" w:cs="华文细黑" w:eastAsia="华文细黑" w:hint="default"/>
                <w:sz w:val="18"/>
                <w:szCs w:val="18"/>
              </w:rPr>
              <w:t>未</w:t>
            </w:r>
            <w:r>
              <w:rPr>
                <w:rFonts w:ascii="华文细黑" w:hAnsi="华文细黑" w:cs="华文细黑" w:eastAsia="华文细黑" w:hint="default"/>
                <w:sz w:val="18"/>
                <w:szCs w:val="18"/>
              </w:rPr>
              <w:t> 来 科 技 有</w:t>
            </w:r>
            <w:r>
              <w:rPr>
                <w:rFonts w:ascii="华文细黑" w:hAnsi="华文细黑" w:cs="华文细黑" w:eastAsia="华文细黑" w:hint="default"/>
                <w:spacing w:val="-21"/>
                <w:sz w:val="18"/>
                <w:szCs w:val="18"/>
              </w:rPr>
              <w:t> </w:t>
            </w:r>
            <w:r>
              <w:rPr>
                <w:rFonts w:ascii="华文细黑" w:hAnsi="华文细黑" w:cs="华文细黑" w:eastAsia="华文细黑" w:hint="default"/>
                <w:sz w:val="18"/>
                <w:szCs w:val="18"/>
              </w:rPr>
              <w:t>限</w:t>
            </w:r>
            <w:r>
              <w:rPr>
                <w:rFonts w:ascii="华文细黑" w:hAnsi="华文细黑" w:cs="华文细黑" w:eastAsia="华文细黑" w:hint="default"/>
                <w:sz w:val="18"/>
                <w:szCs w:val="18"/>
              </w:rPr>
              <w:t> 公司</w:t>
            </w:r>
          </w:p>
        </w:tc>
        <w:tc>
          <w:tcPr>
            <w:tcW w:w="127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left="103" w:right="0"/>
              <w:jc w:val="center"/>
              <w:rPr>
                <w:rFonts w:ascii="华文细黑" w:hAnsi="华文细黑" w:cs="华文细黑" w:eastAsia="华文细黑" w:hint="default"/>
                <w:sz w:val="15"/>
                <w:szCs w:val="15"/>
              </w:rPr>
            </w:pPr>
            <w:r>
              <w:rPr>
                <w:rFonts w:ascii="华文细黑"/>
                <w:sz w:val="15"/>
              </w:rPr>
              <w:t>15,489,000.00</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left="102" w:right="0"/>
              <w:jc w:val="center"/>
              <w:rPr>
                <w:rFonts w:ascii="华文细黑" w:hAnsi="华文细黑" w:cs="华文细黑" w:eastAsia="华文细黑" w:hint="default"/>
                <w:sz w:val="15"/>
                <w:szCs w:val="15"/>
              </w:rPr>
            </w:pPr>
            <w:r>
              <w:rPr>
                <w:rFonts w:ascii="华文细黑"/>
                <w:sz w:val="15"/>
              </w:rPr>
              <w:t>15,489,000.00</w:t>
            </w:r>
          </w:p>
        </w:tc>
        <w:tc>
          <w:tcPr>
            <w:tcW w:w="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3"/>
              <w:jc w:val="right"/>
              <w:rPr>
                <w:rFonts w:ascii="华文细黑" w:hAnsi="华文细黑" w:cs="华文细黑" w:eastAsia="华文细黑" w:hint="default"/>
                <w:sz w:val="15"/>
                <w:szCs w:val="15"/>
              </w:rPr>
            </w:pPr>
            <w:r>
              <w:rPr>
                <w:rFonts w:ascii="华文细黑"/>
                <w:spacing w:val="-1"/>
                <w:sz w:val="15"/>
              </w:rPr>
              <w:t>15,489,000.00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15,489,000.00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z w:val="15"/>
              </w:rPr>
              <w:t>2.74</w:t>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w:t>
            </w:r>
          </w:p>
        </w:tc>
      </w:tr>
      <w:tr>
        <w:trPr>
          <w:trHeight w:val="1251" w:hRule="exact"/>
        </w:trPr>
        <w:tc>
          <w:tcPr>
            <w:tcW w:w="12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1"/>
              <w:ind w:left="104" w:right="10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深 圳 前 海</w:t>
            </w:r>
            <w:r>
              <w:rPr>
                <w:rFonts w:ascii="华文细黑" w:hAnsi="华文细黑" w:cs="华文细黑" w:eastAsia="华文细黑" w:hint="default"/>
                <w:spacing w:val="-21"/>
                <w:sz w:val="18"/>
                <w:szCs w:val="18"/>
              </w:rPr>
              <w:t> </w:t>
            </w:r>
            <w:r>
              <w:rPr>
                <w:rFonts w:ascii="华文细黑" w:hAnsi="华文细黑" w:cs="华文细黑" w:eastAsia="华文细黑" w:hint="default"/>
                <w:sz w:val="18"/>
                <w:szCs w:val="18"/>
              </w:rPr>
              <w:t>松</w:t>
            </w:r>
            <w:r>
              <w:rPr>
                <w:rFonts w:ascii="华文细黑" w:hAnsi="华文细黑" w:cs="华文细黑" w:eastAsia="华文细黑" w:hint="default"/>
                <w:sz w:val="18"/>
                <w:szCs w:val="18"/>
              </w:rPr>
              <w:t> 禾 暴 风 资</w:t>
            </w:r>
            <w:r>
              <w:rPr>
                <w:rFonts w:ascii="华文细黑" w:hAnsi="华文细黑" w:cs="华文细黑" w:eastAsia="华文细黑" w:hint="default"/>
                <w:spacing w:val="-21"/>
                <w:sz w:val="18"/>
                <w:szCs w:val="18"/>
              </w:rPr>
              <w:t> </w:t>
            </w:r>
            <w:r>
              <w:rPr>
                <w:rFonts w:ascii="华文细黑" w:hAnsi="华文细黑" w:cs="华文细黑" w:eastAsia="华文细黑" w:hint="default"/>
                <w:sz w:val="18"/>
                <w:szCs w:val="18"/>
              </w:rPr>
              <w:t>本</w:t>
            </w:r>
            <w:r>
              <w:rPr>
                <w:rFonts w:ascii="华文细黑" w:hAnsi="华文细黑" w:cs="华文细黑" w:eastAsia="华文细黑" w:hint="default"/>
                <w:sz w:val="18"/>
                <w:szCs w:val="18"/>
              </w:rPr>
              <w:t> 管 理 合 伙</w:t>
            </w:r>
            <w:r>
              <w:rPr>
                <w:rFonts w:ascii="华文细黑" w:hAnsi="华文细黑" w:cs="华文细黑" w:eastAsia="华文细黑" w:hint="default"/>
                <w:spacing w:val="-21"/>
                <w:sz w:val="18"/>
                <w:szCs w:val="18"/>
              </w:rPr>
              <w:t> </w:t>
            </w:r>
            <w:r>
              <w:rPr>
                <w:rFonts w:ascii="华文细黑" w:hAnsi="华文细黑" w:cs="华文细黑" w:eastAsia="华文细黑" w:hint="default"/>
                <w:sz w:val="18"/>
                <w:szCs w:val="18"/>
              </w:rPr>
              <w:t>企</w:t>
            </w:r>
            <w:r>
              <w:rPr>
                <w:rFonts w:ascii="华文细黑" w:hAnsi="华文细黑" w:cs="华文细黑" w:eastAsia="华文细黑" w:hint="default"/>
                <w:sz w:val="18"/>
                <w:szCs w:val="18"/>
              </w:rPr>
              <w:t> 业</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有限合伙</w:t>
            </w:r>
            <w:r>
              <w:rPr>
                <w:rFonts w:ascii="华文细黑" w:hAnsi="华文细黑" w:cs="华文细黑" w:eastAsia="华文细黑" w:hint="default"/>
                <w:sz w:val="18"/>
                <w:szCs w:val="18"/>
              </w:rPr>
              <w:t>)</w:t>
            </w:r>
          </w:p>
        </w:tc>
        <w:tc>
          <w:tcPr>
            <w:tcW w:w="127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11"/>
                <w:szCs w:val="11"/>
              </w:rPr>
            </w:pPr>
          </w:p>
          <w:p>
            <w:pPr>
              <w:pStyle w:val="TableParagraph"/>
              <w:spacing w:line="240" w:lineRule="auto"/>
              <w:ind w:left="103" w:right="0"/>
              <w:jc w:val="center"/>
              <w:rPr>
                <w:rFonts w:ascii="华文细黑" w:hAnsi="华文细黑" w:cs="华文细黑" w:eastAsia="华文细黑" w:hint="default"/>
                <w:sz w:val="15"/>
                <w:szCs w:val="15"/>
              </w:rPr>
            </w:pPr>
            <w:r>
              <w:rPr>
                <w:rFonts w:ascii="华文细黑"/>
                <w:sz w:val="15"/>
              </w:rPr>
              <w:t>20,000,000.00</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11"/>
                <w:szCs w:val="11"/>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11"/>
                <w:szCs w:val="11"/>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11"/>
                <w:szCs w:val="11"/>
              </w:rPr>
            </w:pPr>
          </w:p>
          <w:p>
            <w:pPr>
              <w:pStyle w:val="TableParagraph"/>
              <w:spacing w:line="240" w:lineRule="auto"/>
              <w:ind w:left="102" w:right="0"/>
              <w:jc w:val="center"/>
              <w:rPr>
                <w:rFonts w:ascii="华文细黑" w:hAnsi="华文细黑" w:cs="华文细黑" w:eastAsia="华文细黑" w:hint="default"/>
                <w:sz w:val="15"/>
                <w:szCs w:val="15"/>
              </w:rPr>
            </w:pPr>
            <w:r>
              <w:rPr>
                <w:rFonts w:ascii="华文细黑"/>
                <w:sz w:val="15"/>
              </w:rPr>
              <w:t>20,000,000.00</w:t>
            </w:r>
          </w:p>
        </w:tc>
        <w:tc>
          <w:tcPr>
            <w:tcW w:w="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11"/>
                <w:szCs w:val="11"/>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11"/>
                <w:szCs w:val="11"/>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11"/>
                <w:szCs w:val="11"/>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11"/>
                <w:szCs w:val="11"/>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11"/>
                <w:szCs w:val="11"/>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13.25</w:t>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1"/>
              <w:ind w:right="0"/>
              <w:jc w:val="left"/>
              <w:rPr>
                <w:rFonts w:ascii="华文细黑" w:hAnsi="华文细黑" w:cs="华文细黑" w:eastAsia="华文细黑" w:hint="default"/>
                <w:sz w:val="11"/>
                <w:szCs w:val="11"/>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w:t>
            </w:r>
          </w:p>
        </w:tc>
      </w:tr>
    </w:tbl>
    <w:p>
      <w:pPr>
        <w:spacing w:after="0" w:line="240" w:lineRule="auto"/>
        <w:jc w:val="right"/>
        <w:rPr>
          <w:rFonts w:ascii="华文细黑" w:hAnsi="华文细黑" w:cs="华文细黑" w:eastAsia="华文细黑" w:hint="default"/>
          <w:sz w:val="15"/>
          <w:szCs w:val="15"/>
        </w:rPr>
        <w:sectPr>
          <w:pgSz w:w="11910" w:h="16840"/>
          <w:pgMar w:header="917" w:footer="1019" w:top="1100" w:bottom="1200" w:left="340" w:right="0"/>
        </w:sectPr>
      </w:pPr>
    </w:p>
    <w:p>
      <w:pPr>
        <w:spacing w:line="240" w:lineRule="auto" w:before="8"/>
        <w:rPr>
          <w:rFonts w:ascii="华文细黑" w:hAnsi="华文细黑" w:cs="华文细黑" w:eastAsia="华文细黑" w:hint="default"/>
          <w:sz w:val="23"/>
          <w:szCs w:val="23"/>
        </w:rPr>
      </w:pPr>
    </w:p>
    <w:tbl>
      <w:tblPr>
        <w:tblW w:w="0" w:type="auto"/>
        <w:jc w:val="left"/>
        <w:tblInd w:w="101" w:type="dxa"/>
        <w:tblLayout w:type="fixed"/>
        <w:tblCellMar>
          <w:top w:w="0" w:type="dxa"/>
          <w:left w:w="0" w:type="dxa"/>
          <w:bottom w:w="0" w:type="dxa"/>
          <w:right w:w="0" w:type="dxa"/>
        </w:tblCellMar>
        <w:tblLook w:val="01E0"/>
      </w:tblPr>
      <w:tblGrid>
        <w:gridCol w:w="1278"/>
        <w:gridCol w:w="1273"/>
        <w:gridCol w:w="994"/>
        <w:gridCol w:w="708"/>
        <w:gridCol w:w="1275"/>
        <w:gridCol w:w="709"/>
        <w:gridCol w:w="1276"/>
        <w:gridCol w:w="710"/>
        <w:gridCol w:w="1276"/>
        <w:gridCol w:w="851"/>
        <w:gridCol w:w="708"/>
      </w:tblGrid>
      <w:tr>
        <w:trPr>
          <w:trHeight w:val="646" w:hRule="exact"/>
        </w:trPr>
        <w:tc>
          <w:tcPr>
            <w:tcW w:w="127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0"/>
              <w:ind w:right="0"/>
              <w:jc w:val="left"/>
              <w:rPr>
                <w:rFonts w:ascii="华文细黑" w:hAnsi="华文细黑" w:cs="华文细黑" w:eastAsia="华文细黑" w:hint="default"/>
                <w:sz w:val="16"/>
                <w:szCs w:val="16"/>
              </w:rPr>
            </w:pPr>
          </w:p>
          <w:p>
            <w:pPr>
              <w:pStyle w:val="TableParagraph"/>
              <w:spacing w:line="240" w:lineRule="auto"/>
              <w:ind w:left="18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被投资单位</w:t>
            </w:r>
          </w:p>
        </w:tc>
        <w:tc>
          <w:tcPr>
            <w:tcW w:w="4250" w:type="dxa"/>
            <w:gridSpan w:val="4"/>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right="0"/>
              <w:jc w:val="left"/>
              <w:rPr>
                <w:rFonts w:ascii="华文细黑" w:hAnsi="华文细黑" w:cs="华文细黑" w:eastAsia="华文细黑" w:hint="default"/>
                <w:sz w:val="15"/>
                <w:szCs w:val="15"/>
              </w:rPr>
            </w:pPr>
          </w:p>
          <w:p>
            <w:pPr>
              <w:pStyle w:val="TableParagraph"/>
              <w:spacing w:line="240" w:lineRule="auto"/>
              <w:ind w:left="10"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3970" w:type="dxa"/>
            <w:gridSpan w:val="4"/>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
              <w:ind w:right="0"/>
              <w:jc w:val="left"/>
              <w:rPr>
                <w:rFonts w:ascii="华文细黑" w:hAnsi="华文细黑" w:cs="华文细黑" w:eastAsia="华文细黑" w:hint="default"/>
                <w:sz w:val="15"/>
                <w:szCs w:val="15"/>
              </w:rPr>
            </w:pPr>
          </w:p>
          <w:p>
            <w:pPr>
              <w:pStyle w:val="TableParagraph"/>
              <w:spacing w:line="240" w:lineRule="auto"/>
              <w:ind w:left="9"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减值准备</w:t>
            </w:r>
          </w:p>
        </w:tc>
        <w:tc>
          <w:tcPr>
            <w:tcW w:w="851"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3"/>
              <w:ind w:left="103" w:right="56" w:firstLine="46"/>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在被投 资单位 持股比 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70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5"/>
              <w:ind w:right="0"/>
              <w:jc w:val="left"/>
              <w:rPr>
                <w:rFonts w:ascii="华文细黑" w:hAnsi="华文细黑" w:cs="华文细黑" w:eastAsia="华文细黑" w:hint="default"/>
                <w:sz w:val="24"/>
                <w:szCs w:val="24"/>
              </w:rPr>
            </w:pPr>
          </w:p>
          <w:p>
            <w:pPr>
              <w:pStyle w:val="TableParagraph"/>
              <w:spacing w:line="379" w:lineRule="auto"/>
              <w:ind w:left="169" w:right="167"/>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本年 现金 红利</w:t>
            </w:r>
          </w:p>
        </w:tc>
      </w:tr>
      <w:tr>
        <w:trPr>
          <w:trHeight w:val="1044" w:hRule="exact"/>
        </w:trPr>
        <w:tc>
          <w:tcPr>
            <w:tcW w:w="1278" w:type="dxa"/>
            <w:vMerge/>
            <w:tcBorders>
              <w:left w:val="single" w:sz="4" w:space="0" w:color="FFC000"/>
              <w:bottom w:val="single" w:sz="4" w:space="0" w:color="FFC000"/>
              <w:right w:val="single" w:sz="4" w:space="0" w:color="FFC000"/>
            </w:tcBorders>
            <w:shd w:val="clear" w:color="auto" w:fill="FFF8E6"/>
          </w:tcPr>
          <w:p>
            <w:pPr/>
          </w:p>
        </w:tc>
        <w:tc>
          <w:tcPr>
            <w:tcW w:w="127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2"/>
              <w:ind w:right="0"/>
              <w:jc w:val="left"/>
              <w:rPr>
                <w:rFonts w:ascii="华文细黑" w:hAnsi="华文细黑" w:cs="华文细黑" w:eastAsia="华文细黑" w:hint="default"/>
                <w:sz w:val="11"/>
                <w:szCs w:val="11"/>
              </w:rPr>
            </w:pPr>
          </w:p>
          <w:p>
            <w:pPr>
              <w:pStyle w:val="TableParagraph"/>
              <w:spacing w:line="240" w:lineRule="auto"/>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w:t>
            </w:r>
          </w:p>
        </w:tc>
        <w:tc>
          <w:tcPr>
            <w:tcW w:w="99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2"/>
              <w:ind w:right="0"/>
              <w:jc w:val="left"/>
              <w:rPr>
                <w:rFonts w:ascii="华文细黑" w:hAnsi="华文细黑" w:cs="华文细黑" w:eastAsia="华文细黑" w:hint="default"/>
                <w:sz w:val="11"/>
                <w:szCs w:val="11"/>
              </w:rPr>
            </w:pPr>
          </w:p>
          <w:p>
            <w:pPr>
              <w:pStyle w:val="TableParagraph"/>
              <w:spacing w:line="240" w:lineRule="auto"/>
              <w:ind w:right="131"/>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本年增加</w:t>
            </w:r>
          </w:p>
        </w:tc>
        <w:tc>
          <w:tcPr>
            <w:tcW w:w="7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9"/>
              <w:ind w:right="0"/>
              <w:jc w:val="left"/>
              <w:rPr>
                <w:rFonts w:ascii="华文细黑" w:hAnsi="华文细黑" w:cs="华文细黑" w:eastAsia="华文细黑" w:hint="default"/>
                <w:sz w:val="15"/>
                <w:szCs w:val="15"/>
              </w:rPr>
            </w:pPr>
          </w:p>
          <w:p>
            <w:pPr>
              <w:pStyle w:val="TableParagraph"/>
              <w:spacing w:line="376" w:lineRule="auto"/>
              <w:ind w:left="169" w:right="16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 减少</w:t>
            </w:r>
          </w:p>
        </w:tc>
        <w:tc>
          <w:tcPr>
            <w:tcW w:w="127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2"/>
              <w:ind w:right="0"/>
              <w:jc w:val="left"/>
              <w:rPr>
                <w:rFonts w:ascii="华文细黑" w:hAnsi="华文细黑" w:cs="华文细黑" w:eastAsia="华文细黑" w:hint="default"/>
                <w:sz w:val="11"/>
                <w:szCs w:val="11"/>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w:t>
            </w:r>
          </w:p>
        </w:tc>
        <w:tc>
          <w:tcPr>
            <w:tcW w:w="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2"/>
              <w:ind w:right="0"/>
              <w:jc w:val="left"/>
              <w:rPr>
                <w:rFonts w:ascii="华文细黑" w:hAnsi="华文细黑" w:cs="华文细黑" w:eastAsia="华文细黑" w:hint="default"/>
                <w:sz w:val="11"/>
                <w:szCs w:val="11"/>
              </w:rPr>
            </w:pPr>
          </w:p>
          <w:p>
            <w:pPr>
              <w:pStyle w:val="TableParagraph"/>
              <w:spacing w:line="240" w:lineRule="auto"/>
              <w:ind w:left="16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w:t>
            </w:r>
          </w:p>
        </w:tc>
        <w:tc>
          <w:tcPr>
            <w:tcW w:w="12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2"/>
              <w:ind w:right="0"/>
              <w:jc w:val="left"/>
              <w:rPr>
                <w:rFonts w:ascii="华文细黑" w:hAnsi="华文细黑" w:cs="华文细黑" w:eastAsia="华文细黑" w:hint="default"/>
                <w:sz w:val="11"/>
                <w:szCs w:val="11"/>
              </w:rPr>
            </w:pPr>
          </w:p>
          <w:p>
            <w:pPr>
              <w:pStyle w:val="TableParagraph"/>
              <w:spacing w:line="240" w:lineRule="auto"/>
              <w:ind w:left="27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本年增加</w:t>
            </w:r>
          </w:p>
        </w:tc>
        <w:tc>
          <w:tcPr>
            <w:tcW w:w="7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9"/>
              <w:ind w:right="0"/>
              <w:jc w:val="left"/>
              <w:rPr>
                <w:rFonts w:ascii="华文细黑" w:hAnsi="华文细黑" w:cs="华文细黑" w:eastAsia="华文细黑" w:hint="default"/>
                <w:sz w:val="15"/>
                <w:szCs w:val="15"/>
              </w:rPr>
            </w:pPr>
          </w:p>
          <w:p>
            <w:pPr>
              <w:pStyle w:val="TableParagraph"/>
              <w:spacing w:line="376" w:lineRule="auto"/>
              <w:ind w:left="169" w:right="168"/>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 减少</w:t>
            </w:r>
          </w:p>
        </w:tc>
        <w:tc>
          <w:tcPr>
            <w:tcW w:w="12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2"/>
              <w:ind w:right="0"/>
              <w:jc w:val="left"/>
              <w:rPr>
                <w:rFonts w:ascii="华文细黑" w:hAnsi="华文细黑" w:cs="华文细黑" w:eastAsia="华文细黑" w:hint="default"/>
                <w:sz w:val="11"/>
                <w:szCs w:val="11"/>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w:t>
            </w:r>
          </w:p>
        </w:tc>
        <w:tc>
          <w:tcPr>
            <w:tcW w:w="851" w:type="dxa"/>
            <w:vMerge/>
            <w:tcBorders>
              <w:left w:val="single" w:sz="4" w:space="0" w:color="FFC000"/>
              <w:bottom w:val="single" w:sz="4" w:space="0" w:color="FFC000"/>
              <w:right w:val="single" w:sz="4" w:space="0" w:color="FFC000"/>
            </w:tcBorders>
            <w:shd w:val="clear" w:color="auto" w:fill="FFF8E6"/>
          </w:tcPr>
          <w:p>
            <w:pPr/>
          </w:p>
        </w:tc>
        <w:tc>
          <w:tcPr>
            <w:tcW w:w="708" w:type="dxa"/>
            <w:vMerge/>
            <w:tcBorders>
              <w:left w:val="single" w:sz="4" w:space="0" w:color="FFC000"/>
              <w:bottom w:val="single" w:sz="4" w:space="0" w:color="FFC000"/>
              <w:right w:val="single" w:sz="4" w:space="0" w:color="FFC000"/>
            </w:tcBorders>
            <w:shd w:val="clear" w:color="auto" w:fill="FFF8E6"/>
          </w:tcPr>
          <w:p>
            <w:pPr/>
          </w:p>
        </w:tc>
      </w:tr>
      <w:tr>
        <w:trPr>
          <w:trHeight w:val="960" w:hRule="exact"/>
        </w:trPr>
        <w:tc>
          <w:tcPr>
            <w:tcW w:w="12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0"/>
              <w:ind w:left="10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华 贵 人 寿</w:t>
            </w:r>
            <w:r>
              <w:rPr>
                <w:rFonts w:ascii="华文细黑" w:hAnsi="华文细黑" w:cs="华文细黑" w:eastAsia="华文细黑" w:hint="default"/>
                <w:spacing w:val="-21"/>
                <w:sz w:val="18"/>
                <w:szCs w:val="18"/>
              </w:rPr>
              <w:t> </w:t>
            </w:r>
            <w:r>
              <w:rPr>
                <w:rFonts w:ascii="华文细黑" w:hAnsi="华文细黑" w:cs="华文细黑" w:eastAsia="华文细黑" w:hint="default"/>
                <w:sz w:val="18"/>
                <w:szCs w:val="18"/>
              </w:rPr>
              <w:t>保</w:t>
            </w:r>
          </w:p>
          <w:p>
            <w:pPr>
              <w:pStyle w:val="TableParagraph"/>
              <w:spacing w:line="273" w:lineRule="auto" w:before="35"/>
              <w:ind w:left="104" w:right="59"/>
              <w:jc w:val="left"/>
              <w:rPr>
                <w:rFonts w:ascii="华文细黑" w:hAnsi="华文细黑" w:cs="华文细黑" w:eastAsia="华文细黑" w:hint="default"/>
                <w:sz w:val="18"/>
                <w:szCs w:val="18"/>
              </w:rPr>
            </w:pPr>
            <w:r>
              <w:rPr>
                <w:rFonts w:ascii="华文细黑" w:hAnsi="华文细黑" w:cs="华文细黑" w:eastAsia="华文细黑" w:hint="default"/>
                <w:spacing w:val="26"/>
                <w:sz w:val="18"/>
                <w:szCs w:val="18"/>
              </w:rPr>
              <w:t>险股份</w:t>
            </w:r>
            <w:r>
              <w:rPr>
                <w:rFonts w:ascii="华文细黑" w:hAnsi="华文细黑" w:cs="华文细黑" w:eastAsia="华文细黑" w:hint="default"/>
                <w:spacing w:val="-6"/>
                <w:sz w:val="18"/>
                <w:szCs w:val="18"/>
              </w:rPr>
              <w:t> </w:t>
            </w:r>
            <w:r>
              <w:rPr>
                <w:rFonts w:ascii="华文细黑" w:hAnsi="华文细黑" w:cs="华文细黑" w:eastAsia="华文细黑" w:hint="default"/>
                <w:spacing w:val="20"/>
                <w:sz w:val="18"/>
                <w:szCs w:val="18"/>
              </w:rPr>
              <w:t>有限</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公司</w:t>
            </w:r>
          </w:p>
        </w:tc>
        <w:tc>
          <w:tcPr>
            <w:tcW w:w="127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100,000,000.00</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100,000,000.00</w:t>
            </w:r>
          </w:p>
        </w:tc>
        <w:tc>
          <w:tcPr>
            <w:tcW w:w="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10.00</w:t>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5"/>
                <w:szCs w:val="15"/>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w:t>
            </w:r>
          </w:p>
        </w:tc>
      </w:tr>
      <w:tr>
        <w:trPr>
          <w:trHeight w:val="1250" w:hRule="exact"/>
        </w:trPr>
        <w:tc>
          <w:tcPr>
            <w:tcW w:w="12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04" w:right="10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深 圳 市 众</w:t>
            </w:r>
            <w:r>
              <w:rPr>
                <w:rFonts w:ascii="华文细黑" w:hAnsi="华文细黑" w:cs="华文细黑" w:eastAsia="华文细黑" w:hint="default"/>
                <w:spacing w:val="-21"/>
                <w:sz w:val="18"/>
                <w:szCs w:val="18"/>
              </w:rPr>
              <w:t> </w:t>
            </w:r>
            <w:r>
              <w:rPr>
                <w:rFonts w:ascii="华文细黑" w:hAnsi="华文细黑" w:cs="华文细黑" w:eastAsia="华文细黑" w:hint="default"/>
                <w:sz w:val="18"/>
                <w:szCs w:val="18"/>
              </w:rPr>
              <w:t>脉</w:t>
            </w:r>
            <w:r>
              <w:rPr>
                <w:rFonts w:ascii="华文细黑" w:hAnsi="华文细黑" w:cs="华文细黑" w:eastAsia="华文细黑" w:hint="default"/>
                <w:sz w:val="18"/>
                <w:szCs w:val="18"/>
              </w:rPr>
              <w:t> 投 资 有 限</w:t>
            </w:r>
            <w:r>
              <w:rPr>
                <w:rFonts w:ascii="华文细黑" w:hAnsi="华文细黑" w:cs="华文细黑" w:eastAsia="华文细黑" w:hint="default"/>
                <w:spacing w:val="-21"/>
                <w:sz w:val="18"/>
                <w:szCs w:val="18"/>
              </w:rPr>
              <w:t> </w:t>
            </w:r>
            <w:r>
              <w:rPr>
                <w:rFonts w:ascii="华文细黑" w:hAnsi="华文细黑" w:cs="华文细黑" w:eastAsia="华文细黑" w:hint="default"/>
                <w:sz w:val="18"/>
                <w:szCs w:val="18"/>
              </w:rPr>
              <w:t>合</w:t>
            </w:r>
            <w:r>
              <w:rPr>
                <w:rFonts w:ascii="华文细黑" w:hAnsi="华文细黑" w:cs="华文细黑" w:eastAsia="华文细黑" w:hint="default"/>
                <w:sz w:val="18"/>
                <w:szCs w:val="18"/>
              </w:rPr>
              <w:t> </w:t>
            </w:r>
            <w:r>
              <w:rPr>
                <w:rFonts w:ascii="华文细黑" w:hAnsi="华文细黑" w:cs="华文细黑" w:eastAsia="华文细黑" w:hint="default"/>
                <w:spacing w:val="-4"/>
                <w:sz w:val="18"/>
                <w:szCs w:val="18"/>
              </w:rPr>
              <w:t>伙企业（有限</w:t>
            </w:r>
            <w:r>
              <w:rPr>
                <w:rFonts w:ascii="华文细黑" w:hAnsi="华文细黑" w:cs="华文细黑" w:eastAsia="华文细黑" w:hint="default"/>
                <w:spacing w:val="-41"/>
                <w:sz w:val="18"/>
                <w:szCs w:val="18"/>
              </w:rPr>
              <w:t> </w:t>
            </w:r>
            <w:r>
              <w:rPr>
                <w:rFonts w:ascii="华文细黑" w:hAnsi="华文细黑" w:cs="华文细黑" w:eastAsia="华文细黑" w:hint="default"/>
                <w:spacing w:val="-41"/>
                <w:sz w:val="18"/>
                <w:szCs w:val="18"/>
              </w:rPr>
            </w:r>
            <w:r>
              <w:rPr>
                <w:rFonts w:ascii="华文细黑" w:hAnsi="华文细黑" w:cs="华文细黑" w:eastAsia="华文细黑" w:hint="default"/>
                <w:sz w:val="18"/>
                <w:szCs w:val="18"/>
              </w:rPr>
              <w:t>合伙）</w:t>
            </w:r>
          </w:p>
        </w:tc>
        <w:tc>
          <w:tcPr>
            <w:tcW w:w="127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1"/>
                <w:szCs w:val="11"/>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20.00</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1"/>
                <w:szCs w:val="11"/>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1"/>
                <w:szCs w:val="11"/>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1"/>
                <w:szCs w:val="11"/>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20.00</w:t>
            </w:r>
          </w:p>
        </w:tc>
        <w:tc>
          <w:tcPr>
            <w:tcW w:w="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1"/>
                <w:szCs w:val="11"/>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1"/>
                <w:szCs w:val="11"/>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1"/>
                <w:szCs w:val="11"/>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1"/>
                <w:szCs w:val="11"/>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1"/>
                <w:szCs w:val="11"/>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z w:val="15"/>
              </w:rPr>
              <w:t>0.01</w:t>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0"/>
              <w:ind w:right="0"/>
              <w:jc w:val="left"/>
              <w:rPr>
                <w:rFonts w:ascii="华文细黑" w:hAnsi="华文细黑" w:cs="华文细黑" w:eastAsia="华文细黑" w:hint="default"/>
                <w:sz w:val="11"/>
                <w:szCs w:val="11"/>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w:t>
            </w:r>
          </w:p>
        </w:tc>
      </w:tr>
      <w:tr>
        <w:trPr>
          <w:trHeight w:val="960" w:hRule="exact"/>
        </w:trPr>
        <w:tc>
          <w:tcPr>
            <w:tcW w:w="12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4" w:right="10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深 圳 市 优</w:t>
            </w:r>
            <w:r>
              <w:rPr>
                <w:rFonts w:ascii="华文细黑" w:hAnsi="华文细黑" w:cs="华文细黑" w:eastAsia="华文细黑" w:hint="default"/>
                <w:spacing w:val="-21"/>
                <w:sz w:val="18"/>
                <w:szCs w:val="18"/>
              </w:rPr>
              <w:t> </w:t>
            </w:r>
            <w:r>
              <w:rPr>
                <w:rFonts w:ascii="华文细黑" w:hAnsi="华文细黑" w:cs="华文细黑" w:eastAsia="华文细黑" w:hint="default"/>
                <w:sz w:val="18"/>
                <w:szCs w:val="18"/>
              </w:rPr>
              <w:t>宝</w:t>
            </w:r>
            <w:r>
              <w:rPr>
                <w:rFonts w:ascii="华文细黑" w:hAnsi="华文细黑" w:cs="华文细黑" w:eastAsia="华文细黑" w:hint="default"/>
                <w:sz w:val="18"/>
                <w:szCs w:val="18"/>
              </w:rPr>
              <w:t> 在 线 科 技</w:t>
            </w:r>
            <w:r>
              <w:rPr>
                <w:rFonts w:ascii="华文细黑" w:hAnsi="华文细黑" w:cs="华文细黑" w:eastAsia="华文细黑" w:hint="default"/>
                <w:spacing w:val="-21"/>
                <w:sz w:val="18"/>
                <w:szCs w:val="18"/>
              </w:rPr>
              <w:t> </w:t>
            </w:r>
            <w:r>
              <w:rPr>
                <w:rFonts w:ascii="华文细黑" w:hAnsi="华文细黑" w:cs="华文细黑" w:eastAsia="华文细黑" w:hint="default"/>
                <w:sz w:val="18"/>
                <w:szCs w:val="18"/>
              </w:rPr>
              <w:t>有</w:t>
            </w:r>
            <w:r>
              <w:rPr>
                <w:rFonts w:ascii="华文细黑" w:hAnsi="华文细黑" w:cs="华文细黑" w:eastAsia="华文细黑" w:hint="default"/>
                <w:sz w:val="18"/>
                <w:szCs w:val="18"/>
              </w:rPr>
              <w:t> 限公司</w:t>
            </w:r>
          </w:p>
        </w:tc>
        <w:tc>
          <w:tcPr>
            <w:tcW w:w="127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6"/>
              <w:ind w:right="0"/>
              <w:jc w:val="left"/>
              <w:rPr>
                <w:rFonts w:ascii="华文细黑" w:hAnsi="华文细黑" w:cs="华文细黑" w:eastAsia="华文细黑" w:hint="default"/>
                <w:sz w:val="15"/>
                <w:szCs w:val="15"/>
              </w:rPr>
            </w:pPr>
          </w:p>
          <w:p>
            <w:pPr>
              <w:pStyle w:val="TableParagraph"/>
              <w:spacing w:line="240" w:lineRule="auto"/>
              <w:ind w:right="99"/>
              <w:jc w:val="right"/>
              <w:rPr>
                <w:rFonts w:ascii="华文细黑" w:hAnsi="华文细黑" w:cs="华文细黑" w:eastAsia="华文细黑" w:hint="default"/>
                <w:sz w:val="15"/>
                <w:szCs w:val="15"/>
              </w:rPr>
            </w:pPr>
            <w:r>
              <w:rPr>
                <w:rFonts w:ascii="华文细黑"/>
                <w:spacing w:val="-1"/>
                <w:sz w:val="15"/>
              </w:rPr>
              <w:t>---</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6"/>
              <w:ind w:right="0"/>
              <w:jc w:val="left"/>
              <w:rPr>
                <w:rFonts w:ascii="华文细黑" w:hAnsi="华文细黑" w:cs="华文细黑" w:eastAsia="华文细黑" w:hint="default"/>
                <w:sz w:val="15"/>
                <w:szCs w:val="15"/>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200,000.00</w:t>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6"/>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6"/>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200,000.00</w:t>
            </w:r>
          </w:p>
        </w:tc>
        <w:tc>
          <w:tcPr>
            <w:tcW w:w="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6"/>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6"/>
              <w:ind w:right="0"/>
              <w:jc w:val="left"/>
              <w:rPr>
                <w:rFonts w:ascii="华文细黑" w:hAnsi="华文细黑" w:cs="华文细黑" w:eastAsia="华文细黑" w:hint="default"/>
                <w:sz w:val="15"/>
                <w:szCs w:val="15"/>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6"/>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6"/>
              <w:ind w:right="0"/>
              <w:jc w:val="left"/>
              <w:rPr>
                <w:rFonts w:ascii="华文细黑" w:hAnsi="华文细黑" w:cs="华文细黑" w:eastAsia="华文细黑" w:hint="default"/>
                <w:sz w:val="15"/>
                <w:szCs w:val="15"/>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6"/>
              <w:ind w:right="0"/>
              <w:jc w:val="left"/>
              <w:rPr>
                <w:rFonts w:ascii="华文细黑" w:hAnsi="华文细黑" w:cs="华文细黑" w:eastAsia="华文细黑" w:hint="default"/>
                <w:sz w:val="15"/>
                <w:szCs w:val="15"/>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10.00</w:t>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6"/>
              <w:ind w:right="0"/>
              <w:jc w:val="left"/>
              <w:rPr>
                <w:rFonts w:ascii="华文细黑" w:hAnsi="华文细黑" w:cs="华文细黑" w:eastAsia="华文细黑" w:hint="default"/>
                <w:sz w:val="15"/>
                <w:szCs w:val="15"/>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w:t>
            </w:r>
          </w:p>
        </w:tc>
      </w:tr>
      <w:tr>
        <w:trPr>
          <w:trHeight w:val="491" w:hRule="exact"/>
        </w:trPr>
        <w:tc>
          <w:tcPr>
            <w:tcW w:w="12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857" w:val="left" w:leader="none"/>
              </w:tabs>
              <w:spacing w:line="240" w:lineRule="auto" w:before="144"/>
              <w:ind w:left="22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27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12"/>
                <w:szCs w:val="12"/>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175,489,020.00</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12"/>
                <w:szCs w:val="12"/>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200,000.00</w:t>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12"/>
                <w:szCs w:val="12"/>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12"/>
                <w:szCs w:val="12"/>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175,689,020.00</w:t>
            </w:r>
          </w:p>
        </w:tc>
        <w:tc>
          <w:tcPr>
            <w:tcW w:w="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12"/>
                <w:szCs w:val="12"/>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12"/>
                <w:szCs w:val="12"/>
              </w:rPr>
            </w:pPr>
          </w:p>
          <w:p>
            <w:pPr>
              <w:pStyle w:val="TableParagraph"/>
              <w:spacing w:line="240" w:lineRule="auto"/>
              <w:ind w:right="103"/>
              <w:jc w:val="right"/>
              <w:rPr>
                <w:rFonts w:ascii="华文细黑" w:hAnsi="华文细黑" w:cs="华文细黑" w:eastAsia="华文细黑" w:hint="default"/>
                <w:sz w:val="15"/>
                <w:szCs w:val="15"/>
              </w:rPr>
            </w:pPr>
            <w:r>
              <w:rPr>
                <w:rFonts w:ascii="华文细黑"/>
                <w:spacing w:val="-1"/>
                <w:sz w:val="15"/>
              </w:rPr>
              <w:t>45,489,000.00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12"/>
                <w:szCs w:val="12"/>
              </w:rPr>
            </w:pPr>
          </w:p>
          <w:p>
            <w:pPr>
              <w:pStyle w:val="TableParagraph"/>
              <w:spacing w:line="240" w:lineRule="auto"/>
              <w:ind w:right="100"/>
              <w:jc w:val="right"/>
              <w:rPr>
                <w:rFonts w:ascii="华文细黑" w:hAnsi="华文细黑" w:cs="华文细黑" w:eastAsia="华文细黑" w:hint="default"/>
                <w:sz w:val="15"/>
                <w:szCs w:val="15"/>
              </w:rPr>
            </w:pPr>
            <w:r>
              <w:rPr>
                <w:rFonts w:ascii="华文细黑"/>
                <w:spacing w:val="-1"/>
                <w:sz w:val="15"/>
              </w:rPr>
              <w:t>---</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12"/>
                <w:szCs w:val="12"/>
              </w:rPr>
            </w:pPr>
          </w:p>
          <w:p>
            <w:pPr>
              <w:pStyle w:val="TableParagraph"/>
              <w:spacing w:line="240" w:lineRule="auto"/>
              <w:ind w:right="102"/>
              <w:jc w:val="right"/>
              <w:rPr>
                <w:rFonts w:ascii="华文细黑" w:hAnsi="华文细黑" w:cs="华文细黑" w:eastAsia="华文细黑" w:hint="default"/>
                <w:sz w:val="15"/>
                <w:szCs w:val="15"/>
              </w:rPr>
            </w:pPr>
            <w:r>
              <w:rPr>
                <w:rFonts w:ascii="华文细黑"/>
                <w:spacing w:val="-1"/>
                <w:sz w:val="15"/>
              </w:rPr>
              <w:t>45,489,000.00</w:t>
            </w:r>
          </w:p>
        </w:tc>
        <w:tc>
          <w:tcPr>
            <w:tcW w:w="851" w:type="dxa"/>
            <w:tcBorders>
              <w:top w:val="single" w:sz="4" w:space="0" w:color="FFC000"/>
              <w:left w:val="single" w:sz="4" w:space="0" w:color="FFC000"/>
              <w:bottom w:val="single" w:sz="4" w:space="0" w:color="FFC000"/>
              <w:right w:val="single" w:sz="4" w:space="0" w:color="FFC000"/>
            </w:tcBorders>
          </w:tcPr>
          <w:p>
            <w:pP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12"/>
                <w:szCs w:val="12"/>
              </w:rPr>
            </w:pPr>
          </w:p>
          <w:p>
            <w:pPr>
              <w:pStyle w:val="TableParagraph"/>
              <w:spacing w:line="240" w:lineRule="auto"/>
              <w:ind w:right="101"/>
              <w:jc w:val="right"/>
              <w:rPr>
                <w:rFonts w:ascii="华文细黑" w:hAnsi="华文细黑" w:cs="华文细黑" w:eastAsia="华文细黑" w:hint="default"/>
                <w:sz w:val="15"/>
                <w:szCs w:val="15"/>
              </w:rPr>
            </w:pPr>
            <w:r>
              <w:rPr>
                <w:rFonts w:ascii="华文细黑"/>
                <w:spacing w:val="-1"/>
                <w:sz w:val="15"/>
              </w:rPr>
              <w:t>---</w:t>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1520" w:right="0"/>
        <w:jc w:val="left"/>
      </w:pPr>
      <w:r>
        <w:rPr/>
        <w:t>（</w:t>
      </w:r>
      <w:r>
        <w:rPr>
          <w:rFonts w:ascii="华文细黑" w:hAnsi="华文细黑" w:cs="华文细黑" w:eastAsia="华文细黑" w:hint="default"/>
        </w:rPr>
        <w:t>4</w:t>
      </w:r>
      <w:r>
        <w:rPr/>
        <w:t>）本年可供出售金融资产减值的变动情况</w:t>
      </w:r>
    </w:p>
    <w:p>
      <w:pPr>
        <w:spacing w:line="240" w:lineRule="auto" w:before="5"/>
        <w:rPr>
          <w:rFonts w:ascii="华文细黑" w:hAnsi="华文细黑" w:cs="华文细黑" w:eastAsia="华文细黑" w:hint="default"/>
          <w:sz w:val="5"/>
          <w:szCs w:val="5"/>
        </w:rPr>
      </w:pPr>
    </w:p>
    <w:tbl>
      <w:tblPr>
        <w:tblW w:w="0" w:type="auto"/>
        <w:jc w:val="left"/>
        <w:tblInd w:w="1100" w:type="dxa"/>
        <w:tblLayout w:type="fixed"/>
        <w:tblCellMar>
          <w:top w:w="0" w:type="dxa"/>
          <w:left w:w="0" w:type="dxa"/>
          <w:bottom w:w="0" w:type="dxa"/>
          <w:right w:w="0" w:type="dxa"/>
        </w:tblCellMar>
        <w:tblLook w:val="01E0"/>
      </w:tblPr>
      <w:tblGrid>
        <w:gridCol w:w="3369"/>
        <w:gridCol w:w="1952"/>
        <w:gridCol w:w="1984"/>
        <w:gridCol w:w="1876"/>
      </w:tblGrid>
      <w:tr>
        <w:trPr>
          <w:trHeight w:val="810" w:hRule="exact"/>
        </w:trPr>
        <w:tc>
          <w:tcPr>
            <w:tcW w:w="336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
              <w:ind w:right="0"/>
              <w:jc w:val="left"/>
              <w:rPr>
                <w:rFonts w:ascii="华文细黑" w:hAnsi="华文细黑" w:cs="华文细黑" w:eastAsia="华文细黑" w:hint="default"/>
                <w:sz w:val="21"/>
                <w:szCs w:val="21"/>
              </w:rPr>
            </w:pPr>
          </w:p>
          <w:p>
            <w:pPr>
              <w:pStyle w:val="TableParagraph"/>
              <w:spacing w:line="240" w:lineRule="auto"/>
              <w:ind w:left="95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可供出售金融资产分类</w:t>
            </w:r>
          </w:p>
        </w:tc>
        <w:tc>
          <w:tcPr>
            <w:tcW w:w="19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3"/>
              <w:ind w:left="464" w:right="0"/>
              <w:jc w:val="left"/>
              <w:rPr>
                <w:rFonts w:ascii="华文细黑" w:hAnsi="华文细黑" w:cs="华文细黑" w:eastAsia="华文细黑" w:hint="default"/>
                <w:sz w:val="18"/>
                <w:szCs w:val="18"/>
              </w:rPr>
            </w:pPr>
            <w:r>
              <w:rPr>
                <w:rFonts w:ascii="华文细黑" w:hAnsi="华文细黑" w:cs="华文细黑" w:eastAsia="华文细黑" w:hint="default"/>
                <w:spacing w:val="16"/>
                <w:sz w:val="18"/>
                <w:szCs w:val="18"/>
              </w:rPr>
              <w:t>可供出售权益工</w:t>
            </w:r>
            <w:r>
              <w:rPr>
                <w:rFonts w:ascii="华文细黑" w:hAnsi="华文细黑" w:cs="华文细黑" w:eastAsia="华文细黑" w:hint="default"/>
                <w:spacing w:val="-26"/>
                <w:sz w:val="18"/>
                <w:szCs w:val="18"/>
              </w:rPr>
              <w:t> </w:t>
            </w:r>
            <w:r>
              <w:rPr>
                <w:rFonts w:ascii="华文细黑" w:hAnsi="华文细黑" w:cs="华文细黑" w:eastAsia="华文细黑" w:hint="default"/>
                <w:sz w:val="18"/>
                <w:szCs w:val="18"/>
              </w:rPr>
            </w:r>
          </w:p>
          <w:p>
            <w:pPr>
              <w:pStyle w:val="TableParagraph"/>
              <w:spacing w:line="240" w:lineRule="auto" w:before="145"/>
              <w:ind w:left="10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具</w:t>
            </w:r>
          </w:p>
        </w:tc>
        <w:tc>
          <w:tcPr>
            <w:tcW w:w="19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3"/>
              <w:ind w:left="46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w:t>
            </w:r>
            <w:r>
              <w:rPr>
                <w:rFonts w:ascii="华文细黑" w:hAnsi="华文细黑" w:cs="华文细黑" w:eastAsia="华文细黑" w:hint="default"/>
                <w:spacing w:val="-20"/>
                <w:sz w:val="18"/>
                <w:szCs w:val="18"/>
              </w:rPr>
              <w:t> </w:t>
            </w:r>
            <w:r>
              <w:rPr>
                <w:rFonts w:ascii="华文细黑" w:hAnsi="华文细黑" w:cs="华文细黑" w:eastAsia="华文细黑" w:hint="default"/>
                <w:sz w:val="18"/>
                <w:szCs w:val="18"/>
              </w:rPr>
              <w:t>供</w:t>
            </w:r>
            <w:r>
              <w:rPr>
                <w:rFonts w:ascii="华文细黑" w:hAnsi="华文细黑" w:cs="华文细黑" w:eastAsia="华文细黑" w:hint="default"/>
                <w:spacing w:val="-20"/>
                <w:sz w:val="18"/>
                <w:szCs w:val="18"/>
              </w:rPr>
              <w:t> </w:t>
            </w:r>
            <w:r>
              <w:rPr>
                <w:rFonts w:ascii="华文细黑" w:hAnsi="华文细黑" w:cs="华文细黑" w:eastAsia="华文细黑" w:hint="default"/>
                <w:sz w:val="18"/>
                <w:szCs w:val="18"/>
              </w:rPr>
              <w:t>出</w:t>
            </w:r>
            <w:r>
              <w:rPr>
                <w:rFonts w:ascii="华文细黑" w:hAnsi="华文细黑" w:cs="华文细黑" w:eastAsia="华文细黑" w:hint="default"/>
                <w:spacing w:val="-22"/>
                <w:sz w:val="18"/>
                <w:szCs w:val="18"/>
              </w:rPr>
              <w:t> </w:t>
            </w:r>
            <w:r>
              <w:rPr>
                <w:rFonts w:ascii="华文细黑" w:hAnsi="华文细黑" w:cs="华文细黑" w:eastAsia="华文细黑" w:hint="default"/>
                <w:sz w:val="18"/>
                <w:szCs w:val="18"/>
              </w:rPr>
              <w:t>售</w:t>
            </w:r>
            <w:r>
              <w:rPr>
                <w:rFonts w:ascii="华文细黑" w:hAnsi="华文细黑" w:cs="华文细黑" w:eastAsia="华文细黑" w:hint="default"/>
                <w:spacing w:val="-20"/>
                <w:sz w:val="18"/>
                <w:szCs w:val="18"/>
              </w:rPr>
              <w:t> </w:t>
            </w:r>
            <w:r>
              <w:rPr>
                <w:rFonts w:ascii="华文细黑" w:hAnsi="华文细黑" w:cs="华文细黑" w:eastAsia="华文细黑" w:hint="default"/>
                <w:sz w:val="18"/>
                <w:szCs w:val="18"/>
              </w:rPr>
              <w:t>债</w:t>
            </w:r>
            <w:r>
              <w:rPr>
                <w:rFonts w:ascii="华文细黑" w:hAnsi="华文细黑" w:cs="华文细黑" w:eastAsia="华文细黑" w:hint="default"/>
                <w:spacing w:val="-22"/>
                <w:sz w:val="18"/>
                <w:szCs w:val="18"/>
              </w:rPr>
              <w:t> </w:t>
            </w:r>
            <w:r>
              <w:rPr>
                <w:rFonts w:ascii="华文细黑" w:hAnsi="华文细黑" w:cs="华文细黑" w:eastAsia="华文细黑" w:hint="default"/>
                <w:sz w:val="18"/>
                <w:szCs w:val="18"/>
              </w:rPr>
              <w:t>务</w:t>
            </w:r>
            <w:r>
              <w:rPr>
                <w:rFonts w:ascii="华文细黑" w:hAnsi="华文细黑" w:cs="华文细黑" w:eastAsia="华文细黑" w:hint="default"/>
                <w:spacing w:val="-22"/>
                <w:sz w:val="18"/>
                <w:szCs w:val="18"/>
              </w:rPr>
              <w:t> </w:t>
            </w:r>
            <w:r>
              <w:rPr>
                <w:rFonts w:ascii="华文细黑" w:hAnsi="华文细黑" w:cs="华文细黑" w:eastAsia="华文细黑" w:hint="default"/>
                <w:sz w:val="18"/>
                <w:szCs w:val="18"/>
              </w:rPr>
              <w:t>工</w:t>
            </w:r>
          </w:p>
          <w:p>
            <w:pPr>
              <w:pStyle w:val="TableParagraph"/>
              <w:spacing w:line="240" w:lineRule="auto" w:before="145"/>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具</w:t>
            </w:r>
          </w:p>
        </w:tc>
        <w:tc>
          <w:tcPr>
            <w:tcW w:w="18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
              <w:ind w:right="0"/>
              <w:jc w:val="left"/>
              <w:rPr>
                <w:rFonts w:ascii="华文细黑" w:hAnsi="华文细黑" w:cs="华文细黑" w:eastAsia="华文细黑" w:hint="default"/>
                <w:sz w:val="21"/>
                <w:szCs w:val="21"/>
              </w:rPr>
            </w:pPr>
          </w:p>
          <w:p>
            <w:pPr>
              <w:pStyle w:val="TableParagraph"/>
              <w:spacing w:line="240" w:lineRule="auto"/>
              <w:ind w:left="88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r>
      <w:tr>
        <w:trPr>
          <w:trHeight w:val="490" w:hRule="exact"/>
        </w:trPr>
        <w:tc>
          <w:tcPr>
            <w:tcW w:w="336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3"/>
              <w:ind w:left="4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年初已计提减值余额</w:t>
            </w:r>
          </w:p>
        </w:tc>
        <w:tc>
          <w:tcPr>
            <w:tcW w:w="195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c>
          <w:tcPr>
            <w:tcW w:w="18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336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本年计提</w:t>
            </w:r>
          </w:p>
        </w:tc>
        <w:tc>
          <w:tcPr>
            <w:tcW w:w="195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413,408,644.20</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c>
          <w:tcPr>
            <w:tcW w:w="18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413,408,644.20</w:t>
            </w:r>
          </w:p>
        </w:tc>
      </w:tr>
      <w:tr>
        <w:trPr>
          <w:trHeight w:val="491" w:hRule="exact"/>
        </w:trPr>
        <w:tc>
          <w:tcPr>
            <w:tcW w:w="336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其中：从其他综合收益转入</w:t>
            </w:r>
          </w:p>
        </w:tc>
        <w:tc>
          <w:tcPr>
            <w:tcW w:w="195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c>
          <w:tcPr>
            <w:tcW w:w="18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336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3"/>
              <w:ind w:left="4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年末已计提减值余额</w:t>
            </w:r>
          </w:p>
        </w:tc>
        <w:tc>
          <w:tcPr>
            <w:tcW w:w="195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413,408,644.20</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c>
          <w:tcPr>
            <w:tcW w:w="18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413,408,644.20</w:t>
            </w:r>
          </w:p>
        </w:tc>
      </w:tr>
    </w:tbl>
    <w:p>
      <w:pPr>
        <w:spacing w:line="240" w:lineRule="auto" w:before="13"/>
        <w:rPr>
          <w:rFonts w:ascii="华文细黑" w:hAnsi="华文细黑" w:cs="华文细黑" w:eastAsia="华文细黑" w:hint="default"/>
          <w:sz w:val="6"/>
          <w:szCs w:val="6"/>
        </w:rPr>
      </w:pPr>
    </w:p>
    <w:p>
      <w:pPr>
        <w:pStyle w:val="Heading5"/>
        <w:spacing w:line="240" w:lineRule="auto"/>
        <w:ind w:left="1520" w:right="8017"/>
        <w:jc w:val="left"/>
        <w:rPr>
          <w:b w:val="0"/>
          <w:bCs w:val="0"/>
        </w:rPr>
      </w:pPr>
      <w:bookmarkStart w:name="10、长期股权投资" w:id="272"/>
      <w:bookmarkEnd w:id="272"/>
      <w:r>
        <w:rPr>
          <w:b w:val="0"/>
          <w:bCs w:val="0"/>
        </w:rPr>
      </w:r>
      <w:r>
        <w:rPr>
          <w:rFonts w:ascii="华文细黑" w:hAnsi="华文细黑" w:cs="华文细黑" w:eastAsia="华文细黑" w:hint="default"/>
        </w:rPr>
        <w:t>10</w:t>
      </w:r>
      <w:r>
        <w:rPr/>
        <w:t>、长期股权投资</w:t>
      </w:r>
      <w:r>
        <w:rPr>
          <w:b w:val="0"/>
          <w:bCs w:val="0"/>
        </w:rPr>
      </w:r>
    </w:p>
    <w:p>
      <w:pPr>
        <w:spacing w:line="240" w:lineRule="auto" w:before="5"/>
        <w:rPr>
          <w:rFonts w:ascii="华文细黑" w:hAnsi="华文细黑" w:cs="华文细黑" w:eastAsia="华文细黑" w:hint="default"/>
          <w:b/>
          <w:bCs/>
          <w:sz w:val="5"/>
          <w:szCs w:val="5"/>
        </w:rPr>
      </w:pPr>
    </w:p>
    <w:tbl>
      <w:tblPr>
        <w:tblW w:w="0" w:type="auto"/>
        <w:jc w:val="left"/>
        <w:tblInd w:w="965" w:type="dxa"/>
        <w:tblLayout w:type="fixed"/>
        <w:tblCellMar>
          <w:top w:w="0" w:type="dxa"/>
          <w:left w:w="0" w:type="dxa"/>
          <w:bottom w:w="0" w:type="dxa"/>
          <w:right w:w="0" w:type="dxa"/>
        </w:tblCellMar>
        <w:tblLook w:val="01E0"/>
      </w:tblPr>
      <w:tblGrid>
        <w:gridCol w:w="1820"/>
        <w:gridCol w:w="1429"/>
        <w:gridCol w:w="1418"/>
        <w:gridCol w:w="682"/>
        <w:gridCol w:w="1417"/>
        <w:gridCol w:w="993"/>
        <w:gridCol w:w="1276"/>
      </w:tblGrid>
      <w:tr>
        <w:trPr>
          <w:trHeight w:val="485" w:hRule="exact"/>
        </w:trPr>
        <w:tc>
          <w:tcPr>
            <w:tcW w:w="1820" w:type="dxa"/>
            <w:tcBorders>
              <w:top w:val="single" w:sz="4" w:space="0" w:color="FFC000"/>
              <w:left w:val="single" w:sz="4" w:space="0" w:color="FFC000"/>
              <w:bottom w:val="nil" w:sz="6" w:space="0" w:color="auto"/>
              <w:right w:val="single" w:sz="4" w:space="0" w:color="FFC000"/>
            </w:tcBorders>
            <w:shd w:val="clear" w:color="auto" w:fill="FFF8E6"/>
          </w:tcPr>
          <w:p>
            <w:pPr/>
          </w:p>
        </w:tc>
        <w:tc>
          <w:tcPr>
            <w:tcW w:w="1429" w:type="dxa"/>
            <w:tcBorders>
              <w:top w:val="single" w:sz="4" w:space="0" w:color="FFC000"/>
              <w:left w:val="single" w:sz="4" w:space="0" w:color="FFC000"/>
              <w:bottom w:val="nil" w:sz="6" w:space="0" w:color="auto"/>
              <w:right w:val="single" w:sz="4" w:space="0" w:color="FFC000"/>
            </w:tcBorders>
            <w:shd w:val="clear" w:color="auto" w:fill="FFF8E6"/>
          </w:tcPr>
          <w:p>
            <w:pPr/>
          </w:p>
        </w:tc>
        <w:tc>
          <w:tcPr>
            <w:tcW w:w="5785" w:type="dxa"/>
            <w:gridSpan w:val="5"/>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本年增减变动</w:t>
            </w:r>
          </w:p>
        </w:tc>
      </w:tr>
      <w:tr>
        <w:trPr>
          <w:trHeight w:val="210" w:hRule="exact"/>
        </w:trPr>
        <w:tc>
          <w:tcPr>
            <w:tcW w:w="1820"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09"/>
              <w:ind w:left="45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被投资单位</w:t>
            </w:r>
          </w:p>
        </w:tc>
        <w:tc>
          <w:tcPr>
            <w:tcW w:w="1429"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09"/>
              <w:ind w:left="35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1418" w:type="dxa"/>
            <w:tcBorders>
              <w:top w:val="single" w:sz="4" w:space="0" w:color="FFC000"/>
              <w:left w:val="single" w:sz="4" w:space="0" w:color="FFC000"/>
              <w:bottom w:val="nil" w:sz="6" w:space="0" w:color="auto"/>
              <w:right w:val="single" w:sz="4" w:space="0" w:color="FFC000"/>
            </w:tcBorders>
            <w:shd w:val="clear" w:color="auto" w:fill="FFF8E6"/>
          </w:tcPr>
          <w:p>
            <w:pPr/>
          </w:p>
        </w:tc>
        <w:tc>
          <w:tcPr>
            <w:tcW w:w="682"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8"/>
              <w:ind w:left="244" w:right="65"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减少投 资</w:t>
            </w:r>
          </w:p>
        </w:tc>
        <w:tc>
          <w:tcPr>
            <w:tcW w:w="1417"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8"/>
              <w:ind w:left="343" w:right="72" w:hanging="27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权益法下确认的 投资损益</w:t>
            </w:r>
          </w:p>
        </w:tc>
        <w:tc>
          <w:tcPr>
            <w:tcW w:w="993"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8"/>
              <w:ind w:left="221" w:right="41"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其他综合收 益调整</w:t>
            </w:r>
          </w:p>
        </w:tc>
        <w:tc>
          <w:tcPr>
            <w:tcW w:w="1276" w:type="dxa"/>
            <w:tcBorders>
              <w:top w:val="single" w:sz="4" w:space="0" w:color="FFC000"/>
              <w:left w:val="single" w:sz="4" w:space="0" w:color="FFC000"/>
              <w:bottom w:val="nil" w:sz="6" w:space="0" w:color="auto"/>
              <w:right w:val="single" w:sz="4" w:space="0" w:color="FFC000"/>
            </w:tcBorders>
            <w:shd w:val="clear" w:color="auto" w:fill="FFF8E6"/>
          </w:tcPr>
          <w:p>
            <w:pPr/>
          </w:p>
        </w:tc>
      </w:tr>
      <w:tr>
        <w:trPr>
          <w:trHeight w:val="235" w:hRule="exact"/>
        </w:trPr>
        <w:tc>
          <w:tcPr>
            <w:tcW w:w="1820" w:type="dxa"/>
            <w:vMerge/>
            <w:tcBorders>
              <w:left w:val="single" w:sz="4" w:space="0" w:color="FFC000"/>
              <w:bottom w:val="nil" w:sz="6" w:space="0" w:color="auto"/>
              <w:right w:val="single" w:sz="4" w:space="0" w:color="FFC000"/>
            </w:tcBorders>
            <w:shd w:val="clear" w:color="auto" w:fill="FFF8E6"/>
          </w:tcPr>
          <w:p>
            <w:pPr/>
          </w:p>
        </w:tc>
        <w:tc>
          <w:tcPr>
            <w:tcW w:w="1429" w:type="dxa"/>
            <w:vMerge/>
            <w:tcBorders>
              <w:left w:val="single" w:sz="4" w:space="0" w:color="FFC000"/>
              <w:bottom w:val="nil" w:sz="6" w:space="0" w:color="auto"/>
              <w:right w:val="single" w:sz="4" w:space="0" w:color="FFC000"/>
            </w:tcBorders>
            <w:shd w:val="clear" w:color="auto" w:fill="FFF8E6"/>
          </w:tcPr>
          <w:p>
            <w:pPr/>
          </w:p>
        </w:tc>
        <w:tc>
          <w:tcPr>
            <w:tcW w:w="1418"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29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追加投资</w:t>
            </w:r>
          </w:p>
        </w:tc>
        <w:tc>
          <w:tcPr>
            <w:tcW w:w="682" w:type="dxa"/>
            <w:vMerge/>
            <w:tcBorders>
              <w:left w:val="single" w:sz="4" w:space="0" w:color="FFC000"/>
              <w:right w:val="single" w:sz="4" w:space="0" w:color="FFC000"/>
            </w:tcBorders>
            <w:shd w:val="clear" w:color="auto" w:fill="FFF8E6"/>
          </w:tcPr>
          <w:p>
            <w:pPr/>
          </w:p>
        </w:tc>
        <w:tc>
          <w:tcPr>
            <w:tcW w:w="1417" w:type="dxa"/>
            <w:vMerge/>
            <w:tcBorders>
              <w:left w:val="single" w:sz="4" w:space="0" w:color="FFC000"/>
              <w:right w:val="single" w:sz="4" w:space="0" w:color="FFC000"/>
            </w:tcBorders>
            <w:shd w:val="clear" w:color="auto" w:fill="FFF8E6"/>
          </w:tcPr>
          <w:p>
            <w:pPr/>
          </w:p>
        </w:tc>
        <w:tc>
          <w:tcPr>
            <w:tcW w:w="993" w:type="dxa"/>
            <w:vMerge/>
            <w:tcBorders>
              <w:left w:val="single" w:sz="4" w:space="0" w:color="FFC000"/>
              <w:right w:val="single" w:sz="4" w:space="0" w:color="FFC000"/>
            </w:tcBorders>
            <w:shd w:val="clear" w:color="auto" w:fill="FFF8E6"/>
          </w:tcPr>
          <w:p>
            <w:pPr/>
          </w:p>
        </w:tc>
        <w:tc>
          <w:tcPr>
            <w:tcW w:w="1276"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9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其他权益变动</w:t>
            </w:r>
          </w:p>
        </w:tc>
      </w:tr>
      <w:tr>
        <w:trPr>
          <w:trHeight w:val="245" w:hRule="exact"/>
        </w:trPr>
        <w:tc>
          <w:tcPr>
            <w:tcW w:w="1820" w:type="dxa"/>
            <w:vMerge w:val="restart"/>
            <w:tcBorders>
              <w:top w:val="nil" w:sz="6" w:space="0" w:color="auto"/>
              <w:left w:val="single" w:sz="4" w:space="0" w:color="FFC000"/>
              <w:right w:val="single" w:sz="4" w:space="0" w:color="FFC000"/>
            </w:tcBorders>
            <w:shd w:val="clear" w:color="auto" w:fill="FFF8E6"/>
          </w:tcPr>
          <w:p>
            <w:pPr/>
          </w:p>
        </w:tc>
        <w:tc>
          <w:tcPr>
            <w:tcW w:w="1429" w:type="dxa"/>
            <w:vMerge w:val="restart"/>
            <w:tcBorders>
              <w:top w:val="nil" w:sz="6" w:space="0" w:color="auto"/>
              <w:left w:val="single" w:sz="4" w:space="0" w:color="FFC000"/>
              <w:right w:val="single" w:sz="4" w:space="0" w:color="FFC000"/>
            </w:tcBorders>
            <w:shd w:val="clear" w:color="auto" w:fill="FFF8E6"/>
          </w:tcPr>
          <w:p>
            <w:pPr/>
          </w:p>
        </w:tc>
        <w:tc>
          <w:tcPr>
            <w:tcW w:w="1418" w:type="dxa"/>
            <w:vMerge/>
            <w:tcBorders>
              <w:left w:val="single" w:sz="4" w:space="0" w:color="FFC000"/>
              <w:bottom w:val="nil" w:sz="6" w:space="0" w:color="auto"/>
              <w:right w:val="single" w:sz="4" w:space="0" w:color="FFC000"/>
            </w:tcBorders>
            <w:shd w:val="clear" w:color="auto" w:fill="FFF8E6"/>
          </w:tcPr>
          <w:p>
            <w:pPr/>
          </w:p>
        </w:tc>
        <w:tc>
          <w:tcPr>
            <w:tcW w:w="682" w:type="dxa"/>
            <w:vMerge/>
            <w:tcBorders>
              <w:left w:val="single" w:sz="4" w:space="0" w:color="FFC000"/>
              <w:right w:val="single" w:sz="4" w:space="0" w:color="FFC000"/>
            </w:tcBorders>
            <w:shd w:val="clear" w:color="auto" w:fill="FFF8E6"/>
          </w:tcPr>
          <w:p>
            <w:pPr/>
          </w:p>
        </w:tc>
        <w:tc>
          <w:tcPr>
            <w:tcW w:w="1417" w:type="dxa"/>
            <w:vMerge/>
            <w:tcBorders>
              <w:left w:val="single" w:sz="4" w:space="0" w:color="FFC000"/>
              <w:right w:val="single" w:sz="4" w:space="0" w:color="FFC000"/>
            </w:tcBorders>
            <w:shd w:val="clear" w:color="auto" w:fill="FFF8E6"/>
          </w:tcPr>
          <w:p>
            <w:pPr/>
          </w:p>
        </w:tc>
        <w:tc>
          <w:tcPr>
            <w:tcW w:w="993" w:type="dxa"/>
            <w:vMerge/>
            <w:tcBorders>
              <w:left w:val="single" w:sz="4" w:space="0" w:color="FFC000"/>
              <w:right w:val="single" w:sz="4" w:space="0" w:color="FFC000"/>
            </w:tcBorders>
            <w:shd w:val="clear" w:color="auto" w:fill="FFF8E6"/>
          </w:tcPr>
          <w:p>
            <w:pPr/>
          </w:p>
        </w:tc>
        <w:tc>
          <w:tcPr>
            <w:tcW w:w="1276" w:type="dxa"/>
            <w:vMerge/>
            <w:tcBorders>
              <w:left w:val="single" w:sz="4" w:space="0" w:color="FFC000"/>
              <w:bottom w:val="nil" w:sz="6" w:space="0" w:color="auto"/>
              <w:right w:val="single" w:sz="4" w:space="0" w:color="FFC000"/>
            </w:tcBorders>
            <w:shd w:val="clear" w:color="auto" w:fill="FFF8E6"/>
          </w:tcPr>
          <w:p>
            <w:pPr/>
          </w:p>
        </w:tc>
      </w:tr>
      <w:tr>
        <w:trPr>
          <w:trHeight w:val="205" w:hRule="exact"/>
        </w:trPr>
        <w:tc>
          <w:tcPr>
            <w:tcW w:w="1820" w:type="dxa"/>
            <w:vMerge/>
            <w:tcBorders>
              <w:left w:val="single" w:sz="4" w:space="0" w:color="FFC000"/>
              <w:bottom w:val="single" w:sz="4" w:space="0" w:color="FFC000"/>
              <w:right w:val="single" w:sz="4" w:space="0" w:color="FFC000"/>
            </w:tcBorders>
            <w:shd w:val="clear" w:color="auto" w:fill="FFF8E6"/>
          </w:tcPr>
          <w:p>
            <w:pPr/>
          </w:p>
        </w:tc>
        <w:tc>
          <w:tcPr>
            <w:tcW w:w="1429" w:type="dxa"/>
            <w:vMerge/>
            <w:tcBorders>
              <w:left w:val="single" w:sz="4" w:space="0" w:color="FFC000"/>
              <w:bottom w:val="single" w:sz="4" w:space="0" w:color="FFC000"/>
              <w:right w:val="single" w:sz="4" w:space="0" w:color="FFC000"/>
            </w:tcBorders>
            <w:shd w:val="clear" w:color="auto" w:fill="FFF8E6"/>
          </w:tcPr>
          <w:p>
            <w:pPr/>
          </w:p>
        </w:tc>
        <w:tc>
          <w:tcPr>
            <w:tcW w:w="1418" w:type="dxa"/>
            <w:tcBorders>
              <w:top w:val="nil" w:sz="6" w:space="0" w:color="auto"/>
              <w:left w:val="single" w:sz="4" w:space="0" w:color="FFC000"/>
              <w:bottom w:val="single" w:sz="4" w:space="0" w:color="FFC000"/>
              <w:right w:val="single" w:sz="4" w:space="0" w:color="FFC000"/>
            </w:tcBorders>
            <w:shd w:val="clear" w:color="auto" w:fill="FFF8E6"/>
          </w:tcPr>
          <w:p>
            <w:pPr/>
          </w:p>
        </w:tc>
        <w:tc>
          <w:tcPr>
            <w:tcW w:w="682" w:type="dxa"/>
            <w:vMerge/>
            <w:tcBorders>
              <w:left w:val="single" w:sz="4" w:space="0" w:color="FFC000"/>
              <w:bottom w:val="single" w:sz="4" w:space="0" w:color="FFC000"/>
              <w:right w:val="single" w:sz="4" w:space="0" w:color="FFC000"/>
            </w:tcBorders>
            <w:shd w:val="clear" w:color="auto" w:fill="FFF8E6"/>
          </w:tcPr>
          <w:p>
            <w:pPr/>
          </w:p>
        </w:tc>
        <w:tc>
          <w:tcPr>
            <w:tcW w:w="1417" w:type="dxa"/>
            <w:vMerge/>
            <w:tcBorders>
              <w:left w:val="single" w:sz="4" w:space="0" w:color="FFC000"/>
              <w:bottom w:val="single" w:sz="4" w:space="0" w:color="FFC000"/>
              <w:right w:val="single" w:sz="4" w:space="0" w:color="FFC000"/>
            </w:tcBorders>
            <w:shd w:val="clear" w:color="auto" w:fill="FFF8E6"/>
          </w:tcPr>
          <w:p>
            <w:pPr/>
          </w:p>
        </w:tc>
        <w:tc>
          <w:tcPr>
            <w:tcW w:w="993" w:type="dxa"/>
            <w:vMerge/>
            <w:tcBorders>
              <w:left w:val="single" w:sz="4" w:space="0" w:color="FFC000"/>
              <w:bottom w:val="single" w:sz="4" w:space="0" w:color="FFC000"/>
              <w:right w:val="single" w:sz="4" w:space="0" w:color="FFC000"/>
            </w:tcBorders>
            <w:shd w:val="clear" w:color="auto" w:fill="FFF8E6"/>
          </w:tcPr>
          <w:p>
            <w:pPr/>
          </w:p>
        </w:tc>
        <w:tc>
          <w:tcPr>
            <w:tcW w:w="1276" w:type="dxa"/>
            <w:tcBorders>
              <w:top w:val="nil" w:sz="6" w:space="0" w:color="auto"/>
              <w:left w:val="single" w:sz="4" w:space="0" w:color="FFC000"/>
              <w:bottom w:val="single" w:sz="4" w:space="0" w:color="FFC000"/>
              <w:right w:val="single" w:sz="4" w:space="0" w:color="FFC000"/>
            </w:tcBorders>
            <w:shd w:val="clear" w:color="auto" w:fill="FFF8E6"/>
          </w:tcPr>
          <w:p>
            <w:pPr/>
          </w:p>
        </w:tc>
      </w:tr>
      <w:tr>
        <w:trPr>
          <w:trHeight w:val="490" w:hRule="exact"/>
        </w:trPr>
        <w:tc>
          <w:tcPr>
            <w:tcW w:w="182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一、合营企业</w:t>
            </w:r>
          </w:p>
        </w:tc>
        <w:tc>
          <w:tcPr>
            <w:tcW w:w="1429"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418"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682"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417"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993"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276"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0" w:hRule="exact"/>
        </w:trPr>
        <w:tc>
          <w:tcPr>
            <w:tcW w:w="182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二、联营企业</w:t>
            </w:r>
          </w:p>
        </w:tc>
        <w:tc>
          <w:tcPr>
            <w:tcW w:w="1429"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418"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682"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417"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993"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276"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960" w:hRule="exact"/>
        </w:trPr>
        <w:tc>
          <w:tcPr>
            <w:tcW w:w="182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1" w:right="10"/>
              <w:jc w:val="both"/>
              <w:rPr>
                <w:rFonts w:ascii="华文细黑" w:hAnsi="华文细黑" w:cs="华文细黑" w:eastAsia="华文细黑" w:hint="default"/>
                <w:sz w:val="18"/>
                <w:szCs w:val="18"/>
              </w:rPr>
            </w:pPr>
            <w:r>
              <w:rPr>
                <w:rFonts w:ascii="华文细黑" w:hAnsi="华文细黑" w:cs="华文细黑" w:eastAsia="华文细黑" w:hint="default"/>
                <w:spacing w:val="18"/>
                <w:sz w:val="18"/>
                <w:szCs w:val="18"/>
              </w:rPr>
              <w:t>深圳国鑫创沅移动互</w:t>
            </w:r>
            <w:r>
              <w:rPr>
                <w:rFonts w:ascii="华文细黑" w:hAnsi="华文细黑" w:cs="华文细黑" w:eastAsia="华文细黑" w:hint="default"/>
                <w:sz w:val="18"/>
                <w:szCs w:val="18"/>
              </w:rPr>
              <w:t> </w:t>
            </w:r>
            <w:r>
              <w:rPr>
                <w:rFonts w:ascii="华文细黑" w:hAnsi="华文细黑" w:cs="华文细黑" w:eastAsia="华文细黑" w:hint="default"/>
                <w:spacing w:val="-2"/>
                <w:sz w:val="18"/>
                <w:szCs w:val="18"/>
              </w:rPr>
              <w:t>联网股权投资中心（有</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限合伙）</w:t>
            </w:r>
          </w:p>
        </w:tc>
        <w:tc>
          <w:tcPr>
            <w:tcW w:w="142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26"/>
                <w:szCs w:val="2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30,044,257.72</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26"/>
                <w:szCs w:val="2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68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26"/>
                <w:szCs w:val="2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26"/>
                <w:szCs w:val="2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w w:val="95"/>
                <w:sz w:val="18"/>
              </w:rPr>
              <w:t>113,179.21</w:t>
            </w:r>
          </w:p>
        </w:tc>
        <w:tc>
          <w:tcPr>
            <w:tcW w:w="9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26"/>
                <w:szCs w:val="2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b/>
                <w:bCs/>
                <w:sz w:val="26"/>
                <w:szCs w:val="26"/>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r>
      <w:tr>
        <w:trPr>
          <w:trHeight w:val="670" w:hRule="exact"/>
        </w:trPr>
        <w:tc>
          <w:tcPr>
            <w:tcW w:w="182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1" w:right="13"/>
              <w:jc w:val="left"/>
              <w:rPr>
                <w:rFonts w:ascii="华文细黑" w:hAnsi="华文细黑" w:cs="华文细黑" w:eastAsia="华文细黑" w:hint="default"/>
                <w:sz w:val="18"/>
                <w:szCs w:val="18"/>
              </w:rPr>
            </w:pPr>
            <w:r>
              <w:rPr>
                <w:rFonts w:ascii="华文细黑" w:hAnsi="华文细黑" w:cs="华文细黑" w:eastAsia="华文细黑" w:hint="default"/>
                <w:spacing w:val="18"/>
                <w:sz w:val="18"/>
                <w:szCs w:val="18"/>
              </w:rPr>
              <w:t>深圳金石创新科技有</w:t>
            </w:r>
            <w:r>
              <w:rPr>
                <w:rFonts w:ascii="华文细黑" w:hAnsi="华文细黑" w:cs="华文细黑" w:eastAsia="华文细黑" w:hint="default"/>
                <w:sz w:val="18"/>
                <w:szCs w:val="18"/>
              </w:rPr>
              <w:t> 限公司（注）</w:t>
            </w:r>
          </w:p>
        </w:tc>
        <w:tc>
          <w:tcPr>
            <w:tcW w:w="142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b/>
                <w:bCs/>
                <w:sz w:val="16"/>
                <w:szCs w:val="1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w w:val="95"/>
                <w:sz w:val="18"/>
              </w:rPr>
              <w:t>287,456.21</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b/>
                <w:bCs/>
                <w:sz w:val="16"/>
                <w:szCs w:val="1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68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b/>
                <w:bCs/>
                <w:sz w:val="16"/>
                <w:szCs w:val="1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b/>
                <w:bCs/>
                <w:sz w:val="16"/>
                <w:szCs w:val="16"/>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-93,766.39</w:t>
            </w:r>
          </w:p>
        </w:tc>
        <w:tc>
          <w:tcPr>
            <w:tcW w:w="9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b/>
                <w:bCs/>
                <w:sz w:val="16"/>
                <w:szCs w:val="1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b/>
                <w:bCs/>
                <w:sz w:val="16"/>
                <w:szCs w:val="1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w w:val="95"/>
                <w:sz w:val="18"/>
              </w:rPr>
              <w:t>310,000.00</w:t>
            </w:r>
          </w:p>
        </w:tc>
      </w:tr>
      <w:tr>
        <w:trPr>
          <w:trHeight w:val="671" w:hRule="exact"/>
        </w:trPr>
        <w:tc>
          <w:tcPr>
            <w:tcW w:w="182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1" w:right="13"/>
              <w:jc w:val="left"/>
              <w:rPr>
                <w:rFonts w:ascii="华文细黑" w:hAnsi="华文细黑" w:cs="华文细黑" w:eastAsia="华文细黑" w:hint="default"/>
                <w:sz w:val="18"/>
                <w:szCs w:val="18"/>
              </w:rPr>
            </w:pPr>
            <w:r>
              <w:rPr>
                <w:rFonts w:ascii="华文细黑" w:hAnsi="华文细黑" w:cs="华文细黑" w:eastAsia="华文细黑" w:hint="default"/>
                <w:spacing w:val="18"/>
                <w:sz w:val="18"/>
                <w:szCs w:val="18"/>
              </w:rPr>
              <w:t>深圳市鼎锋金融服务</w:t>
            </w:r>
            <w:r>
              <w:rPr>
                <w:rFonts w:ascii="华文细黑" w:hAnsi="华文细黑" w:cs="华文细黑" w:eastAsia="华文细黑" w:hint="default"/>
                <w:sz w:val="18"/>
                <w:szCs w:val="18"/>
              </w:rPr>
              <w:t> 有限公司</w:t>
            </w:r>
          </w:p>
        </w:tc>
        <w:tc>
          <w:tcPr>
            <w:tcW w:w="142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0"/>
              <w:ind w:right="0"/>
              <w:jc w:val="left"/>
              <w:rPr>
                <w:rFonts w:ascii="华文细黑" w:hAnsi="华文细黑" w:cs="华文细黑" w:eastAsia="华文细黑" w:hint="default"/>
                <w:b/>
                <w:bCs/>
                <w:sz w:val="16"/>
                <w:szCs w:val="16"/>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0"/>
              <w:ind w:right="0"/>
              <w:jc w:val="left"/>
              <w:rPr>
                <w:rFonts w:ascii="华文细黑" w:hAnsi="华文细黑" w:cs="华文细黑" w:eastAsia="华文细黑" w:hint="default"/>
                <w:b/>
                <w:bCs/>
                <w:sz w:val="16"/>
                <w:szCs w:val="1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1,500,000.00</w:t>
            </w:r>
          </w:p>
        </w:tc>
        <w:tc>
          <w:tcPr>
            <w:tcW w:w="68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0"/>
              <w:ind w:right="0"/>
              <w:jc w:val="left"/>
              <w:rPr>
                <w:rFonts w:ascii="华文细黑" w:hAnsi="华文细黑" w:cs="华文细黑" w:eastAsia="华文细黑" w:hint="default"/>
                <w:b/>
                <w:bCs/>
                <w:sz w:val="16"/>
                <w:szCs w:val="1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0"/>
              <w:ind w:right="0"/>
              <w:jc w:val="left"/>
              <w:rPr>
                <w:rFonts w:ascii="华文细黑" w:hAnsi="华文细黑" w:cs="华文细黑" w:eastAsia="华文细黑" w:hint="default"/>
                <w:b/>
                <w:bCs/>
                <w:sz w:val="16"/>
                <w:szCs w:val="1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-264,856.22</w:t>
            </w:r>
          </w:p>
        </w:tc>
        <w:tc>
          <w:tcPr>
            <w:tcW w:w="9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0"/>
              <w:ind w:right="0"/>
              <w:jc w:val="left"/>
              <w:rPr>
                <w:rFonts w:ascii="华文细黑" w:hAnsi="华文细黑" w:cs="华文细黑" w:eastAsia="华文细黑" w:hint="default"/>
                <w:b/>
                <w:bCs/>
                <w:sz w:val="16"/>
                <w:szCs w:val="1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0"/>
              <w:ind w:right="0"/>
              <w:jc w:val="left"/>
              <w:rPr>
                <w:rFonts w:ascii="华文细黑" w:hAnsi="华文细黑" w:cs="华文细黑" w:eastAsia="华文细黑" w:hint="default"/>
                <w:b/>
                <w:bCs/>
                <w:sz w:val="16"/>
                <w:szCs w:val="16"/>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340" w:right="0"/>
        </w:sectPr>
      </w:pPr>
    </w:p>
    <w:p>
      <w:pPr>
        <w:spacing w:line="240" w:lineRule="auto" w:before="8"/>
        <w:rPr>
          <w:rFonts w:ascii="华文细黑" w:hAnsi="华文细黑" w:cs="华文细黑" w:eastAsia="华文细黑" w:hint="default"/>
          <w:b/>
          <w:bCs/>
          <w:sz w:val="23"/>
          <w:szCs w:val="23"/>
        </w:rPr>
      </w:pPr>
    </w:p>
    <w:tbl>
      <w:tblPr>
        <w:tblW w:w="0" w:type="auto"/>
        <w:jc w:val="left"/>
        <w:tblInd w:w="113" w:type="dxa"/>
        <w:tblLayout w:type="fixed"/>
        <w:tblCellMar>
          <w:top w:w="0" w:type="dxa"/>
          <w:left w:w="0" w:type="dxa"/>
          <w:bottom w:w="0" w:type="dxa"/>
          <w:right w:w="0" w:type="dxa"/>
        </w:tblCellMar>
        <w:tblLook w:val="01E0"/>
      </w:tblPr>
      <w:tblGrid>
        <w:gridCol w:w="1844"/>
        <w:gridCol w:w="1417"/>
        <w:gridCol w:w="1418"/>
        <w:gridCol w:w="682"/>
        <w:gridCol w:w="1417"/>
        <w:gridCol w:w="993"/>
        <w:gridCol w:w="1276"/>
      </w:tblGrid>
      <w:tr>
        <w:trPr>
          <w:trHeight w:val="485" w:hRule="exact"/>
        </w:trPr>
        <w:tc>
          <w:tcPr>
            <w:tcW w:w="1844" w:type="dxa"/>
            <w:tcBorders>
              <w:top w:val="single" w:sz="4" w:space="0" w:color="FFC000"/>
              <w:left w:val="single" w:sz="4" w:space="0" w:color="FFC000"/>
              <w:bottom w:val="nil" w:sz="6" w:space="0" w:color="auto"/>
              <w:right w:val="single" w:sz="4" w:space="0" w:color="FFC000"/>
            </w:tcBorders>
            <w:shd w:val="clear" w:color="auto" w:fill="FFF8E6"/>
          </w:tcPr>
          <w:p>
            <w:pPr/>
          </w:p>
        </w:tc>
        <w:tc>
          <w:tcPr>
            <w:tcW w:w="1417" w:type="dxa"/>
            <w:tcBorders>
              <w:top w:val="single" w:sz="4" w:space="0" w:color="FFC000"/>
              <w:left w:val="single" w:sz="4" w:space="0" w:color="FFC000"/>
              <w:bottom w:val="nil" w:sz="6" w:space="0" w:color="auto"/>
              <w:right w:val="single" w:sz="4" w:space="0" w:color="FFC000"/>
            </w:tcBorders>
            <w:shd w:val="clear" w:color="auto" w:fill="FFF8E6"/>
          </w:tcPr>
          <w:p>
            <w:pPr/>
          </w:p>
        </w:tc>
        <w:tc>
          <w:tcPr>
            <w:tcW w:w="5785" w:type="dxa"/>
            <w:gridSpan w:val="5"/>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本年增减变动</w:t>
            </w:r>
          </w:p>
        </w:tc>
      </w:tr>
      <w:tr>
        <w:trPr>
          <w:trHeight w:val="210" w:hRule="exact"/>
        </w:trPr>
        <w:tc>
          <w:tcPr>
            <w:tcW w:w="1844"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09"/>
              <w:ind w:left="46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被投资单位</w:t>
            </w:r>
          </w:p>
        </w:tc>
        <w:tc>
          <w:tcPr>
            <w:tcW w:w="1417"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09"/>
              <w:ind w:left="34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1418" w:type="dxa"/>
            <w:tcBorders>
              <w:top w:val="single" w:sz="4" w:space="0" w:color="FFC000"/>
              <w:left w:val="single" w:sz="4" w:space="0" w:color="FFC000"/>
              <w:bottom w:val="nil" w:sz="6" w:space="0" w:color="auto"/>
              <w:right w:val="single" w:sz="4" w:space="0" w:color="FFC000"/>
            </w:tcBorders>
            <w:shd w:val="clear" w:color="auto" w:fill="FFF8E6"/>
          </w:tcPr>
          <w:p>
            <w:pPr/>
          </w:p>
        </w:tc>
        <w:tc>
          <w:tcPr>
            <w:tcW w:w="682" w:type="dxa"/>
            <w:vMerge w:val="restart"/>
            <w:tcBorders>
              <w:top w:val="single" w:sz="4" w:space="0" w:color="FFC000"/>
              <w:left w:val="single" w:sz="4" w:space="0" w:color="FFC000"/>
              <w:right w:val="single" w:sz="4" w:space="0" w:color="FFC000"/>
            </w:tcBorders>
            <w:shd w:val="clear" w:color="auto" w:fill="FFF8E6"/>
          </w:tcPr>
          <w:p>
            <w:pPr>
              <w:pStyle w:val="TableParagraph"/>
              <w:spacing w:line="376" w:lineRule="auto" w:before="149"/>
              <w:ind w:left="244" w:right="65"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减少投 资</w:t>
            </w:r>
          </w:p>
        </w:tc>
        <w:tc>
          <w:tcPr>
            <w:tcW w:w="1417" w:type="dxa"/>
            <w:vMerge w:val="restart"/>
            <w:tcBorders>
              <w:top w:val="single" w:sz="4" w:space="0" w:color="FFC000"/>
              <w:left w:val="single" w:sz="4" w:space="0" w:color="FFC000"/>
              <w:right w:val="single" w:sz="4" w:space="0" w:color="FFC000"/>
            </w:tcBorders>
            <w:shd w:val="clear" w:color="auto" w:fill="FFF8E6"/>
          </w:tcPr>
          <w:p>
            <w:pPr>
              <w:pStyle w:val="TableParagraph"/>
              <w:spacing w:line="376" w:lineRule="auto" w:before="149"/>
              <w:ind w:left="343" w:right="72" w:hanging="27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权益法下确认的 投资损益</w:t>
            </w:r>
          </w:p>
        </w:tc>
        <w:tc>
          <w:tcPr>
            <w:tcW w:w="993" w:type="dxa"/>
            <w:vMerge w:val="restart"/>
            <w:tcBorders>
              <w:top w:val="single" w:sz="4" w:space="0" w:color="FFC000"/>
              <w:left w:val="single" w:sz="4" w:space="0" w:color="FFC000"/>
              <w:right w:val="single" w:sz="4" w:space="0" w:color="FFC000"/>
            </w:tcBorders>
            <w:shd w:val="clear" w:color="auto" w:fill="FFF8E6"/>
          </w:tcPr>
          <w:p>
            <w:pPr>
              <w:pStyle w:val="TableParagraph"/>
              <w:spacing w:line="376" w:lineRule="auto" w:before="149"/>
              <w:ind w:left="221" w:right="41"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其他综合收 益调整</w:t>
            </w:r>
          </w:p>
        </w:tc>
        <w:tc>
          <w:tcPr>
            <w:tcW w:w="1276" w:type="dxa"/>
            <w:tcBorders>
              <w:top w:val="single" w:sz="4" w:space="0" w:color="FFC000"/>
              <w:left w:val="single" w:sz="4" w:space="0" w:color="FFC000"/>
              <w:bottom w:val="nil" w:sz="6" w:space="0" w:color="auto"/>
              <w:right w:val="single" w:sz="4" w:space="0" w:color="FFC000"/>
            </w:tcBorders>
            <w:shd w:val="clear" w:color="auto" w:fill="FFF8E6"/>
          </w:tcPr>
          <w:p>
            <w:pPr/>
          </w:p>
        </w:tc>
      </w:tr>
      <w:tr>
        <w:trPr>
          <w:trHeight w:val="235" w:hRule="exact"/>
        </w:trPr>
        <w:tc>
          <w:tcPr>
            <w:tcW w:w="1844" w:type="dxa"/>
            <w:vMerge/>
            <w:tcBorders>
              <w:left w:val="single" w:sz="4" w:space="0" w:color="FFC000"/>
              <w:bottom w:val="nil" w:sz="6" w:space="0" w:color="auto"/>
              <w:right w:val="single" w:sz="4" w:space="0" w:color="FFC000"/>
            </w:tcBorders>
            <w:shd w:val="clear" w:color="auto" w:fill="FFF8E6"/>
          </w:tcPr>
          <w:p>
            <w:pPr/>
          </w:p>
        </w:tc>
        <w:tc>
          <w:tcPr>
            <w:tcW w:w="1417" w:type="dxa"/>
            <w:vMerge/>
            <w:tcBorders>
              <w:left w:val="single" w:sz="4" w:space="0" w:color="FFC000"/>
              <w:bottom w:val="nil" w:sz="6" w:space="0" w:color="auto"/>
              <w:right w:val="single" w:sz="4" w:space="0" w:color="FFC000"/>
            </w:tcBorders>
            <w:shd w:val="clear" w:color="auto" w:fill="FFF8E6"/>
          </w:tcPr>
          <w:p>
            <w:pPr/>
          </w:p>
        </w:tc>
        <w:tc>
          <w:tcPr>
            <w:tcW w:w="1418"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29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追加投资</w:t>
            </w:r>
          </w:p>
        </w:tc>
        <w:tc>
          <w:tcPr>
            <w:tcW w:w="682" w:type="dxa"/>
            <w:vMerge/>
            <w:tcBorders>
              <w:left w:val="single" w:sz="4" w:space="0" w:color="FFC000"/>
              <w:right w:val="single" w:sz="4" w:space="0" w:color="FFC000"/>
            </w:tcBorders>
            <w:shd w:val="clear" w:color="auto" w:fill="FFF8E6"/>
          </w:tcPr>
          <w:p>
            <w:pPr/>
          </w:p>
        </w:tc>
        <w:tc>
          <w:tcPr>
            <w:tcW w:w="1417" w:type="dxa"/>
            <w:vMerge/>
            <w:tcBorders>
              <w:left w:val="single" w:sz="4" w:space="0" w:color="FFC000"/>
              <w:right w:val="single" w:sz="4" w:space="0" w:color="FFC000"/>
            </w:tcBorders>
            <w:shd w:val="clear" w:color="auto" w:fill="FFF8E6"/>
          </w:tcPr>
          <w:p>
            <w:pPr/>
          </w:p>
        </w:tc>
        <w:tc>
          <w:tcPr>
            <w:tcW w:w="993" w:type="dxa"/>
            <w:vMerge/>
            <w:tcBorders>
              <w:left w:val="single" w:sz="4" w:space="0" w:color="FFC000"/>
              <w:right w:val="single" w:sz="4" w:space="0" w:color="FFC000"/>
            </w:tcBorders>
            <w:shd w:val="clear" w:color="auto" w:fill="FFF8E6"/>
          </w:tcPr>
          <w:p>
            <w:pPr/>
          </w:p>
        </w:tc>
        <w:tc>
          <w:tcPr>
            <w:tcW w:w="1276"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9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其他权益变动</w:t>
            </w:r>
          </w:p>
        </w:tc>
      </w:tr>
      <w:tr>
        <w:trPr>
          <w:trHeight w:val="245" w:hRule="exact"/>
        </w:trPr>
        <w:tc>
          <w:tcPr>
            <w:tcW w:w="1844" w:type="dxa"/>
            <w:vMerge w:val="restart"/>
            <w:tcBorders>
              <w:top w:val="nil" w:sz="6" w:space="0" w:color="auto"/>
              <w:left w:val="single" w:sz="4" w:space="0" w:color="FFC000"/>
              <w:right w:val="single" w:sz="4" w:space="0" w:color="FFC000"/>
            </w:tcBorders>
            <w:shd w:val="clear" w:color="auto" w:fill="FFF8E6"/>
          </w:tcPr>
          <w:p>
            <w:pPr/>
          </w:p>
        </w:tc>
        <w:tc>
          <w:tcPr>
            <w:tcW w:w="1417" w:type="dxa"/>
            <w:vMerge w:val="restart"/>
            <w:tcBorders>
              <w:top w:val="nil" w:sz="6" w:space="0" w:color="auto"/>
              <w:left w:val="single" w:sz="4" w:space="0" w:color="FFC000"/>
              <w:right w:val="single" w:sz="4" w:space="0" w:color="FFC000"/>
            </w:tcBorders>
            <w:shd w:val="clear" w:color="auto" w:fill="FFF8E6"/>
          </w:tcPr>
          <w:p>
            <w:pPr/>
          </w:p>
        </w:tc>
        <w:tc>
          <w:tcPr>
            <w:tcW w:w="1418" w:type="dxa"/>
            <w:vMerge/>
            <w:tcBorders>
              <w:left w:val="single" w:sz="4" w:space="0" w:color="FFC000"/>
              <w:bottom w:val="nil" w:sz="6" w:space="0" w:color="auto"/>
              <w:right w:val="single" w:sz="4" w:space="0" w:color="FFC000"/>
            </w:tcBorders>
            <w:shd w:val="clear" w:color="auto" w:fill="FFF8E6"/>
          </w:tcPr>
          <w:p>
            <w:pPr/>
          </w:p>
        </w:tc>
        <w:tc>
          <w:tcPr>
            <w:tcW w:w="682" w:type="dxa"/>
            <w:vMerge/>
            <w:tcBorders>
              <w:left w:val="single" w:sz="4" w:space="0" w:color="FFC000"/>
              <w:right w:val="single" w:sz="4" w:space="0" w:color="FFC000"/>
            </w:tcBorders>
            <w:shd w:val="clear" w:color="auto" w:fill="FFF8E6"/>
          </w:tcPr>
          <w:p>
            <w:pPr/>
          </w:p>
        </w:tc>
        <w:tc>
          <w:tcPr>
            <w:tcW w:w="1417" w:type="dxa"/>
            <w:vMerge/>
            <w:tcBorders>
              <w:left w:val="single" w:sz="4" w:space="0" w:color="FFC000"/>
              <w:right w:val="single" w:sz="4" w:space="0" w:color="FFC000"/>
            </w:tcBorders>
            <w:shd w:val="clear" w:color="auto" w:fill="FFF8E6"/>
          </w:tcPr>
          <w:p>
            <w:pPr/>
          </w:p>
        </w:tc>
        <w:tc>
          <w:tcPr>
            <w:tcW w:w="993" w:type="dxa"/>
            <w:vMerge/>
            <w:tcBorders>
              <w:left w:val="single" w:sz="4" w:space="0" w:color="FFC000"/>
              <w:right w:val="single" w:sz="4" w:space="0" w:color="FFC000"/>
            </w:tcBorders>
            <w:shd w:val="clear" w:color="auto" w:fill="FFF8E6"/>
          </w:tcPr>
          <w:p>
            <w:pPr/>
          </w:p>
        </w:tc>
        <w:tc>
          <w:tcPr>
            <w:tcW w:w="1276" w:type="dxa"/>
            <w:vMerge/>
            <w:tcBorders>
              <w:left w:val="single" w:sz="4" w:space="0" w:color="FFC000"/>
              <w:bottom w:val="nil" w:sz="6" w:space="0" w:color="auto"/>
              <w:right w:val="single" w:sz="4" w:space="0" w:color="FFC000"/>
            </w:tcBorders>
            <w:shd w:val="clear" w:color="auto" w:fill="FFF8E6"/>
          </w:tcPr>
          <w:p>
            <w:pPr/>
          </w:p>
        </w:tc>
      </w:tr>
      <w:tr>
        <w:trPr>
          <w:trHeight w:val="206" w:hRule="exact"/>
        </w:trPr>
        <w:tc>
          <w:tcPr>
            <w:tcW w:w="1844" w:type="dxa"/>
            <w:vMerge/>
            <w:tcBorders>
              <w:left w:val="single" w:sz="4" w:space="0" w:color="FFC000"/>
              <w:bottom w:val="single" w:sz="4" w:space="0" w:color="FFC000"/>
              <w:right w:val="single" w:sz="4" w:space="0" w:color="FFC000"/>
            </w:tcBorders>
            <w:shd w:val="clear" w:color="auto" w:fill="FFF8E6"/>
          </w:tcPr>
          <w:p>
            <w:pPr/>
          </w:p>
        </w:tc>
        <w:tc>
          <w:tcPr>
            <w:tcW w:w="1417" w:type="dxa"/>
            <w:vMerge/>
            <w:tcBorders>
              <w:left w:val="single" w:sz="4" w:space="0" w:color="FFC000"/>
              <w:bottom w:val="single" w:sz="4" w:space="0" w:color="FFC000"/>
              <w:right w:val="single" w:sz="4" w:space="0" w:color="FFC000"/>
            </w:tcBorders>
            <w:shd w:val="clear" w:color="auto" w:fill="FFF8E6"/>
          </w:tcPr>
          <w:p>
            <w:pPr/>
          </w:p>
        </w:tc>
        <w:tc>
          <w:tcPr>
            <w:tcW w:w="1418" w:type="dxa"/>
            <w:tcBorders>
              <w:top w:val="nil" w:sz="6" w:space="0" w:color="auto"/>
              <w:left w:val="single" w:sz="4" w:space="0" w:color="FFC000"/>
              <w:bottom w:val="single" w:sz="4" w:space="0" w:color="FFC000"/>
              <w:right w:val="single" w:sz="4" w:space="0" w:color="FFC000"/>
            </w:tcBorders>
            <w:shd w:val="clear" w:color="auto" w:fill="FFF8E6"/>
          </w:tcPr>
          <w:p>
            <w:pPr/>
          </w:p>
        </w:tc>
        <w:tc>
          <w:tcPr>
            <w:tcW w:w="682" w:type="dxa"/>
            <w:vMerge/>
            <w:tcBorders>
              <w:left w:val="single" w:sz="4" w:space="0" w:color="FFC000"/>
              <w:bottom w:val="single" w:sz="4" w:space="0" w:color="FFC000"/>
              <w:right w:val="single" w:sz="4" w:space="0" w:color="FFC000"/>
            </w:tcBorders>
            <w:shd w:val="clear" w:color="auto" w:fill="FFF8E6"/>
          </w:tcPr>
          <w:p>
            <w:pPr/>
          </w:p>
        </w:tc>
        <w:tc>
          <w:tcPr>
            <w:tcW w:w="1417" w:type="dxa"/>
            <w:vMerge/>
            <w:tcBorders>
              <w:left w:val="single" w:sz="4" w:space="0" w:color="FFC000"/>
              <w:bottom w:val="single" w:sz="4" w:space="0" w:color="FFC000"/>
              <w:right w:val="single" w:sz="4" w:space="0" w:color="FFC000"/>
            </w:tcBorders>
            <w:shd w:val="clear" w:color="auto" w:fill="FFF8E6"/>
          </w:tcPr>
          <w:p>
            <w:pPr/>
          </w:p>
        </w:tc>
        <w:tc>
          <w:tcPr>
            <w:tcW w:w="993" w:type="dxa"/>
            <w:vMerge/>
            <w:tcBorders>
              <w:left w:val="single" w:sz="4" w:space="0" w:color="FFC000"/>
              <w:bottom w:val="single" w:sz="4" w:space="0" w:color="FFC000"/>
              <w:right w:val="single" w:sz="4" w:space="0" w:color="FFC000"/>
            </w:tcBorders>
            <w:shd w:val="clear" w:color="auto" w:fill="FFF8E6"/>
          </w:tcPr>
          <w:p>
            <w:pPr/>
          </w:p>
        </w:tc>
        <w:tc>
          <w:tcPr>
            <w:tcW w:w="1276" w:type="dxa"/>
            <w:tcBorders>
              <w:top w:val="nil" w:sz="6" w:space="0" w:color="auto"/>
              <w:left w:val="single" w:sz="4" w:space="0" w:color="FFC000"/>
              <w:bottom w:val="single" w:sz="4" w:space="0" w:color="FFC000"/>
              <w:right w:val="single" w:sz="4" w:space="0" w:color="FFC000"/>
            </w:tcBorders>
            <w:shd w:val="clear" w:color="auto" w:fill="FFF8E6"/>
          </w:tcPr>
          <w:p>
            <w:pPr/>
          </w:p>
        </w:tc>
      </w:tr>
      <w:tr>
        <w:trPr>
          <w:trHeight w:val="670" w:hRule="exact"/>
        </w:trPr>
        <w:tc>
          <w:tcPr>
            <w:tcW w:w="18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22" w:right="25"/>
              <w:jc w:val="left"/>
              <w:rPr>
                <w:rFonts w:ascii="华文细黑" w:hAnsi="华文细黑" w:cs="华文细黑" w:eastAsia="华文细黑" w:hint="default"/>
                <w:sz w:val="18"/>
                <w:szCs w:val="18"/>
              </w:rPr>
            </w:pPr>
            <w:r>
              <w:rPr>
                <w:rFonts w:ascii="华文细黑" w:hAnsi="华文细黑" w:cs="华文细黑" w:eastAsia="华文细黑" w:hint="default"/>
                <w:spacing w:val="18"/>
                <w:sz w:val="18"/>
                <w:szCs w:val="18"/>
              </w:rPr>
              <w:t>爱施德全球贸易有限</w:t>
            </w:r>
            <w:r>
              <w:rPr>
                <w:rFonts w:ascii="华文细黑" w:hAnsi="华文细黑" w:cs="华文细黑" w:eastAsia="华文细黑" w:hint="default"/>
                <w:sz w:val="18"/>
                <w:szCs w:val="18"/>
              </w:rPr>
              <w:t> 公司</w:t>
            </w:r>
          </w:p>
        </w:tc>
        <w:tc>
          <w:tcPr>
            <w:tcW w:w="141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b/>
                <w:bCs/>
                <w:sz w:val="16"/>
                <w:szCs w:val="16"/>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b/>
                <w:bCs/>
                <w:sz w:val="16"/>
                <w:szCs w:val="1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1,314,300.00</w:t>
            </w:r>
          </w:p>
        </w:tc>
        <w:tc>
          <w:tcPr>
            <w:tcW w:w="68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b/>
                <w:bCs/>
                <w:sz w:val="16"/>
                <w:szCs w:val="1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b/>
                <w:bCs/>
                <w:sz w:val="16"/>
                <w:szCs w:val="16"/>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31,184.90</w:t>
            </w:r>
          </w:p>
        </w:tc>
        <w:tc>
          <w:tcPr>
            <w:tcW w:w="9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b/>
                <w:bCs/>
                <w:sz w:val="16"/>
                <w:szCs w:val="1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b/>
                <w:bCs/>
                <w:sz w:val="16"/>
                <w:szCs w:val="16"/>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18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5"/>
              <w:ind w:right="601"/>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小</w:t>
              <w:tab/>
              <w:t>计</w:t>
            </w:r>
          </w:p>
        </w:tc>
        <w:tc>
          <w:tcPr>
            <w:tcW w:w="141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b/>
                <w:w w:val="95"/>
                <w:sz w:val="18"/>
              </w:rPr>
              <w:t>30,331,713.93</w:t>
            </w:r>
            <w:r>
              <w:rPr>
                <w:rFonts w:ascii="华文细黑"/>
                <w:sz w:val="18"/>
              </w:rPr>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2,814,300.00</w:t>
            </w:r>
            <w:r>
              <w:rPr>
                <w:rFonts w:ascii="华文细黑"/>
                <w:sz w:val="18"/>
              </w:rPr>
            </w:r>
          </w:p>
        </w:tc>
        <w:tc>
          <w:tcPr>
            <w:tcW w:w="68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b/>
                <w:w w:val="95"/>
                <w:sz w:val="18"/>
              </w:rPr>
              <w:t>-214,258.50</w:t>
            </w:r>
            <w:r>
              <w:rPr>
                <w:rFonts w:ascii="华文细黑"/>
                <w:sz w:val="18"/>
              </w:rPr>
            </w:r>
          </w:p>
        </w:tc>
        <w:tc>
          <w:tcPr>
            <w:tcW w:w="9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b/>
                <w:w w:val="95"/>
                <w:sz w:val="18"/>
              </w:rPr>
              <w:t>310,000.00</w:t>
            </w:r>
            <w:r>
              <w:rPr>
                <w:rFonts w:ascii="华文细黑"/>
                <w:sz w:val="18"/>
              </w:rPr>
            </w:r>
          </w:p>
        </w:tc>
      </w:tr>
      <w:tr>
        <w:trPr>
          <w:trHeight w:val="490" w:hRule="exact"/>
        </w:trPr>
        <w:tc>
          <w:tcPr>
            <w:tcW w:w="18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601"/>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41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b/>
                <w:w w:val="95"/>
                <w:sz w:val="18"/>
              </w:rPr>
              <w:t>30,331,713.93</w:t>
            </w:r>
            <w:r>
              <w:rPr>
                <w:rFonts w:ascii="华文细黑"/>
                <w:sz w:val="18"/>
              </w:rPr>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2,814,300.00</w:t>
            </w:r>
            <w:r>
              <w:rPr>
                <w:rFonts w:ascii="华文细黑"/>
                <w:sz w:val="18"/>
              </w:rPr>
            </w:r>
          </w:p>
        </w:tc>
        <w:tc>
          <w:tcPr>
            <w:tcW w:w="68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b/>
                <w:w w:val="95"/>
                <w:sz w:val="18"/>
              </w:rPr>
              <w:t>-214,258.50</w:t>
            </w:r>
            <w:r>
              <w:rPr>
                <w:rFonts w:ascii="华文细黑"/>
                <w:sz w:val="18"/>
              </w:rPr>
            </w:r>
          </w:p>
        </w:tc>
        <w:tc>
          <w:tcPr>
            <w:tcW w:w="99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b/>
                <w:w w:val="95"/>
                <w:sz w:val="18"/>
              </w:rPr>
              <w:t>310,000.00</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pStyle w:val="BodyText"/>
        <w:spacing w:line="240" w:lineRule="auto" w:before="10"/>
        <w:ind w:left="680" w:right="826"/>
        <w:jc w:val="left"/>
      </w:pPr>
      <w:r>
        <w:rPr/>
        <w:t>（续）</w:t>
      </w:r>
    </w:p>
    <w:p>
      <w:pPr>
        <w:spacing w:line="240" w:lineRule="auto" w:before="5"/>
        <w:rPr>
          <w:rFonts w:ascii="华文细黑" w:hAnsi="华文细黑" w:cs="华文细黑" w:eastAsia="华文细黑" w:hint="default"/>
          <w:sz w:val="5"/>
          <w:szCs w:val="5"/>
        </w:rPr>
      </w:pPr>
    </w:p>
    <w:tbl>
      <w:tblPr>
        <w:tblW w:w="0" w:type="auto"/>
        <w:jc w:val="left"/>
        <w:tblInd w:w="125" w:type="dxa"/>
        <w:tblLayout w:type="fixed"/>
        <w:tblCellMar>
          <w:top w:w="0" w:type="dxa"/>
          <w:left w:w="0" w:type="dxa"/>
          <w:bottom w:w="0" w:type="dxa"/>
          <w:right w:w="0" w:type="dxa"/>
        </w:tblCellMar>
        <w:tblLook w:val="01E0"/>
      </w:tblPr>
      <w:tblGrid>
        <w:gridCol w:w="1822"/>
        <w:gridCol w:w="1430"/>
        <w:gridCol w:w="1418"/>
        <w:gridCol w:w="1417"/>
        <w:gridCol w:w="1416"/>
        <w:gridCol w:w="1561"/>
      </w:tblGrid>
      <w:tr>
        <w:trPr>
          <w:trHeight w:val="473" w:hRule="exact"/>
        </w:trPr>
        <w:tc>
          <w:tcPr>
            <w:tcW w:w="1822" w:type="dxa"/>
            <w:tcBorders>
              <w:top w:val="single" w:sz="4" w:space="0" w:color="FFC000"/>
              <w:left w:val="single" w:sz="4" w:space="0" w:color="FFC000"/>
              <w:bottom w:val="nil" w:sz="6" w:space="0" w:color="auto"/>
              <w:right w:val="single" w:sz="4" w:space="0" w:color="FFC000"/>
            </w:tcBorders>
            <w:shd w:val="clear" w:color="auto" w:fill="FFF8E6"/>
          </w:tcPr>
          <w:p>
            <w:pPr/>
          </w:p>
        </w:tc>
        <w:tc>
          <w:tcPr>
            <w:tcW w:w="4265" w:type="dxa"/>
            <w:gridSpan w:val="3"/>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本年增减变动</w:t>
            </w:r>
          </w:p>
        </w:tc>
        <w:tc>
          <w:tcPr>
            <w:tcW w:w="1416" w:type="dxa"/>
            <w:tcBorders>
              <w:top w:val="single" w:sz="4" w:space="0" w:color="FFC000"/>
              <w:left w:val="single" w:sz="4" w:space="0" w:color="FFC000"/>
              <w:bottom w:val="nil" w:sz="6" w:space="0" w:color="auto"/>
              <w:right w:val="single" w:sz="4" w:space="0" w:color="FFC000"/>
            </w:tcBorders>
            <w:shd w:val="clear" w:color="auto" w:fill="FFF8E6"/>
          </w:tcPr>
          <w:p>
            <w:pPr/>
          </w:p>
        </w:tc>
        <w:tc>
          <w:tcPr>
            <w:tcW w:w="1561" w:type="dxa"/>
            <w:tcBorders>
              <w:top w:val="single" w:sz="4" w:space="0" w:color="FFC000"/>
              <w:left w:val="single" w:sz="4" w:space="0" w:color="FFC000"/>
              <w:bottom w:val="nil" w:sz="6" w:space="0" w:color="auto"/>
              <w:right w:val="single" w:sz="4" w:space="0" w:color="FFC000"/>
            </w:tcBorders>
            <w:shd w:val="clear" w:color="auto" w:fill="FFF8E6"/>
          </w:tcPr>
          <w:p>
            <w:pPr/>
          </w:p>
        </w:tc>
      </w:tr>
      <w:tr>
        <w:trPr>
          <w:trHeight w:val="223" w:hRule="exact"/>
        </w:trPr>
        <w:tc>
          <w:tcPr>
            <w:tcW w:w="1822"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22"/>
              <w:ind w:left="45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被投资单位</w:t>
            </w:r>
          </w:p>
        </w:tc>
        <w:tc>
          <w:tcPr>
            <w:tcW w:w="1430"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60"/>
              <w:ind w:left="354" w:right="73" w:hanging="27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宣告发放现金股 利或利润</w:t>
            </w:r>
          </w:p>
        </w:tc>
        <w:tc>
          <w:tcPr>
            <w:tcW w:w="1418" w:type="dxa"/>
            <w:tcBorders>
              <w:top w:val="single" w:sz="4" w:space="0" w:color="FFC000"/>
              <w:left w:val="single" w:sz="4" w:space="0" w:color="FFC000"/>
              <w:bottom w:val="nil" w:sz="6" w:space="0" w:color="auto"/>
              <w:right w:val="single" w:sz="4" w:space="0" w:color="FFC000"/>
            </w:tcBorders>
            <w:shd w:val="clear" w:color="auto" w:fill="FFF8E6"/>
          </w:tcPr>
          <w:p>
            <w:pPr/>
          </w:p>
        </w:tc>
        <w:tc>
          <w:tcPr>
            <w:tcW w:w="1417" w:type="dxa"/>
            <w:tcBorders>
              <w:top w:val="single" w:sz="4" w:space="0" w:color="FFC000"/>
              <w:left w:val="single" w:sz="4" w:space="0" w:color="FFC000"/>
              <w:bottom w:val="nil" w:sz="6" w:space="0" w:color="auto"/>
              <w:right w:val="single" w:sz="4" w:space="0" w:color="FFC000"/>
            </w:tcBorders>
            <w:shd w:val="clear" w:color="auto" w:fill="FFF8E6"/>
          </w:tcPr>
          <w:p>
            <w:pPr/>
          </w:p>
        </w:tc>
        <w:tc>
          <w:tcPr>
            <w:tcW w:w="1416"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22"/>
              <w:ind w:left="34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1561"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22"/>
              <w:ind w:left="5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减值准备年末余额</w:t>
            </w:r>
          </w:p>
        </w:tc>
      </w:tr>
      <w:tr>
        <w:trPr>
          <w:trHeight w:val="235" w:hRule="exact"/>
        </w:trPr>
        <w:tc>
          <w:tcPr>
            <w:tcW w:w="1822" w:type="dxa"/>
            <w:vMerge/>
            <w:tcBorders>
              <w:left w:val="single" w:sz="4" w:space="0" w:color="FFC000"/>
              <w:bottom w:val="nil" w:sz="6" w:space="0" w:color="auto"/>
              <w:right w:val="single" w:sz="4" w:space="0" w:color="FFC000"/>
            </w:tcBorders>
            <w:shd w:val="clear" w:color="auto" w:fill="FFF8E6"/>
          </w:tcPr>
          <w:p>
            <w:pPr/>
          </w:p>
        </w:tc>
        <w:tc>
          <w:tcPr>
            <w:tcW w:w="1430" w:type="dxa"/>
            <w:vMerge/>
            <w:tcBorders>
              <w:left w:val="single" w:sz="4" w:space="0" w:color="FFC000"/>
              <w:right w:val="single" w:sz="4" w:space="0" w:color="FFC000"/>
            </w:tcBorders>
            <w:shd w:val="clear" w:color="auto" w:fill="FFF8E6"/>
          </w:tcPr>
          <w:p>
            <w:pPr/>
          </w:p>
        </w:tc>
        <w:tc>
          <w:tcPr>
            <w:tcW w:w="1418"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1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计提减值准备</w:t>
            </w:r>
          </w:p>
        </w:tc>
        <w:tc>
          <w:tcPr>
            <w:tcW w:w="1417"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1416" w:type="dxa"/>
            <w:vMerge/>
            <w:tcBorders>
              <w:left w:val="single" w:sz="4" w:space="0" w:color="FFC000"/>
              <w:bottom w:val="nil" w:sz="6" w:space="0" w:color="auto"/>
              <w:right w:val="single" w:sz="4" w:space="0" w:color="FFC000"/>
            </w:tcBorders>
            <w:shd w:val="clear" w:color="auto" w:fill="FFF8E6"/>
          </w:tcPr>
          <w:p>
            <w:pPr/>
          </w:p>
        </w:tc>
        <w:tc>
          <w:tcPr>
            <w:tcW w:w="1561" w:type="dxa"/>
            <w:vMerge/>
            <w:tcBorders>
              <w:left w:val="single" w:sz="4" w:space="0" w:color="FFC000"/>
              <w:bottom w:val="nil" w:sz="6" w:space="0" w:color="auto"/>
              <w:right w:val="single" w:sz="4" w:space="0" w:color="FFC000"/>
            </w:tcBorders>
            <w:shd w:val="clear" w:color="auto" w:fill="FFF8E6"/>
          </w:tcPr>
          <w:p>
            <w:pPr/>
          </w:p>
        </w:tc>
      </w:tr>
      <w:tr>
        <w:trPr>
          <w:trHeight w:val="245" w:hRule="exact"/>
        </w:trPr>
        <w:tc>
          <w:tcPr>
            <w:tcW w:w="1822" w:type="dxa"/>
            <w:vMerge w:val="restart"/>
            <w:tcBorders>
              <w:top w:val="nil" w:sz="6" w:space="0" w:color="auto"/>
              <w:left w:val="single" w:sz="4" w:space="0" w:color="FFC000"/>
              <w:right w:val="single" w:sz="4" w:space="0" w:color="FFC000"/>
            </w:tcBorders>
            <w:shd w:val="clear" w:color="auto" w:fill="FFF8E6"/>
          </w:tcPr>
          <w:p>
            <w:pPr/>
          </w:p>
        </w:tc>
        <w:tc>
          <w:tcPr>
            <w:tcW w:w="1430" w:type="dxa"/>
            <w:vMerge/>
            <w:tcBorders>
              <w:left w:val="single" w:sz="4" w:space="0" w:color="FFC000"/>
              <w:right w:val="single" w:sz="4" w:space="0" w:color="FFC000"/>
            </w:tcBorders>
            <w:shd w:val="clear" w:color="auto" w:fill="FFF8E6"/>
          </w:tcPr>
          <w:p>
            <w:pPr/>
          </w:p>
        </w:tc>
        <w:tc>
          <w:tcPr>
            <w:tcW w:w="1418" w:type="dxa"/>
            <w:vMerge/>
            <w:tcBorders>
              <w:left w:val="single" w:sz="4" w:space="0" w:color="FFC000"/>
              <w:bottom w:val="nil" w:sz="6" w:space="0" w:color="auto"/>
              <w:right w:val="single" w:sz="4" w:space="0" w:color="FFC000"/>
            </w:tcBorders>
            <w:shd w:val="clear" w:color="auto" w:fill="FFF8E6"/>
          </w:tcPr>
          <w:p>
            <w:pPr/>
          </w:p>
        </w:tc>
        <w:tc>
          <w:tcPr>
            <w:tcW w:w="1417" w:type="dxa"/>
            <w:vMerge/>
            <w:tcBorders>
              <w:left w:val="single" w:sz="4" w:space="0" w:color="FFC000"/>
              <w:bottom w:val="nil" w:sz="6" w:space="0" w:color="auto"/>
              <w:right w:val="single" w:sz="4" w:space="0" w:color="FFC000"/>
            </w:tcBorders>
            <w:shd w:val="clear" w:color="auto" w:fill="FFF8E6"/>
          </w:tcPr>
          <w:p>
            <w:pPr/>
          </w:p>
        </w:tc>
        <w:tc>
          <w:tcPr>
            <w:tcW w:w="1416" w:type="dxa"/>
            <w:vMerge w:val="restart"/>
            <w:tcBorders>
              <w:top w:val="nil" w:sz="6" w:space="0" w:color="auto"/>
              <w:left w:val="single" w:sz="4" w:space="0" w:color="FFC000"/>
              <w:right w:val="single" w:sz="4" w:space="0" w:color="FFC000"/>
            </w:tcBorders>
            <w:shd w:val="clear" w:color="auto" w:fill="FFF8E6"/>
          </w:tcPr>
          <w:p>
            <w:pPr/>
          </w:p>
        </w:tc>
        <w:tc>
          <w:tcPr>
            <w:tcW w:w="1561" w:type="dxa"/>
            <w:vMerge w:val="restart"/>
            <w:tcBorders>
              <w:top w:val="nil" w:sz="6" w:space="0" w:color="auto"/>
              <w:left w:val="single" w:sz="4" w:space="0" w:color="FFC000"/>
              <w:right w:val="single" w:sz="4" w:space="0" w:color="FFC000"/>
            </w:tcBorders>
            <w:shd w:val="clear" w:color="auto" w:fill="FFF8E6"/>
          </w:tcPr>
          <w:p>
            <w:pPr/>
          </w:p>
        </w:tc>
      </w:tr>
      <w:tr>
        <w:trPr>
          <w:trHeight w:val="205" w:hRule="exact"/>
        </w:trPr>
        <w:tc>
          <w:tcPr>
            <w:tcW w:w="1822" w:type="dxa"/>
            <w:vMerge/>
            <w:tcBorders>
              <w:left w:val="single" w:sz="4" w:space="0" w:color="FFC000"/>
              <w:bottom w:val="single" w:sz="4" w:space="0" w:color="FFC000"/>
              <w:right w:val="single" w:sz="4" w:space="0" w:color="FFC000"/>
            </w:tcBorders>
            <w:shd w:val="clear" w:color="auto" w:fill="FFF8E6"/>
          </w:tcPr>
          <w:p>
            <w:pPr/>
          </w:p>
        </w:tc>
        <w:tc>
          <w:tcPr>
            <w:tcW w:w="1430" w:type="dxa"/>
            <w:vMerge/>
            <w:tcBorders>
              <w:left w:val="single" w:sz="4" w:space="0" w:color="FFC000"/>
              <w:bottom w:val="single" w:sz="4" w:space="0" w:color="FFC000"/>
              <w:right w:val="single" w:sz="4" w:space="0" w:color="FFC000"/>
            </w:tcBorders>
            <w:shd w:val="clear" w:color="auto" w:fill="FFF8E6"/>
          </w:tcPr>
          <w:p>
            <w:pPr/>
          </w:p>
        </w:tc>
        <w:tc>
          <w:tcPr>
            <w:tcW w:w="1418" w:type="dxa"/>
            <w:tcBorders>
              <w:top w:val="nil" w:sz="6" w:space="0" w:color="auto"/>
              <w:left w:val="single" w:sz="4" w:space="0" w:color="FFC000"/>
              <w:bottom w:val="single" w:sz="4" w:space="0" w:color="FFC000"/>
              <w:right w:val="single" w:sz="4" w:space="0" w:color="FFC000"/>
            </w:tcBorders>
            <w:shd w:val="clear" w:color="auto" w:fill="FFF8E6"/>
          </w:tcPr>
          <w:p>
            <w:pPr/>
          </w:p>
        </w:tc>
        <w:tc>
          <w:tcPr>
            <w:tcW w:w="1417" w:type="dxa"/>
            <w:tcBorders>
              <w:top w:val="nil" w:sz="6" w:space="0" w:color="auto"/>
              <w:left w:val="single" w:sz="4" w:space="0" w:color="FFC000"/>
              <w:bottom w:val="single" w:sz="4" w:space="0" w:color="FFC000"/>
              <w:right w:val="single" w:sz="4" w:space="0" w:color="FFC000"/>
            </w:tcBorders>
            <w:shd w:val="clear" w:color="auto" w:fill="FFF8E6"/>
          </w:tcPr>
          <w:p>
            <w:pPr/>
          </w:p>
        </w:tc>
        <w:tc>
          <w:tcPr>
            <w:tcW w:w="1416" w:type="dxa"/>
            <w:vMerge/>
            <w:tcBorders>
              <w:left w:val="single" w:sz="4" w:space="0" w:color="FFC000"/>
              <w:bottom w:val="single" w:sz="4" w:space="0" w:color="FFC000"/>
              <w:right w:val="single" w:sz="4" w:space="0" w:color="FFC000"/>
            </w:tcBorders>
            <w:shd w:val="clear" w:color="auto" w:fill="FFF8E6"/>
          </w:tcPr>
          <w:p>
            <w:pPr/>
          </w:p>
        </w:tc>
        <w:tc>
          <w:tcPr>
            <w:tcW w:w="1561"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18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一、合营企业</w:t>
            </w:r>
          </w:p>
        </w:tc>
        <w:tc>
          <w:tcPr>
            <w:tcW w:w="1430"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418"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417"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416"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561"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0" w:hRule="exact"/>
        </w:trPr>
        <w:tc>
          <w:tcPr>
            <w:tcW w:w="18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二、联营企业</w:t>
            </w:r>
          </w:p>
        </w:tc>
        <w:tc>
          <w:tcPr>
            <w:tcW w:w="1430"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418"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417"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416"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561"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960" w:hRule="exact"/>
        </w:trPr>
        <w:tc>
          <w:tcPr>
            <w:tcW w:w="18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1" w:right="9"/>
              <w:jc w:val="both"/>
              <w:rPr>
                <w:rFonts w:ascii="华文细黑" w:hAnsi="华文细黑" w:cs="华文细黑" w:eastAsia="华文细黑" w:hint="default"/>
                <w:sz w:val="18"/>
                <w:szCs w:val="18"/>
              </w:rPr>
            </w:pPr>
            <w:r>
              <w:rPr>
                <w:rFonts w:ascii="华文细黑" w:hAnsi="华文细黑" w:cs="华文细黑" w:eastAsia="华文细黑" w:hint="default"/>
                <w:spacing w:val="18"/>
                <w:sz w:val="18"/>
                <w:szCs w:val="18"/>
              </w:rPr>
              <w:t>深圳国鑫创沅移动互</w:t>
            </w:r>
            <w:r>
              <w:rPr>
                <w:rFonts w:ascii="华文细黑" w:hAnsi="华文细黑" w:cs="华文细黑" w:eastAsia="华文细黑" w:hint="default"/>
                <w:spacing w:val="-42"/>
                <w:sz w:val="18"/>
                <w:szCs w:val="18"/>
              </w:rPr>
              <w:t> </w:t>
            </w:r>
            <w:r>
              <w:rPr>
                <w:rFonts w:ascii="华文细黑" w:hAnsi="华文细黑" w:cs="华文细黑" w:eastAsia="华文细黑" w:hint="default"/>
                <w:spacing w:val="-42"/>
                <w:sz w:val="18"/>
                <w:szCs w:val="18"/>
              </w:rPr>
            </w:r>
            <w:r>
              <w:rPr>
                <w:rFonts w:ascii="华文细黑" w:hAnsi="华文细黑" w:cs="华文细黑" w:eastAsia="华文细黑" w:hint="default"/>
                <w:spacing w:val="-2"/>
                <w:sz w:val="18"/>
                <w:szCs w:val="18"/>
              </w:rPr>
              <w:t>联网股权投资中心（有</w:t>
            </w:r>
            <w:r>
              <w:rPr>
                <w:rFonts w:ascii="华文细黑" w:hAnsi="华文细黑" w:cs="华文细黑" w:eastAsia="华文细黑" w:hint="default"/>
                <w:spacing w:val="-36"/>
                <w:sz w:val="18"/>
                <w:szCs w:val="18"/>
              </w:rPr>
              <w:t> </w:t>
            </w:r>
            <w:r>
              <w:rPr>
                <w:rFonts w:ascii="华文细黑" w:hAnsi="华文细黑" w:cs="华文细黑" w:eastAsia="华文细黑" w:hint="default"/>
                <w:spacing w:val="-36"/>
                <w:sz w:val="18"/>
                <w:szCs w:val="18"/>
              </w:rPr>
            </w:r>
            <w:r>
              <w:rPr>
                <w:rFonts w:ascii="华文细黑" w:hAnsi="华文细黑" w:cs="华文细黑" w:eastAsia="华文细黑" w:hint="default"/>
                <w:sz w:val="18"/>
                <w:szCs w:val="18"/>
              </w:rPr>
              <w:t>限合伙）</w:t>
            </w:r>
          </w:p>
        </w:tc>
        <w:tc>
          <w:tcPr>
            <w:tcW w:w="143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6"/>
                <w:szCs w:val="2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6"/>
                <w:szCs w:val="2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6"/>
                <w:szCs w:val="26"/>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6"/>
                <w:szCs w:val="26"/>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30,157,436.93</w:t>
            </w:r>
          </w:p>
        </w:tc>
        <w:tc>
          <w:tcPr>
            <w:tcW w:w="156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26"/>
                <w:szCs w:val="26"/>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r>
      <w:tr>
        <w:trPr>
          <w:trHeight w:val="670" w:hRule="exact"/>
        </w:trPr>
        <w:tc>
          <w:tcPr>
            <w:tcW w:w="18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1" w:right="10"/>
              <w:jc w:val="left"/>
              <w:rPr>
                <w:rFonts w:ascii="华文细黑" w:hAnsi="华文细黑" w:cs="华文细黑" w:eastAsia="华文细黑" w:hint="default"/>
                <w:sz w:val="18"/>
                <w:szCs w:val="18"/>
              </w:rPr>
            </w:pPr>
            <w:r>
              <w:rPr>
                <w:rFonts w:ascii="华文细黑" w:hAnsi="华文细黑" w:cs="华文细黑" w:eastAsia="华文细黑" w:hint="default"/>
                <w:spacing w:val="18"/>
                <w:sz w:val="18"/>
                <w:szCs w:val="18"/>
              </w:rPr>
              <w:t>深圳金石创新科技有</w:t>
            </w:r>
            <w:r>
              <w:rPr>
                <w:rFonts w:ascii="华文细黑" w:hAnsi="华文细黑" w:cs="华文细黑" w:eastAsia="华文细黑" w:hint="default"/>
                <w:spacing w:val="-42"/>
                <w:sz w:val="18"/>
                <w:szCs w:val="18"/>
              </w:rPr>
              <w:t> </w:t>
            </w:r>
            <w:r>
              <w:rPr>
                <w:rFonts w:ascii="华文细黑" w:hAnsi="华文细黑" w:cs="华文细黑" w:eastAsia="华文细黑" w:hint="default"/>
                <w:spacing w:val="-42"/>
                <w:sz w:val="18"/>
                <w:szCs w:val="18"/>
              </w:rPr>
            </w:r>
            <w:r>
              <w:rPr>
                <w:rFonts w:ascii="华文细黑" w:hAnsi="华文细黑" w:cs="华文细黑" w:eastAsia="华文细黑" w:hint="default"/>
                <w:sz w:val="18"/>
                <w:szCs w:val="18"/>
              </w:rPr>
              <w:t>限公司</w:t>
            </w:r>
          </w:p>
        </w:tc>
        <w:tc>
          <w:tcPr>
            <w:tcW w:w="143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sz w:val="16"/>
                <w:szCs w:val="1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sz w:val="16"/>
                <w:szCs w:val="1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sz w:val="16"/>
                <w:szCs w:val="1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-503,689.82</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sz w:val="16"/>
                <w:szCs w:val="1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56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sz w:val="16"/>
                <w:szCs w:val="16"/>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r>
      <w:tr>
        <w:trPr>
          <w:trHeight w:val="671" w:hRule="exact"/>
        </w:trPr>
        <w:tc>
          <w:tcPr>
            <w:tcW w:w="18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1" w:right="10"/>
              <w:jc w:val="left"/>
              <w:rPr>
                <w:rFonts w:ascii="华文细黑" w:hAnsi="华文细黑" w:cs="华文细黑" w:eastAsia="华文细黑" w:hint="default"/>
                <w:sz w:val="18"/>
                <w:szCs w:val="18"/>
              </w:rPr>
            </w:pPr>
            <w:r>
              <w:rPr>
                <w:rFonts w:ascii="华文细黑" w:hAnsi="华文细黑" w:cs="华文细黑" w:eastAsia="华文细黑" w:hint="default"/>
                <w:spacing w:val="18"/>
                <w:sz w:val="18"/>
                <w:szCs w:val="18"/>
              </w:rPr>
              <w:t>深圳市鼎锋金融服务</w:t>
            </w:r>
            <w:r>
              <w:rPr>
                <w:rFonts w:ascii="华文细黑" w:hAnsi="华文细黑" w:cs="华文细黑" w:eastAsia="华文细黑" w:hint="default"/>
                <w:spacing w:val="-42"/>
                <w:sz w:val="18"/>
                <w:szCs w:val="18"/>
              </w:rPr>
              <w:t> </w:t>
            </w:r>
            <w:r>
              <w:rPr>
                <w:rFonts w:ascii="华文细黑" w:hAnsi="华文细黑" w:cs="华文细黑" w:eastAsia="华文细黑" w:hint="default"/>
                <w:spacing w:val="-42"/>
                <w:sz w:val="18"/>
                <w:szCs w:val="18"/>
              </w:rPr>
            </w:r>
            <w:r>
              <w:rPr>
                <w:rFonts w:ascii="华文细黑" w:hAnsi="华文细黑" w:cs="华文细黑" w:eastAsia="华文细黑" w:hint="default"/>
                <w:sz w:val="18"/>
                <w:szCs w:val="18"/>
              </w:rPr>
              <w:t>有限公司</w:t>
            </w:r>
          </w:p>
        </w:tc>
        <w:tc>
          <w:tcPr>
            <w:tcW w:w="143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0"/>
              <w:ind w:right="0"/>
              <w:jc w:val="left"/>
              <w:rPr>
                <w:rFonts w:ascii="华文细黑" w:hAnsi="华文细黑" w:cs="华文细黑" w:eastAsia="华文细黑" w:hint="default"/>
                <w:sz w:val="16"/>
                <w:szCs w:val="1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0"/>
              <w:ind w:right="0"/>
              <w:jc w:val="left"/>
              <w:rPr>
                <w:rFonts w:ascii="华文细黑" w:hAnsi="华文细黑" w:cs="华文细黑" w:eastAsia="华文细黑" w:hint="default"/>
                <w:sz w:val="16"/>
                <w:szCs w:val="1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0"/>
              <w:ind w:right="0"/>
              <w:jc w:val="left"/>
              <w:rPr>
                <w:rFonts w:ascii="华文细黑" w:hAnsi="华文细黑" w:cs="华文细黑" w:eastAsia="华文细黑" w:hint="default"/>
                <w:sz w:val="16"/>
                <w:szCs w:val="16"/>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0"/>
              <w:ind w:right="0"/>
              <w:jc w:val="left"/>
              <w:rPr>
                <w:rFonts w:ascii="华文细黑" w:hAnsi="华文细黑" w:cs="华文细黑" w:eastAsia="华文细黑" w:hint="default"/>
                <w:sz w:val="16"/>
                <w:szCs w:val="16"/>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1,235,143.78</w:t>
            </w:r>
          </w:p>
        </w:tc>
        <w:tc>
          <w:tcPr>
            <w:tcW w:w="156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0"/>
              <w:ind w:right="0"/>
              <w:jc w:val="left"/>
              <w:rPr>
                <w:rFonts w:ascii="华文细黑" w:hAnsi="华文细黑" w:cs="华文细黑" w:eastAsia="华文细黑" w:hint="default"/>
                <w:sz w:val="16"/>
                <w:szCs w:val="16"/>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r>
      <w:tr>
        <w:trPr>
          <w:trHeight w:val="670" w:hRule="exact"/>
        </w:trPr>
        <w:tc>
          <w:tcPr>
            <w:tcW w:w="18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1" w:right="10"/>
              <w:jc w:val="left"/>
              <w:rPr>
                <w:rFonts w:ascii="华文细黑" w:hAnsi="华文细黑" w:cs="华文细黑" w:eastAsia="华文细黑" w:hint="default"/>
                <w:sz w:val="18"/>
                <w:szCs w:val="18"/>
              </w:rPr>
            </w:pPr>
            <w:r>
              <w:rPr>
                <w:rFonts w:ascii="华文细黑" w:hAnsi="华文细黑" w:cs="华文细黑" w:eastAsia="华文细黑" w:hint="default"/>
                <w:spacing w:val="18"/>
                <w:sz w:val="18"/>
                <w:szCs w:val="18"/>
              </w:rPr>
              <w:t>爱施德全球贸易有限</w:t>
            </w:r>
            <w:r>
              <w:rPr>
                <w:rFonts w:ascii="华文细黑" w:hAnsi="华文细黑" w:cs="华文细黑" w:eastAsia="华文细黑" w:hint="default"/>
                <w:spacing w:val="-42"/>
                <w:sz w:val="18"/>
                <w:szCs w:val="18"/>
              </w:rPr>
              <w:t> </w:t>
            </w:r>
            <w:r>
              <w:rPr>
                <w:rFonts w:ascii="华文细黑" w:hAnsi="华文细黑" w:cs="华文细黑" w:eastAsia="华文细黑" w:hint="default"/>
                <w:spacing w:val="-42"/>
                <w:sz w:val="18"/>
                <w:szCs w:val="18"/>
              </w:rPr>
            </w:r>
            <w:r>
              <w:rPr>
                <w:rFonts w:ascii="华文细黑" w:hAnsi="华文细黑" w:cs="华文细黑" w:eastAsia="华文细黑" w:hint="default"/>
                <w:sz w:val="18"/>
                <w:szCs w:val="18"/>
              </w:rPr>
              <w:t>公司</w:t>
            </w:r>
          </w:p>
        </w:tc>
        <w:tc>
          <w:tcPr>
            <w:tcW w:w="143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sz w:val="16"/>
                <w:szCs w:val="1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sz w:val="16"/>
                <w:szCs w:val="16"/>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sz w:val="16"/>
                <w:szCs w:val="16"/>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sz w:val="16"/>
                <w:szCs w:val="16"/>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1,345,484.90</w:t>
            </w:r>
          </w:p>
        </w:tc>
        <w:tc>
          <w:tcPr>
            <w:tcW w:w="156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sz w:val="16"/>
                <w:szCs w:val="16"/>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18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59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小</w:t>
              <w:tab/>
              <w:t>计</w:t>
            </w:r>
          </w:p>
        </w:tc>
        <w:tc>
          <w:tcPr>
            <w:tcW w:w="143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b/>
                <w:w w:val="95"/>
                <w:sz w:val="18"/>
              </w:rPr>
              <w:t>-503,689.82</w:t>
            </w:r>
            <w:r>
              <w:rPr>
                <w:rFonts w:ascii="华文细黑"/>
                <w:sz w:val="18"/>
              </w:rPr>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32,738,065.61</w:t>
            </w:r>
            <w:r>
              <w:rPr>
                <w:rFonts w:ascii="华文细黑"/>
                <w:sz w:val="18"/>
              </w:rPr>
            </w:r>
          </w:p>
        </w:tc>
        <w:tc>
          <w:tcPr>
            <w:tcW w:w="156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r>
      <w:tr>
        <w:trPr>
          <w:trHeight w:val="491" w:hRule="exact"/>
        </w:trPr>
        <w:tc>
          <w:tcPr>
            <w:tcW w:w="18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5"/>
              <w:ind w:right="59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43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b/>
                <w:w w:val="95"/>
                <w:sz w:val="18"/>
              </w:rPr>
              <w:t>-503,689.82</w:t>
            </w:r>
            <w:r>
              <w:rPr>
                <w:rFonts w:ascii="华文细黑"/>
                <w:sz w:val="18"/>
              </w:rPr>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32,738,065.61</w:t>
            </w:r>
            <w:r>
              <w:rPr>
                <w:rFonts w:ascii="华文细黑"/>
                <w:sz w:val="18"/>
              </w:rPr>
            </w:r>
          </w:p>
        </w:tc>
        <w:tc>
          <w:tcPr>
            <w:tcW w:w="156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r>
    </w:tbl>
    <w:p>
      <w:pPr>
        <w:spacing w:line="240" w:lineRule="auto" w:before="12"/>
        <w:rPr>
          <w:rFonts w:ascii="华文细黑" w:hAnsi="华文细黑" w:cs="华文细黑" w:eastAsia="华文细黑" w:hint="default"/>
          <w:sz w:val="6"/>
          <w:szCs w:val="6"/>
        </w:rPr>
      </w:pPr>
    </w:p>
    <w:p>
      <w:pPr>
        <w:pStyle w:val="BodyText"/>
        <w:spacing w:line="324" w:lineRule="auto" w:before="10"/>
        <w:ind w:left="260" w:right="1437" w:firstLine="420"/>
        <w:jc w:val="both"/>
      </w:pPr>
      <w:r>
        <w:rPr/>
        <w:t>注：公司控股子公司深圳市优友金融服务有限公司于 </w:t>
      </w:r>
      <w:r>
        <w:rPr>
          <w:rFonts w:ascii="华文细黑" w:hAnsi="华文细黑" w:cs="华文细黑" w:eastAsia="华文细黑" w:hint="default"/>
        </w:rPr>
        <w:t>2018 </w:t>
      </w:r>
      <w:r>
        <w:rPr/>
        <w:t>年 </w:t>
      </w:r>
      <w:r>
        <w:rPr>
          <w:rFonts w:ascii="华文细黑" w:hAnsi="华文细黑" w:cs="华文细黑" w:eastAsia="华文细黑" w:hint="default"/>
        </w:rPr>
        <w:t>4</w:t>
      </w:r>
      <w:r>
        <w:rPr>
          <w:rFonts w:ascii="华文细黑" w:hAnsi="华文细黑" w:cs="华文细黑" w:eastAsia="华文细黑" w:hint="default"/>
          <w:spacing w:val="44"/>
        </w:rPr>
        <w:t> </w:t>
      </w:r>
      <w:r>
        <w:rPr/>
        <w:t>月签订股权转让合同，受让深 </w:t>
      </w:r>
      <w:r>
        <w:rPr>
          <w:spacing w:val="4"/>
        </w:rPr>
        <w:t>圳金石创新科技有限公司之股东深圳市诚至企业管理合伙企业和深圳市星驰通讯器材有限公司持</w:t>
      </w:r>
      <w:r>
        <w:rPr>
          <w:spacing w:val="-49"/>
        </w:rPr>
        <w:t> </w:t>
      </w:r>
      <w:r>
        <w:rPr>
          <w:spacing w:val="-49"/>
        </w:rPr>
      </w:r>
      <w:r>
        <w:rPr/>
        <w:t>有的股权，其中：以人民币 </w:t>
      </w:r>
      <w:r>
        <w:rPr>
          <w:rFonts w:ascii="华文细黑" w:hAnsi="华文细黑" w:cs="华文细黑" w:eastAsia="华文细黑" w:hint="default"/>
        </w:rPr>
        <w:t>29 </w:t>
      </w:r>
      <w:r>
        <w:rPr/>
        <w:t>万元受让深圳市诚至企业管理合伙企业持有的</w:t>
      </w:r>
      <w:r>
        <w:rPr>
          <w:spacing w:val="48"/>
        </w:rPr>
        <w:t> </w:t>
      </w:r>
      <w:r>
        <w:rPr>
          <w:rFonts w:ascii="华文细黑" w:hAnsi="华文细黑" w:cs="华文细黑" w:eastAsia="华文细黑" w:hint="default"/>
        </w:rPr>
        <w:t>29%</w:t>
      </w:r>
      <w:r>
        <w:rPr/>
        <w:t>的股权，以人民 币 </w:t>
      </w:r>
      <w:r>
        <w:rPr>
          <w:rFonts w:ascii="华文细黑" w:hAnsi="华文细黑" w:cs="华文细黑" w:eastAsia="华文细黑" w:hint="default"/>
        </w:rPr>
        <w:t>2 </w:t>
      </w:r>
      <w:r>
        <w:rPr>
          <w:spacing w:val="2"/>
        </w:rPr>
        <w:t>万元受让深圳市星驰通讯器材有限公司持有的</w:t>
      </w:r>
      <w:r>
        <w:rPr>
          <w:spacing w:val="28"/>
        </w:rPr>
        <w:t> </w:t>
      </w:r>
      <w:r>
        <w:rPr>
          <w:rFonts w:ascii="华文细黑" w:hAnsi="华文细黑" w:cs="华文细黑" w:eastAsia="华文细黑" w:hint="default"/>
          <w:spacing w:val="2"/>
        </w:rPr>
        <w:t>2%</w:t>
      </w:r>
      <w:r>
        <w:rPr>
          <w:spacing w:val="2"/>
        </w:rPr>
        <w:t>的股权。深圳市优友金融服务有限公司于</w:t>
      </w:r>
      <w:r>
        <w:rPr/>
        <w:t> </w:t>
      </w:r>
      <w:r>
        <w:rPr>
          <w:rFonts w:ascii="华文细黑" w:hAnsi="华文细黑" w:cs="华文细黑" w:eastAsia="华文细黑" w:hint="default"/>
        </w:rPr>
        <w:t>2018 </w:t>
      </w:r>
      <w:r>
        <w:rPr/>
        <w:t>年 </w:t>
      </w:r>
      <w:r>
        <w:rPr>
          <w:rFonts w:ascii="华文细黑" w:hAnsi="华文细黑" w:cs="华文细黑" w:eastAsia="华文细黑" w:hint="default"/>
        </w:rPr>
        <w:t>4 </w:t>
      </w:r>
      <w:r>
        <w:rPr/>
        <w:t>月 </w:t>
      </w:r>
      <w:r>
        <w:rPr>
          <w:rFonts w:ascii="华文细黑" w:hAnsi="华文细黑" w:cs="华文细黑" w:eastAsia="华文细黑" w:hint="default"/>
        </w:rPr>
        <w:t>30</w:t>
      </w:r>
      <w:r>
        <w:rPr>
          <w:rFonts w:ascii="华文细黑" w:hAnsi="华文细黑" w:cs="华文细黑" w:eastAsia="华文细黑" w:hint="default"/>
          <w:spacing w:val="-1"/>
        </w:rPr>
        <w:t> </w:t>
      </w:r>
      <w:r>
        <w:rPr/>
        <w:t>日取得深圳金石创新科技有限公司控制权。</w:t>
      </w:r>
    </w:p>
    <w:p>
      <w:pPr>
        <w:pStyle w:val="Heading5"/>
        <w:spacing w:line="240" w:lineRule="auto" w:before="63"/>
        <w:ind w:left="680" w:right="826"/>
        <w:jc w:val="left"/>
        <w:rPr>
          <w:b w:val="0"/>
          <w:bCs w:val="0"/>
        </w:rPr>
      </w:pPr>
      <w:bookmarkStart w:name="11、固定资产" w:id="273"/>
      <w:bookmarkEnd w:id="273"/>
      <w:r>
        <w:rPr>
          <w:b w:val="0"/>
          <w:bCs w:val="0"/>
        </w:rPr>
      </w:r>
      <w:r>
        <w:rPr>
          <w:rFonts w:ascii="华文细黑" w:hAnsi="华文细黑" w:cs="华文细黑" w:eastAsia="华文细黑" w:hint="default"/>
        </w:rPr>
        <w:t>11</w:t>
      </w:r>
      <w:r>
        <w:rPr/>
        <w:t>、固定资产</w:t>
      </w:r>
      <w:r>
        <w:rPr>
          <w:b w:val="0"/>
          <w:bCs w:val="0"/>
        </w:rPr>
      </w:r>
    </w:p>
    <w:p>
      <w:pPr>
        <w:spacing w:line="240" w:lineRule="auto" w:before="10"/>
        <w:rPr>
          <w:rFonts w:ascii="华文细黑" w:hAnsi="华文细黑" w:cs="华文细黑" w:eastAsia="华文细黑" w:hint="default"/>
          <w:b/>
          <w:bCs/>
          <w:sz w:val="5"/>
          <w:szCs w:val="5"/>
        </w:rPr>
      </w:pPr>
    </w:p>
    <w:tbl>
      <w:tblPr>
        <w:tblW w:w="0" w:type="auto"/>
        <w:jc w:val="left"/>
        <w:tblInd w:w="271" w:type="dxa"/>
        <w:tblLayout w:type="fixed"/>
        <w:tblCellMar>
          <w:top w:w="0" w:type="dxa"/>
          <w:left w:w="0" w:type="dxa"/>
          <w:bottom w:w="0" w:type="dxa"/>
          <w:right w:w="0" w:type="dxa"/>
        </w:tblCellMar>
        <w:tblLook w:val="01E0"/>
      </w:tblPr>
      <w:tblGrid>
        <w:gridCol w:w="2559"/>
        <w:gridCol w:w="3131"/>
        <w:gridCol w:w="3406"/>
      </w:tblGrid>
      <w:tr>
        <w:trPr>
          <w:trHeight w:val="498"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9"/>
              <w:ind w:right="1004"/>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31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9"/>
              <w:ind w:left="10"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340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9"/>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3"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8"/>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固定资产</w:t>
            </w:r>
          </w:p>
        </w:tc>
        <w:tc>
          <w:tcPr>
            <w:tcW w:w="3131" w:type="dxa"/>
            <w:tcBorders>
              <w:top w:val="single" w:sz="7"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15,782,914.57</w:t>
            </w:r>
          </w:p>
        </w:tc>
        <w:tc>
          <w:tcPr>
            <w:tcW w:w="3406" w:type="dxa"/>
            <w:tcBorders>
              <w:top w:val="single" w:sz="7"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16,357,271.85</w:t>
            </w:r>
          </w:p>
        </w:tc>
      </w:tr>
      <w:tr>
        <w:trPr>
          <w:trHeight w:val="491"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004"/>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313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w w:val="95"/>
                <w:sz w:val="18"/>
              </w:rPr>
              <w:t>15,782,914.57</w:t>
            </w:r>
            <w:r>
              <w:rPr>
                <w:rFonts w:ascii="华文细黑"/>
                <w:sz w:val="18"/>
              </w:rPr>
            </w:r>
          </w:p>
        </w:tc>
        <w:tc>
          <w:tcPr>
            <w:tcW w:w="34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w w:val="95"/>
                <w:sz w:val="18"/>
              </w:rPr>
              <w:t>16,357,271.85</w:t>
            </w:r>
            <w:r>
              <w:rPr>
                <w:rFonts w:ascii="华文细黑"/>
                <w:sz w:val="18"/>
              </w:rPr>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180" w:right="0"/>
        </w:sectPr>
      </w:pPr>
    </w:p>
    <w:p>
      <w:pPr>
        <w:spacing w:line="240" w:lineRule="auto" w:before="10"/>
        <w:rPr>
          <w:rFonts w:ascii="华文细黑" w:hAnsi="华文细黑" w:cs="华文细黑" w:eastAsia="华文细黑" w:hint="default"/>
          <w:b/>
          <w:bCs/>
          <w:sz w:val="27"/>
          <w:szCs w:val="27"/>
        </w:rPr>
      </w:pPr>
    </w:p>
    <w:p>
      <w:pPr>
        <w:spacing w:before="10"/>
        <w:ind w:left="660" w:right="1246" w:firstLine="0"/>
        <w:jc w:val="left"/>
        <w:rPr>
          <w:rFonts w:ascii="华文细黑" w:hAnsi="华文细黑" w:cs="华文细黑" w:eastAsia="华文细黑" w:hint="default"/>
          <w:sz w:val="21"/>
          <w:szCs w:val="21"/>
        </w:rPr>
      </w:pPr>
      <w:bookmarkStart w:name="（1）固定资产" w:id="274"/>
      <w:bookmarkEnd w:id="274"/>
      <w:r>
        <w:rPr/>
      </w:r>
      <w:r>
        <w:rPr>
          <w:rFonts w:ascii="华文细黑" w:hAnsi="华文细黑" w:cs="华文细黑" w:eastAsia="华文细黑" w:hint="default"/>
          <w:b/>
          <w:bCs/>
          <w:sz w:val="21"/>
          <w:szCs w:val="21"/>
        </w:rPr>
        <w:t>（</w:t>
      </w:r>
      <w:r>
        <w:rPr>
          <w:rFonts w:ascii="华文细黑" w:hAnsi="华文细黑" w:cs="华文细黑" w:eastAsia="华文细黑" w:hint="default"/>
          <w:b/>
          <w:bCs/>
          <w:sz w:val="21"/>
          <w:szCs w:val="21"/>
        </w:rPr>
        <w:t>1</w:t>
      </w:r>
      <w:r>
        <w:rPr>
          <w:rFonts w:ascii="华文细黑" w:hAnsi="华文细黑" w:cs="华文细黑" w:eastAsia="华文细黑" w:hint="default"/>
          <w:b/>
          <w:bCs/>
          <w:sz w:val="21"/>
          <w:szCs w:val="21"/>
        </w:rPr>
        <w:t>）固定资产</w:t>
      </w:r>
      <w:r>
        <w:rPr>
          <w:rFonts w:ascii="华文细黑" w:hAnsi="华文细黑" w:cs="华文细黑" w:eastAsia="华文细黑" w:hint="default"/>
          <w:sz w:val="21"/>
          <w:szCs w:val="21"/>
        </w:rPr>
      </w:r>
    </w:p>
    <w:p>
      <w:pPr>
        <w:pStyle w:val="BodyText"/>
        <w:spacing w:line="240" w:lineRule="auto" w:before="142"/>
        <w:ind w:left="660" w:right="1246"/>
        <w:jc w:val="left"/>
      </w:pPr>
      <w:r>
        <w:rPr/>
        <w:t>①固定资产情况</w:t>
      </w:r>
    </w:p>
    <w:p>
      <w:pPr>
        <w:spacing w:line="240" w:lineRule="auto" w:before="4"/>
        <w:rPr>
          <w:rFonts w:ascii="华文细黑" w:hAnsi="华文细黑" w:cs="华文细黑" w:eastAsia="华文细黑" w:hint="default"/>
          <w:sz w:val="7"/>
          <w:szCs w:val="7"/>
        </w:rPr>
      </w:pPr>
    </w:p>
    <w:tbl>
      <w:tblPr>
        <w:tblW w:w="0" w:type="auto"/>
        <w:jc w:val="left"/>
        <w:tblInd w:w="105" w:type="dxa"/>
        <w:tblLayout w:type="fixed"/>
        <w:tblCellMar>
          <w:top w:w="0" w:type="dxa"/>
          <w:left w:w="0" w:type="dxa"/>
          <w:bottom w:w="0" w:type="dxa"/>
          <w:right w:w="0" w:type="dxa"/>
        </w:tblCellMar>
        <w:tblLook w:val="01E0"/>
      </w:tblPr>
      <w:tblGrid>
        <w:gridCol w:w="1763"/>
        <w:gridCol w:w="1345"/>
        <w:gridCol w:w="1559"/>
        <w:gridCol w:w="1560"/>
        <w:gridCol w:w="1559"/>
        <w:gridCol w:w="1702"/>
      </w:tblGrid>
      <w:tr>
        <w:trPr>
          <w:trHeight w:val="430"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7"/>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项目</w:t>
            </w:r>
          </w:p>
        </w:tc>
        <w:tc>
          <w:tcPr>
            <w:tcW w:w="13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7"/>
              <w:ind w:left="13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房屋及建筑物</w:t>
            </w:r>
          </w:p>
        </w:tc>
        <w:tc>
          <w:tcPr>
            <w:tcW w:w="1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7"/>
              <w:ind w:left="41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运输工具</w:t>
            </w:r>
          </w:p>
        </w:tc>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7"/>
              <w:ind w:left="41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电子设备</w:t>
            </w:r>
          </w:p>
        </w:tc>
        <w:tc>
          <w:tcPr>
            <w:tcW w:w="1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7"/>
              <w:ind w:left="41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其他设备</w:t>
            </w:r>
          </w:p>
        </w:tc>
        <w:tc>
          <w:tcPr>
            <w:tcW w:w="17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7"/>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合计</w:t>
            </w:r>
          </w:p>
        </w:tc>
      </w:tr>
      <w:tr>
        <w:trPr>
          <w:trHeight w:val="93" w:hRule="exact"/>
        </w:trPr>
        <w:tc>
          <w:tcPr>
            <w:tcW w:w="1763"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8"/>
              <w:ind w:right="0"/>
              <w:jc w:val="left"/>
              <w:rPr>
                <w:rFonts w:ascii="华文细黑" w:hAnsi="华文细黑" w:cs="华文细黑" w:eastAsia="华文细黑" w:hint="default"/>
                <w:sz w:val="12"/>
                <w:szCs w:val="12"/>
              </w:rPr>
            </w:pPr>
          </w:p>
          <w:p>
            <w:pPr>
              <w:pStyle w:val="TableParagraph"/>
              <w:spacing w:line="240" w:lineRule="auto"/>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一、账面原值</w:t>
            </w:r>
          </w:p>
        </w:tc>
        <w:tc>
          <w:tcPr>
            <w:tcW w:w="1345" w:type="dxa"/>
            <w:tcBorders>
              <w:top w:val="single" w:sz="4" w:space="0" w:color="FFC000"/>
              <w:left w:val="single" w:sz="4" w:space="0" w:color="FFC000"/>
              <w:bottom w:val="nil" w:sz="6" w:space="0" w:color="auto"/>
              <w:right w:val="single" w:sz="4" w:space="0" w:color="FFC000"/>
            </w:tcBorders>
            <w:shd w:val="clear" w:color="auto" w:fill="FFF8E6"/>
          </w:tcPr>
          <w:p>
            <w:pPr/>
          </w:p>
        </w:tc>
        <w:tc>
          <w:tcPr>
            <w:tcW w:w="1559" w:type="dxa"/>
            <w:vMerge w:val="restart"/>
            <w:tcBorders>
              <w:top w:val="single" w:sz="4" w:space="0" w:color="FFC000"/>
              <w:left w:val="single" w:sz="4" w:space="0" w:color="FFC000"/>
              <w:right w:val="single" w:sz="4" w:space="0" w:color="FFC000"/>
            </w:tcBorders>
            <w:shd w:val="clear" w:color="auto" w:fill="FFF8E6"/>
          </w:tcPr>
          <w:p>
            <w:pPr/>
          </w:p>
        </w:tc>
        <w:tc>
          <w:tcPr>
            <w:tcW w:w="1560" w:type="dxa"/>
            <w:vMerge w:val="restart"/>
            <w:tcBorders>
              <w:top w:val="single" w:sz="4" w:space="0" w:color="FFC000"/>
              <w:left w:val="single" w:sz="4" w:space="0" w:color="FFC000"/>
              <w:right w:val="single" w:sz="4" w:space="0" w:color="FFC000"/>
            </w:tcBorders>
            <w:shd w:val="clear" w:color="auto" w:fill="FFF8E6"/>
          </w:tcPr>
          <w:p>
            <w:pPr/>
          </w:p>
        </w:tc>
        <w:tc>
          <w:tcPr>
            <w:tcW w:w="1559" w:type="dxa"/>
            <w:tcBorders>
              <w:top w:val="single" w:sz="4" w:space="0" w:color="FFC000"/>
              <w:left w:val="single" w:sz="4" w:space="0" w:color="FFC000"/>
              <w:bottom w:val="nil" w:sz="6" w:space="0" w:color="auto"/>
              <w:right w:val="single" w:sz="4" w:space="0" w:color="FFC000"/>
            </w:tcBorders>
            <w:shd w:val="clear" w:color="auto" w:fill="FFF8E6"/>
          </w:tcPr>
          <w:p>
            <w:pPr/>
          </w:p>
        </w:tc>
        <w:tc>
          <w:tcPr>
            <w:tcW w:w="1702" w:type="dxa"/>
            <w:tcBorders>
              <w:top w:val="single" w:sz="4" w:space="0" w:color="FFC000"/>
              <w:left w:val="single" w:sz="4" w:space="0" w:color="FFC000"/>
              <w:bottom w:val="nil" w:sz="6" w:space="0" w:color="auto"/>
              <w:right w:val="single" w:sz="4" w:space="0" w:color="FFC000"/>
            </w:tcBorders>
            <w:shd w:val="clear" w:color="auto" w:fill="FFF8E6"/>
          </w:tcPr>
          <w:p>
            <w:pPr/>
          </w:p>
        </w:tc>
      </w:tr>
      <w:tr>
        <w:trPr>
          <w:trHeight w:val="374" w:hRule="exact"/>
        </w:trPr>
        <w:tc>
          <w:tcPr>
            <w:tcW w:w="1763" w:type="dxa"/>
            <w:vMerge/>
            <w:tcBorders>
              <w:left w:val="single" w:sz="4" w:space="0" w:color="FFC000"/>
              <w:bottom w:val="single" w:sz="4" w:space="0" w:color="FFC000"/>
              <w:right w:val="single" w:sz="4" w:space="0" w:color="FFC000"/>
            </w:tcBorders>
            <w:shd w:val="clear" w:color="auto" w:fill="FFF8E6"/>
          </w:tcPr>
          <w:p>
            <w:pPr/>
          </w:p>
        </w:tc>
        <w:tc>
          <w:tcPr>
            <w:tcW w:w="1345" w:type="dxa"/>
            <w:tcBorders>
              <w:top w:val="nil" w:sz="6" w:space="0" w:color="auto"/>
              <w:left w:val="single" w:sz="4" w:space="0" w:color="FFC000"/>
              <w:bottom w:val="single" w:sz="4" w:space="0" w:color="FFC000"/>
              <w:right w:val="single" w:sz="4" w:space="0" w:color="FFC000"/>
            </w:tcBorders>
            <w:shd w:val="clear" w:color="auto" w:fill="FFF8E6"/>
          </w:tcPr>
          <w:p>
            <w:pPr/>
          </w:p>
        </w:tc>
        <w:tc>
          <w:tcPr>
            <w:tcW w:w="1559" w:type="dxa"/>
            <w:vMerge/>
            <w:tcBorders>
              <w:left w:val="single" w:sz="4" w:space="0" w:color="FFC000"/>
              <w:bottom w:val="single" w:sz="4" w:space="0" w:color="FFC000"/>
              <w:right w:val="single" w:sz="4" w:space="0" w:color="FFC000"/>
            </w:tcBorders>
            <w:shd w:val="clear" w:color="auto" w:fill="FFF8E6"/>
          </w:tcPr>
          <w:p>
            <w:pPr/>
          </w:p>
        </w:tc>
        <w:tc>
          <w:tcPr>
            <w:tcW w:w="1560" w:type="dxa"/>
            <w:vMerge/>
            <w:tcBorders>
              <w:left w:val="single" w:sz="4" w:space="0" w:color="FFC000"/>
              <w:bottom w:val="single" w:sz="4" w:space="0" w:color="FFC000"/>
              <w:right w:val="single" w:sz="4" w:space="0" w:color="FFC000"/>
            </w:tcBorders>
            <w:shd w:val="clear" w:color="auto" w:fill="FFF8E6"/>
          </w:tcPr>
          <w:p>
            <w:pPr/>
          </w:p>
        </w:tc>
        <w:tc>
          <w:tcPr>
            <w:tcW w:w="1559" w:type="dxa"/>
            <w:tcBorders>
              <w:top w:val="nil" w:sz="6" w:space="0" w:color="auto"/>
              <w:left w:val="single" w:sz="4" w:space="0" w:color="FFC000"/>
              <w:bottom w:val="single" w:sz="4" w:space="0" w:color="FFC000"/>
              <w:right w:val="single" w:sz="4" w:space="0" w:color="FFC000"/>
            </w:tcBorders>
            <w:shd w:val="clear" w:color="auto" w:fill="FFF8E6"/>
          </w:tcPr>
          <w:p>
            <w:pPr/>
          </w:p>
        </w:tc>
        <w:tc>
          <w:tcPr>
            <w:tcW w:w="1702" w:type="dxa"/>
            <w:tcBorders>
              <w:top w:val="nil" w:sz="6" w:space="0" w:color="auto"/>
              <w:left w:val="single" w:sz="4" w:space="0" w:color="FFC000"/>
              <w:bottom w:val="single" w:sz="4" w:space="0" w:color="FFC000"/>
              <w:right w:val="single" w:sz="4" w:space="0" w:color="FFC000"/>
            </w:tcBorders>
            <w:shd w:val="clear" w:color="auto" w:fill="FFF8E6"/>
          </w:tcPr>
          <w:p>
            <w:pPr/>
          </w:p>
        </w:tc>
      </w:tr>
      <w:tr>
        <w:trPr>
          <w:trHeight w:val="545"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
              <w:ind w:right="0"/>
              <w:jc w:val="left"/>
              <w:rPr>
                <w:rFonts w:ascii="华文细黑" w:hAnsi="华文细黑" w:cs="华文细黑" w:eastAsia="华文细黑" w:hint="default"/>
                <w:sz w:val="14"/>
                <w:szCs w:val="14"/>
              </w:rPr>
            </w:pPr>
          </w:p>
          <w:p>
            <w:pPr>
              <w:pStyle w:val="TableParagraph"/>
              <w:spacing w:line="240" w:lineRule="auto"/>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、年初余额</w:t>
            </w:r>
          </w:p>
        </w:tc>
        <w:tc>
          <w:tcPr>
            <w:tcW w:w="1345" w:type="dxa"/>
            <w:tcBorders>
              <w:top w:val="single" w:sz="22" w:space="0" w:color="FFF8E6"/>
              <w:left w:val="single" w:sz="9" w:space="0" w:color="FFF8E6"/>
              <w:bottom w:val="single" w:sz="4" w:space="0" w:color="FFC000"/>
              <w:right w:val="single" w:sz="4" w:space="0" w:color="FFC000"/>
            </w:tcBorders>
          </w:tcPr>
          <w:p>
            <w:pPr>
              <w:pStyle w:val="TableParagraph"/>
              <w:spacing w:line="240" w:lineRule="auto" w:before="7"/>
              <w:ind w:right="0"/>
              <w:jc w:val="left"/>
              <w:rPr>
                <w:rFonts w:ascii="华文细黑" w:hAnsi="华文细黑" w:cs="华文细黑" w:eastAsia="华文细黑" w:hint="default"/>
                <w:sz w:val="12"/>
                <w:szCs w:val="12"/>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14,143,239.25</w:t>
            </w:r>
          </w:p>
        </w:tc>
        <w:tc>
          <w:tcPr>
            <w:tcW w:w="1559" w:type="dxa"/>
            <w:tcBorders>
              <w:top w:val="single" w:sz="44" w:space="0" w:color="FFF8E6"/>
              <w:left w:val="single" w:sz="4" w:space="0" w:color="FFC000"/>
              <w:bottom w:val="single" w:sz="4" w:space="0" w:color="FFC000"/>
              <w:right w:val="single" w:sz="4" w:space="0" w:color="FFC000"/>
            </w:tcBorders>
          </w:tcPr>
          <w:p>
            <w:pPr>
              <w:pStyle w:val="TableParagraph"/>
              <w:spacing w:line="240" w:lineRule="auto" w:before="149"/>
              <w:ind w:right="22"/>
              <w:jc w:val="right"/>
              <w:rPr>
                <w:rFonts w:ascii="华文细黑" w:hAnsi="华文细黑" w:cs="华文细黑" w:eastAsia="华文细黑" w:hint="default"/>
                <w:sz w:val="18"/>
                <w:szCs w:val="18"/>
              </w:rPr>
            </w:pPr>
            <w:r>
              <w:rPr>
                <w:rFonts w:ascii="华文细黑"/>
                <w:sz w:val="18"/>
              </w:rPr>
              <w:t>11,721,823.54</w:t>
            </w:r>
          </w:p>
        </w:tc>
        <w:tc>
          <w:tcPr>
            <w:tcW w:w="1560" w:type="dxa"/>
            <w:tcBorders>
              <w:top w:val="single" w:sz="44" w:space="0" w:color="FFF8E6"/>
              <w:left w:val="single" w:sz="4" w:space="0" w:color="FFC000"/>
              <w:bottom w:val="single" w:sz="4" w:space="0" w:color="FFC000"/>
              <w:right w:val="single" w:sz="4" w:space="0" w:color="FFC000"/>
            </w:tcBorders>
          </w:tcPr>
          <w:p>
            <w:pPr>
              <w:pStyle w:val="TableParagraph"/>
              <w:spacing w:line="240" w:lineRule="auto" w:before="149"/>
              <w:ind w:right="21"/>
              <w:jc w:val="right"/>
              <w:rPr>
                <w:rFonts w:ascii="华文细黑" w:hAnsi="华文细黑" w:cs="华文细黑" w:eastAsia="华文细黑" w:hint="default"/>
                <w:sz w:val="18"/>
                <w:szCs w:val="18"/>
              </w:rPr>
            </w:pPr>
            <w:r>
              <w:rPr>
                <w:rFonts w:ascii="华文细黑"/>
                <w:sz w:val="18"/>
              </w:rPr>
              <w:t>34,474,875.75</w:t>
            </w:r>
          </w:p>
        </w:tc>
        <w:tc>
          <w:tcPr>
            <w:tcW w:w="1559" w:type="dxa"/>
            <w:tcBorders>
              <w:top w:val="single" w:sz="22" w:space="0" w:color="FFF8E6"/>
              <w:left w:val="single" w:sz="4" w:space="0" w:color="FFC000"/>
              <w:bottom w:val="single" w:sz="4" w:space="0" w:color="FFC000"/>
              <w:right w:val="single" w:sz="4" w:space="0" w:color="FFC000"/>
            </w:tcBorders>
          </w:tcPr>
          <w:p>
            <w:pPr>
              <w:pStyle w:val="TableParagraph"/>
              <w:spacing w:line="240" w:lineRule="auto" w:before="7"/>
              <w:ind w:right="0"/>
              <w:jc w:val="left"/>
              <w:rPr>
                <w:rFonts w:ascii="华文细黑" w:hAnsi="华文细黑" w:cs="华文细黑" w:eastAsia="华文细黑" w:hint="default"/>
                <w:sz w:val="12"/>
                <w:szCs w:val="12"/>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pacing w:val="-1"/>
                <w:sz w:val="18"/>
              </w:rPr>
              <w:t>18,766,849.88</w:t>
            </w:r>
          </w:p>
        </w:tc>
        <w:tc>
          <w:tcPr>
            <w:tcW w:w="1702" w:type="dxa"/>
            <w:tcBorders>
              <w:top w:val="single" w:sz="22" w:space="0" w:color="FFF8E6"/>
              <w:left w:val="single" w:sz="4" w:space="0" w:color="FFC000"/>
              <w:bottom w:val="single" w:sz="4" w:space="0" w:color="FFC000"/>
              <w:right w:val="single" w:sz="4" w:space="0" w:color="FFC000"/>
            </w:tcBorders>
          </w:tcPr>
          <w:p>
            <w:pPr>
              <w:pStyle w:val="TableParagraph"/>
              <w:spacing w:line="240" w:lineRule="auto" w:before="7"/>
              <w:ind w:right="0"/>
              <w:jc w:val="left"/>
              <w:rPr>
                <w:rFonts w:ascii="华文细黑" w:hAnsi="华文细黑" w:cs="华文细黑" w:eastAsia="华文细黑" w:hint="default"/>
                <w:sz w:val="12"/>
                <w:szCs w:val="12"/>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79,106,788.42</w:t>
            </w:r>
          </w:p>
        </w:tc>
      </w:tr>
      <w:tr>
        <w:trPr>
          <w:trHeight w:val="491"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、本年增加金额</w:t>
            </w:r>
          </w:p>
        </w:tc>
        <w:tc>
          <w:tcPr>
            <w:tcW w:w="1345"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16,128.21</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918,870.69</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3,895,416.24</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259,646.03</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5,090,061.17</w:t>
            </w:r>
          </w:p>
        </w:tc>
      </w:tr>
      <w:tr>
        <w:trPr>
          <w:trHeight w:val="490"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）购置</w:t>
            </w:r>
          </w:p>
        </w:tc>
        <w:tc>
          <w:tcPr>
            <w:tcW w:w="1345"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16,128.21</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918,870.69</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3,776,045.05</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259,646.03</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4,970,689.98</w:t>
            </w:r>
          </w:p>
        </w:tc>
      </w:tr>
      <w:tr>
        <w:trPr>
          <w:trHeight w:val="490"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）企业合并增加</w:t>
            </w:r>
          </w:p>
        </w:tc>
        <w:tc>
          <w:tcPr>
            <w:tcW w:w="1345"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119,371.19</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119,371.19</w:t>
            </w:r>
          </w:p>
        </w:tc>
      </w:tr>
      <w:tr>
        <w:trPr>
          <w:trHeight w:val="491"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w:t>
            </w:r>
            <w:r>
              <w:rPr>
                <w:rFonts w:ascii="华文细黑" w:hAnsi="华文细黑" w:cs="华文细黑" w:eastAsia="华文细黑" w:hint="default"/>
                <w:sz w:val="18"/>
                <w:szCs w:val="18"/>
              </w:rPr>
              <w:t>、本年减少金额</w:t>
            </w:r>
          </w:p>
        </w:tc>
        <w:tc>
          <w:tcPr>
            <w:tcW w:w="1345"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2,225,239.71</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1,177,544.78</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405,521.83</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pacing w:val="-1"/>
                <w:sz w:val="18"/>
              </w:rPr>
              <w:t>3,808,306.32</w:t>
            </w:r>
          </w:p>
        </w:tc>
      </w:tr>
      <w:tr>
        <w:trPr>
          <w:trHeight w:val="490"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）处置或报废</w:t>
            </w:r>
          </w:p>
        </w:tc>
        <w:tc>
          <w:tcPr>
            <w:tcW w:w="1345"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2,225,239.71</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1,177,544.78</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405,521.83</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3,808,306.32</w:t>
            </w:r>
          </w:p>
        </w:tc>
      </w:tr>
      <w:tr>
        <w:trPr>
          <w:trHeight w:val="490"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4</w:t>
            </w:r>
            <w:r>
              <w:rPr>
                <w:rFonts w:ascii="华文细黑" w:hAnsi="华文细黑" w:cs="华文细黑" w:eastAsia="华文细黑" w:hint="default"/>
                <w:sz w:val="18"/>
                <w:szCs w:val="18"/>
              </w:rPr>
              <w:t>、年末余额</w:t>
            </w:r>
          </w:p>
        </w:tc>
        <w:tc>
          <w:tcPr>
            <w:tcW w:w="1345"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14,159,367.46</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10,415,454.52</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37,192,747.21</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18,620,974.08</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80,388,543.27</w:t>
            </w:r>
          </w:p>
        </w:tc>
      </w:tr>
      <w:tr>
        <w:trPr>
          <w:trHeight w:val="491"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二、累计折旧</w:t>
            </w:r>
          </w:p>
        </w:tc>
        <w:tc>
          <w:tcPr>
            <w:tcW w:w="1345"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559"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559"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702"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0"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、年初余额</w:t>
            </w:r>
          </w:p>
        </w:tc>
        <w:tc>
          <w:tcPr>
            <w:tcW w:w="1345"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8,852,602.05</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8,233,236.00</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30,616,980.02</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15,046,698.50</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62,749,516.57</w:t>
            </w:r>
          </w:p>
        </w:tc>
      </w:tr>
      <w:tr>
        <w:trPr>
          <w:trHeight w:val="490"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、本年增加金额</w:t>
            </w:r>
          </w:p>
        </w:tc>
        <w:tc>
          <w:tcPr>
            <w:tcW w:w="1345"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pacing w:val="-1"/>
                <w:sz w:val="18"/>
              </w:rPr>
              <w:t>585,325.15</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960,183.77</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3,072,101.00</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226,756.75</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4,844,366.67</w:t>
            </w:r>
          </w:p>
        </w:tc>
      </w:tr>
      <w:tr>
        <w:trPr>
          <w:trHeight w:val="491"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6"/>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）计提</w:t>
            </w:r>
          </w:p>
        </w:tc>
        <w:tc>
          <w:tcPr>
            <w:tcW w:w="1345"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6"/>
              <w:ind w:right="22"/>
              <w:jc w:val="right"/>
              <w:rPr>
                <w:rFonts w:ascii="华文细黑" w:hAnsi="华文细黑" w:cs="华文细黑" w:eastAsia="华文细黑" w:hint="default"/>
                <w:sz w:val="18"/>
                <w:szCs w:val="18"/>
              </w:rPr>
            </w:pPr>
            <w:r>
              <w:rPr>
                <w:rFonts w:ascii="华文细黑"/>
                <w:w w:val="95"/>
                <w:sz w:val="18"/>
              </w:rPr>
              <w:t>585,325.15</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22"/>
              <w:jc w:val="right"/>
              <w:rPr>
                <w:rFonts w:ascii="华文细黑" w:hAnsi="华文细黑" w:cs="华文细黑" w:eastAsia="华文细黑" w:hint="default"/>
                <w:sz w:val="18"/>
                <w:szCs w:val="18"/>
              </w:rPr>
            </w:pPr>
            <w:r>
              <w:rPr>
                <w:rFonts w:ascii="华文细黑"/>
                <w:w w:val="95"/>
                <w:sz w:val="18"/>
              </w:rPr>
              <w:t>960,183.77</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20"/>
              <w:jc w:val="right"/>
              <w:rPr>
                <w:rFonts w:ascii="华文细黑" w:hAnsi="华文细黑" w:cs="华文细黑" w:eastAsia="华文细黑" w:hint="default"/>
                <w:sz w:val="18"/>
                <w:szCs w:val="18"/>
              </w:rPr>
            </w:pPr>
            <w:r>
              <w:rPr>
                <w:rFonts w:ascii="华文细黑"/>
                <w:sz w:val="18"/>
              </w:rPr>
              <w:t>3,042,209.68</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22"/>
              <w:jc w:val="right"/>
              <w:rPr>
                <w:rFonts w:ascii="华文细黑" w:hAnsi="华文细黑" w:cs="华文细黑" w:eastAsia="华文细黑" w:hint="default"/>
                <w:sz w:val="18"/>
                <w:szCs w:val="18"/>
              </w:rPr>
            </w:pPr>
            <w:r>
              <w:rPr>
                <w:rFonts w:ascii="华文细黑"/>
                <w:w w:val="95"/>
                <w:sz w:val="18"/>
              </w:rPr>
              <w:t>226,756.75</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20"/>
              <w:jc w:val="right"/>
              <w:rPr>
                <w:rFonts w:ascii="华文细黑" w:hAnsi="华文细黑" w:cs="华文细黑" w:eastAsia="华文细黑" w:hint="default"/>
                <w:sz w:val="18"/>
                <w:szCs w:val="18"/>
              </w:rPr>
            </w:pPr>
            <w:r>
              <w:rPr>
                <w:rFonts w:ascii="华文细黑"/>
                <w:sz w:val="18"/>
              </w:rPr>
              <w:t>4,814,475.35</w:t>
            </w:r>
          </w:p>
        </w:tc>
      </w:tr>
      <w:tr>
        <w:trPr>
          <w:trHeight w:val="490"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）企业合并增加</w:t>
            </w:r>
          </w:p>
        </w:tc>
        <w:tc>
          <w:tcPr>
            <w:tcW w:w="1345"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29,891.32</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29,891.32</w:t>
            </w:r>
          </w:p>
        </w:tc>
      </w:tr>
      <w:tr>
        <w:trPr>
          <w:trHeight w:val="490"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w:t>
            </w:r>
            <w:r>
              <w:rPr>
                <w:rFonts w:ascii="华文细黑" w:hAnsi="华文细黑" w:cs="华文细黑" w:eastAsia="华文细黑" w:hint="default"/>
                <w:sz w:val="18"/>
                <w:szCs w:val="18"/>
              </w:rPr>
              <w:t>、本年减少金额</w:t>
            </w:r>
          </w:p>
        </w:tc>
        <w:tc>
          <w:tcPr>
            <w:tcW w:w="1345"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1,680,091.47</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921,483.70</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386,679.37</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2,988,254.54</w:t>
            </w:r>
          </w:p>
        </w:tc>
      </w:tr>
      <w:tr>
        <w:trPr>
          <w:trHeight w:val="491"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）处置或报废</w:t>
            </w:r>
          </w:p>
        </w:tc>
        <w:tc>
          <w:tcPr>
            <w:tcW w:w="1345"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1,680,091.47</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pacing w:val="-1"/>
                <w:sz w:val="18"/>
              </w:rPr>
              <w:t>921,483.70</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386,679.37</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2,988,254.54</w:t>
            </w:r>
          </w:p>
        </w:tc>
      </w:tr>
      <w:tr>
        <w:trPr>
          <w:trHeight w:val="490"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4</w:t>
            </w:r>
            <w:r>
              <w:rPr>
                <w:rFonts w:ascii="华文细黑" w:hAnsi="华文细黑" w:cs="华文细黑" w:eastAsia="华文细黑" w:hint="default"/>
                <w:sz w:val="18"/>
                <w:szCs w:val="18"/>
              </w:rPr>
              <w:t>、年末余额</w:t>
            </w:r>
          </w:p>
        </w:tc>
        <w:tc>
          <w:tcPr>
            <w:tcW w:w="1345"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9,437,927.20</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7,513,328.30</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32,767,597.32</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14,886,775.88</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64,605,628.70</w:t>
            </w:r>
          </w:p>
        </w:tc>
      </w:tr>
      <w:tr>
        <w:trPr>
          <w:trHeight w:val="490"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三、减值准备</w:t>
            </w:r>
          </w:p>
        </w:tc>
        <w:tc>
          <w:tcPr>
            <w:tcW w:w="1345"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559"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559"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702"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1"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、年初余额</w:t>
            </w:r>
          </w:p>
        </w:tc>
        <w:tc>
          <w:tcPr>
            <w:tcW w:w="1345"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、本年增加金额</w:t>
            </w:r>
          </w:p>
        </w:tc>
        <w:tc>
          <w:tcPr>
            <w:tcW w:w="1345"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）计提</w:t>
            </w:r>
          </w:p>
        </w:tc>
        <w:tc>
          <w:tcPr>
            <w:tcW w:w="1345"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w:t>
            </w:r>
            <w:r>
              <w:rPr>
                <w:rFonts w:ascii="华文细黑" w:hAnsi="华文细黑" w:cs="华文细黑" w:eastAsia="华文细黑" w:hint="default"/>
                <w:sz w:val="18"/>
                <w:szCs w:val="18"/>
              </w:rPr>
              <w:t>、本年减少金额</w:t>
            </w:r>
          </w:p>
        </w:tc>
        <w:tc>
          <w:tcPr>
            <w:tcW w:w="1345"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）处置或报废</w:t>
            </w:r>
          </w:p>
        </w:tc>
        <w:tc>
          <w:tcPr>
            <w:tcW w:w="1345"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4</w:t>
            </w:r>
            <w:r>
              <w:rPr>
                <w:rFonts w:ascii="华文细黑" w:hAnsi="华文细黑" w:cs="华文细黑" w:eastAsia="华文细黑" w:hint="default"/>
                <w:sz w:val="18"/>
                <w:szCs w:val="18"/>
              </w:rPr>
              <w:t>、年末余额</w:t>
            </w:r>
          </w:p>
        </w:tc>
        <w:tc>
          <w:tcPr>
            <w:tcW w:w="1345"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四、账面价值</w:t>
            </w:r>
          </w:p>
        </w:tc>
        <w:tc>
          <w:tcPr>
            <w:tcW w:w="1345"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559"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559"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702"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0"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、年末账面价值</w:t>
            </w:r>
          </w:p>
        </w:tc>
        <w:tc>
          <w:tcPr>
            <w:tcW w:w="1345"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4,721,440.26</w:t>
            </w:r>
            <w:r>
              <w:rPr>
                <w:rFonts w:ascii="华文细黑"/>
                <w:sz w:val="18"/>
              </w:rPr>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2,902,126.22</w:t>
            </w:r>
            <w:r>
              <w:rPr>
                <w:rFonts w:ascii="华文细黑"/>
                <w:sz w:val="18"/>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4,425,149.89</w:t>
            </w:r>
            <w:r>
              <w:rPr>
                <w:rFonts w:ascii="华文细黑"/>
                <w:sz w:val="18"/>
              </w:rPr>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3,734,198.20</w:t>
            </w:r>
            <w:r>
              <w:rPr>
                <w:rFonts w:ascii="华文细黑"/>
                <w:sz w:val="18"/>
              </w:rPr>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15,782,914.57</w:t>
            </w:r>
            <w:r>
              <w:rPr>
                <w:rFonts w:ascii="华文细黑"/>
                <w:sz w:val="18"/>
              </w:rPr>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200" w:right="0"/>
        </w:sectPr>
      </w:pPr>
    </w:p>
    <w:p>
      <w:pPr>
        <w:spacing w:line="240" w:lineRule="auto" w:before="8"/>
        <w:rPr>
          <w:rFonts w:ascii="华文细黑" w:hAnsi="华文细黑" w:cs="华文细黑" w:eastAsia="华文细黑" w:hint="default"/>
          <w:sz w:val="25"/>
          <w:szCs w:val="25"/>
        </w:rPr>
      </w:pPr>
    </w:p>
    <w:tbl>
      <w:tblPr>
        <w:tblW w:w="0" w:type="auto"/>
        <w:jc w:val="left"/>
        <w:tblInd w:w="105" w:type="dxa"/>
        <w:tblLayout w:type="fixed"/>
        <w:tblCellMar>
          <w:top w:w="0" w:type="dxa"/>
          <w:left w:w="0" w:type="dxa"/>
          <w:bottom w:w="0" w:type="dxa"/>
          <w:right w:w="0" w:type="dxa"/>
        </w:tblCellMar>
        <w:tblLook w:val="01E0"/>
      </w:tblPr>
      <w:tblGrid>
        <w:gridCol w:w="1763"/>
        <w:gridCol w:w="1345"/>
        <w:gridCol w:w="1559"/>
        <w:gridCol w:w="1560"/>
        <w:gridCol w:w="1559"/>
        <w:gridCol w:w="1702"/>
      </w:tblGrid>
      <w:tr>
        <w:trPr>
          <w:trHeight w:val="435"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7"/>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项目</w:t>
            </w:r>
          </w:p>
        </w:tc>
        <w:tc>
          <w:tcPr>
            <w:tcW w:w="13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7"/>
              <w:ind w:left="13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房屋及建筑物</w:t>
            </w:r>
          </w:p>
        </w:tc>
        <w:tc>
          <w:tcPr>
            <w:tcW w:w="1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7"/>
              <w:ind w:left="41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运输工具</w:t>
            </w:r>
          </w:p>
        </w:tc>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7"/>
              <w:ind w:left="41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电子设备</w:t>
            </w:r>
          </w:p>
        </w:tc>
        <w:tc>
          <w:tcPr>
            <w:tcW w:w="1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7"/>
              <w:ind w:left="41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其他设备</w:t>
            </w:r>
          </w:p>
        </w:tc>
        <w:tc>
          <w:tcPr>
            <w:tcW w:w="17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7"/>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合计</w:t>
            </w:r>
          </w:p>
        </w:tc>
      </w:tr>
      <w:tr>
        <w:trPr>
          <w:trHeight w:val="518" w:hRule="exact"/>
        </w:trPr>
        <w:tc>
          <w:tcPr>
            <w:tcW w:w="1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
              <w:ind w:right="0"/>
              <w:jc w:val="left"/>
              <w:rPr>
                <w:rFonts w:ascii="华文细黑" w:hAnsi="华文细黑" w:cs="华文细黑" w:eastAsia="华文细黑" w:hint="default"/>
                <w:sz w:val="12"/>
                <w:szCs w:val="12"/>
              </w:rPr>
            </w:pPr>
          </w:p>
          <w:p>
            <w:pPr>
              <w:pStyle w:val="TableParagraph"/>
              <w:spacing w:line="240" w:lineRule="auto"/>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、年初账面价值</w:t>
            </w:r>
          </w:p>
        </w:tc>
        <w:tc>
          <w:tcPr>
            <w:tcW w:w="1345" w:type="dxa"/>
            <w:tcBorders>
              <w:top w:val="single" w:sz="25" w:space="0" w:color="FFF8E6"/>
              <w:left w:val="single" w:sz="9" w:space="0" w:color="FFF8E6"/>
              <w:bottom w:val="single" w:sz="4" w:space="0" w:color="FFC000"/>
              <w:right w:val="single" w:sz="4" w:space="0" w:color="FFC000"/>
            </w:tcBorders>
          </w:tcPr>
          <w:p>
            <w:pPr>
              <w:pStyle w:val="TableParagraph"/>
              <w:spacing w:line="240" w:lineRule="auto" w:before="145"/>
              <w:ind w:left="255" w:right="0"/>
              <w:jc w:val="left"/>
              <w:rPr>
                <w:rFonts w:ascii="华文细黑" w:hAnsi="华文细黑" w:cs="华文细黑" w:eastAsia="华文细黑" w:hint="default"/>
                <w:sz w:val="18"/>
                <w:szCs w:val="18"/>
              </w:rPr>
            </w:pPr>
            <w:r>
              <w:rPr>
                <w:rFonts w:ascii="华文细黑"/>
                <w:b/>
                <w:sz w:val="18"/>
              </w:rPr>
              <w:t>5,290,637.20</w:t>
            </w:r>
            <w:r>
              <w:rPr>
                <w:rFonts w:ascii="华文细黑"/>
                <w:sz w:val="18"/>
              </w:rPr>
            </w:r>
          </w:p>
        </w:tc>
        <w:tc>
          <w:tcPr>
            <w:tcW w:w="1559" w:type="dxa"/>
            <w:tcBorders>
              <w:top w:val="single" w:sz="25" w:space="0" w:color="FFF8E6"/>
              <w:left w:val="single" w:sz="4" w:space="0" w:color="FFC000"/>
              <w:bottom w:val="single" w:sz="4" w:space="0" w:color="FFC000"/>
              <w:right w:val="single" w:sz="4" w:space="0" w:color="FFC000"/>
            </w:tcBorders>
          </w:tcPr>
          <w:p>
            <w:pPr>
              <w:pStyle w:val="TableParagraph"/>
              <w:spacing w:line="240" w:lineRule="auto" w:before="145"/>
              <w:ind w:left="476" w:right="0"/>
              <w:jc w:val="left"/>
              <w:rPr>
                <w:rFonts w:ascii="华文细黑" w:hAnsi="华文细黑" w:cs="华文细黑" w:eastAsia="华文细黑" w:hint="default"/>
                <w:sz w:val="18"/>
                <w:szCs w:val="18"/>
              </w:rPr>
            </w:pPr>
            <w:r>
              <w:rPr>
                <w:rFonts w:ascii="华文细黑"/>
                <w:b/>
                <w:sz w:val="18"/>
              </w:rPr>
              <w:t>3,488,587.54</w:t>
            </w:r>
            <w:r>
              <w:rPr>
                <w:rFonts w:ascii="华文细黑"/>
                <w:sz w:val="18"/>
              </w:rPr>
            </w:r>
          </w:p>
        </w:tc>
        <w:tc>
          <w:tcPr>
            <w:tcW w:w="1560" w:type="dxa"/>
            <w:tcBorders>
              <w:top w:val="single" w:sz="25" w:space="0" w:color="FFF8E6"/>
              <w:left w:val="single" w:sz="4" w:space="0" w:color="FFC000"/>
              <w:bottom w:val="single" w:sz="4" w:space="0" w:color="FFC000"/>
              <w:right w:val="single" w:sz="4" w:space="0" w:color="FFC000"/>
            </w:tcBorders>
          </w:tcPr>
          <w:p>
            <w:pPr>
              <w:pStyle w:val="TableParagraph"/>
              <w:spacing w:line="240" w:lineRule="auto" w:before="145"/>
              <w:ind w:left="477" w:right="0"/>
              <w:jc w:val="left"/>
              <w:rPr>
                <w:rFonts w:ascii="华文细黑" w:hAnsi="华文细黑" w:cs="华文细黑" w:eastAsia="华文细黑" w:hint="default"/>
                <w:sz w:val="18"/>
                <w:szCs w:val="18"/>
              </w:rPr>
            </w:pPr>
            <w:r>
              <w:rPr>
                <w:rFonts w:ascii="华文细黑"/>
                <w:b/>
                <w:sz w:val="18"/>
              </w:rPr>
              <w:t>3,857,895.73</w:t>
            </w:r>
            <w:r>
              <w:rPr>
                <w:rFonts w:ascii="华文细黑"/>
                <w:sz w:val="18"/>
              </w:rPr>
            </w:r>
          </w:p>
        </w:tc>
        <w:tc>
          <w:tcPr>
            <w:tcW w:w="1559" w:type="dxa"/>
            <w:tcBorders>
              <w:top w:val="single" w:sz="25" w:space="0" w:color="FFF8E6"/>
              <w:left w:val="single" w:sz="4" w:space="0" w:color="FFC000"/>
              <w:bottom w:val="single" w:sz="4" w:space="0" w:color="FFC000"/>
              <w:right w:val="single" w:sz="4" w:space="0" w:color="FFC000"/>
            </w:tcBorders>
          </w:tcPr>
          <w:p>
            <w:pPr>
              <w:pStyle w:val="TableParagraph"/>
              <w:spacing w:line="240" w:lineRule="auto" w:before="145"/>
              <w:ind w:left="476" w:right="0"/>
              <w:jc w:val="left"/>
              <w:rPr>
                <w:rFonts w:ascii="华文细黑" w:hAnsi="华文细黑" w:cs="华文细黑" w:eastAsia="华文细黑" w:hint="default"/>
                <w:sz w:val="18"/>
                <w:szCs w:val="18"/>
              </w:rPr>
            </w:pPr>
            <w:r>
              <w:rPr>
                <w:rFonts w:ascii="华文细黑"/>
                <w:b/>
                <w:sz w:val="18"/>
              </w:rPr>
              <w:t>3,720,151.38</w:t>
            </w:r>
            <w:r>
              <w:rPr>
                <w:rFonts w:ascii="华文细黑"/>
                <w:sz w:val="18"/>
              </w:rPr>
            </w:r>
          </w:p>
        </w:tc>
        <w:tc>
          <w:tcPr>
            <w:tcW w:w="1702" w:type="dxa"/>
            <w:tcBorders>
              <w:top w:val="single" w:sz="25" w:space="0" w:color="FFF8E6"/>
              <w:left w:val="single" w:sz="4" w:space="0" w:color="FFC000"/>
              <w:bottom w:val="single" w:sz="4" w:space="0" w:color="FFC000"/>
              <w:right w:val="single" w:sz="4" w:space="0" w:color="FFC000"/>
            </w:tcBorders>
          </w:tcPr>
          <w:p>
            <w:pPr>
              <w:pStyle w:val="TableParagraph"/>
              <w:spacing w:line="240" w:lineRule="auto" w:before="145"/>
              <w:ind w:left="518" w:right="0"/>
              <w:jc w:val="left"/>
              <w:rPr>
                <w:rFonts w:ascii="华文细黑" w:hAnsi="华文细黑" w:cs="华文细黑" w:eastAsia="华文细黑" w:hint="default"/>
                <w:sz w:val="18"/>
                <w:szCs w:val="18"/>
              </w:rPr>
            </w:pPr>
            <w:r>
              <w:rPr>
                <w:rFonts w:ascii="华文细黑"/>
                <w:b/>
                <w:sz w:val="18"/>
              </w:rPr>
              <w:t>16,357,271.85</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60" w:right="1246"/>
        <w:jc w:val="left"/>
      </w:pPr>
      <w:r>
        <w:rPr/>
        <w:t>②报告期内无暂时闲置的固定资产情况。</w:t>
      </w:r>
    </w:p>
    <w:p>
      <w:pPr>
        <w:pStyle w:val="BodyText"/>
        <w:spacing w:line="240" w:lineRule="auto" w:before="143"/>
        <w:ind w:left="660" w:right="1246"/>
        <w:jc w:val="left"/>
      </w:pPr>
      <w:r>
        <w:rPr/>
        <w:t>③报告期内无通过融资租赁租入的固定资产情况</w:t>
      </w:r>
    </w:p>
    <w:p>
      <w:pPr>
        <w:pStyle w:val="BodyText"/>
        <w:spacing w:line="240" w:lineRule="auto" w:before="144"/>
        <w:ind w:left="660" w:right="1246"/>
        <w:jc w:val="left"/>
      </w:pPr>
      <w:r>
        <w:rPr/>
        <w:t>④通过经营租赁租出的固定资产</w:t>
      </w:r>
    </w:p>
    <w:p>
      <w:pPr>
        <w:spacing w:line="240" w:lineRule="auto" w:before="5"/>
        <w:rPr>
          <w:rFonts w:ascii="华文细黑" w:hAnsi="华文细黑" w:cs="华文细黑" w:eastAsia="华文细黑" w:hint="default"/>
          <w:sz w:val="5"/>
          <w:szCs w:val="5"/>
        </w:rPr>
      </w:pPr>
    </w:p>
    <w:tbl>
      <w:tblPr>
        <w:tblW w:w="0" w:type="auto"/>
        <w:jc w:val="left"/>
        <w:tblInd w:w="105" w:type="dxa"/>
        <w:tblLayout w:type="fixed"/>
        <w:tblCellMar>
          <w:top w:w="0" w:type="dxa"/>
          <w:left w:w="0" w:type="dxa"/>
          <w:bottom w:w="0" w:type="dxa"/>
          <w:right w:w="0" w:type="dxa"/>
        </w:tblCellMar>
        <w:tblLook w:val="01E0"/>
      </w:tblPr>
      <w:tblGrid>
        <w:gridCol w:w="4468"/>
        <w:gridCol w:w="4731"/>
      </w:tblGrid>
      <w:tr>
        <w:trPr>
          <w:trHeight w:val="491" w:hRule="exact"/>
        </w:trPr>
        <w:tc>
          <w:tcPr>
            <w:tcW w:w="44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95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47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9"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年末账面价值</w:t>
            </w:r>
          </w:p>
        </w:tc>
      </w:tr>
      <w:tr>
        <w:trPr>
          <w:trHeight w:val="490" w:hRule="exact"/>
        </w:trPr>
        <w:tc>
          <w:tcPr>
            <w:tcW w:w="44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房屋及建筑物</w:t>
            </w:r>
          </w:p>
        </w:tc>
        <w:tc>
          <w:tcPr>
            <w:tcW w:w="473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1,161,306.41</w:t>
            </w:r>
          </w:p>
        </w:tc>
      </w:tr>
      <w:tr>
        <w:trPr>
          <w:trHeight w:val="491" w:hRule="exact"/>
        </w:trPr>
        <w:tc>
          <w:tcPr>
            <w:tcW w:w="44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95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473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1,161,306.41</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60" w:right="1246"/>
        <w:jc w:val="left"/>
      </w:pPr>
      <w:r>
        <w:rPr/>
        <w:t>⑤未办妥产权证书的固定资产情况</w:t>
      </w:r>
    </w:p>
    <w:p>
      <w:pPr>
        <w:spacing w:line="240" w:lineRule="auto" w:before="5"/>
        <w:rPr>
          <w:rFonts w:ascii="华文细黑" w:hAnsi="华文细黑" w:cs="华文细黑" w:eastAsia="华文细黑" w:hint="default"/>
          <w:sz w:val="5"/>
          <w:szCs w:val="5"/>
        </w:rPr>
      </w:pPr>
    </w:p>
    <w:tbl>
      <w:tblPr>
        <w:tblW w:w="0" w:type="auto"/>
        <w:jc w:val="left"/>
        <w:tblInd w:w="105" w:type="dxa"/>
        <w:tblLayout w:type="fixed"/>
        <w:tblCellMar>
          <w:top w:w="0" w:type="dxa"/>
          <w:left w:w="0" w:type="dxa"/>
          <w:bottom w:w="0" w:type="dxa"/>
          <w:right w:w="0" w:type="dxa"/>
        </w:tblCellMar>
        <w:tblLook w:val="01E0"/>
      </w:tblPr>
      <w:tblGrid>
        <w:gridCol w:w="2528"/>
        <w:gridCol w:w="2490"/>
        <w:gridCol w:w="4181"/>
      </w:tblGrid>
      <w:tr>
        <w:trPr>
          <w:trHeight w:val="490" w:hRule="exact"/>
        </w:trPr>
        <w:tc>
          <w:tcPr>
            <w:tcW w:w="252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989"/>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24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账面价值</w:t>
            </w:r>
          </w:p>
        </w:tc>
        <w:tc>
          <w:tcPr>
            <w:tcW w:w="418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未办妥产权证书的原因</w:t>
            </w:r>
          </w:p>
        </w:tc>
      </w:tr>
      <w:tr>
        <w:trPr>
          <w:trHeight w:val="490" w:hRule="exact"/>
        </w:trPr>
        <w:tc>
          <w:tcPr>
            <w:tcW w:w="252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房屋及建筑物</w:t>
            </w:r>
          </w:p>
        </w:tc>
        <w:tc>
          <w:tcPr>
            <w:tcW w:w="249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1,598,286.21</w:t>
            </w:r>
          </w:p>
        </w:tc>
        <w:tc>
          <w:tcPr>
            <w:tcW w:w="418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人才住房没有房产证</w:t>
            </w:r>
          </w:p>
        </w:tc>
      </w:tr>
      <w:tr>
        <w:trPr>
          <w:trHeight w:val="491" w:hRule="exact"/>
        </w:trPr>
        <w:tc>
          <w:tcPr>
            <w:tcW w:w="252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989"/>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49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1,598,286.21</w:t>
            </w:r>
            <w:r>
              <w:rPr>
                <w:rFonts w:ascii="华文细黑"/>
                <w:sz w:val="18"/>
              </w:rPr>
            </w:r>
          </w:p>
        </w:tc>
        <w:tc>
          <w:tcPr>
            <w:tcW w:w="4181" w:type="dxa"/>
            <w:tcBorders>
              <w:top w:val="single" w:sz="4" w:space="0" w:color="FFC000"/>
              <w:left w:val="single" w:sz="4" w:space="0" w:color="FFC000"/>
              <w:bottom w:val="single" w:sz="4" w:space="0" w:color="FFC000"/>
              <w:right w:val="single" w:sz="4" w:space="0" w:color="FFC000"/>
            </w:tcBorders>
          </w:tcPr>
          <w:p>
            <w:pPr/>
          </w:p>
        </w:tc>
      </w:tr>
    </w:tbl>
    <w:p>
      <w:pPr>
        <w:spacing w:line="240" w:lineRule="auto" w:before="13"/>
        <w:rPr>
          <w:rFonts w:ascii="华文细黑" w:hAnsi="华文细黑" w:cs="华文细黑" w:eastAsia="华文细黑" w:hint="default"/>
          <w:sz w:val="6"/>
          <w:szCs w:val="6"/>
        </w:rPr>
      </w:pPr>
    </w:p>
    <w:p>
      <w:pPr>
        <w:pStyle w:val="Heading5"/>
        <w:spacing w:line="240" w:lineRule="auto"/>
        <w:ind w:left="660" w:right="1246"/>
        <w:jc w:val="left"/>
        <w:rPr>
          <w:b w:val="0"/>
          <w:bCs w:val="0"/>
        </w:rPr>
      </w:pPr>
      <w:bookmarkStart w:name="12、在建工程" w:id="275"/>
      <w:bookmarkEnd w:id="275"/>
      <w:r>
        <w:rPr>
          <w:b w:val="0"/>
          <w:bCs w:val="0"/>
        </w:rPr>
      </w:r>
      <w:r>
        <w:rPr>
          <w:rFonts w:ascii="华文细黑" w:hAnsi="华文细黑" w:cs="华文细黑" w:eastAsia="华文细黑" w:hint="default"/>
        </w:rPr>
        <w:t>12</w:t>
      </w:r>
      <w:r>
        <w:rPr/>
        <w:t>、在建工程</w:t>
      </w:r>
      <w:r>
        <w:rPr>
          <w:b w:val="0"/>
          <w:bCs w:val="0"/>
        </w:rPr>
      </w:r>
    </w:p>
    <w:p>
      <w:pPr>
        <w:spacing w:line="240" w:lineRule="auto" w:before="5"/>
        <w:rPr>
          <w:rFonts w:ascii="华文细黑" w:hAnsi="华文细黑" w:cs="华文细黑" w:eastAsia="华文细黑" w:hint="default"/>
          <w:b/>
          <w:bCs/>
          <w:sz w:val="5"/>
          <w:szCs w:val="5"/>
        </w:rPr>
      </w:pPr>
    </w:p>
    <w:tbl>
      <w:tblPr>
        <w:tblW w:w="0" w:type="auto"/>
        <w:jc w:val="left"/>
        <w:tblInd w:w="177" w:type="dxa"/>
        <w:tblLayout w:type="fixed"/>
        <w:tblCellMar>
          <w:top w:w="0" w:type="dxa"/>
          <w:left w:w="0" w:type="dxa"/>
          <w:bottom w:w="0" w:type="dxa"/>
          <w:right w:w="0" w:type="dxa"/>
        </w:tblCellMar>
        <w:tblLook w:val="01E0"/>
      </w:tblPr>
      <w:tblGrid>
        <w:gridCol w:w="2255"/>
        <w:gridCol w:w="1029"/>
        <w:gridCol w:w="1044"/>
        <w:gridCol w:w="1111"/>
        <w:gridCol w:w="1329"/>
        <w:gridCol w:w="1024"/>
        <w:gridCol w:w="1362"/>
      </w:tblGrid>
      <w:tr>
        <w:trPr>
          <w:trHeight w:val="251" w:hRule="exact"/>
        </w:trPr>
        <w:tc>
          <w:tcPr>
            <w:tcW w:w="2255" w:type="dxa"/>
            <w:tcBorders>
              <w:top w:val="single" w:sz="4" w:space="0" w:color="FFC000"/>
              <w:left w:val="single" w:sz="4" w:space="0" w:color="FFC000"/>
              <w:bottom w:val="nil" w:sz="6" w:space="0" w:color="auto"/>
              <w:right w:val="single" w:sz="4" w:space="0" w:color="FFC000"/>
            </w:tcBorders>
            <w:shd w:val="clear" w:color="auto" w:fill="FFF8E6"/>
          </w:tcPr>
          <w:p>
            <w:pPr/>
          </w:p>
        </w:tc>
        <w:tc>
          <w:tcPr>
            <w:tcW w:w="3185" w:type="dxa"/>
            <w:gridSpan w:val="3"/>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3714" w:type="dxa"/>
            <w:gridSpan w:val="3"/>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239" w:hRule="exact"/>
        </w:trPr>
        <w:tc>
          <w:tcPr>
            <w:tcW w:w="2255"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right="1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3185" w:type="dxa"/>
            <w:gridSpan w:val="3"/>
            <w:vMerge/>
            <w:tcBorders>
              <w:left w:val="single" w:sz="4" w:space="0" w:color="FFC000"/>
              <w:bottom w:val="single" w:sz="4" w:space="0" w:color="FFC000"/>
              <w:right w:val="single" w:sz="4" w:space="0" w:color="FFC000"/>
            </w:tcBorders>
            <w:shd w:val="clear" w:color="auto" w:fill="FFF8E6"/>
          </w:tcPr>
          <w:p>
            <w:pPr/>
          </w:p>
        </w:tc>
        <w:tc>
          <w:tcPr>
            <w:tcW w:w="3714" w:type="dxa"/>
            <w:gridSpan w:val="3"/>
            <w:vMerge/>
            <w:tcBorders>
              <w:left w:val="single" w:sz="4" w:space="0" w:color="FFC000"/>
              <w:bottom w:val="single" w:sz="4" w:space="0" w:color="FFC000"/>
              <w:right w:val="single" w:sz="4" w:space="0" w:color="FFC000"/>
            </w:tcBorders>
            <w:shd w:val="clear" w:color="auto" w:fill="FFF8E6"/>
          </w:tcPr>
          <w:p>
            <w:pPr/>
          </w:p>
        </w:tc>
      </w:tr>
      <w:tr>
        <w:trPr>
          <w:trHeight w:val="241" w:hRule="exact"/>
        </w:trPr>
        <w:tc>
          <w:tcPr>
            <w:tcW w:w="2255" w:type="dxa"/>
            <w:vMerge/>
            <w:tcBorders>
              <w:left w:val="single" w:sz="4" w:space="0" w:color="FFC000"/>
              <w:bottom w:val="nil" w:sz="6" w:space="0" w:color="auto"/>
              <w:right w:val="single" w:sz="4" w:space="0" w:color="FFC000"/>
            </w:tcBorders>
            <w:shd w:val="clear" w:color="auto" w:fill="FFF8E6"/>
          </w:tcPr>
          <w:p>
            <w:pPr/>
          </w:p>
        </w:tc>
        <w:tc>
          <w:tcPr>
            <w:tcW w:w="102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14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1044"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15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减值准备</w:t>
            </w:r>
          </w:p>
        </w:tc>
        <w:tc>
          <w:tcPr>
            <w:tcW w:w="1111"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19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账面价值</w:t>
            </w:r>
          </w:p>
        </w:tc>
        <w:tc>
          <w:tcPr>
            <w:tcW w:w="132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29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1024"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14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减值准备</w:t>
            </w:r>
          </w:p>
        </w:tc>
        <w:tc>
          <w:tcPr>
            <w:tcW w:w="136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31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账面价值</w:t>
            </w:r>
          </w:p>
        </w:tc>
      </w:tr>
      <w:tr>
        <w:trPr>
          <w:trHeight w:val="250" w:hRule="exact"/>
        </w:trPr>
        <w:tc>
          <w:tcPr>
            <w:tcW w:w="2255" w:type="dxa"/>
            <w:tcBorders>
              <w:top w:val="nil" w:sz="6" w:space="0" w:color="auto"/>
              <w:left w:val="single" w:sz="4" w:space="0" w:color="FFC000"/>
              <w:bottom w:val="single" w:sz="4" w:space="0" w:color="FFC000"/>
              <w:right w:val="single" w:sz="4" w:space="0" w:color="FFC000"/>
            </w:tcBorders>
            <w:shd w:val="clear" w:color="auto" w:fill="FFF8E6"/>
          </w:tcPr>
          <w:p>
            <w:pPr/>
          </w:p>
        </w:tc>
        <w:tc>
          <w:tcPr>
            <w:tcW w:w="1029" w:type="dxa"/>
            <w:vMerge/>
            <w:tcBorders>
              <w:left w:val="single" w:sz="4" w:space="0" w:color="FFC000"/>
              <w:bottom w:val="single" w:sz="4" w:space="0" w:color="FFC000"/>
              <w:right w:val="single" w:sz="4" w:space="0" w:color="FFC000"/>
            </w:tcBorders>
            <w:shd w:val="clear" w:color="auto" w:fill="FFF8E6"/>
          </w:tcPr>
          <w:p>
            <w:pPr/>
          </w:p>
        </w:tc>
        <w:tc>
          <w:tcPr>
            <w:tcW w:w="1044" w:type="dxa"/>
            <w:vMerge/>
            <w:tcBorders>
              <w:left w:val="single" w:sz="4" w:space="0" w:color="FFC000"/>
              <w:bottom w:val="single" w:sz="4" w:space="0" w:color="FFC000"/>
              <w:right w:val="single" w:sz="4" w:space="0" w:color="FFC000"/>
            </w:tcBorders>
            <w:shd w:val="clear" w:color="auto" w:fill="FFF8E6"/>
          </w:tcPr>
          <w:p>
            <w:pPr/>
          </w:p>
        </w:tc>
        <w:tc>
          <w:tcPr>
            <w:tcW w:w="1111" w:type="dxa"/>
            <w:vMerge/>
            <w:tcBorders>
              <w:left w:val="single" w:sz="4" w:space="0" w:color="FFC000"/>
              <w:bottom w:val="single" w:sz="4" w:space="0" w:color="FFC000"/>
              <w:right w:val="single" w:sz="4" w:space="0" w:color="FFC000"/>
            </w:tcBorders>
            <w:shd w:val="clear" w:color="auto" w:fill="FFF8E6"/>
          </w:tcPr>
          <w:p>
            <w:pPr/>
          </w:p>
        </w:tc>
        <w:tc>
          <w:tcPr>
            <w:tcW w:w="1329" w:type="dxa"/>
            <w:vMerge/>
            <w:tcBorders>
              <w:left w:val="single" w:sz="4" w:space="0" w:color="FFC000"/>
              <w:bottom w:val="single" w:sz="4" w:space="0" w:color="FFC000"/>
              <w:right w:val="single" w:sz="4" w:space="0" w:color="FFC000"/>
            </w:tcBorders>
            <w:shd w:val="clear" w:color="auto" w:fill="FFF8E6"/>
          </w:tcPr>
          <w:p>
            <w:pPr/>
          </w:p>
        </w:tc>
        <w:tc>
          <w:tcPr>
            <w:tcW w:w="1024" w:type="dxa"/>
            <w:vMerge/>
            <w:tcBorders>
              <w:left w:val="single" w:sz="4" w:space="0" w:color="FFC000"/>
              <w:bottom w:val="single" w:sz="4" w:space="0" w:color="FFC000"/>
              <w:right w:val="single" w:sz="4" w:space="0" w:color="FFC000"/>
            </w:tcBorders>
            <w:shd w:val="clear" w:color="auto" w:fill="FFF8E6"/>
          </w:tcPr>
          <w:p>
            <w:pPr/>
          </w:p>
        </w:tc>
        <w:tc>
          <w:tcPr>
            <w:tcW w:w="1362" w:type="dxa"/>
            <w:vMerge/>
            <w:tcBorders>
              <w:left w:val="single" w:sz="4" w:space="0" w:color="FFC000"/>
              <w:bottom w:val="single" w:sz="4" w:space="0" w:color="FFC000"/>
              <w:right w:val="single" w:sz="4" w:space="0" w:color="FFC000"/>
            </w:tcBorders>
            <w:shd w:val="clear" w:color="auto" w:fill="FFF8E6"/>
          </w:tcPr>
          <w:p>
            <w:pPr/>
          </w:p>
        </w:tc>
      </w:tr>
      <w:tr>
        <w:trPr>
          <w:trHeight w:val="889" w:hRule="exact"/>
        </w:trPr>
        <w:tc>
          <w:tcPr>
            <w:tcW w:w="225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21"/>
              <w:jc w:val="left"/>
              <w:rPr>
                <w:rFonts w:ascii="华文细黑" w:hAnsi="华文细黑" w:cs="华文细黑" w:eastAsia="华文细黑" w:hint="default"/>
                <w:sz w:val="18"/>
                <w:szCs w:val="18"/>
              </w:rPr>
            </w:pPr>
            <w:r>
              <w:rPr>
                <w:rFonts w:ascii="华文细黑" w:hAnsi="华文细黑" w:cs="华文细黑" w:eastAsia="华文细黑" w:hint="default"/>
                <w:spacing w:val="3"/>
                <w:sz w:val="18"/>
                <w:szCs w:val="18"/>
              </w:rPr>
              <w:t>小贷资金平台及消费分期系</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统</w:t>
            </w:r>
          </w:p>
        </w:tc>
        <w:tc>
          <w:tcPr>
            <w:tcW w:w="102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b/>
                <w:bCs/>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0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b/>
                <w:bCs/>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1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b/>
                <w:bCs/>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32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b/>
                <w:bCs/>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2,562,743.79</w:t>
            </w:r>
          </w:p>
        </w:tc>
        <w:tc>
          <w:tcPr>
            <w:tcW w:w="102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b/>
                <w:bCs/>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3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b/>
                <w:bCs/>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2,562,743.79</w:t>
            </w:r>
          </w:p>
        </w:tc>
      </w:tr>
      <w:tr>
        <w:trPr>
          <w:trHeight w:val="491" w:hRule="exact"/>
        </w:trPr>
        <w:tc>
          <w:tcPr>
            <w:tcW w:w="225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5"/>
              <w:ind w:right="1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102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0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1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32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2,562,743.79</w:t>
            </w:r>
            <w:r>
              <w:rPr>
                <w:rFonts w:ascii="华文细黑"/>
                <w:sz w:val="18"/>
              </w:rPr>
            </w:r>
          </w:p>
        </w:tc>
        <w:tc>
          <w:tcPr>
            <w:tcW w:w="102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3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2,562,743.79</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spacing w:before="10"/>
        <w:ind w:left="660" w:right="1246" w:firstLine="0"/>
        <w:jc w:val="left"/>
        <w:rPr>
          <w:rFonts w:ascii="华文细黑" w:hAnsi="华文细黑" w:cs="华文细黑" w:eastAsia="华文细黑" w:hint="default"/>
          <w:sz w:val="21"/>
          <w:szCs w:val="21"/>
        </w:rPr>
      </w:pPr>
      <w:bookmarkStart w:name="13、无形资产" w:id="276"/>
      <w:bookmarkEnd w:id="276"/>
      <w:r>
        <w:rPr/>
      </w:r>
      <w:r>
        <w:rPr>
          <w:rFonts w:ascii="华文细黑" w:hAnsi="华文细黑" w:cs="华文细黑" w:eastAsia="华文细黑" w:hint="default"/>
          <w:b/>
          <w:bCs/>
          <w:sz w:val="21"/>
          <w:szCs w:val="21"/>
        </w:rPr>
        <w:t>13</w:t>
      </w:r>
      <w:r>
        <w:rPr>
          <w:rFonts w:ascii="华文细黑" w:hAnsi="华文细黑" w:cs="华文细黑" w:eastAsia="华文细黑" w:hint="default"/>
          <w:b/>
          <w:bCs/>
          <w:sz w:val="21"/>
          <w:szCs w:val="21"/>
        </w:rPr>
        <w:t>、无形资产</w:t>
      </w:r>
      <w:r>
        <w:rPr>
          <w:rFonts w:ascii="华文细黑" w:hAnsi="华文细黑" w:cs="华文细黑" w:eastAsia="华文细黑" w:hint="default"/>
          <w:sz w:val="21"/>
          <w:szCs w:val="21"/>
        </w:rPr>
      </w:r>
    </w:p>
    <w:p>
      <w:pPr>
        <w:pStyle w:val="BodyText"/>
        <w:spacing w:line="240" w:lineRule="auto" w:before="142"/>
        <w:ind w:left="660" w:right="1246"/>
        <w:jc w:val="left"/>
      </w:pPr>
      <w:r>
        <w:rPr/>
        <w:t>（</w:t>
      </w:r>
      <w:r>
        <w:rPr>
          <w:rFonts w:ascii="华文细黑" w:hAnsi="华文细黑" w:cs="华文细黑" w:eastAsia="华文细黑" w:hint="default"/>
        </w:rPr>
        <w:t>1</w:t>
      </w:r>
      <w:r>
        <w:rPr/>
        <w:t>）无形资产情况</w:t>
      </w:r>
    </w:p>
    <w:p>
      <w:pPr>
        <w:spacing w:line="240" w:lineRule="auto" w:before="6"/>
        <w:rPr>
          <w:rFonts w:ascii="华文细黑" w:hAnsi="华文细黑" w:cs="华文细黑" w:eastAsia="华文细黑" w:hint="default"/>
          <w:sz w:val="5"/>
          <w:szCs w:val="5"/>
        </w:rPr>
      </w:pPr>
    </w:p>
    <w:tbl>
      <w:tblPr>
        <w:tblW w:w="0" w:type="auto"/>
        <w:jc w:val="left"/>
        <w:tblInd w:w="251" w:type="dxa"/>
        <w:tblLayout w:type="fixed"/>
        <w:tblCellMar>
          <w:top w:w="0" w:type="dxa"/>
          <w:left w:w="0" w:type="dxa"/>
          <w:bottom w:w="0" w:type="dxa"/>
          <w:right w:w="0" w:type="dxa"/>
        </w:tblCellMar>
        <w:tblLook w:val="01E0"/>
      </w:tblPr>
      <w:tblGrid>
        <w:gridCol w:w="1862"/>
        <w:gridCol w:w="2240"/>
        <w:gridCol w:w="2411"/>
        <w:gridCol w:w="2553"/>
      </w:tblGrid>
      <w:tr>
        <w:trPr>
          <w:trHeight w:val="457"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1059" w:val="left" w:leader="none"/>
              </w:tabs>
              <w:spacing w:line="240" w:lineRule="auto" w:before="144"/>
              <w:ind w:left="61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2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9"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办公软件</w:t>
            </w:r>
          </w:p>
        </w:tc>
        <w:tc>
          <w:tcPr>
            <w:tcW w:w="24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66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音乐使用版权</w:t>
            </w:r>
          </w:p>
        </w:tc>
        <w:tc>
          <w:tcPr>
            <w:tcW w:w="255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r>
      <w:tr>
        <w:trPr>
          <w:trHeight w:val="522"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7"/>
              <w:ind w:right="0"/>
              <w:jc w:val="left"/>
              <w:rPr>
                <w:rFonts w:ascii="华文细黑" w:hAnsi="华文细黑" w:cs="华文细黑" w:eastAsia="华文细黑" w:hint="default"/>
                <w:sz w:val="12"/>
                <w:szCs w:val="12"/>
              </w:rPr>
            </w:pPr>
          </w:p>
          <w:p>
            <w:pPr>
              <w:pStyle w:val="TableParagraph"/>
              <w:spacing w:line="240" w:lineRule="auto"/>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一、账面原值</w:t>
            </w:r>
          </w:p>
        </w:tc>
        <w:tc>
          <w:tcPr>
            <w:tcW w:w="2240"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411"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553"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1"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、年初余额</w:t>
            </w:r>
          </w:p>
        </w:tc>
        <w:tc>
          <w:tcPr>
            <w:tcW w:w="224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54,494,079.50</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77,000.00</w:t>
            </w:r>
          </w:p>
        </w:tc>
        <w:tc>
          <w:tcPr>
            <w:tcW w:w="25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54,571,079.50</w:t>
            </w:r>
          </w:p>
        </w:tc>
      </w:tr>
      <w:tr>
        <w:trPr>
          <w:trHeight w:val="490"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、本年增加金额</w:t>
            </w:r>
          </w:p>
        </w:tc>
        <w:tc>
          <w:tcPr>
            <w:tcW w:w="224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760,355.17</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25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760,355.17</w:t>
            </w:r>
          </w:p>
        </w:tc>
      </w:tr>
      <w:tr>
        <w:trPr>
          <w:trHeight w:val="490"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）购置</w:t>
            </w:r>
          </w:p>
        </w:tc>
        <w:tc>
          <w:tcPr>
            <w:tcW w:w="224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760,355.17</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25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760,355.17</w:t>
            </w:r>
          </w:p>
        </w:tc>
      </w:tr>
      <w:tr>
        <w:trPr>
          <w:trHeight w:val="491"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w:t>
            </w:r>
            <w:r>
              <w:rPr>
                <w:rFonts w:ascii="华文细黑" w:hAnsi="华文细黑" w:cs="华文细黑" w:eastAsia="华文细黑" w:hint="default"/>
                <w:sz w:val="18"/>
                <w:szCs w:val="18"/>
              </w:rPr>
              <w:t>、本年减少金额</w:t>
            </w:r>
          </w:p>
        </w:tc>
        <w:tc>
          <w:tcPr>
            <w:tcW w:w="224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25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）处置</w:t>
            </w:r>
          </w:p>
        </w:tc>
        <w:tc>
          <w:tcPr>
            <w:tcW w:w="224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25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4</w:t>
            </w:r>
            <w:r>
              <w:rPr>
                <w:rFonts w:ascii="华文细黑" w:hAnsi="华文细黑" w:cs="华文细黑" w:eastAsia="华文细黑" w:hint="default"/>
                <w:sz w:val="18"/>
                <w:szCs w:val="18"/>
              </w:rPr>
              <w:t>、年末余额</w:t>
            </w:r>
          </w:p>
        </w:tc>
        <w:tc>
          <w:tcPr>
            <w:tcW w:w="224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55,254,434.67</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77,000.00</w:t>
            </w:r>
          </w:p>
        </w:tc>
        <w:tc>
          <w:tcPr>
            <w:tcW w:w="25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55,331,434.67</w:t>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200" w:right="0"/>
        </w:sectPr>
      </w:pPr>
    </w:p>
    <w:p>
      <w:pPr>
        <w:spacing w:line="240" w:lineRule="auto" w:before="8"/>
        <w:rPr>
          <w:rFonts w:ascii="华文细黑" w:hAnsi="华文细黑" w:cs="华文细黑" w:eastAsia="华文细黑" w:hint="default"/>
          <w:sz w:val="23"/>
          <w:szCs w:val="23"/>
        </w:rPr>
      </w:pPr>
    </w:p>
    <w:tbl>
      <w:tblPr>
        <w:tblW w:w="0" w:type="auto"/>
        <w:jc w:val="left"/>
        <w:tblInd w:w="151" w:type="dxa"/>
        <w:tblLayout w:type="fixed"/>
        <w:tblCellMar>
          <w:top w:w="0" w:type="dxa"/>
          <w:left w:w="0" w:type="dxa"/>
          <w:bottom w:w="0" w:type="dxa"/>
          <w:right w:w="0" w:type="dxa"/>
        </w:tblCellMar>
        <w:tblLook w:val="01E0"/>
      </w:tblPr>
      <w:tblGrid>
        <w:gridCol w:w="1862"/>
        <w:gridCol w:w="2240"/>
        <w:gridCol w:w="2411"/>
        <w:gridCol w:w="2553"/>
      </w:tblGrid>
      <w:tr>
        <w:trPr>
          <w:trHeight w:val="463"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1059" w:val="left" w:leader="none"/>
              </w:tabs>
              <w:spacing w:line="240" w:lineRule="auto" w:before="144"/>
              <w:ind w:left="61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2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9"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办公软件</w:t>
            </w:r>
          </w:p>
        </w:tc>
        <w:tc>
          <w:tcPr>
            <w:tcW w:w="24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66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音乐使用版权</w:t>
            </w:r>
          </w:p>
        </w:tc>
        <w:tc>
          <w:tcPr>
            <w:tcW w:w="255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r>
      <w:tr>
        <w:trPr>
          <w:trHeight w:val="517"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
              <w:ind w:right="0"/>
              <w:jc w:val="left"/>
              <w:rPr>
                <w:rFonts w:ascii="华文细黑" w:hAnsi="华文细黑" w:cs="华文细黑" w:eastAsia="华文细黑" w:hint="default"/>
                <w:sz w:val="12"/>
                <w:szCs w:val="12"/>
              </w:rPr>
            </w:pPr>
          </w:p>
          <w:p>
            <w:pPr>
              <w:pStyle w:val="TableParagraph"/>
              <w:spacing w:line="240" w:lineRule="auto"/>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二、累计摊销</w:t>
            </w:r>
          </w:p>
        </w:tc>
        <w:tc>
          <w:tcPr>
            <w:tcW w:w="2240"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411"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553"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0"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、年初余额</w:t>
            </w:r>
          </w:p>
        </w:tc>
        <w:tc>
          <w:tcPr>
            <w:tcW w:w="224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25,727,901.13</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77,000.00</w:t>
            </w:r>
          </w:p>
        </w:tc>
        <w:tc>
          <w:tcPr>
            <w:tcW w:w="25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25,804,901.13</w:t>
            </w:r>
          </w:p>
        </w:tc>
      </w:tr>
      <w:tr>
        <w:trPr>
          <w:trHeight w:val="490"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、本年增加金额</w:t>
            </w:r>
          </w:p>
        </w:tc>
        <w:tc>
          <w:tcPr>
            <w:tcW w:w="224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3,929,576.65</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25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3,929,576.65</w:t>
            </w:r>
          </w:p>
        </w:tc>
      </w:tr>
      <w:tr>
        <w:trPr>
          <w:trHeight w:val="491"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）计提</w:t>
            </w:r>
          </w:p>
        </w:tc>
        <w:tc>
          <w:tcPr>
            <w:tcW w:w="224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3,929,576.65</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25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3,929,576.65</w:t>
            </w:r>
          </w:p>
        </w:tc>
      </w:tr>
      <w:tr>
        <w:trPr>
          <w:trHeight w:val="490"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w:t>
            </w:r>
            <w:r>
              <w:rPr>
                <w:rFonts w:ascii="华文细黑" w:hAnsi="华文细黑" w:cs="华文细黑" w:eastAsia="华文细黑" w:hint="default"/>
                <w:sz w:val="18"/>
                <w:szCs w:val="18"/>
              </w:rPr>
              <w:t>、本年减少金额</w:t>
            </w:r>
          </w:p>
        </w:tc>
        <w:tc>
          <w:tcPr>
            <w:tcW w:w="224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25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）处置</w:t>
            </w:r>
          </w:p>
        </w:tc>
        <w:tc>
          <w:tcPr>
            <w:tcW w:w="224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25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4</w:t>
            </w:r>
            <w:r>
              <w:rPr>
                <w:rFonts w:ascii="华文细黑" w:hAnsi="华文细黑" w:cs="华文细黑" w:eastAsia="华文细黑" w:hint="default"/>
                <w:sz w:val="18"/>
                <w:szCs w:val="18"/>
              </w:rPr>
              <w:t>、年末余额</w:t>
            </w:r>
          </w:p>
        </w:tc>
        <w:tc>
          <w:tcPr>
            <w:tcW w:w="224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29,657,477.78</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77,000.00</w:t>
            </w:r>
          </w:p>
        </w:tc>
        <w:tc>
          <w:tcPr>
            <w:tcW w:w="25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29,734,477.78</w:t>
            </w:r>
          </w:p>
        </w:tc>
      </w:tr>
      <w:tr>
        <w:trPr>
          <w:trHeight w:val="490"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三、减值准备</w:t>
            </w:r>
          </w:p>
        </w:tc>
        <w:tc>
          <w:tcPr>
            <w:tcW w:w="2240"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411"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553"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0"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、年初余额</w:t>
            </w:r>
          </w:p>
        </w:tc>
        <w:tc>
          <w:tcPr>
            <w:tcW w:w="224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25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、本年增加金额</w:t>
            </w:r>
          </w:p>
        </w:tc>
        <w:tc>
          <w:tcPr>
            <w:tcW w:w="224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25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）计提</w:t>
            </w:r>
          </w:p>
        </w:tc>
        <w:tc>
          <w:tcPr>
            <w:tcW w:w="224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25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w:t>
            </w:r>
            <w:r>
              <w:rPr>
                <w:rFonts w:ascii="华文细黑" w:hAnsi="华文细黑" w:cs="华文细黑" w:eastAsia="华文细黑" w:hint="default"/>
                <w:sz w:val="18"/>
                <w:szCs w:val="18"/>
              </w:rPr>
              <w:t>、本年减少金额</w:t>
            </w:r>
          </w:p>
        </w:tc>
        <w:tc>
          <w:tcPr>
            <w:tcW w:w="224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25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）处置</w:t>
            </w:r>
          </w:p>
        </w:tc>
        <w:tc>
          <w:tcPr>
            <w:tcW w:w="224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25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4</w:t>
            </w:r>
            <w:r>
              <w:rPr>
                <w:rFonts w:ascii="华文细黑" w:hAnsi="华文细黑" w:cs="华文细黑" w:eastAsia="华文细黑" w:hint="default"/>
                <w:sz w:val="18"/>
                <w:szCs w:val="18"/>
              </w:rPr>
              <w:t>、年末余额</w:t>
            </w:r>
          </w:p>
        </w:tc>
        <w:tc>
          <w:tcPr>
            <w:tcW w:w="224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25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四、账面价值</w:t>
            </w:r>
          </w:p>
        </w:tc>
        <w:tc>
          <w:tcPr>
            <w:tcW w:w="2240"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411"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553"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1"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、年末账面价值</w:t>
            </w:r>
          </w:p>
        </w:tc>
        <w:tc>
          <w:tcPr>
            <w:tcW w:w="224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25,596,956.89</w:t>
            </w:r>
            <w:r>
              <w:rPr>
                <w:rFonts w:ascii="华文细黑"/>
                <w:sz w:val="18"/>
              </w:rPr>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25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25,596,956.89</w:t>
            </w:r>
            <w:r>
              <w:rPr>
                <w:rFonts w:ascii="华文细黑"/>
                <w:sz w:val="18"/>
              </w:rPr>
            </w:r>
          </w:p>
        </w:tc>
      </w:tr>
      <w:tr>
        <w:trPr>
          <w:trHeight w:val="490" w:hRule="exact"/>
        </w:trPr>
        <w:tc>
          <w:tcPr>
            <w:tcW w:w="186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、年初账面价值</w:t>
            </w:r>
          </w:p>
        </w:tc>
        <w:tc>
          <w:tcPr>
            <w:tcW w:w="224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28,766,178.37</w:t>
            </w:r>
            <w:r>
              <w:rPr>
                <w:rFonts w:ascii="华文细黑"/>
                <w:sz w:val="18"/>
              </w:rPr>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25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28,766,178.37</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560" w:right="1246"/>
        <w:jc w:val="left"/>
      </w:pPr>
      <w:r>
        <w:rPr/>
        <w:t>（</w:t>
      </w:r>
      <w:r>
        <w:rPr>
          <w:rFonts w:ascii="华文细黑" w:hAnsi="华文细黑" w:cs="华文细黑" w:eastAsia="华文细黑" w:hint="default"/>
        </w:rPr>
        <w:t>2</w:t>
      </w:r>
      <w:r>
        <w:rPr/>
        <w:t>）报告期内无未办妥产权证书的土地使用权情况。</w:t>
      </w:r>
    </w:p>
    <w:p>
      <w:pPr>
        <w:pStyle w:val="BodyText"/>
        <w:spacing w:line="240" w:lineRule="auto" w:before="142"/>
        <w:ind w:left="560" w:right="1246"/>
        <w:jc w:val="left"/>
      </w:pPr>
      <w:r>
        <w:rPr/>
        <w:t>（</w:t>
      </w:r>
      <w:r>
        <w:rPr>
          <w:rFonts w:ascii="华文细黑" w:hAnsi="华文细黑" w:cs="华文细黑" w:eastAsia="华文细黑" w:hint="default"/>
        </w:rPr>
        <w:t>3</w:t>
      </w:r>
      <w:r>
        <w:rPr/>
        <w:t>）报告期内无使用寿命不确定的无形资产情况。</w:t>
      </w:r>
    </w:p>
    <w:p>
      <w:pPr>
        <w:pStyle w:val="BodyText"/>
        <w:spacing w:line="357" w:lineRule="auto" w:before="144"/>
        <w:ind w:left="560" w:right="4660"/>
        <w:jc w:val="left"/>
        <w:rPr>
          <w:rFonts w:ascii="华文细黑" w:hAnsi="华文细黑" w:cs="华文细黑" w:eastAsia="华文细黑" w:hint="default"/>
        </w:rPr>
      </w:pPr>
      <w:r>
        <w:rPr/>
        <w:t>（</w:t>
      </w:r>
      <w:r>
        <w:rPr>
          <w:rFonts w:ascii="华文细黑" w:hAnsi="华文细黑" w:cs="华文细黑" w:eastAsia="华文细黑" w:hint="default"/>
        </w:rPr>
        <w:t>4</w:t>
      </w:r>
      <w:r>
        <w:rPr/>
        <w:t>）报告期内无所有权或使用权受限制的无形资产情况。 </w:t>
      </w:r>
      <w:bookmarkStart w:name="14、商誉" w:id="277"/>
      <w:bookmarkEnd w:id="277"/>
      <w:r>
        <w:rPr/>
      </w:r>
      <w:r>
        <w:rPr>
          <w:rFonts w:ascii="华文细黑" w:hAnsi="华文细黑" w:cs="华文细黑" w:eastAsia="华文细黑" w:hint="default"/>
          <w:b/>
          <w:bCs/>
        </w:rPr>
        <w:t>14</w:t>
      </w:r>
      <w:r>
        <w:rPr>
          <w:rFonts w:ascii="华文细黑" w:hAnsi="华文细黑" w:cs="华文细黑" w:eastAsia="华文细黑" w:hint="default"/>
          <w:b/>
          <w:bCs/>
        </w:rPr>
        <w:t>、商誉</w:t>
      </w:r>
      <w:r>
        <w:rPr>
          <w:rFonts w:ascii="华文细黑" w:hAnsi="华文细黑" w:cs="华文细黑" w:eastAsia="华文细黑" w:hint="default"/>
        </w:rPr>
      </w:r>
    </w:p>
    <w:p>
      <w:pPr>
        <w:pStyle w:val="BodyText"/>
        <w:spacing w:line="240" w:lineRule="auto" w:before="31"/>
        <w:ind w:left="560" w:right="1246"/>
        <w:jc w:val="left"/>
      </w:pPr>
      <w:r>
        <w:rPr/>
        <w:t>（</w:t>
      </w:r>
      <w:r>
        <w:rPr>
          <w:rFonts w:ascii="华文细黑" w:hAnsi="华文细黑" w:cs="华文细黑" w:eastAsia="华文细黑" w:hint="default"/>
        </w:rPr>
        <w:t>1</w:t>
      </w:r>
      <w:r>
        <w:rPr/>
        <w:t>）商誉账面原值</w:t>
      </w:r>
    </w:p>
    <w:p>
      <w:pPr>
        <w:spacing w:line="240" w:lineRule="auto" w:before="6"/>
        <w:rPr>
          <w:rFonts w:ascii="华文细黑" w:hAnsi="华文细黑" w:cs="华文细黑" w:eastAsia="华文细黑" w:hint="default"/>
          <w:sz w:val="5"/>
          <w:szCs w:val="5"/>
        </w:rPr>
      </w:pPr>
    </w:p>
    <w:tbl>
      <w:tblPr>
        <w:tblW w:w="0" w:type="auto"/>
        <w:jc w:val="left"/>
        <w:tblInd w:w="151" w:type="dxa"/>
        <w:tblLayout w:type="fixed"/>
        <w:tblCellMar>
          <w:top w:w="0" w:type="dxa"/>
          <w:left w:w="0" w:type="dxa"/>
          <w:bottom w:w="0" w:type="dxa"/>
          <w:right w:w="0" w:type="dxa"/>
        </w:tblCellMar>
        <w:tblLook w:val="01E0"/>
      </w:tblPr>
      <w:tblGrid>
        <w:gridCol w:w="2571"/>
        <w:gridCol w:w="1577"/>
        <w:gridCol w:w="1418"/>
        <w:gridCol w:w="677"/>
        <w:gridCol w:w="741"/>
        <w:gridCol w:w="834"/>
        <w:gridCol w:w="1417"/>
      </w:tblGrid>
      <w:tr>
        <w:trPr>
          <w:trHeight w:val="178" w:hRule="exact"/>
        </w:trPr>
        <w:tc>
          <w:tcPr>
            <w:tcW w:w="2571" w:type="dxa"/>
            <w:tcBorders>
              <w:top w:val="single" w:sz="4" w:space="0" w:color="FFC000"/>
              <w:left w:val="single" w:sz="4" w:space="0" w:color="FFC000"/>
              <w:bottom w:val="nil" w:sz="6" w:space="0" w:color="auto"/>
              <w:right w:val="single" w:sz="4" w:space="0" w:color="FFC000"/>
            </w:tcBorders>
            <w:shd w:val="clear" w:color="auto" w:fill="FFF8E6"/>
          </w:tcPr>
          <w:p>
            <w:pPr/>
          </w:p>
        </w:tc>
        <w:tc>
          <w:tcPr>
            <w:tcW w:w="1577" w:type="dxa"/>
            <w:vMerge w:val="restart"/>
            <w:tcBorders>
              <w:top w:val="single" w:sz="4" w:space="0" w:color="FFC000"/>
              <w:left w:val="single" w:sz="4" w:space="0" w:color="FFC000"/>
              <w:right w:val="single" w:sz="4" w:space="0" w:color="FFC000"/>
            </w:tcBorders>
            <w:shd w:val="clear" w:color="auto" w:fill="FFF8E6"/>
          </w:tcPr>
          <w:p>
            <w:pPr/>
          </w:p>
        </w:tc>
        <w:tc>
          <w:tcPr>
            <w:tcW w:w="2095"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47"/>
              <w:ind w:left="68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本年增加</w:t>
            </w:r>
          </w:p>
        </w:tc>
        <w:tc>
          <w:tcPr>
            <w:tcW w:w="1575"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47"/>
              <w:ind w:left="42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本年减少</w:t>
            </w:r>
          </w:p>
        </w:tc>
        <w:tc>
          <w:tcPr>
            <w:tcW w:w="1417"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47"/>
              <w:ind w:left="34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242" w:hRule="exact"/>
        </w:trPr>
        <w:tc>
          <w:tcPr>
            <w:tcW w:w="2571" w:type="dxa"/>
            <w:vMerge w:val="restart"/>
            <w:tcBorders>
              <w:top w:val="nil" w:sz="6" w:space="0" w:color="auto"/>
              <w:left w:val="single" w:sz="4" w:space="0" w:color="FFC000"/>
              <w:right w:val="single" w:sz="4" w:space="0" w:color="FFC000"/>
            </w:tcBorders>
            <w:shd w:val="clear" w:color="auto" w:fill="FFF8E6"/>
          </w:tcPr>
          <w:p>
            <w:pPr>
              <w:pStyle w:val="TableParagraph"/>
              <w:spacing w:line="400" w:lineRule="exact" w:before="40"/>
              <w:ind w:left="1184" w:right="27" w:hanging="117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被投资单位名称或形成商誉的事 项</w:t>
            </w:r>
          </w:p>
        </w:tc>
        <w:tc>
          <w:tcPr>
            <w:tcW w:w="1577" w:type="dxa"/>
            <w:vMerge/>
            <w:tcBorders>
              <w:left w:val="single" w:sz="4" w:space="0" w:color="FFC000"/>
              <w:bottom w:val="nil" w:sz="6" w:space="0" w:color="auto"/>
              <w:right w:val="single" w:sz="4" w:space="0" w:color="FFC000"/>
            </w:tcBorders>
            <w:shd w:val="clear" w:color="auto" w:fill="FFF8E6"/>
          </w:tcPr>
          <w:p>
            <w:pPr/>
          </w:p>
        </w:tc>
        <w:tc>
          <w:tcPr>
            <w:tcW w:w="2095" w:type="dxa"/>
            <w:gridSpan w:val="2"/>
            <w:vMerge/>
            <w:tcBorders>
              <w:left w:val="single" w:sz="4" w:space="0" w:color="FFC000"/>
              <w:bottom w:val="single" w:sz="4" w:space="0" w:color="FFC000"/>
              <w:right w:val="single" w:sz="4" w:space="0" w:color="FFC000"/>
            </w:tcBorders>
            <w:shd w:val="clear" w:color="auto" w:fill="FFF8E6"/>
          </w:tcPr>
          <w:p>
            <w:pPr/>
          </w:p>
        </w:tc>
        <w:tc>
          <w:tcPr>
            <w:tcW w:w="1575" w:type="dxa"/>
            <w:gridSpan w:val="2"/>
            <w:vMerge/>
            <w:tcBorders>
              <w:left w:val="single" w:sz="4" w:space="0" w:color="FFC000"/>
              <w:bottom w:val="single" w:sz="4" w:space="0" w:color="FFC000"/>
              <w:right w:val="single" w:sz="4" w:space="0" w:color="FFC000"/>
            </w:tcBorders>
            <w:shd w:val="clear" w:color="auto" w:fill="FFF8E6"/>
          </w:tcPr>
          <w:p>
            <w:pPr/>
          </w:p>
        </w:tc>
        <w:tc>
          <w:tcPr>
            <w:tcW w:w="1417" w:type="dxa"/>
            <w:vMerge/>
            <w:tcBorders>
              <w:left w:val="single" w:sz="4" w:space="0" w:color="FFC000"/>
              <w:bottom w:val="single" w:sz="4" w:space="0" w:color="FFC000"/>
              <w:right w:val="single" w:sz="4" w:space="0" w:color="FFC000"/>
            </w:tcBorders>
            <w:shd w:val="clear" w:color="auto" w:fill="FFF8E6"/>
          </w:tcPr>
          <w:p>
            <w:pPr/>
          </w:p>
        </w:tc>
      </w:tr>
      <w:tr>
        <w:trPr>
          <w:trHeight w:val="221" w:hRule="exact"/>
        </w:trPr>
        <w:tc>
          <w:tcPr>
            <w:tcW w:w="2571" w:type="dxa"/>
            <w:vMerge/>
            <w:tcBorders>
              <w:left w:val="single" w:sz="4" w:space="0" w:color="FFC000"/>
              <w:right w:val="single" w:sz="4" w:space="0" w:color="FFC000"/>
            </w:tcBorders>
            <w:shd w:val="clear" w:color="auto" w:fill="FFF8E6"/>
          </w:tcPr>
          <w:p>
            <w:pPr/>
          </w:p>
        </w:tc>
        <w:tc>
          <w:tcPr>
            <w:tcW w:w="1577"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42"/>
              <w:ind w:left="4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141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24"/>
              <w:ind w:left="433" w:right="0" w:hanging="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企业合并</w:t>
            </w:r>
          </w:p>
          <w:p>
            <w:pPr>
              <w:pStyle w:val="TableParagraph"/>
              <w:spacing w:line="240" w:lineRule="auto" w:before="7"/>
              <w:ind w:right="0"/>
              <w:jc w:val="left"/>
              <w:rPr>
                <w:rFonts w:ascii="华文细黑" w:hAnsi="华文细黑" w:cs="华文细黑" w:eastAsia="华文细黑" w:hint="default"/>
                <w:sz w:val="13"/>
                <w:szCs w:val="13"/>
              </w:rPr>
            </w:pPr>
          </w:p>
          <w:p>
            <w:pPr>
              <w:pStyle w:val="TableParagraph"/>
              <w:spacing w:line="240" w:lineRule="auto"/>
              <w:ind w:left="43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形成的</w:t>
            </w:r>
          </w:p>
        </w:tc>
        <w:tc>
          <w:tcPr>
            <w:tcW w:w="677" w:type="dxa"/>
            <w:tcBorders>
              <w:top w:val="single" w:sz="4" w:space="0" w:color="FFC000"/>
              <w:left w:val="single" w:sz="4" w:space="0" w:color="FFC000"/>
              <w:bottom w:val="nil" w:sz="6" w:space="0" w:color="auto"/>
              <w:right w:val="single" w:sz="4" w:space="0" w:color="FFC000"/>
            </w:tcBorders>
            <w:shd w:val="clear" w:color="auto" w:fill="FFF8E6"/>
          </w:tcPr>
          <w:p>
            <w:pPr/>
          </w:p>
        </w:tc>
        <w:tc>
          <w:tcPr>
            <w:tcW w:w="741" w:type="dxa"/>
            <w:tcBorders>
              <w:top w:val="single" w:sz="4" w:space="0" w:color="FFC000"/>
              <w:left w:val="single" w:sz="4" w:space="0" w:color="FFC000"/>
              <w:bottom w:val="nil" w:sz="6" w:space="0" w:color="auto"/>
              <w:right w:val="single" w:sz="4" w:space="0" w:color="FFC000"/>
            </w:tcBorders>
            <w:shd w:val="clear" w:color="auto" w:fill="FFF8E6"/>
          </w:tcPr>
          <w:p>
            <w:pPr/>
          </w:p>
        </w:tc>
        <w:tc>
          <w:tcPr>
            <w:tcW w:w="834" w:type="dxa"/>
            <w:tcBorders>
              <w:top w:val="single" w:sz="4" w:space="0" w:color="FFC000"/>
              <w:left w:val="single" w:sz="4" w:space="0" w:color="FFC000"/>
              <w:bottom w:val="nil" w:sz="6" w:space="0" w:color="auto"/>
              <w:right w:val="single" w:sz="4" w:space="0" w:color="FFC000"/>
            </w:tcBorders>
            <w:shd w:val="clear" w:color="auto" w:fill="FFF8E6"/>
          </w:tcPr>
          <w:p>
            <w:pPr/>
          </w:p>
        </w:tc>
        <w:tc>
          <w:tcPr>
            <w:tcW w:w="1417" w:type="dxa"/>
            <w:tcBorders>
              <w:top w:val="single" w:sz="4" w:space="0" w:color="FFC000"/>
              <w:left w:val="single" w:sz="4" w:space="0" w:color="FFC000"/>
              <w:bottom w:val="nil" w:sz="6" w:space="0" w:color="auto"/>
              <w:right w:val="single" w:sz="4" w:space="0" w:color="FFC000"/>
            </w:tcBorders>
            <w:shd w:val="clear" w:color="auto" w:fill="FFF8E6"/>
          </w:tcPr>
          <w:p>
            <w:pPr/>
          </w:p>
        </w:tc>
      </w:tr>
      <w:tr>
        <w:trPr>
          <w:trHeight w:val="162" w:hRule="exact"/>
        </w:trPr>
        <w:tc>
          <w:tcPr>
            <w:tcW w:w="2571" w:type="dxa"/>
            <w:vMerge/>
            <w:tcBorders>
              <w:left w:val="single" w:sz="4" w:space="0" w:color="FFC000"/>
              <w:right w:val="single" w:sz="4" w:space="0" w:color="FFC000"/>
            </w:tcBorders>
            <w:shd w:val="clear" w:color="auto" w:fill="FFF8E6"/>
          </w:tcPr>
          <w:p>
            <w:pPr/>
          </w:p>
        </w:tc>
        <w:tc>
          <w:tcPr>
            <w:tcW w:w="1577" w:type="dxa"/>
            <w:vMerge/>
            <w:tcBorders>
              <w:left w:val="single" w:sz="4" w:space="0" w:color="FFC000"/>
              <w:bottom w:val="nil" w:sz="6" w:space="0" w:color="auto"/>
              <w:right w:val="single" w:sz="4" w:space="0" w:color="FFC000"/>
            </w:tcBorders>
            <w:shd w:val="clear" w:color="auto" w:fill="FFF8E6"/>
          </w:tcPr>
          <w:p>
            <w:pPr/>
          </w:p>
        </w:tc>
        <w:tc>
          <w:tcPr>
            <w:tcW w:w="1418" w:type="dxa"/>
            <w:vMerge/>
            <w:tcBorders>
              <w:left w:val="single" w:sz="4" w:space="0" w:color="FFC000"/>
              <w:right w:val="single" w:sz="4" w:space="0" w:color="FFC000"/>
            </w:tcBorders>
            <w:shd w:val="clear" w:color="auto" w:fill="FFF8E6"/>
          </w:tcPr>
          <w:p>
            <w:pPr/>
          </w:p>
        </w:tc>
        <w:tc>
          <w:tcPr>
            <w:tcW w:w="677"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29"/>
              <w:ind w:left="15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741"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29"/>
              <w:ind w:left="18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处置</w:t>
            </w:r>
          </w:p>
        </w:tc>
        <w:tc>
          <w:tcPr>
            <w:tcW w:w="834"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29"/>
              <w:ind w:left="23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1417" w:type="dxa"/>
            <w:vMerge w:val="restart"/>
            <w:tcBorders>
              <w:top w:val="nil" w:sz="6" w:space="0" w:color="auto"/>
              <w:left w:val="single" w:sz="4" w:space="0" w:color="FFC000"/>
              <w:right w:val="single" w:sz="4" w:space="0" w:color="FFC000"/>
            </w:tcBorders>
            <w:shd w:val="clear" w:color="auto" w:fill="FFF8E6"/>
          </w:tcPr>
          <w:p>
            <w:pPr/>
          </w:p>
        </w:tc>
      </w:tr>
      <w:tr>
        <w:trPr>
          <w:trHeight w:val="231" w:hRule="exact"/>
        </w:trPr>
        <w:tc>
          <w:tcPr>
            <w:tcW w:w="2571" w:type="dxa"/>
            <w:vMerge/>
            <w:tcBorders>
              <w:left w:val="single" w:sz="4" w:space="0" w:color="FFC000"/>
              <w:bottom w:val="nil" w:sz="6" w:space="0" w:color="auto"/>
              <w:right w:val="single" w:sz="4" w:space="0" w:color="FFC000"/>
            </w:tcBorders>
            <w:shd w:val="clear" w:color="auto" w:fill="FFF8E6"/>
          </w:tcPr>
          <w:p>
            <w:pPr/>
          </w:p>
        </w:tc>
        <w:tc>
          <w:tcPr>
            <w:tcW w:w="1577" w:type="dxa"/>
            <w:vMerge w:val="restart"/>
            <w:tcBorders>
              <w:top w:val="nil" w:sz="6" w:space="0" w:color="auto"/>
              <w:left w:val="single" w:sz="4" w:space="0" w:color="FFC000"/>
              <w:right w:val="single" w:sz="4" w:space="0" w:color="FFC000"/>
            </w:tcBorders>
            <w:shd w:val="clear" w:color="auto" w:fill="FFF8E6"/>
          </w:tcPr>
          <w:p>
            <w:pPr/>
          </w:p>
        </w:tc>
        <w:tc>
          <w:tcPr>
            <w:tcW w:w="1418" w:type="dxa"/>
            <w:vMerge/>
            <w:tcBorders>
              <w:left w:val="single" w:sz="4" w:space="0" w:color="FFC000"/>
              <w:right w:val="single" w:sz="4" w:space="0" w:color="FFC000"/>
            </w:tcBorders>
            <w:shd w:val="clear" w:color="auto" w:fill="FFF8E6"/>
          </w:tcPr>
          <w:p>
            <w:pPr/>
          </w:p>
        </w:tc>
        <w:tc>
          <w:tcPr>
            <w:tcW w:w="677" w:type="dxa"/>
            <w:vMerge/>
            <w:tcBorders>
              <w:left w:val="single" w:sz="4" w:space="0" w:color="FFC000"/>
              <w:bottom w:val="nil" w:sz="6" w:space="0" w:color="auto"/>
              <w:right w:val="single" w:sz="4" w:space="0" w:color="FFC000"/>
            </w:tcBorders>
            <w:shd w:val="clear" w:color="auto" w:fill="FFF8E6"/>
          </w:tcPr>
          <w:p>
            <w:pPr/>
          </w:p>
        </w:tc>
        <w:tc>
          <w:tcPr>
            <w:tcW w:w="741" w:type="dxa"/>
            <w:vMerge/>
            <w:tcBorders>
              <w:left w:val="single" w:sz="4" w:space="0" w:color="FFC000"/>
              <w:bottom w:val="nil" w:sz="6" w:space="0" w:color="auto"/>
              <w:right w:val="single" w:sz="4" w:space="0" w:color="FFC000"/>
            </w:tcBorders>
            <w:shd w:val="clear" w:color="auto" w:fill="FFF8E6"/>
          </w:tcPr>
          <w:p>
            <w:pPr/>
          </w:p>
        </w:tc>
        <w:tc>
          <w:tcPr>
            <w:tcW w:w="834" w:type="dxa"/>
            <w:vMerge/>
            <w:tcBorders>
              <w:left w:val="single" w:sz="4" w:space="0" w:color="FFC000"/>
              <w:bottom w:val="nil" w:sz="6" w:space="0" w:color="auto"/>
              <w:right w:val="single" w:sz="4" w:space="0" w:color="FFC000"/>
            </w:tcBorders>
            <w:shd w:val="clear" w:color="auto" w:fill="FFF8E6"/>
          </w:tcPr>
          <w:p>
            <w:pPr/>
          </w:p>
        </w:tc>
        <w:tc>
          <w:tcPr>
            <w:tcW w:w="1417" w:type="dxa"/>
            <w:vMerge/>
            <w:tcBorders>
              <w:left w:val="single" w:sz="4" w:space="0" w:color="FFC000"/>
              <w:bottom w:val="nil" w:sz="6" w:space="0" w:color="auto"/>
              <w:right w:val="single" w:sz="4" w:space="0" w:color="FFC000"/>
            </w:tcBorders>
            <w:shd w:val="clear" w:color="auto" w:fill="FFF8E6"/>
          </w:tcPr>
          <w:p>
            <w:pPr/>
          </w:p>
        </w:tc>
      </w:tr>
      <w:tr>
        <w:trPr>
          <w:trHeight w:val="201" w:hRule="exact"/>
        </w:trPr>
        <w:tc>
          <w:tcPr>
            <w:tcW w:w="2571" w:type="dxa"/>
            <w:tcBorders>
              <w:top w:val="nil" w:sz="6" w:space="0" w:color="auto"/>
              <w:left w:val="single" w:sz="4" w:space="0" w:color="FFC000"/>
              <w:bottom w:val="single" w:sz="4" w:space="0" w:color="FFC000"/>
              <w:right w:val="single" w:sz="4" w:space="0" w:color="FFC000"/>
            </w:tcBorders>
            <w:shd w:val="clear" w:color="auto" w:fill="FFF8E6"/>
          </w:tcPr>
          <w:p>
            <w:pPr/>
          </w:p>
        </w:tc>
        <w:tc>
          <w:tcPr>
            <w:tcW w:w="1577" w:type="dxa"/>
            <w:vMerge/>
            <w:tcBorders>
              <w:left w:val="single" w:sz="4" w:space="0" w:color="FFC000"/>
              <w:bottom w:val="single" w:sz="4" w:space="0" w:color="FFC000"/>
              <w:right w:val="single" w:sz="4" w:space="0" w:color="FFC000"/>
            </w:tcBorders>
            <w:shd w:val="clear" w:color="auto" w:fill="FFF8E6"/>
          </w:tcPr>
          <w:p>
            <w:pPr/>
          </w:p>
        </w:tc>
        <w:tc>
          <w:tcPr>
            <w:tcW w:w="1418" w:type="dxa"/>
            <w:vMerge/>
            <w:tcBorders>
              <w:left w:val="single" w:sz="4" w:space="0" w:color="FFC000"/>
              <w:bottom w:val="single" w:sz="4" w:space="0" w:color="FFC000"/>
              <w:right w:val="single" w:sz="4" w:space="0" w:color="FFC000"/>
            </w:tcBorders>
            <w:shd w:val="clear" w:color="auto" w:fill="FFF8E6"/>
          </w:tcPr>
          <w:p>
            <w:pPr/>
          </w:p>
        </w:tc>
        <w:tc>
          <w:tcPr>
            <w:tcW w:w="677" w:type="dxa"/>
            <w:tcBorders>
              <w:top w:val="nil" w:sz="6" w:space="0" w:color="auto"/>
              <w:left w:val="single" w:sz="4" w:space="0" w:color="FFC000"/>
              <w:bottom w:val="single" w:sz="4" w:space="0" w:color="FFC000"/>
              <w:right w:val="single" w:sz="4" w:space="0" w:color="FFC000"/>
            </w:tcBorders>
            <w:shd w:val="clear" w:color="auto" w:fill="FFF8E6"/>
          </w:tcPr>
          <w:p>
            <w:pPr/>
          </w:p>
        </w:tc>
        <w:tc>
          <w:tcPr>
            <w:tcW w:w="741" w:type="dxa"/>
            <w:tcBorders>
              <w:top w:val="nil" w:sz="6" w:space="0" w:color="auto"/>
              <w:left w:val="single" w:sz="4" w:space="0" w:color="FFC000"/>
              <w:bottom w:val="single" w:sz="4" w:space="0" w:color="FFC000"/>
              <w:right w:val="single" w:sz="4" w:space="0" w:color="FFC000"/>
            </w:tcBorders>
            <w:shd w:val="clear" w:color="auto" w:fill="FFF8E6"/>
          </w:tcPr>
          <w:p>
            <w:pPr/>
          </w:p>
        </w:tc>
        <w:tc>
          <w:tcPr>
            <w:tcW w:w="834" w:type="dxa"/>
            <w:tcBorders>
              <w:top w:val="nil" w:sz="6" w:space="0" w:color="auto"/>
              <w:left w:val="single" w:sz="4" w:space="0" w:color="FFC000"/>
              <w:bottom w:val="single" w:sz="4" w:space="0" w:color="FFC000"/>
              <w:right w:val="single" w:sz="4" w:space="0" w:color="FFC000"/>
            </w:tcBorders>
            <w:shd w:val="clear" w:color="auto" w:fill="FFF8E6"/>
          </w:tcPr>
          <w:p>
            <w:pPr/>
          </w:p>
        </w:tc>
        <w:tc>
          <w:tcPr>
            <w:tcW w:w="1417" w:type="dxa"/>
            <w:tcBorders>
              <w:top w:val="nil" w:sz="6" w:space="0" w:color="auto"/>
              <w:left w:val="single" w:sz="4" w:space="0" w:color="FFC000"/>
              <w:bottom w:val="single" w:sz="4" w:space="0" w:color="FFC000"/>
              <w:right w:val="single" w:sz="4" w:space="0" w:color="FFC000"/>
            </w:tcBorders>
            <w:shd w:val="clear" w:color="auto" w:fill="FFF8E6"/>
          </w:tcPr>
          <w:p>
            <w:pPr/>
          </w:p>
        </w:tc>
      </w:tr>
      <w:tr>
        <w:trPr>
          <w:trHeight w:val="891" w:hRule="exact"/>
        </w:trPr>
        <w:tc>
          <w:tcPr>
            <w:tcW w:w="257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5"/>
              <w:ind w:left="11" w:right="2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彩梦科技公司收购北京龙迹天地</w:t>
            </w:r>
            <w:r>
              <w:rPr>
                <w:rFonts w:ascii="华文细黑" w:hAnsi="华文细黑" w:cs="华文细黑" w:eastAsia="华文细黑" w:hint="default"/>
                <w:spacing w:val="-41"/>
                <w:sz w:val="18"/>
                <w:szCs w:val="18"/>
              </w:rPr>
              <w:t> </w:t>
            </w:r>
            <w:r>
              <w:rPr>
                <w:rFonts w:ascii="华文细黑" w:hAnsi="华文细黑" w:cs="华文细黑" w:eastAsia="华文细黑" w:hint="default"/>
                <w:spacing w:val="-41"/>
                <w:sz w:val="18"/>
                <w:szCs w:val="18"/>
              </w:rPr>
            </w:r>
            <w:r>
              <w:rPr>
                <w:rFonts w:ascii="华文细黑" w:hAnsi="华文细黑" w:cs="华文细黑" w:eastAsia="华文细黑" w:hint="default"/>
                <w:sz w:val="18"/>
                <w:szCs w:val="18"/>
              </w:rPr>
              <w:t>科技有限公司</w:t>
            </w:r>
          </w:p>
        </w:tc>
        <w:tc>
          <w:tcPr>
            <w:tcW w:w="157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1,823,705.95</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6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7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8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1,823,705.95</w:t>
            </w:r>
          </w:p>
        </w:tc>
      </w:tr>
      <w:tr>
        <w:trPr>
          <w:trHeight w:val="491" w:hRule="exact"/>
        </w:trPr>
        <w:tc>
          <w:tcPr>
            <w:tcW w:w="257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
              <w:ind w:right="0"/>
              <w:jc w:val="left"/>
              <w:rPr>
                <w:rFonts w:ascii="华文细黑" w:hAnsi="华文细黑" w:cs="华文细黑" w:eastAsia="华文细黑" w:hint="default"/>
                <w:sz w:val="11"/>
                <w:szCs w:val="11"/>
              </w:rPr>
            </w:pPr>
          </w:p>
          <w:p>
            <w:pPr>
              <w:pStyle w:val="TableParagraph"/>
              <w:spacing w:line="240" w:lineRule="auto"/>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彩梦科技公司收购北京雪狐影视</w:t>
            </w:r>
          </w:p>
        </w:tc>
        <w:tc>
          <w:tcPr>
            <w:tcW w:w="157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410,947.45</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6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8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410,947.45</w:t>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300" w:right="0"/>
        </w:sectPr>
      </w:pPr>
    </w:p>
    <w:p>
      <w:pPr>
        <w:spacing w:line="240" w:lineRule="auto" w:before="8"/>
        <w:rPr>
          <w:rFonts w:ascii="华文细黑" w:hAnsi="华文细黑" w:cs="华文细黑" w:eastAsia="华文细黑" w:hint="default"/>
          <w:sz w:val="23"/>
          <w:szCs w:val="23"/>
        </w:rPr>
      </w:pPr>
    </w:p>
    <w:tbl>
      <w:tblPr>
        <w:tblW w:w="0" w:type="auto"/>
        <w:jc w:val="left"/>
        <w:tblInd w:w="151" w:type="dxa"/>
        <w:tblLayout w:type="fixed"/>
        <w:tblCellMar>
          <w:top w:w="0" w:type="dxa"/>
          <w:left w:w="0" w:type="dxa"/>
          <w:bottom w:w="0" w:type="dxa"/>
          <w:right w:w="0" w:type="dxa"/>
        </w:tblCellMar>
        <w:tblLook w:val="01E0"/>
      </w:tblPr>
      <w:tblGrid>
        <w:gridCol w:w="2559"/>
        <w:gridCol w:w="1589"/>
        <w:gridCol w:w="1418"/>
        <w:gridCol w:w="677"/>
        <w:gridCol w:w="741"/>
        <w:gridCol w:w="834"/>
        <w:gridCol w:w="1417"/>
      </w:tblGrid>
      <w:tr>
        <w:trPr>
          <w:trHeight w:val="178" w:hRule="exact"/>
        </w:trPr>
        <w:tc>
          <w:tcPr>
            <w:tcW w:w="2559" w:type="dxa"/>
            <w:tcBorders>
              <w:top w:val="single" w:sz="4" w:space="0" w:color="FFC000"/>
              <w:left w:val="single" w:sz="4" w:space="0" w:color="FFC000"/>
              <w:bottom w:val="nil" w:sz="6" w:space="0" w:color="auto"/>
              <w:right w:val="single" w:sz="4" w:space="0" w:color="FFC000"/>
            </w:tcBorders>
            <w:shd w:val="clear" w:color="auto" w:fill="FFF8E6"/>
          </w:tcPr>
          <w:p>
            <w:pPr/>
          </w:p>
        </w:tc>
        <w:tc>
          <w:tcPr>
            <w:tcW w:w="1589" w:type="dxa"/>
            <w:vMerge w:val="restart"/>
            <w:tcBorders>
              <w:top w:val="single" w:sz="4" w:space="0" w:color="FFC000"/>
              <w:left w:val="single" w:sz="4" w:space="0" w:color="FFC000"/>
              <w:right w:val="single" w:sz="4" w:space="0" w:color="FFC000"/>
            </w:tcBorders>
            <w:shd w:val="clear" w:color="auto" w:fill="FFF8E6"/>
          </w:tcPr>
          <w:p>
            <w:pPr/>
          </w:p>
        </w:tc>
        <w:tc>
          <w:tcPr>
            <w:tcW w:w="2095"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47"/>
              <w:ind w:left="68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本年增加</w:t>
            </w:r>
          </w:p>
        </w:tc>
        <w:tc>
          <w:tcPr>
            <w:tcW w:w="1575"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47"/>
              <w:ind w:left="42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本年减少</w:t>
            </w:r>
          </w:p>
        </w:tc>
        <w:tc>
          <w:tcPr>
            <w:tcW w:w="1417"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47"/>
              <w:ind w:left="34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242" w:hRule="exact"/>
        </w:trPr>
        <w:tc>
          <w:tcPr>
            <w:tcW w:w="2559" w:type="dxa"/>
            <w:vMerge w:val="restart"/>
            <w:tcBorders>
              <w:top w:val="nil" w:sz="6" w:space="0" w:color="auto"/>
              <w:left w:val="single" w:sz="4" w:space="0" w:color="FFC000"/>
              <w:right w:val="single" w:sz="4" w:space="0" w:color="FFC000"/>
            </w:tcBorders>
            <w:shd w:val="clear" w:color="auto" w:fill="FFF8E6"/>
          </w:tcPr>
          <w:p>
            <w:pPr>
              <w:pStyle w:val="TableParagraph"/>
              <w:spacing w:line="400" w:lineRule="exact" w:before="40"/>
              <w:ind w:left="1184" w:right="15" w:hanging="117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被投资单位名称或形成商誉的事 项</w:t>
            </w:r>
          </w:p>
        </w:tc>
        <w:tc>
          <w:tcPr>
            <w:tcW w:w="1589" w:type="dxa"/>
            <w:vMerge/>
            <w:tcBorders>
              <w:left w:val="single" w:sz="4" w:space="0" w:color="FFC000"/>
              <w:bottom w:val="nil" w:sz="6" w:space="0" w:color="auto"/>
              <w:right w:val="single" w:sz="4" w:space="0" w:color="FFC000"/>
            </w:tcBorders>
            <w:shd w:val="clear" w:color="auto" w:fill="FFF8E6"/>
          </w:tcPr>
          <w:p>
            <w:pPr/>
          </w:p>
        </w:tc>
        <w:tc>
          <w:tcPr>
            <w:tcW w:w="2095" w:type="dxa"/>
            <w:gridSpan w:val="2"/>
            <w:vMerge/>
            <w:tcBorders>
              <w:left w:val="single" w:sz="4" w:space="0" w:color="FFC000"/>
              <w:bottom w:val="single" w:sz="4" w:space="0" w:color="FFC000"/>
              <w:right w:val="single" w:sz="4" w:space="0" w:color="FFC000"/>
            </w:tcBorders>
            <w:shd w:val="clear" w:color="auto" w:fill="FFF8E6"/>
          </w:tcPr>
          <w:p>
            <w:pPr/>
          </w:p>
        </w:tc>
        <w:tc>
          <w:tcPr>
            <w:tcW w:w="1575" w:type="dxa"/>
            <w:gridSpan w:val="2"/>
            <w:vMerge/>
            <w:tcBorders>
              <w:left w:val="single" w:sz="4" w:space="0" w:color="FFC000"/>
              <w:bottom w:val="single" w:sz="4" w:space="0" w:color="FFC000"/>
              <w:right w:val="single" w:sz="4" w:space="0" w:color="FFC000"/>
            </w:tcBorders>
            <w:shd w:val="clear" w:color="auto" w:fill="FFF8E6"/>
          </w:tcPr>
          <w:p>
            <w:pPr/>
          </w:p>
        </w:tc>
        <w:tc>
          <w:tcPr>
            <w:tcW w:w="1417" w:type="dxa"/>
            <w:vMerge/>
            <w:tcBorders>
              <w:left w:val="single" w:sz="4" w:space="0" w:color="FFC000"/>
              <w:bottom w:val="single" w:sz="4" w:space="0" w:color="FFC000"/>
              <w:right w:val="single" w:sz="4" w:space="0" w:color="FFC000"/>
            </w:tcBorders>
            <w:shd w:val="clear" w:color="auto" w:fill="FFF8E6"/>
          </w:tcPr>
          <w:p>
            <w:pPr/>
          </w:p>
        </w:tc>
      </w:tr>
      <w:tr>
        <w:trPr>
          <w:trHeight w:val="221" w:hRule="exact"/>
        </w:trPr>
        <w:tc>
          <w:tcPr>
            <w:tcW w:w="2559" w:type="dxa"/>
            <w:vMerge/>
            <w:tcBorders>
              <w:left w:val="single" w:sz="4" w:space="0" w:color="FFC000"/>
              <w:right w:val="single" w:sz="4" w:space="0" w:color="FFC000"/>
            </w:tcBorders>
            <w:shd w:val="clear" w:color="auto" w:fill="FFF8E6"/>
          </w:tcPr>
          <w:p>
            <w:pPr/>
          </w:p>
        </w:tc>
        <w:tc>
          <w:tcPr>
            <w:tcW w:w="1589"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42"/>
              <w:ind w:left="43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141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24"/>
              <w:ind w:left="433" w:right="0" w:hanging="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企业合并</w:t>
            </w:r>
          </w:p>
          <w:p>
            <w:pPr>
              <w:pStyle w:val="TableParagraph"/>
              <w:spacing w:line="240" w:lineRule="auto" w:before="7"/>
              <w:ind w:right="0"/>
              <w:jc w:val="left"/>
              <w:rPr>
                <w:rFonts w:ascii="华文细黑" w:hAnsi="华文细黑" w:cs="华文细黑" w:eastAsia="华文细黑" w:hint="default"/>
                <w:sz w:val="13"/>
                <w:szCs w:val="13"/>
              </w:rPr>
            </w:pPr>
          </w:p>
          <w:p>
            <w:pPr>
              <w:pStyle w:val="TableParagraph"/>
              <w:spacing w:line="240" w:lineRule="auto"/>
              <w:ind w:left="43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形成的</w:t>
            </w:r>
          </w:p>
        </w:tc>
        <w:tc>
          <w:tcPr>
            <w:tcW w:w="677" w:type="dxa"/>
            <w:tcBorders>
              <w:top w:val="single" w:sz="4" w:space="0" w:color="FFC000"/>
              <w:left w:val="single" w:sz="4" w:space="0" w:color="FFC000"/>
              <w:bottom w:val="nil" w:sz="6" w:space="0" w:color="auto"/>
              <w:right w:val="single" w:sz="4" w:space="0" w:color="FFC000"/>
            </w:tcBorders>
            <w:shd w:val="clear" w:color="auto" w:fill="FFF8E6"/>
          </w:tcPr>
          <w:p>
            <w:pPr/>
          </w:p>
        </w:tc>
        <w:tc>
          <w:tcPr>
            <w:tcW w:w="741" w:type="dxa"/>
            <w:tcBorders>
              <w:top w:val="single" w:sz="4" w:space="0" w:color="FFC000"/>
              <w:left w:val="single" w:sz="4" w:space="0" w:color="FFC000"/>
              <w:bottom w:val="nil" w:sz="6" w:space="0" w:color="auto"/>
              <w:right w:val="single" w:sz="4" w:space="0" w:color="FFC000"/>
            </w:tcBorders>
            <w:shd w:val="clear" w:color="auto" w:fill="FFF8E6"/>
          </w:tcPr>
          <w:p>
            <w:pPr/>
          </w:p>
        </w:tc>
        <w:tc>
          <w:tcPr>
            <w:tcW w:w="834" w:type="dxa"/>
            <w:tcBorders>
              <w:top w:val="single" w:sz="4" w:space="0" w:color="FFC000"/>
              <w:left w:val="single" w:sz="4" w:space="0" w:color="FFC000"/>
              <w:bottom w:val="nil" w:sz="6" w:space="0" w:color="auto"/>
              <w:right w:val="single" w:sz="4" w:space="0" w:color="FFC000"/>
            </w:tcBorders>
            <w:shd w:val="clear" w:color="auto" w:fill="FFF8E6"/>
          </w:tcPr>
          <w:p>
            <w:pPr/>
          </w:p>
        </w:tc>
        <w:tc>
          <w:tcPr>
            <w:tcW w:w="1417" w:type="dxa"/>
            <w:tcBorders>
              <w:top w:val="single" w:sz="4" w:space="0" w:color="FFC000"/>
              <w:left w:val="single" w:sz="4" w:space="0" w:color="FFC000"/>
              <w:bottom w:val="nil" w:sz="6" w:space="0" w:color="auto"/>
              <w:right w:val="single" w:sz="4" w:space="0" w:color="FFC000"/>
            </w:tcBorders>
            <w:shd w:val="clear" w:color="auto" w:fill="FFF8E6"/>
          </w:tcPr>
          <w:p>
            <w:pPr/>
          </w:p>
        </w:tc>
      </w:tr>
      <w:tr>
        <w:trPr>
          <w:trHeight w:val="162" w:hRule="exact"/>
        </w:trPr>
        <w:tc>
          <w:tcPr>
            <w:tcW w:w="2559" w:type="dxa"/>
            <w:vMerge/>
            <w:tcBorders>
              <w:left w:val="single" w:sz="4" w:space="0" w:color="FFC000"/>
              <w:right w:val="single" w:sz="4" w:space="0" w:color="FFC000"/>
            </w:tcBorders>
            <w:shd w:val="clear" w:color="auto" w:fill="FFF8E6"/>
          </w:tcPr>
          <w:p>
            <w:pPr/>
          </w:p>
        </w:tc>
        <w:tc>
          <w:tcPr>
            <w:tcW w:w="1589" w:type="dxa"/>
            <w:vMerge/>
            <w:tcBorders>
              <w:left w:val="single" w:sz="4" w:space="0" w:color="FFC000"/>
              <w:bottom w:val="nil" w:sz="6" w:space="0" w:color="auto"/>
              <w:right w:val="single" w:sz="4" w:space="0" w:color="FFC000"/>
            </w:tcBorders>
            <w:shd w:val="clear" w:color="auto" w:fill="FFF8E6"/>
          </w:tcPr>
          <w:p>
            <w:pPr/>
          </w:p>
        </w:tc>
        <w:tc>
          <w:tcPr>
            <w:tcW w:w="1418" w:type="dxa"/>
            <w:vMerge/>
            <w:tcBorders>
              <w:left w:val="single" w:sz="4" w:space="0" w:color="FFC000"/>
              <w:right w:val="single" w:sz="4" w:space="0" w:color="FFC000"/>
            </w:tcBorders>
            <w:shd w:val="clear" w:color="auto" w:fill="FFF8E6"/>
          </w:tcPr>
          <w:p>
            <w:pPr/>
          </w:p>
        </w:tc>
        <w:tc>
          <w:tcPr>
            <w:tcW w:w="677"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29"/>
              <w:ind w:left="15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741"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29"/>
              <w:ind w:left="18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处置</w:t>
            </w:r>
          </w:p>
        </w:tc>
        <w:tc>
          <w:tcPr>
            <w:tcW w:w="834"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29"/>
              <w:ind w:left="23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1417" w:type="dxa"/>
            <w:vMerge w:val="restart"/>
            <w:tcBorders>
              <w:top w:val="nil" w:sz="6" w:space="0" w:color="auto"/>
              <w:left w:val="single" w:sz="4" w:space="0" w:color="FFC000"/>
              <w:right w:val="single" w:sz="4" w:space="0" w:color="FFC000"/>
            </w:tcBorders>
            <w:shd w:val="clear" w:color="auto" w:fill="FFF8E6"/>
          </w:tcPr>
          <w:p>
            <w:pPr/>
          </w:p>
        </w:tc>
      </w:tr>
      <w:tr>
        <w:trPr>
          <w:trHeight w:val="231" w:hRule="exact"/>
        </w:trPr>
        <w:tc>
          <w:tcPr>
            <w:tcW w:w="2559" w:type="dxa"/>
            <w:vMerge/>
            <w:tcBorders>
              <w:left w:val="single" w:sz="4" w:space="0" w:color="FFC000"/>
              <w:bottom w:val="nil" w:sz="6" w:space="0" w:color="auto"/>
              <w:right w:val="single" w:sz="4" w:space="0" w:color="FFC000"/>
            </w:tcBorders>
            <w:shd w:val="clear" w:color="auto" w:fill="FFF8E6"/>
          </w:tcPr>
          <w:p>
            <w:pPr/>
          </w:p>
        </w:tc>
        <w:tc>
          <w:tcPr>
            <w:tcW w:w="1589" w:type="dxa"/>
            <w:vMerge w:val="restart"/>
            <w:tcBorders>
              <w:top w:val="nil" w:sz="6" w:space="0" w:color="auto"/>
              <w:left w:val="single" w:sz="4" w:space="0" w:color="FFC000"/>
              <w:right w:val="single" w:sz="4" w:space="0" w:color="FFC000"/>
            </w:tcBorders>
            <w:shd w:val="clear" w:color="auto" w:fill="FFF8E6"/>
          </w:tcPr>
          <w:p>
            <w:pPr/>
          </w:p>
        </w:tc>
        <w:tc>
          <w:tcPr>
            <w:tcW w:w="1418" w:type="dxa"/>
            <w:vMerge/>
            <w:tcBorders>
              <w:left w:val="single" w:sz="4" w:space="0" w:color="FFC000"/>
              <w:right w:val="single" w:sz="4" w:space="0" w:color="FFC000"/>
            </w:tcBorders>
            <w:shd w:val="clear" w:color="auto" w:fill="FFF8E6"/>
          </w:tcPr>
          <w:p>
            <w:pPr/>
          </w:p>
        </w:tc>
        <w:tc>
          <w:tcPr>
            <w:tcW w:w="677" w:type="dxa"/>
            <w:vMerge/>
            <w:tcBorders>
              <w:left w:val="single" w:sz="4" w:space="0" w:color="FFC000"/>
              <w:bottom w:val="nil" w:sz="6" w:space="0" w:color="auto"/>
              <w:right w:val="single" w:sz="4" w:space="0" w:color="FFC000"/>
            </w:tcBorders>
            <w:shd w:val="clear" w:color="auto" w:fill="FFF8E6"/>
          </w:tcPr>
          <w:p>
            <w:pPr/>
          </w:p>
        </w:tc>
        <w:tc>
          <w:tcPr>
            <w:tcW w:w="741" w:type="dxa"/>
            <w:vMerge/>
            <w:tcBorders>
              <w:left w:val="single" w:sz="4" w:space="0" w:color="FFC000"/>
              <w:bottom w:val="nil" w:sz="6" w:space="0" w:color="auto"/>
              <w:right w:val="single" w:sz="4" w:space="0" w:color="FFC000"/>
            </w:tcBorders>
            <w:shd w:val="clear" w:color="auto" w:fill="FFF8E6"/>
          </w:tcPr>
          <w:p>
            <w:pPr/>
          </w:p>
        </w:tc>
        <w:tc>
          <w:tcPr>
            <w:tcW w:w="834" w:type="dxa"/>
            <w:vMerge/>
            <w:tcBorders>
              <w:left w:val="single" w:sz="4" w:space="0" w:color="FFC000"/>
              <w:bottom w:val="nil" w:sz="6" w:space="0" w:color="auto"/>
              <w:right w:val="single" w:sz="4" w:space="0" w:color="FFC000"/>
            </w:tcBorders>
            <w:shd w:val="clear" w:color="auto" w:fill="FFF8E6"/>
          </w:tcPr>
          <w:p>
            <w:pPr/>
          </w:p>
        </w:tc>
        <w:tc>
          <w:tcPr>
            <w:tcW w:w="1417" w:type="dxa"/>
            <w:vMerge/>
            <w:tcBorders>
              <w:left w:val="single" w:sz="4" w:space="0" w:color="FFC000"/>
              <w:bottom w:val="nil" w:sz="6" w:space="0" w:color="auto"/>
              <w:right w:val="single" w:sz="4" w:space="0" w:color="FFC000"/>
            </w:tcBorders>
            <w:shd w:val="clear" w:color="auto" w:fill="FFF8E6"/>
          </w:tcPr>
          <w:p>
            <w:pPr/>
          </w:p>
        </w:tc>
      </w:tr>
      <w:tr>
        <w:trPr>
          <w:trHeight w:val="201" w:hRule="exact"/>
        </w:trPr>
        <w:tc>
          <w:tcPr>
            <w:tcW w:w="2559" w:type="dxa"/>
            <w:tcBorders>
              <w:top w:val="nil" w:sz="6" w:space="0" w:color="auto"/>
              <w:left w:val="single" w:sz="4" w:space="0" w:color="FFC000"/>
              <w:bottom w:val="single" w:sz="4" w:space="0" w:color="FFC000"/>
              <w:right w:val="single" w:sz="4" w:space="0" w:color="FFC000"/>
            </w:tcBorders>
            <w:shd w:val="clear" w:color="auto" w:fill="FFF8E6"/>
          </w:tcPr>
          <w:p>
            <w:pPr/>
          </w:p>
        </w:tc>
        <w:tc>
          <w:tcPr>
            <w:tcW w:w="1589" w:type="dxa"/>
            <w:vMerge/>
            <w:tcBorders>
              <w:left w:val="single" w:sz="4" w:space="0" w:color="FFC000"/>
              <w:bottom w:val="single" w:sz="4" w:space="0" w:color="FFC000"/>
              <w:right w:val="single" w:sz="4" w:space="0" w:color="FFC000"/>
            </w:tcBorders>
            <w:shd w:val="clear" w:color="auto" w:fill="FFF8E6"/>
          </w:tcPr>
          <w:p>
            <w:pPr/>
          </w:p>
        </w:tc>
        <w:tc>
          <w:tcPr>
            <w:tcW w:w="1418" w:type="dxa"/>
            <w:vMerge/>
            <w:tcBorders>
              <w:left w:val="single" w:sz="4" w:space="0" w:color="FFC000"/>
              <w:bottom w:val="single" w:sz="4" w:space="0" w:color="FFC000"/>
              <w:right w:val="single" w:sz="4" w:space="0" w:color="FFC000"/>
            </w:tcBorders>
            <w:shd w:val="clear" w:color="auto" w:fill="FFF8E6"/>
          </w:tcPr>
          <w:p>
            <w:pPr/>
          </w:p>
        </w:tc>
        <w:tc>
          <w:tcPr>
            <w:tcW w:w="677" w:type="dxa"/>
            <w:tcBorders>
              <w:top w:val="nil" w:sz="6" w:space="0" w:color="auto"/>
              <w:left w:val="single" w:sz="4" w:space="0" w:color="FFC000"/>
              <w:bottom w:val="single" w:sz="4" w:space="0" w:color="FFC000"/>
              <w:right w:val="single" w:sz="4" w:space="0" w:color="FFC000"/>
            </w:tcBorders>
            <w:shd w:val="clear" w:color="auto" w:fill="FFF8E6"/>
          </w:tcPr>
          <w:p>
            <w:pPr/>
          </w:p>
        </w:tc>
        <w:tc>
          <w:tcPr>
            <w:tcW w:w="741" w:type="dxa"/>
            <w:tcBorders>
              <w:top w:val="nil" w:sz="6" w:space="0" w:color="auto"/>
              <w:left w:val="single" w:sz="4" w:space="0" w:color="FFC000"/>
              <w:bottom w:val="single" w:sz="4" w:space="0" w:color="FFC000"/>
              <w:right w:val="single" w:sz="4" w:space="0" w:color="FFC000"/>
            </w:tcBorders>
            <w:shd w:val="clear" w:color="auto" w:fill="FFF8E6"/>
          </w:tcPr>
          <w:p>
            <w:pPr/>
          </w:p>
        </w:tc>
        <w:tc>
          <w:tcPr>
            <w:tcW w:w="834" w:type="dxa"/>
            <w:tcBorders>
              <w:top w:val="nil" w:sz="6" w:space="0" w:color="auto"/>
              <w:left w:val="single" w:sz="4" w:space="0" w:color="FFC000"/>
              <w:bottom w:val="single" w:sz="4" w:space="0" w:color="FFC000"/>
              <w:right w:val="single" w:sz="4" w:space="0" w:color="FFC000"/>
            </w:tcBorders>
            <w:shd w:val="clear" w:color="auto" w:fill="FFF8E6"/>
          </w:tcPr>
          <w:p>
            <w:pPr/>
          </w:p>
        </w:tc>
        <w:tc>
          <w:tcPr>
            <w:tcW w:w="1417" w:type="dxa"/>
            <w:tcBorders>
              <w:top w:val="nil" w:sz="6" w:space="0" w:color="auto"/>
              <w:left w:val="single" w:sz="4" w:space="0" w:color="FFC000"/>
              <w:bottom w:val="single" w:sz="4" w:space="0" w:color="FFC000"/>
              <w:right w:val="single" w:sz="4" w:space="0" w:color="FFC000"/>
            </w:tcBorders>
            <w:shd w:val="clear" w:color="auto" w:fill="FFF8E6"/>
          </w:tcPr>
          <w:p>
            <w:pPr/>
          </w:p>
        </w:tc>
      </w:tr>
      <w:tr>
        <w:trPr>
          <w:trHeight w:val="450"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文化咨询有限公司</w:t>
            </w:r>
          </w:p>
        </w:tc>
        <w:tc>
          <w:tcPr>
            <w:tcW w:w="1589" w:type="dxa"/>
            <w:tcBorders>
              <w:top w:val="single" w:sz="4" w:space="0" w:color="FFC000"/>
              <w:left w:val="single" w:sz="13" w:space="0" w:color="FFF8E6"/>
              <w:bottom w:val="single" w:sz="4" w:space="0" w:color="FFC000"/>
              <w:right w:val="single" w:sz="4" w:space="0" w:color="FFC000"/>
            </w:tcBorders>
          </w:tcPr>
          <w:p>
            <w:pPr/>
          </w:p>
        </w:tc>
        <w:tc>
          <w:tcPr>
            <w:tcW w:w="1418" w:type="dxa"/>
            <w:tcBorders>
              <w:top w:val="single" w:sz="4" w:space="0" w:color="FFC000"/>
              <w:left w:val="single" w:sz="4" w:space="0" w:color="FFC000"/>
              <w:bottom w:val="single" w:sz="4" w:space="0" w:color="FFC000"/>
              <w:right w:val="single" w:sz="4" w:space="0" w:color="FFC000"/>
            </w:tcBorders>
          </w:tcPr>
          <w:p>
            <w:pPr/>
          </w:p>
        </w:tc>
        <w:tc>
          <w:tcPr>
            <w:tcW w:w="677" w:type="dxa"/>
            <w:tcBorders>
              <w:top w:val="single" w:sz="4" w:space="0" w:color="FFC000"/>
              <w:left w:val="single" w:sz="4" w:space="0" w:color="FFC000"/>
              <w:bottom w:val="single" w:sz="4" w:space="0" w:color="FFC000"/>
              <w:right w:val="single" w:sz="4" w:space="0" w:color="FFC000"/>
            </w:tcBorders>
          </w:tcPr>
          <w:p>
            <w:pPr/>
          </w:p>
        </w:tc>
        <w:tc>
          <w:tcPr>
            <w:tcW w:w="741" w:type="dxa"/>
            <w:tcBorders>
              <w:top w:val="single" w:sz="4" w:space="0" w:color="FFC000"/>
              <w:left w:val="single" w:sz="4" w:space="0" w:color="FFC000"/>
              <w:bottom w:val="single" w:sz="4" w:space="0" w:color="FFC000"/>
              <w:right w:val="single" w:sz="4" w:space="0" w:color="FFC000"/>
            </w:tcBorders>
          </w:tcPr>
          <w:p>
            <w:pPr/>
          </w:p>
        </w:tc>
        <w:tc>
          <w:tcPr>
            <w:tcW w:w="834" w:type="dxa"/>
            <w:tcBorders>
              <w:top w:val="single" w:sz="4" w:space="0" w:color="FFC000"/>
              <w:left w:val="single" w:sz="4" w:space="0" w:color="FFC000"/>
              <w:bottom w:val="single" w:sz="4" w:space="0" w:color="FFC000"/>
              <w:right w:val="single" w:sz="4" w:space="0" w:color="FFC000"/>
            </w:tcBorders>
          </w:tcPr>
          <w:p>
            <w:pPr/>
          </w:p>
        </w:tc>
        <w:tc>
          <w:tcPr>
            <w:tcW w:w="1417" w:type="dxa"/>
            <w:tcBorders>
              <w:top w:val="single" w:sz="4" w:space="0" w:color="FFC000"/>
              <w:left w:val="single" w:sz="4" w:space="0" w:color="FFC000"/>
              <w:bottom w:val="single" w:sz="4" w:space="0" w:color="FFC000"/>
              <w:right w:val="single" w:sz="4" w:space="0" w:color="FFC000"/>
            </w:tcBorders>
          </w:tcPr>
          <w:p>
            <w:pPr/>
          </w:p>
        </w:tc>
      </w:tr>
      <w:tr>
        <w:trPr>
          <w:trHeight w:val="890"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4"/>
              <w:ind w:left="11" w:right="1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彩梦科技公司收购深圳市互动科</w:t>
            </w:r>
            <w:r>
              <w:rPr>
                <w:rFonts w:ascii="华文细黑" w:hAnsi="华文细黑" w:cs="华文细黑" w:eastAsia="华文细黑" w:hint="default"/>
                <w:spacing w:val="-41"/>
                <w:sz w:val="18"/>
                <w:szCs w:val="18"/>
              </w:rPr>
              <w:t> </w:t>
            </w:r>
            <w:r>
              <w:rPr>
                <w:rFonts w:ascii="华文细黑" w:hAnsi="华文细黑" w:cs="华文细黑" w:eastAsia="华文细黑" w:hint="default"/>
                <w:spacing w:val="-41"/>
                <w:sz w:val="18"/>
                <w:szCs w:val="18"/>
              </w:rPr>
            </w:r>
            <w:r>
              <w:rPr>
                <w:rFonts w:ascii="华文细黑" w:hAnsi="华文细黑" w:cs="华文细黑" w:eastAsia="华文细黑" w:hint="default"/>
                <w:sz w:val="18"/>
                <w:szCs w:val="18"/>
              </w:rPr>
              <w:t>技有限公司</w:t>
            </w:r>
          </w:p>
        </w:tc>
        <w:tc>
          <w:tcPr>
            <w:tcW w:w="158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8,472,839.87</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6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7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8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8,472,839.87</w:t>
            </w:r>
          </w:p>
        </w:tc>
      </w:tr>
      <w:tr>
        <w:trPr>
          <w:trHeight w:val="890"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1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彩梦科技公司收购北京汇乐之音</w:t>
            </w:r>
            <w:r>
              <w:rPr>
                <w:rFonts w:ascii="华文细黑" w:hAnsi="华文细黑" w:cs="华文细黑" w:eastAsia="华文细黑" w:hint="default"/>
                <w:spacing w:val="-41"/>
                <w:sz w:val="18"/>
                <w:szCs w:val="18"/>
              </w:rPr>
              <w:t> </w:t>
            </w:r>
            <w:r>
              <w:rPr>
                <w:rFonts w:ascii="华文细黑" w:hAnsi="华文细黑" w:cs="华文细黑" w:eastAsia="华文细黑" w:hint="default"/>
                <w:spacing w:val="-41"/>
                <w:sz w:val="18"/>
                <w:szCs w:val="18"/>
              </w:rPr>
            </w:r>
            <w:r>
              <w:rPr>
                <w:rFonts w:ascii="华文细黑" w:hAnsi="华文细黑" w:cs="华文细黑" w:eastAsia="华文细黑" w:hint="default"/>
                <w:sz w:val="18"/>
                <w:szCs w:val="18"/>
              </w:rPr>
              <w:t>数字文化传播有限公司</w:t>
            </w:r>
          </w:p>
        </w:tc>
        <w:tc>
          <w:tcPr>
            <w:tcW w:w="158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50,997.11</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6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7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8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50,997.11</w:t>
            </w:r>
          </w:p>
        </w:tc>
      </w:tr>
      <w:tr>
        <w:trPr>
          <w:trHeight w:val="889"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1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彩梦科技公司收购北京铮尚游文</w:t>
            </w:r>
            <w:r>
              <w:rPr>
                <w:rFonts w:ascii="华文细黑" w:hAnsi="华文细黑" w:cs="华文细黑" w:eastAsia="华文细黑" w:hint="default"/>
                <w:spacing w:val="-41"/>
                <w:sz w:val="18"/>
                <w:szCs w:val="18"/>
              </w:rPr>
              <w:t> </w:t>
            </w:r>
            <w:r>
              <w:rPr>
                <w:rFonts w:ascii="华文细黑" w:hAnsi="华文细黑" w:cs="华文细黑" w:eastAsia="华文细黑" w:hint="default"/>
                <w:spacing w:val="-41"/>
                <w:sz w:val="18"/>
                <w:szCs w:val="18"/>
              </w:rPr>
            </w:r>
            <w:r>
              <w:rPr>
                <w:rFonts w:ascii="华文细黑" w:hAnsi="华文细黑" w:cs="华文细黑" w:eastAsia="华文细黑" w:hint="default"/>
                <w:sz w:val="18"/>
                <w:szCs w:val="18"/>
              </w:rPr>
              <w:t>化传播有限公司</w:t>
            </w:r>
          </w:p>
        </w:tc>
        <w:tc>
          <w:tcPr>
            <w:tcW w:w="158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w w:val="95"/>
                <w:sz w:val="18"/>
              </w:rPr>
              <w:t>453,824.47</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6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7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8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w w:val="95"/>
                <w:sz w:val="18"/>
              </w:rPr>
              <w:t>453,824.47</w:t>
            </w:r>
          </w:p>
        </w:tc>
      </w:tr>
      <w:tr>
        <w:trPr>
          <w:trHeight w:val="890"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4"/>
              <w:ind w:left="11" w:right="1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瑞成汇达公司收购深圳市安派易</w:t>
            </w:r>
            <w:r>
              <w:rPr>
                <w:rFonts w:ascii="华文细黑" w:hAnsi="华文细黑" w:cs="华文细黑" w:eastAsia="华文细黑" w:hint="default"/>
                <w:spacing w:val="-41"/>
                <w:sz w:val="18"/>
                <w:szCs w:val="18"/>
              </w:rPr>
              <w:t> </w:t>
            </w:r>
            <w:r>
              <w:rPr>
                <w:rFonts w:ascii="华文细黑" w:hAnsi="华文细黑" w:cs="华文细黑" w:eastAsia="华文细黑" w:hint="default"/>
                <w:spacing w:val="-41"/>
                <w:sz w:val="18"/>
                <w:szCs w:val="18"/>
              </w:rPr>
            </w:r>
            <w:r>
              <w:rPr>
                <w:rFonts w:ascii="华文细黑" w:hAnsi="华文细黑" w:cs="华文细黑" w:eastAsia="华文细黑" w:hint="default"/>
                <w:sz w:val="18"/>
                <w:szCs w:val="18"/>
              </w:rPr>
              <w:t>讯移动科技有限公司</w:t>
            </w:r>
          </w:p>
        </w:tc>
        <w:tc>
          <w:tcPr>
            <w:tcW w:w="158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3,658,019.16</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6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7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8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3,658,019.16</w:t>
            </w:r>
          </w:p>
        </w:tc>
      </w:tr>
      <w:tr>
        <w:trPr>
          <w:trHeight w:val="890"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1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深圳市优友金融服务有限公司收</w:t>
            </w:r>
            <w:r>
              <w:rPr>
                <w:rFonts w:ascii="华文细黑" w:hAnsi="华文细黑" w:cs="华文细黑" w:eastAsia="华文细黑" w:hint="default"/>
                <w:spacing w:val="-41"/>
                <w:sz w:val="18"/>
                <w:szCs w:val="18"/>
              </w:rPr>
              <w:t> </w:t>
            </w:r>
            <w:r>
              <w:rPr>
                <w:rFonts w:ascii="华文细黑" w:hAnsi="华文细黑" w:cs="华文细黑" w:eastAsia="华文细黑" w:hint="default"/>
                <w:spacing w:val="-41"/>
                <w:sz w:val="18"/>
                <w:szCs w:val="18"/>
              </w:rPr>
            </w:r>
            <w:r>
              <w:rPr>
                <w:rFonts w:ascii="华文细黑" w:hAnsi="华文细黑" w:cs="华文细黑" w:eastAsia="华文细黑" w:hint="default"/>
                <w:sz w:val="18"/>
                <w:szCs w:val="18"/>
              </w:rPr>
              <w:t>购深圳金石创新科技有限公司</w:t>
            </w:r>
          </w:p>
        </w:tc>
        <w:tc>
          <w:tcPr>
            <w:tcW w:w="158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3"/>
              <w:jc w:val="right"/>
              <w:rPr>
                <w:rFonts w:ascii="华文细黑" w:hAnsi="华文细黑" w:cs="华文细黑" w:eastAsia="华文细黑" w:hint="default"/>
                <w:sz w:val="18"/>
                <w:szCs w:val="18"/>
              </w:rPr>
            </w:pPr>
            <w:r>
              <w:rPr>
                <w:rFonts w:ascii="华文细黑"/>
                <w:sz w:val="18"/>
              </w:rPr>
              <w:t>9,780.76</w:t>
            </w:r>
          </w:p>
        </w:tc>
        <w:tc>
          <w:tcPr>
            <w:tcW w:w="6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7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8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9,780.76</w:t>
            </w:r>
          </w:p>
        </w:tc>
      </w:tr>
      <w:tr>
        <w:trPr>
          <w:trHeight w:val="890"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1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深圳市爱保科技信息服务有限公</w:t>
            </w:r>
            <w:r>
              <w:rPr>
                <w:rFonts w:ascii="华文细黑" w:hAnsi="华文细黑" w:cs="华文细黑" w:eastAsia="华文细黑" w:hint="default"/>
                <w:spacing w:val="-41"/>
                <w:sz w:val="18"/>
                <w:szCs w:val="18"/>
              </w:rPr>
              <w:t> </w:t>
            </w:r>
            <w:r>
              <w:rPr>
                <w:rFonts w:ascii="华文细黑" w:hAnsi="华文细黑" w:cs="华文细黑" w:eastAsia="华文细黑" w:hint="default"/>
                <w:spacing w:val="-41"/>
                <w:sz w:val="18"/>
                <w:szCs w:val="18"/>
              </w:rPr>
            </w:r>
            <w:r>
              <w:rPr>
                <w:rFonts w:ascii="华文细黑" w:hAnsi="华文细黑" w:cs="华文细黑" w:eastAsia="华文细黑" w:hint="default"/>
                <w:sz w:val="18"/>
                <w:szCs w:val="18"/>
              </w:rPr>
              <w:t>司收购北京威丰科技有限公司</w:t>
            </w:r>
          </w:p>
        </w:tc>
        <w:tc>
          <w:tcPr>
            <w:tcW w:w="158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1,453,505.63</w:t>
            </w:r>
          </w:p>
        </w:tc>
        <w:tc>
          <w:tcPr>
            <w:tcW w:w="6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7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w:t>
            </w:r>
          </w:p>
        </w:tc>
        <w:tc>
          <w:tcPr>
            <w:tcW w:w="8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1,453,505.63</w:t>
            </w:r>
          </w:p>
        </w:tc>
      </w:tr>
      <w:tr>
        <w:trPr>
          <w:trHeight w:val="491"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158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b/>
                <w:w w:val="95"/>
                <w:sz w:val="18"/>
              </w:rPr>
              <w:t>14,870,334.01</w:t>
            </w:r>
            <w:r>
              <w:rPr>
                <w:rFonts w:ascii="华文细黑"/>
                <w:sz w:val="18"/>
              </w:rPr>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1,463,286.39</w:t>
            </w:r>
            <w:r>
              <w:rPr>
                <w:rFonts w:ascii="华文细黑"/>
                <w:sz w:val="18"/>
              </w:rPr>
            </w:r>
          </w:p>
        </w:tc>
        <w:tc>
          <w:tcPr>
            <w:tcW w:w="6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5"/>
              <w:ind w:right="20"/>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7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5"/>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8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5"/>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b/>
                <w:w w:val="95"/>
                <w:sz w:val="18"/>
              </w:rPr>
              <w:t>16,333,620.40</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560" w:right="1246"/>
        <w:jc w:val="left"/>
      </w:pPr>
      <w:r>
        <w:rPr/>
        <w:t>（</w:t>
      </w:r>
      <w:r>
        <w:rPr>
          <w:rFonts w:ascii="华文细黑" w:hAnsi="华文细黑" w:cs="华文细黑" w:eastAsia="华文细黑" w:hint="default"/>
        </w:rPr>
        <w:t>2</w:t>
      </w:r>
      <w:r>
        <w:rPr/>
        <w:t>）商誉减值准备</w:t>
      </w:r>
    </w:p>
    <w:p>
      <w:pPr>
        <w:spacing w:line="240" w:lineRule="auto" w:before="5"/>
        <w:rPr>
          <w:rFonts w:ascii="华文细黑" w:hAnsi="华文细黑" w:cs="华文细黑" w:eastAsia="华文细黑" w:hint="default"/>
          <w:sz w:val="5"/>
          <w:szCs w:val="5"/>
        </w:rPr>
      </w:pPr>
    </w:p>
    <w:tbl>
      <w:tblPr>
        <w:tblW w:w="0" w:type="auto"/>
        <w:jc w:val="left"/>
        <w:tblInd w:w="151" w:type="dxa"/>
        <w:tblLayout w:type="fixed"/>
        <w:tblCellMar>
          <w:top w:w="0" w:type="dxa"/>
          <w:left w:w="0" w:type="dxa"/>
          <w:bottom w:w="0" w:type="dxa"/>
          <w:right w:w="0" w:type="dxa"/>
        </w:tblCellMar>
        <w:tblLook w:val="01E0"/>
      </w:tblPr>
      <w:tblGrid>
        <w:gridCol w:w="2697"/>
        <w:gridCol w:w="1586"/>
        <w:gridCol w:w="977"/>
        <w:gridCol w:w="850"/>
        <w:gridCol w:w="850"/>
        <w:gridCol w:w="708"/>
        <w:gridCol w:w="1530"/>
      </w:tblGrid>
      <w:tr>
        <w:trPr>
          <w:trHeight w:val="260" w:hRule="exact"/>
        </w:trPr>
        <w:tc>
          <w:tcPr>
            <w:tcW w:w="2697" w:type="dxa"/>
            <w:vMerge w:val="restart"/>
            <w:tcBorders>
              <w:top w:val="single" w:sz="4" w:space="0" w:color="FFC000"/>
              <w:left w:val="single" w:sz="4" w:space="0" w:color="FFC000"/>
              <w:right w:val="single" w:sz="4" w:space="0" w:color="FFC000"/>
            </w:tcBorders>
            <w:shd w:val="clear" w:color="auto" w:fill="FFF8E6"/>
          </w:tcPr>
          <w:p>
            <w:pPr>
              <w:pStyle w:val="TableParagraph"/>
              <w:spacing w:line="400" w:lineRule="exact" w:before="40"/>
              <w:ind w:left="1252" w:right="84" w:hanging="117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被投资单位名称或形成商誉的事 项</w:t>
            </w:r>
          </w:p>
        </w:tc>
        <w:tc>
          <w:tcPr>
            <w:tcW w:w="1586" w:type="dxa"/>
            <w:tcBorders>
              <w:top w:val="single" w:sz="4" w:space="0" w:color="FFC000"/>
              <w:left w:val="single" w:sz="4" w:space="0" w:color="FFC000"/>
              <w:bottom w:val="nil" w:sz="6" w:space="0" w:color="auto"/>
              <w:right w:val="single" w:sz="4" w:space="0" w:color="FFC000"/>
            </w:tcBorders>
            <w:shd w:val="clear" w:color="auto" w:fill="FFF8E6"/>
          </w:tcPr>
          <w:p>
            <w:pPr/>
          </w:p>
        </w:tc>
        <w:tc>
          <w:tcPr>
            <w:tcW w:w="1826"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47"/>
              <w:ind w:left="54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本年增加</w:t>
            </w:r>
          </w:p>
        </w:tc>
        <w:tc>
          <w:tcPr>
            <w:tcW w:w="1558"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47"/>
              <w:ind w:left="4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本年减少</w:t>
            </w:r>
          </w:p>
        </w:tc>
        <w:tc>
          <w:tcPr>
            <w:tcW w:w="153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47"/>
              <w:ind w:left="40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170" w:hRule="exact"/>
        </w:trPr>
        <w:tc>
          <w:tcPr>
            <w:tcW w:w="2697" w:type="dxa"/>
            <w:vMerge/>
            <w:tcBorders>
              <w:left w:val="single" w:sz="4" w:space="0" w:color="FFC000"/>
              <w:right w:val="single" w:sz="4" w:space="0" w:color="FFC000"/>
            </w:tcBorders>
            <w:shd w:val="clear" w:color="auto" w:fill="FFF8E6"/>
          </w:tcPr>
          <w:p>
            <w:pPr/>
          </w:p>
        </w:tc>
        <w:tc>
          <w:tcPr>
            <w:tcW w:w="1586"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29"/>
              <w:ind w:left="43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1826" w:type="dxa"/>
            <w:gridSpan w:val="2"/>
            <w:vMerge/>
            <w:tcBorders>
              <w:left w:val="single" w:sz="4" w:space="0" w:color="FFC000"/>
              <w:bottom w:val="single" w:sz="4" w:space="0" w:color="FFC000"/>
              <w:right w:val="single" w:sz="4" w:space="0" w:color="FFC000"/>
            </w:tcBorders>
            <w:shd w:val="clear" w:color="auto" w:fill="FFF8E6"/>
          </w:tcPr>
          <w:p>
            <w:pPr/>
          </w:p>
        </w:tc>
        <w:tc>
          <w:tcPr>
            <w:tcW w:w="1558" w:type="dxa"/>
            <w:gridSpan w:val="2"/>
            <w:vMerge/>
            <w:tcBorders>
              <w:left w:val="single" w:sz="4" w:space="0" w:color="FFC000"/>
              <w:bottom w:val="single" w:sz="4" w:space="0" w:color="FFC000"/>
              <w:right w:val="single" w:sz="4" w:space="0" w:color="FFC000"/>
            </w:tcBorders>
            <w:shd w:val="clear" w:color="auto" w:fill="FFF8E6"/>
          </w:tcPr>
          <w:p>
            <w:pPr/>
          </w:p>
        </w:tc>
        <w:tc>
          <w:tcPr>
            <w:tcW w:w="1530" w:type="dxa"/>
            <w:vMerge/>
            <w:tcBorders>
              <w:left w:val="single" w:sz="4" w:space="0" w:color="FFC000"/>
              <w:bottom w:val="single" w:sz="4" w:space="0" w:color="FFC000"/>
              <w:right w:val="single" w:sz="4" w:space="0" w:color="FFC000"/>
            </w:tcBorders>
            <w:shd w:val="clear" w:color="auto" w:fill="FFF8E6"/>
          </w:tcPr>
          <w:p>
            <w:pPr/>
          </w:p>
        </w:tc>
      </w:tr>
      <w:tr>
        <w:trPr>
          <w:trHeight w:val="200" w:hRule="exact"/>
        </w:trPr>
        <w:tc>
          <w:tcPr>
            <w:tcW w:w="2697" w:type="dxa"/>
            <w:vMerge/>
            <w:tcBorders>
              <w:left w:val="single" w:sz="4" w:space="0" w:color="FFC000"/>
              <w:right w:val="single" w:sz="4" w:space="0" w:color="FFC000"/>
            </w:tcBorders>
            <w:shd w:val="clear" w:color="auto" w:fill="FFF8E6"/>
          </w:tcPr>
          <w:p>
            <w:pPr/>
          </w:p>
        </w:tc>
        <w:tc>
          <w:tcPr>
            <w:tcW w:w="1586" w:type="dxa"/>
            <w:vMerge/>
            <w:tcBorders>
              <w:left w:val="single" w:sz="4" w:space="0" w:color="FFC000"/>
              <w:bottom w:val="nil" w:sz="6" w:space="0" w:color="auto"/>
              <w:right w:val="single" w:sz="4" w:space="0" w:color="FFC000"/>
            </w:tcBorders>
            <w:shd w:val="clear" w:color="auto" w:fill="FFF8E6"/>
          </w:tcPr>
          <w:p>
            <w:pPr/>
          </w:p>
        </w:tc>
        <w:tc>
          <w:tcPr>
            <w:tcW w:w="977"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62"/>
              <w:ind w:left="3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计提</w:t>
            </w:r>
          </w:p>
        </w:tc>
        <w:tc>
          <w:tcPr>
            <w:tcW w:w="85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62"/>
              <w:ind w:left="24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85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62"/>
              <w:ind w:left="23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处置</w:t>
            </w:r>
          </w:p>
        </w:tc>
        <w:tc>
          <w:tcPr>
            <w:tcW w:w="70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62"/>
              <w:ind w:left="16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1530" w:type="dxa"/>
            <w:vMerge w:val="restart"/>
            <w:tcBorders>
              <w:top w:val="single" w:sz="4" w:space="0" w:color="FFC000"/>
              <w:left w:val="single" w:sz="4" w:space="0" w:color="FFC000"/>
              <w:right w:val="single" w:sz="4" w:space="0" w:color="FFC000"/>
            </w:tcBorders>
            <w:shd w:val="clear" w:color="auto" w:fill="FFF8E6"/>
          </w:tcPr>
          <w:p>
            <w:pPr/>
          </w:p>
        </w:tc>
      </w:tr>
      <w:tr>
        <w:trPr>
          <w:trHeight w:val="236" w:hRule="exact"/>
        </w:trPr>
        <w:tc>
          <w:tcPr>
            <w:tcW w:w="2697" w:type="dxa"/>
            <w:vMerge/>
            <w:tcBorders>
              <w:left w:val="single" w:sz="4" w:space="0" w:color="FFC000"/>
              <w:bottom w:val="single" w:sz="4" w:space="0" w:color="FFC000"/>
              <w:right w:val="single" w:sz="4" w:space="0" w:color="FFC000"/>
            </w:tcBorders>
            <w:shd w:val="clear" w:color="auto" w:fill="FFF8E6"/>
          </w:tcPr>
          <w:p>
            <w:pPr/>
          </w:p>
        </w:tc>
        <w:tc>
          <w:tcPr>
            <w:tcW w:w="1586" w:type="dxa"/>
            <w:tcBorders>
              <w:top w:val="nil" w:sz="6" w:space="0" w:color="auto"/>
              <w:left w:val="single" w:sz="4" w:space="0" w:color="FFC000"/>
              <w:bottom w:val="single" w:sz="4" w:space="0" w:color="FFC000"/>
              <w:right w:val="single" w:sz="4" w:space="0" w:color="FFC000"/>
            </w:tcBorders>
            <w:shd w:val="clear" w:color="auto" w:fill="FFF8E6"/>
          </w:tcPr>
          <w:p>
            <w:pPr/>
          </w:p>
        </w:tc>
        <w:tc>
          <w:tcPr>
            <w:tcW w:w="977" w:type="dxa"/>
            <w:vMerge/>
            <w:tcBorders>
              <w:left w:val="single" w:sz="4" w:space="0" w:color="FFC000"/>
              <w:bottom w:val="single" w:sz="4" w:space="0" w:color="FFC000"/>
              <w:right w:val="single" w:sz="4" w:space="0" w:color="FFC000"/>
            </w:tcBorders>
            <w:shd w:val="clear" w:color="auto" w:fill="FFF8E6"/>
          </w:tcPr>
          <w:p>
            <w:pPr/>
          </w:p>
        </w:tc>
        <w:tc>
          <w:tcPr>
            <w:tcW w:w="850" w:type="dxa"/>
            <w:vMerge/>
            <w:tcBorders>
              <w:left w:val="single" w:sz="4" w:space="0" w:color="FFC000"/>
              <w:bottom w:val="single" w:sz="4" w:space="0" w:color="FFC000"/>
              <w:right w:val="single" w:sz="4" w:space="0" w:color="FFC000"/>
            </w:tcBorders>
            <w:shd w:val="clear" w:color="auto" w:fill="FFF8E6"/>
          </w:tcPr>
          <w:p>
            <w:pPr/>
          </w:p>
        </w:tc>
        <w:tc>
          <w:tcPr>
            <w:tcW w:w="850" w:type="dxa"/>
            <w:vMerge/>
            <w:tcBorders>
              <w:left w:val="single" w:sz="4" w:space="0" w:color="FFC000"/>
              <w:bottom w:val="single" w:sz="4" w:space="0" w:color="FFC000"/>
              <w:right w:val="single" w:sz="4" w:space="0" w:color="FFC000"/>
            </w:tcBorders>
            <w:shd w:val="clear" w:color="auto" w:fill="FFF8E6"/>
          </w:tcPr>
          <w:p>
            <w:pPr/>
          </w:p>
        </w:tc>
        <w:tc>
          <w:tcPr>
            <w:tcW w:w="708" w:type="dxa"/>
            <w:vMerge/>
            <w:tcBorders>
              <w:left w:val="single" w:sz="4" w:space="0" w:color="FFC000"/>
              <w:bottom w:val="single" w:sz="4" w:space="0" w:color="FFC000"/>
              <w:right w:val="single" w:sz="4" w:space="0" w:color="FFC000"/>
            </w:tcBorders>
            <w:shd w:val="clear" w:color="auto" w:fill="FFF8E6"/>
          </w:tcPr>
          <w:p>
            <w:pPr/>
          </w:p>
        </w:tc>
        <w:tc>
          <w:tcPr>
            <w:tcW w:w="1530" w:type="dxa"/>
            <w:vMerge/>
            <w:tcBorders>
              <w:left w:val="single" w:sz="4" w:space="0" w:color="FFC000"/>
              <w:bottom w:val="single" w:sz="4" w:space="0" w:color="FFC000"/>
              <w:right w:val="single" w:sz="4" w:space="0" w:color="FFC000"/>
            </w:tcBorders>
            <w:shd w:val="clear" w:color="auto" w:fill="FFF8E6"/>
          </w:tcPr>
          <w:p>
            <w:pPr/>
          </w:p>
        </w:tc>
      </w:tr>
      <w:tr>
        <w:trPr>
          <w:trHeight w:val="913" w:hRule="exact"/>
        </w:trPr>
        <w:tc>
          <w:tcPr>
            <w:tcW w:w="269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right="0"/>
              <w:jc w:val="left"/>
              <w:rPr>
                <w:rFonts w:ascii="华文细黑" w:hAnsi="华文细黑" w:cs="华文细黑" w:eastAsia="华文细黑" w:hint="default"/>
                <w:sz w:val="11"/>
                <w:szCs w:val="11"/>
              </w:rPr>
            </w:pPr>
          </w:p>
          <w:p>
            <w:pPr>
              <w:pStyle w:val="TableParagraph"/>
              <w:spacing w:line="379" w:lineRule="auto"/>
              <w:ind w:left="11" w:right="13"/>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瑞成汇达公司收购深圳市安派易</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讯移动科技有限公司</w:t>
            </w:r>
          </w:p>
        </w:tc>
        <w:tc>
          <w:tcPr>
            <w:tcW w:w="1586"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2"/>
              <w:ind w:right="0"/>
              <w:jc w:val="left"/>
              <w:rPr>
                <w:rFonts w:ascii="华文细黑" w:hAnsi="华文细黑" w:cs="华文细黑" w:eastAsia="华文细黑" w:hint="default"/>
                <w:sz w:val="26"/>
                <w:szCs w:val="26"/>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3,658,019.16</w:t>
            </w:r>
          </w:p>
        </w:tc>
        <w:tc>
          <w:tcPr>
            <w:tcW w:w="977" w:type="dxa"/>
            <w:tcBorders>
              <w:top w:val="single" w:sz="23" w:space="0" w:color="FFF8E6"/>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850" w:type="dxa"/>
            <w:tcBorders>
              <w:top w:val="single" w:sz="23" w:space="0" w:color="FFF8E6"/>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850" w:type="dxa"/>
            <w:tcBorders>
              <w:top w:val="single" w:sz="23" w:space="0" w:color="FFF8E6"/>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708" w:type="dxa"/>
            <w:tcBorders>
              <w:top w:val="single" w:sz="23" w:space="0" w:color="FFF8E6"/>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530" w:type="dxa"/>
            <w:tcBorders>
              <w:top w:val="single" w:sz="23" w:space="0" w:color="FFF8E6"/>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3,658,019.16</w:t>
            </w:r>
          </w:p>
        </w:tc>
      </w:tr>
      <w:tr>
        <w:trPr>
          <w:trHeight w:val="890" w:hRule="exact"/>
        </w:trPr>
        <w:tc>
          <w:tcPr>
            <w:tcW w:w="269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4"/>
              <w:ind w:left="11" w:right="13"/>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彩梦科技公司收购北京雪狐影视</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文化咨询有限公司</w:t>
            </w:r>
          </w:p>
        </w:tc>
        <w:tc>
          <w:tcPr>
            <w:tcW w:w="1586"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3"/>
              <w:jc w:val="right"/>
              <w:rPr>
                <w:rFonts w:ascii="华文细黑" w:hAnsi="华文细黑" w:cs="华文细黑" w:eastAsia="华文细黑" w:hint="default"/>
                <w:sz w:val="18"/>
                <w:szCs w:val="18"/>
              </w:rPr>
            </w:pPr>
            <w:r>
              <w:rPr>
                <w:rFonts w:ascii="华文细黑"/>
                <w:sz w:val="18"/>
              </w:rPr>
              <w:t>74,833.51</w:t>
            </w:r>
          </w:p>
        </w:tc>
        <w:tc>
          <w:tcPr>
            <w:tcW w:w="9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5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3"/>
              <w:jc w:val="right"/>
              <w:rPr>
                <w:rFonts w:ascii="华文细黑" w:hAnsi="华文细黑" w:cs="华文细黑" w:eastAsia="华文细黑" w:hint="default"/>
                <w:sz w:val="18"/>
                <w:szCs w:val="18"/>
              </w:rPr>
            </w:pPr>
            <w:r>
              <w:rPr>
                <w:rFonts w:ascii="华文细黑"/>
                <w:sz w:val="18"/>
              </w:rPr>
              <w:t>74,833.51</w:t>
            </w:r>
          </w:p>
        </w:tc>
      </w:tr>
      <w:tr>
        <w:trPr>
          <w:trHeight w:val="890" w:hRule="exact"/>
        </w:trPr>
        <w:tc>
          <w:tcPr>
            <w:tcW w:w="269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13"/>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彩梦科技公司收购深圳市互动科</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技有限公司</w:t>
            </w:r>
          </w:p>
        </w:tc>
        <w:tc>
          <w:tcPr>
            <w:tcW w:w="1586"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8,472,839.87</w:t>
            </w:r>
          </w:p>
        </w:tc>
        <w:tc>
          <w:tcPr>
            <w:tcW w:w="9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5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8,472,839.87</w:t>
            </w:r>
          </w:p>
        </w:tc>
      </w:tr>
      <w:tr>
        <w:trPr>
          <w:trHeight w:val="889" w:hRule="exact"/>
        </w:trPr>
        <w:tc>
          <w:tcPr>
            <w:tcW w:w="269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13"/>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彩梦科技公司收购北京铮尚游文</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化传播有限公司</w:t>
            </w:r>
          </w:p>
        </w:tc>
        <w:tc>
          <w:tcPr>
            <w:tcW w:w="1586"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3"/>
              <w:jc w:val="right"/>
              <w:rPr>
                <w:rFonts w:ascii="华文细黑" w:hAnsi="华文细黑" w:cs="华文细黑" w:eastAsia="华文细黑" w:hint="default"/>
                <w:sz w:val="18"/>
                <w:szCs w:val="18"/>
              </w:rPr>
            </w:pPr>
            <w:r>
              <w:rPr>
                <w:rFonts w:ascii="华文细黑"/>
                <w:w w:val="95"/>
                <w:sz w:val="18"/>
              </w:rPr>
              <w:t>453,824.47</w:t>
            </w:r>
          </w:p>
        </w:tc>
        <w:tc>
          <w:tcPr>
            <w:tcW w:w="9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5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3"/>
              <w:jc w:val="right"/>
              <w:rPr>
                <w:rFonts w:ascii="华文细黑" w:hAnsi="华文细黑" w:cs="华文细黑" w:eastAsia="华文细黑" w:hint="default"/>
                <w:sz w:val="18"/>
                <w:szCs w:val="18"/>
              </w:rPr>
            </w:pPr>
            <w:r>
              <w:rPr>
                <w:rFonts w:ascii="华文细黑"/>
                <w:w w:val="95"/>
                <w:sz w:val="18"/>
              </w:rPr>
              <w:t>453,824.47</w:t>
            </w:r>
          </w:p>
        </w:tc>
      </w:tr>
      <w:tr>
        <w:trPr>
          <w:trHeight w:val="491" w:hRule="exact"/>
        </w:trPr>
        <w:tc>
          <w:tcPr>
            <w:tcW w:w="269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6"/>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1586"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6"/>
              <w:ind w:right="23"/>
              <w:jc w:val="right"/>
              <w:rPr>
                <w:rFonts w:ascii="华文细黑" w:hAnsi="华文细黑" w:cs="华文细黑" w:eastAsia="华文细黑" w:hint="default"/>
                <w:sz w:val="18"/>
                <w:szCs w:val="18"/>
              </w:rPr>
            </w:pPr>
            <w:r>
              <w:rPr>
                <w:rFonts w:ascii="华文细黑"/>
                <w:b/>
                <w:w w:val="95"/>
                <w:sz w:val="18"/>
              </w:rPr>
              <w:t>12,659,517.01</w:t>
            </w:r>
            <w:r>
              <w:rPr>
                <w:rFonts w:ascii="华文细黑"/>
                <w:sz w:val="18"/>
              </w:rPr>
            </w:r>
          </w:p>
        </w:tc>
        <w:tc>
          <w:tcPr>
            <w:tcW w:w="9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7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5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23"/>
              <w:jc w:val="right"/>
              <w:rPr>
                <w:rFonts w:ascii="华文细黑" w:hAnsi="华文细黑" w:cs="华文细黑" w:eastAsia="华文细黑" w:hint="default"/>
                <w:sz w:val="18"/>
                <w:szCs w:val="18"/>
              </w:rPr>
            </w:pPr>
            <w:r>
              <w:rPr>
                <w:rFonts w:ascii="华文细黑"/>
                <w:b/>
                <w:w w:val="95"/>
                <w:sz w:val="18"/>
              </w:rPr>
              <w:t>12,659,517.01</w:t>
            </w:r>
            <w:r>
              <w:rPr>
                <w:rFonts w:ascii="华文细黑"/>
                <w:sz w:val="18"/>
              </w:rPr>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Heading5"/>
        <w:spacing w:line="240" w:lineRule="auto"/>
        <w:ind w:left="620" w:right="1289"/>
        <w:jc w:val="left"/>
        <w:rPr>
          <w:b w:val="0"/>
          <w:bCs w:val="0"/>
        </w:rPr>
      </w:pPr>
      <w:bookmarkStart w:name="15、长期待摊费用" w:id="278"/>
      <w:bookmarkEnd w:id="278"/>
      <w:r>
        <w:rPr>
          <w:b w:val="0"/>
          <w:bCs w:val="0"/>
        </w:rPr>
      </w:r>
      <w:r>
        <w:rPr>
          <w:rFonts w:ascii="华文细黑" w:hAnsi="华文细黑" w:cs="华文细黑" w:eastAsia="华文细黑" w:hint="default"/>
        </w:rPr>
        <w:t>15</w:t>
      </w:r>
      <w:r>
        <w:rPr/>
        <w:t>、长期待摊费用</w:t>
      </w:r>
      <w:r>
        <w:rPr>
          <w:b w:val="0"/>
          <w:bCs w:val="0"/>
        </w:rPr>
      </w:r>
    </w:p>
    <w:p>
      <w:pPr>
        <w:spacing w:line="240" w:lineRule="auto" w:before="6"/>
        <w:rPr>
          <w:rFonts w:ascii="华文细黑" w:hAnsi="华文细黑" w:cs="华文细黑" w:eastAsia="华文细黑" w:hint="default"/>
          <w:b/>
          <w:bCs/>
          <w:sz w:val="5"/>
          <w:szCs w:val="5"/>
        </w:rPr>
      </w:pPr>
    </w:p>
    <w:tbl>
      <w:tblPr>
        <w:tblW w:w="0" w:type="auto"/>
        <w:jc w:val="left"/>
        <w:tblInd w:w="211" w:type="dxa"/>
        <w:tblLayout w:type="fixed"/>
        <w:tblCellMar>
          <w:top w:w="0" w:type="dxa"/>
          <w:left w:w="0" w:type="dxa"/>
          <w:bottom w:w="0" w:type="dxa"/>
          <w:right w:w="0" w:type="dxa"/>
        </w:tblCellMar>
        <w:tblLook w:val="01E0"/>
      </w:tblPr>
      <w:tblGrid>
        <w:gridCol w:w="1538"/>
        <w:gridCol w:w="1599"/>
        <w:gridCol w:w="1416"/>
        <w:gridCol w:w="1559"/>
        <w:gridCol w:w="1416"/>
        <w:gridCol w:w="1417"/>
      </w:tblGrid>
      <w:tr>
        <w:trPr>
          <w:trHeight w:val="490" w:hRule="exact"/>
        </w:trPr>
        <w:tc>
          <w:tcPr>
            <w:tcW w:w="15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494"/>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15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3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14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6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本年增加金额</w:t>
            </w:r>
          </w:p>
        </w:tc>
        <w:tc>
          <w:tcPr>
            <w:tcW w:w="1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3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本年摊销金额</w:t>
            </w:r>
          </w:p>
        </w:tc>
        <w:tc>
          <w:tcPr>
            <w:tcW w:w="14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6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其他减少金额</w:t>
            </w:r>
          </w:p>
        </w:tc>
        <w:tc>
          <w:tcPr>
            <w:tcW w:w="14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34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490" w:hRule="exact"/>
        </w:trPr>
        <w:tc>
          <w:tcPr>
            <w:tcW w:w="15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装修</w:t>
            </w:r>
          </w:p>
        </w:tc>
        <w:tc>
          <w:tcPr>
            <w:tcW w:w="159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6,884,833.81</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10,010,530.82</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7,935,834.71</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8,959,529.92</w:t>
            </w:r>
          </w:p>
        </w:tc>
      </w:tr>
      <w:tr>
        <w:trPr>
          <w:trHeight w:val="491" w:hRule="exact"/>
        </w:trPr>
        <w:tc>
          <w:tcPr>
            <w:tcW w:w="15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159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114,454.39</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2,562,743.79</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2,674,864.85</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z w:val="18"/>
              </w:rPr>
              <w:t>2,333.33</w:t>
            </w:r>
          </w:p>
        </w:tc>
      </w:tr>
      <w:tr>
        <w:trPr>
          <w:trHeight w:val="490" w:hRule="exact"/>
        </w:trPr>
        <w:tc>
          <w:tcPr>
            <w:tcW w:w="15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494"/>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159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6,999,288.20</w:t>
            </w:r>
            <w:r>
              <w:rPr>
                <w:rFonts w:ascii="华文细黑"/>
                <w:sz w:val="18"/>
              </w:rPr>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12,573,274.61</w:t>
            </w:r>
            <w:r>
              <w:rPr>
                <w:rFonts w:ascii="华文细黑"/>
                <w:sz w:val="18"/>
              </w:rPr>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10,610,699.56</w:t>
            </w:r>
            <w:r>
              <w:rPr>
                <w:rFonts w:ascii="华文细黑"/>
                <w:sz w:val="18"/>
              </w:rPr>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8,961,863.25</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spacing w:before="10"/>
        <w:ind w:left="620" w:right="1289" w:firstLine="0"/>
        <w:jc w:val="left"/>
        <w:rPr>
          <w:rFonts w:ascii="华文细黑" w:hAnsi="华文细黑" w:cs="华文细黑" w:eastAsia="华文细黑" w:hint="default"/>
          <w:sz w:val="21"/>
          <w:szCs w:val="21"/>
        </w:rPr>
      </w:pPr>
      <w:bookmarkStart w:name="16、递延所得税资产/递延所得税负债" w:id="279"/>
      <w:bookmarkEnd w:id="279"/>
      <w:r>
        <w:rPr/>
      </w:r>
      <w:r>
        <w:rPr>
          <w:rFonts w:ascii="华文细黑" w:hAnsi="华文细黑" w:cs="华文细黑" w:eastAsia="华文细黑" w:hint="default"/>
          <w:b/>
          <w:bCs/>
          <w:sz w:val="21"/>
          <w:szCs w:val="21"/>
        </w:rPr>
        <w:t>16</w:t>
      </w:r>
      <w:r>
        <w:rPr>
          <w:rFonts w:ascii="华文细黑" w:hAnsi="华文细黑" w:cs="华文细黑" w:eastAsia="华文细黑" w:hint="default"/>
          <w:b/>
          <w:bCs/>
          <w:sz w:val="21"/>
          <w:szCs w:val="21"/>
        </w:rPr>
        <w:t>、递延所得税资产</w:t>
      </w:r>
      <w:r>
        <w:rPr>
          <w:rFonts w:ascii="华文细黑" w:hAnsi="华文细黑" w:cs="华文细黑" w:eastAsia="华文细黑" w:hint="default"/>
          <w:b/>
          <w:bCs/>
          <w:sz w:val="21"/>
          <w:szCs w:val="21"/>
        </w:rPr>
        <w:t>/</w:t>
      </w:r>
      <w:r>
        <w:rPr>
          <w:rFonts w:ascii="华文细黑" w:hAnsi="华文细黑" w:cs="华文细黑" w:eastAsia="华文细黑" w:hint="default"/>
          <w:b/>
          <w:bCs/>
          <w:sz w:val="21"/>
          <w:szCs w:val="21"/>
        </w:rPr>
        <w:t>递延所得税负债</w:t>
      </w:r>
      <w:r>
        <w:rPr>
          <w:rFonts w:ascii="华文细黑" w:hAnsi="华文细黑" w:cs="华文细黑" w:eastAsia="华文细黑" w:hint="default"/>
          <w:sz w:val="21"/>
          <w:szCs w:val="21"/>
        </w:rPr>
      </w:r>
    </w:p>
    <w:p>
      <w:pPr>
        <w:pStyle w:val="BodyText"/>
        <w:spacing w:line="240" w:lineRule="auto" w:before="142"/>
        <w:ind w:left="620" w:right="1289"/>
        <w:jc w:val="left"/>
      </w:pPr>
      <w:r>
        <w:rPr/>
        <w:t>（</w:t>
      </w:r>
      <w:r>
        <w:rPr>
          <w:rFonts w:ascii="华文细黑" w:hAnsi="华文细黑" w:cs="华文细黑" w:eastAsia="华文细黑" w:hint="default"/>
        </w:rPr>
        <w:t>1</w:t>
      </w:r>
      <w:r>
        <w:rPr/>
        <w:t>）未经抵销的递延所得税资产明细</w:t>
      </w:r>
    </w:p>
    <w:p>
      <w:pPr>
        <w:spacing w:line="240" w:lineRule="auto" w:before="6"/>
        <w:rPr>
          <w:rFonts w:ascii="华文细黑" w:hAnsi="华文细黑" w:cs="华文细黑" w:eastAsia="华文细黑" w:hint="default"/>
          <w:sz w:val="5"/>
          <w:szCs w:val="5"/>
        </w:rPr>
      </w:pPr>
    </w:p>
    <w:tbl>
      <w:tblPr>
        <w:tblW w:w="0" w:type="auto"/>
        <w:jc w:val="left"/>
        <w:tblInd w:w="211" w:type="dxa"/>
        <w:tblLayout w:type="fixed"/>
        <w:tblCellMar>
          <w:top w:w="0" w:type="dxa"/>
          <w:left w:w="0" w:type="dxa"/>
          <w:bottom w:w="0" w:type="dxa"/>
          <w:right w:w="0" w:type="dxa"/>
        </w:tblCellMar>
        <w:tblLook w:val="01E0"/>
      </w:tblPr>
      <w:tblGrid>
        <w:gridCol w:w="2382"/>
        <w:gridCol w:w="1620"/>
        <w:gridCol w:w="1566"/>
        <w:gridCol w:w="1848"/>
        <w:gridCol w:w="1709"/>
      </w:tblGrid>
      <w:tr>
        <w:trPr>
          <w:trHeight w:val="360" w:hRule="exact"/>
        </w:trPr>
        <w:tc>
          <w:tcPr>
            <w:tcW w:w="2382" w:type="dxa"/>
            <w:tcBorders>
              <w:top w:val="single" w:sz="4" w:space="0" w:color="FFC000"/>
              <w:left w:val="single" w:sz="4" w:space="0" w:color="FFC000"/>
              <w:bottom w:val="nil" w:sz="6" w:space="0" w:color="auto"/>
              <w:right w:val="single" w:sz="4" w:space="0" w:color="FFC000"/>
            </w:tcBorders>
            <w:shd w:val="clear" w:color="auto" w:fill="FFF8E6"/>
          </w:tcPr>
          <w:p>
            <w:pPr/>
          </w:p>
        </w:tc>
        <w:tc>
          <w:tcPr>
            <w:tcW w:w="3186"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13"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3557"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130" w:hRule="exact"/>
        </w:trPr>
        <w:tc>
          <w:tcPr>
            <w:tcW w:w="2382"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3186" w:type="dxa"/>
            <w:gridSpan w:val="2"/>
            <w:vMerge/>
            <w:tcBorders>
              <w:left w:val="single" w:sz="4" w:space="0" w:color="FFC000"/>
              <w:bottom w:val="single" w:sz="4" w:space="0" w:color="FFC000"/>
              <w:right w:val="single" w:sz="4" w:space="0" w:color="FFC000"/>
            </w:tcBorders>
            <w:shd w:val="clear" w:color="auto" w:fill="FFF8E6"/>
          </w:tcPr>
          <w:p>
            <w:pPr/>
          </w:p>
        </w:tc>
        <w:tc>
          <w:tcPr>
            <w:tcW w:w="3557" w:type="dxa"/>
            <w:gridSpan w:val="2"/>
            <w:vMerge/>
            <w:tcBorders>
              <w:left w:val="single" w:sz="4" w:space="0" w:color="FFC000"/>
              <w:bottom w:val="single" w:sz="4" w:space="0" w:color="FFC000"/>
              <w:right w:val="single" w:sz="4" w:space="0" w:color="FFC000"/>
            </w:tcBorders>
            <w:shd w:val="clear" w:color="auto" w:fill="FFF8E6"/>
          </w:tcPr>
          <w:p>
            <w:pPr/>
          </w:p>
        </w:tc>
      </w:tr>
      <w:tr>
        <w:trPr>
          <w:trHeight w:val="170" w:hRule="exact"/>
        </w:trPr>
        <w:tc>
          <w:tcPr>
            <w:tcW w:w="2382" w:type="dxa"/>
            <w:vMerge/>
            <w:tcBorders>
              <w:left w:val="single" w:sz="4" w:space="0" w:color="FFC000"/>
              <w:right w:val="single" w:sz="4" w:space="0" w:color="FFC000"/>
            </w:tcBorders>
            <w:shd w:val="clear" w:color="auto" w:fill="FFF8E6"/>
          </w:tcPr>
          <w:p>
            <w:pPr/>
          </w:p>
        </w:tc>
        <w:tc>
          <w:tcPr>
            <w:tcW w:w="1620" w:type="dxa"/>
            <w:vMerge w:val="restart"/>
            <w:tcBorders>
              <w:top w:val="single" w:sz="4" w:space="0" w:color="FFC000"/>
              <w:left w:val="single" w:sz="4" w:space="0" w:color="FFC000"/>
              <w:right w:val="single" w:sz="4" w:space="0" w:color="FFC000"/>
            </w:tcBorders>
            <w:shd w:val="clear" w:color="auto" w:fill="FFF8E6"/>
          </w:tcPr>
          <w:p>
            <w:pPr>
              <w:pStyle w:val="TableParagraph"/>
              <w:spacing w:line="312" w:lineRule="auto" w:before="30"/>
              <w:ind w:left="582" w:right="305" w:hanging="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可抵扣暂时性 差异</w:t>
            </w:r>
          </w:p>
        </w:tc>
        <w:tc>
          <w:tcPr>
            <w:tcW w:w="1566" w:type="dxa"/>
            <w:tcBorders>
              <w:top w:val="single" w:sz="4" w:space="0" w:color="FFC000"/>
              <w:left w:val="single" w:sz="4" w:space="0" w:color="FFC000"/>
              <w:bottom w:val="nil" w:sz="6" w:space="0" w:color="auto"/>
              <w:right w:val="single" w:sz="4" w:space="0" w:color="FFC000"/>
            </w:tcBorders>
            <w:shd w:val="clear" w:color="auto" w:fill="FFF8E6"/>
          </w:tcPr>
          <w:p>
            <w:pPr/>
          </w:p>
        </w:tc>
        <w:tc>
          <w:tcPr>
            <w:tcW w:w="1848" w:type="dxa"/>
            <w:vMerge w:val="restart"/>
            <w:tcBorders>
              <w:top w:val="single" w:sz="4" w:space="0" w:color="FFC000"/>
              <w:left w:val="single" w:sz="4" w:space="0" w:color="FFC000"/>
              <w:right w:val="single" w:sz="4" w:space="0" w:color="FFC000"/>
            </w:tcBorders>
            <w:shd w:val="clear" w:color="auto" w:fill="FFF8E6"/>
          </w:tcPr>
          <w:p>
            <w:pPr>
              <w:pStyle w:val="TableParagraph"/>
              <w:spacing w:line="312" w:lineRule="auto" w:before="30"/>
              <w:ind w:left="730" w:right="387" w:hanging="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可抵扣暂时性 差异</w:t>
            </w:r>
          </w:p>
        </w:tc>
        <w:tc>
          <w:tcPr>
            <w:tcW w:w="1709" w:type="dxa"/>
            <w:tcBorders>
              <w:top w:val="single" w:sz="4" w:space="0" w:color="FFC000"/>
              <w:left w:val="single" w:sz="4" w:space="0" w:color="FFC000"/>
              <w:bottom w:val="nil" w:sz="6" w:space="0" w:color="auto"/>
              <w:right w:val="single" w:sz="4" w:space="0" w:color="FFC000"/>
            </w:tcBorders>
            <w:shd w:val="clear" w:color="auto" w:fill="FFF8E6"/>
          </w:tcPr>
          <w:p>
            <w:pPr/>
          </w:p>
        </w:tc>
      </w:tr>
      <w:tr>
        <w:trPr>
          <w:trHeight w:val="180" w:hRule="exact"/>
        </w:trPr>
        <w:tc>
          <w:tcPr>
            <w:tcW w:w="2382" w:type="dxa"/>
            <w:vMerge/>
            <w:tcBorders>
              <w:left w:val="single" w:sz="4" w:space="0" w:color="FFC000"/>
              <w:bottom w:val="nil" w:sz="6" w:space="0" w:color="auto"/>
              <w:right w:val="single" w:sz="4" w:space="0" w:color="FFC000"/>
            </w:tcBorders>
            <w:shd w:val="clear" w:color="auto" w:fill="FFF8E6"/>
          </w:tcPr>
          <w:p>
            <w:pPr/>
          </w:p>
        </w:tc>
        <w:tc>
          <w:tcPr>
            <w:tcW w:w="1620" w:type="dxa"/>
            <w:vMerge/>
            <w:tcBorders>
              <w:left w:val="single" w:sz="4" w:space="0" w:color="FFC000"/>
              <w:right w:val="single" w:sz="4" w:space="0" w:color="FFC000"/>
            </w:tcBorders>
            <w:shd w:val="clear" w:color="auto" w:fill="FFF8E6"/>
          </w:tcPr>
          <w:p>
            <w:pPr/>
          </w:p>
        </w:tc>
        <w:tc>
          <w:tcPr>
            <w:tcW w:w="1566"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29"/>
              <w:ind w:left="9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递延所得税资产</w:t>
            </w:r>
          </w:p>
        </w:tc>
        <w:tc>
          <w:tcPr>
            <w:tcW w:w="1848" w:type="dxa"/>
            <w:vMerge/>
            <w:tcBorders>
              <w:left w:val="single" w:sz="4" w:space="0" w:color="FFC000"/>
              <w:right w:val="single" w:sz="4" w:space="0" w:color="FFC000"/>
            </w:tcBorders>
            <w:shd w:val="clear" w:color="auto" w:fill="FFF8E6"/>
          </w:tcPr>
          <w:p>
            <w:pPr/>
          </w:p>
        </w:tc>
        <w:tc>
          <w:tcPr>
            <w:tcW w:w="1709"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29"/>
              <w:ind w:left="29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递延所得税资产</w:t>
            </w:r>
          </w:p>
        </w:tc>
      </w:tr>
      <w:tr>
        <w:trPr>
          <w:trHeight w:val="191" w:hRule="exact"/>
        </w:trPr>
        <w:tc>
          <w:tcPr>
            <w:tcW w:w="2382" w:type="dxa"/>
            <w:vMerge w:val="restart"/>
            <w:tcBorders>
              <w:top w:val="nil" w:sz="6" w:space="0" w:color="auto"/>
              <w:left w:val="single" w:sz="4" w:space="0" w:color="FFC000"/>
              <w:right w:val="single" w:sz="4" w:space="0" w:color="FFC000"/>
            </w:tcBorders>
            <w:shd w:val="clear" w:color="auto" w:fill="FFF8E6"/>
          </w:tcPr>
          <w:p>
            <w:pPr/>
          </w:p>
        </w:tc>
        <w:tc>
          <w:tcPr>
            <w:tcW w:w="1620" w:type="dxa"/>
            <w:vMerge/>
            <w:tcBorders>
              <w:left w:val="single" w:sz="4" w:space="0" w:color="FFC000"/>
              <w:right w:val="single" w:sz="4" w:space="0" w:color="FFC000"/>
            </w:tcBorders>
            <w:shd w:val="clear" w:color="auto" w:fill="FFF8E6"/>
          </w:tcPr>
          <w:p>
            <w:pPr/>
          </w:p>
        </w:tc>
        <w:tc>
          <w:tcPr>
            <w:tcW w:w="1566" w:type="dxa"/>
            <w:vMerge/>
            <w:tcBorders>
              <w:left w:val="single" w:sz="4" w:space="0" w:color="FFC000"/>
              <w:bottom w:val="nil" w:sz="6" w:space="0" w:color="auto"/>
              <w:right w:val="single" w:sz="4" w:space="0" w:color="FFC000"/>
            </w:tcBorders>
            <w:shd w:val="clear" w:color="auto" w:fill="FFF8E6"/>
          </w:tcPr>
          <w:p>
            <w:pPr/>
          </w:p>
        </w:tc>
        <w:tc>
          <w:tcPr>
            <w:tcW w:w="1848" w:type="dxa"/>
            <w:vMerge/>
            <w:tcBorders>
              <w:left w:val="single" w:sz="4" w:space="0" w:color="FFC000"/>
              <w:right w:val="single" w:sz="4" w:space="0" w:color="FFC000"/>
            </w:tcBorders>
            <w:shd w:val="clear" w:color="auto" w:fill="FFF8E6"/>
          </w:tcPr>
          <w:p>
            <w:pPr/>
          </w:p>
        </w:tc>
        <w:tc>
          <w:tcPr>
            <w:tcW w:w="1709" w:type="dxa"/>
            <w:vMerge/>
            <w:tcBorders>
              <w:left w:val="single" w:sz="4" w:space="0" w:color="FFC000"/>
              <w:bottom w:val="nil" w:sz="6" w:space="0" w:color="auto"/>
              <w:right w:val="single" w:sz="4" w:space="0" w:color="FFC000"/>
            </w:tcBorders>
            <w:shd w:val="clear" w:color="auto" w:fill="FFF8E6"/>
          </w:tcPr>
          <w:p>
            <w:pPr/>
          </w:p>
        </w:tc>
      </w:tr>
      <w:tr>
        <w:trPr>
          <w:trHeight w:val="169" w:hRule="exact"/>
        </w:trPr>
        <w:tc>
          <w:tcPr>
            <w:tcW w:w="2382" w:type="dxa"/>
            <w:vMerge/>
            <w:tcBorders>
              <w:left w:val="single" w:sz="4" w:space="0" w:color="FFC000"/>
              <w:bottom w:val="single" w:sz="4" w:space="0" w:color="FFC000"/>
              <w:right w:val="single" w:sz="4" w:space="0" w:color="FFC000"/>
            </w:tcBorders>
            <w:shd w:val="clear" w:color="auto" w:fill="FFF8E6"/>
          </w:tcPr>
          <w:p>
            <w:pPr/>
          </w:p>
        </w:tc>
        <w:tc>
          <w:tcPr>
            <w:tcW w:w="1620" w:type="dxa"/>
            <w:vMerge/>
            <w:tcBorders>
              <w:left w:val="single" w:sz="4" w:space="0" w:color="FFC000"/>
              <w:bottom w:val="single" w:sz="4" w:space="0" w:color="FFC000"/>
              <w:right w:val="single" w:sz="4" w:space="0" w:color="FFC000"/>
            </w:tcBorders>
            <w:shd w:val="clear" w:color="auto" w:fill="FFF8E6"/>
          </w:tcPr>
          <w:p>
            <w:pPr/>
          </w:p>
        </w:tc>
        <w:tc>
          <w:tcPr>
            <w:tcW w:w="1566" w:type="dxa"/>
            <w:tcBorders>
              <w:top w:val="nil" w:sz="6" w:space="0" w:color="auto"/>
              <w:left w:val="single" w:sz="4" w:space="0" w:color="FFC000"/>
              <w:bottom w:val="single" w:sz="4" w:space="0" w:color="FFC000"/>
              <w:right w:val="single" w:sz="4" w:space="0" w:color="FFC000"/>
            </w:tcBorders>
            <w:shd w:val="clear" w:color="auto" w:fill="FFF8E6"/>
          </w:tcPr>
          <w:p>
            <w:pPr/>
          </w:p>
        </w:tc>
        <w:tc>
          <w:tcPr>
            <w:tcW w:w="1848" w:type="dxa"/>
            <w:vMerge/>
            <w:tcBorders>
              <w:left w:val="single" w:sz="4" w:space="0" w:color="FFC000"/>
              <w:bottom w:val="single" w:sz="4" w:space="0" w:color="FFC000"/>
              <w:right w:val="single" w:sz="4" w:space="0" w:color="FFC000"/>
            </w:tcBorders>
            <w:shd w:val="clear" w:color="auto" w:fill="FFF8E6"/>
          </w:tcPr>
          <w:p>
            <w:pPr/>
          </w:p>
        </w:tc>
        <w:tc>
          <w:tcPr>
            <w:tcW w:w="1709" w:type="dxa"/>
            <w:tcBorders>
              <w:top w:val="nil" w:sz="6" w:space="0" w:color="auto"/>
              <w:left w:val="single" w:sz="4" w:space="0" w:color="FFC000"/>
              <w:bottom w:val="single" w:sz="4" w:space="0" w:color="FFC000"/>
              <w:right w:val="single" w:sz="4" w:space="0" w:color="FFC000"/>
            </w:tcBorders>
            <w:shd w:val="clear" w:color="auto" w:fill="FFF8E6"/>
          </w:tcPr>
          <w:p>
            <w:pPr/>
          </w:p>
        </w:tc>
      </w:tr>
      <w:tr>
        <w:trPr>
          <w:trHeight w:val="490" w:hRule="exact"/>
        </w:trPr>
        <w:tc>
          <w:tcPr>
            <w:tcW w:w="238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w:t>
            </w:r>
          </w:p>
        </w:tc>
        <w:tc>
          <w:tcPr>
            <w:tcW w:w="162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55,865,727.68</w:t>
            </w:r>
          </w:p>
        </w:tc>
        <w:tc>
          <w:tcPr>
            <w:tcW w:w="15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13,327,695.78</w:t>
            </w:r>
          </w:p>
        </w:tc>
        <w:tc>
          <w:tcPr>
            <w:tcW w:w="18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146,676,118.39</w:t>
            </w:r>
          </w:p>
        </w:tc>
        <w:tc>
          <w:tcPr>
            <w:tcW w:w="1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35,794,012.51</w:t>
            </w:r>
          </w:p>
        </w:tc>
      </w:tr>
      <w:tr>
        <w:trPr>
          <w:trHeight w:val="491" w:hRule="exact"/>
        </w:trPr>
        <w:tc>
          <w:tcPr>
            <w:tcW w:w="238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应收账款销售价保</w:t>
            </w:r>
          </w:p>
        </w:tc>
        <w:tc>
          <w:tcPr>
            <w:tcW w:w="162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10,425,138.10</w:t>
            </w:r>
          </w:p>
        </w:tc>
        <w:tc>
          <w:tcPr>
            <w:tcW w:w="15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2,606,284.53</w:t>
            </w:r>
          </w:p>
        </w:tc>
        <w:tc>
          <w:tcPr>
            <w:tcW w:w="18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10,035,012.12</w:t>
            </w:r>
          </w:p>
        </w:tc>
        <w:tc>
          <w:tcPr>
            <w:tcW w:w="1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2,508,753.03</w:t>
            </w:r>
          </w:p>
        </w:tc>
      </w:tr>
      <w:tr>
        <w:trPr>
          <w:trHeight w:val="490" w:hRule="exact"/>
        </w:trPr>
        <w:tc>
          <w:tcPr>
            <w:tcW w:w="238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存货跌价准备</w:t>
            </w:r>
          </w:p>
        </w:tc>
        <w:tc>
          <w:tcPr>
            <w:tcW w:w="162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99,104,816.48</w:t>
            </w:r>
          </w:p>
        </w:tc>
        <w:tc>
          <w:tcPr>
            <w:tcW w:w="15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24,750,281.71</w:t>
            </w:r>
          </w:p>
        </w:tc>
        <w:tc>
          <w:tcPr>
            <w:tcW w:w="18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135,863,716.74</w:t>
            </w:r>
          </w:p>
        </w:tc>
        <w:tc>
          <w:tcPr>
            <w:tcW w:w="1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29,701,703.15</w:t>
            </w:r>
          </w:p>
        </w:tc>
      </w:tr>
      <w:tr>
        <w:trPr>
          <w:trHeight w:val="490" w:hRule="exact"/>
        </w:trPr>
        <w:tc>
          <w:tcPr>
            <w:tcW w:w="238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内部交易未实现利润</w:t>
            </w:r>
          </w:p>
        </w:tc>
        <w:tc>
          <w:tcPr>
            <w:tcW w:w="162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6,782,853.77</w:t>
            </w:r>
          </w:p>
        </w:tc>
        <w:tc>
          <w:tcPr>
            <w:tcW w:w="15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1,695,713.44</w:t>
            </w:r>
          </w:p>
        </w:tc>
        <w:tc>
          <w:tcPr>
            <w:tcW w:w="18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10,118,103.24</w:t>
            </w:r>
          </w:p>
        </w:tc>
        <w:tc>
          <w:tcPr>
            <w:tcW w:w="1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2,529,525.81</w:t>
            </w:r>
          </w:p>
        </w:tc>
      </w:tr>
      <w:tr>
        <w:trPr>
          <w:trHeight w:val="491" w:hRule="exact"/>
        </w:trPr>
        <w:tc>
          <w:tcPr>
            <w:tcW w:w="238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可供出售金融资产减值准备</w:t>
            </w:r>
          </w:p>
        </w:tc>
        <w:tc>
          <w:tcPr>
            <w:tcW w:w="162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0"/>
              <w:ind w:right="0"/>
              <w:jc w:val="left"/>
              <w:rPr>
                <w:rFonts w:ascii="华文细黑" w:hAnsi="华文细黑" w:cs="华文细黑" w:eastAsia="华文细黑" w:hint="default"/>
                <w:sz w:val="13"/>
                <w:szCs w:val="13"/>
              </w:rPr>
            </w:pPr>
          </w:p>
          <w:p>
            <w:pPr>
              <w:pStyle w:val="TableParagraph"/>
              <w:spacing w:line="240" w:lineRule="auto"/>
              <w:ind w:right="21"/>
              <w:jc w:val="right"/>
              <w:rPr>
                <w:rFonts w:ascii="Arial" w:hAnsi="Arial" w:cs="Arial" w:eastAsia="Arial" w:hint="default"/>
                <w:sz w:val="18"/>
                <w:szCs w:val="18"/>
              </w:rPr>
            </w:pPr>
            <w:r>
              <w:rPr>
                <w:rFonts w:ascii="Arial"/>
                <w:spacing w:val="-1"/>
                <w:sz w:val="18"/>
              </w:rPr>
              <w:t>367,919,644.18</w:t>
            </w:r>
          </w:p>
        </w:tc>
        <w:tc>
          <w:tcPr>
            <w:tcW w:w="15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0"/>
              <w:ind w:right="0"/>
              <w:jc w:val="left"/>
              <w:rPr>
                <w:rFonts w:ascii="华文细黑" w:hAnsi="华文细黑" w:cs="华文细黑" w:eastAsia="华文细黑" w:hint="default"/>
                <w:sz w:val="13"/>
                <w:szCs w:val="13"/>
              </w:rPr>
            </w:pPr>
          </w:p>
          <w:p>
            <w:pPr>
              <w:pStyle w:val="TableParagraph"/>
              <w:spacing w:line="240" w:lineRule="auto"/>
              <w:ind w:right="22"/>
              <w:jc w:val="right"/>
              <w:rPr>
                <w:rFonts w:ascii="Arial" w:hAnsi="Arial" w:cs="Arial" w:eastAsia="Arial" w:hint="default"/>
                <w:sz w:val="18"/>
                <w:szCs w:val="18"/>
              </w:rPr>
            </w:pPr>
            <w:r>
              <w:rPr>
                <w:rFonts w:ascii="Arial"/>
                <w:spacing w:val="-1"/>
                <w:sz w:val="18"/>
              </w:rPr>
              <w:t>60,706,741.29</w:t>
            </w:r>
          </w:p>
        </w:tc>
        <w:tc>
          <w:tcPr>
            <w:tcW w:w="18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238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可抵扣亏损</w:t>
            </w:r>
          </w:p>
        </w:tc>
        <w:tc>
          <w:tcPr>
            <w:tcW w:w="162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sz w:val="13"/>
                <w:szCs w:val="13"/>
              </w:rPr>
            </w:pPr>
          </w:p>
          <w:p>
            <w:pPr>
              <w:pStyle w:val="TableParagraph"/>
              <w:spacing w:line="240" w:lineRule="auto"/>
              <w:ind w:right="22"/>
              <w:jc w:val="right"/>
              <w:rPr>
                <w:rFonts w:ascii="Arial" w:hAnsi="Arial" w:cs="Arial" w:eastAsia="Arial" w:hint="default"/>
                <w:sz w:val="18"/>
                <w:szCs w:val="18"/>
              </w:rPr>
            </w:pPr>
            <w:r>
              <w:rPr>
                <w:rFonts w:ascii="Arial"/>
                <w:spacing w:val="-1"/>
                <w:sz w:val="18"/>
              </w:rPr>
              <w:t>86,388,120.31</w:t>
            </w:r>
          </w:p>
        </w:tc>
        <w:tc>
          <w:tcPr>
            <w:tcW w:w="15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华文细黑" w:hAnsi="华文细黑" w:cs="华文细黑" w:eastAsia="华文细黑" w:hint="default"/>
                <w:sz w:val="13"/>
                <w:szCs w:val="13"/>
              </w:rPr>
            </w:pPr>
          </w:p>
          <w:p>
            <w:pPr>
              <w:pStyle w:val="TableParagraph"/>
              <w:spacing w:line="240" w:lineRule="auto"/>
              <w:ind w:right="22"/>
              <w:jc w:val="right"/>
              <w:rPr>
                <w:rFonts w:ascii="Arial" w:hAnsi="Arial" w:cs="Arial" w:eastAsia="Arial" w:hint="default"/>
                <w:sz w:val="18"/>
                <w:szCs w:val="18"/>
              </w:rPr>
            </w:pPr>
            <w:r>
              <w:rPr>
                <w:rFonts w:ascii="Arial"/>
                <w:spacing w:val="-1"/>
                <w:sz w:val="18"/>
              </w:rPr>
              <w:t>20,293,171.05</w:t>
            </w:r>
          </w:p>
        </w:tc>
        <w:tc>
          <w:tcPr>
            <w:tcW w:w="18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104,171,892.49</w:t>
            </w:r>
          </w:p>
        </w:tc>
        <w:tc>
          <w:tcPr>
            <w:tcW w:w="1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25,309,198.30</w:t>
            </w:r>
          </w:p>
        </w:tc>
      </w:tr>
      <w:tr>
        <w:trPr>
          <w:trHeight w:val="490" w:hRule="exact"/>
        </w:trPr>
        <w:tc>
          <w:tcPr>
            <w:tcW w:w="238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递延收益</w:t>
            </w:r>
          </w:p>
        </w:tc>
        <w:tc>
          <w:tcPr>
            <w:tcW w:w="162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w:t>
            </w:r>
          </w:p>
        </w:tc>
        <w:tc>
          <w:tcPr>
            <w:tcW w:w="18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6,670,000.00</w:t>
            </w:r>
          </w:p>
        </w:tc>
        <w:tc>
          <w:tcPr>
            <w:tcW w:w="1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1,667,500.00</w:t>
            </w:r>
          </w:p>
        </w:tc>
      </w:tr>
      <w:tr>
        <w:trPr>
          <w:trHeight w:val="491" w:hRule="exact"/>
        </w:trPr>
        <w:tc>
          <w:tcPr>
            <w:tcW w:w="238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162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626,486,300.52</w:t>
            </w:r>
            <w:r>
              <w:rPr>
                <w:rFonts w:ascii="华文细黑"/>
                <w:sz w:val="18"/>
              </w:rPr>
            </w:r>
          </w:p>
        </w:tc>
        <w:tc>
          <w:tcPr>
            <w:tcW w:w="15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4"/>
              <w:jc w:val="right"/>
              <w:rPr>
                <w:rFonts w:ascii="华文细黑" w:hAnsi="华文细黑" w:cs="华文细黑" w:eastAsia="华文细黑" w:hint="default"/>
                <w:sz w:val="18"/>
                <w:szCs w:val="18"/>
              </w:rPr>
            </w:pPr>
            <w:r>
              <w:rPr>
                <w:rFonts w:ascii="华文细黑"/>
                <w:b/>
                <w:w w:val="95"/>
                <w:sz w:val="18"/>
              </w:rPr>
              <w:t>123,379,887.80</w:t>
            </w:r>
            <w:r>
              <w:rPr>
                <w:rFonts w:ascii="华文细黑"/>
                <w:sz w:val="18"/>
              </w:rPr>
            </w:r>
          </w:p>
        </w:tc>
        <w:tc>
          <w:tcPr>
            <w:tcW w:w="184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413,534,842.98</w:t>
            </w:r>
            <w:r>
              <w:rPr>
                <w:rFonts w:ascii="华文细黑"/>
                <w:sz w:val="18"/>
              </w:rPr>
            </w:r>
          </w:p>
        </w:tc>
        <w:tc>
          <w:tcPr>
            <w:tcW w:w="1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97,510,692.80</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20" w:right="1289"/>
        <w:jc w:val="left"/>
      </w:pPr>
      <w:r>
        <w:rPr/>
        <w:t>（</w:t>
      </w:r>
      <w:r>
        <w:rPr>
          <w:rFonts w:ascii="华文细黑" w:hAnsi="华文细黑" w:cs="华文细黑" w:eastAsia="华文细黑" w:hint="default"/>
        </w:rPr>
        <w:t>2</w:t>
      </w:r>
      <w:r>
        <w:rPr/>
        <w:t>）未经抵销的递延所得税负债明细</w:t>
      </w:r>
    </w:p>
    <w:p>
      <w:pPr>
        <w:spacing w:line="240" w:lineRule="auto" w:before="5"/>
        <w:rPr>
          <w:rFonts w:ascii="华文细黑" w:hAnsi="华文细黑" w:cs="华文细黑" w:eastAsia="华文细黑"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2213"/>
        <w:gridCol w:w="1853"/>
        <w:gridCol w:w="1576"/>
        <w:gridCol w:w="1824"/>
        <w:gridCol w:w="1733"/>
      </w:tblGrid>
      <w:tr>
        <w:trPr>
          <w:trHeight w:val="251" w:hRule="exact"/>
        </w:trPr>
        <w:tc>
          <w:tcPr>
            <w:tcW w:w="2213" w:type="dxa"/>
            <w:tcBorders>
              <w:top w:val="single" w:sz="4" w:space="0" w:color="FFC000"/>
              <w:left w:val="single" w:sz="4" w:space="0" w:color="FFC000"/>
              <w:bottom w:val="nil" w:sz="6" w:space="0" w:color="auto"/>
              <w:right w:val="single" w:sz="4" w:space="0" w:color="FFC000"/>
            </w:tcBorders>
            <w:shd w:val="clear" w:color="auto" w:fill="FFF8E6"/>
          </w:tcPr>
          <w:p>
            <w:pPr/>
          </w:p>
        </w:tc>
        <w:tc>
          <w:tcPr>
            <w:tcW w:w="3429"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1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3557"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239" w:hRule="exact"/>
        </w:trPr>
        <w:tc>
          <w:tcPr>
            <w:tcW w:w="2213"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3429" w:type="dxa"/>
            <w:gridSpan w:val="2"/>
            <w:vMerge/>
            <w:tcBorders>
              <w:left w:val="single" w:sz="4" w:space="0" w:color="FFC000"/>
              <w:bottom w:val="single" w:sz="4" w:space="0" w:color="FFC000"/>
              <w:right w:val="single" w:sz="4" w:space="0" w:color="FFC000"/>
            </w:tcBorders>
            <w:shd w:val="clear" w:color="auto" w:fill="FFF8E6"/>
          </w:tcPr>
          <w:p>
            <w:pPr/>
          </w:p>
        </w:tc>
        <w:tc>
          <w:tcPr>
            <w:tcW w:w="3557" w:type="dxa"/>
            <w:gridSpan w:val="2"/>
            <w:vMerge/>
            <w:tcBorders>
              <w:left w:val="single" w:sz="4" w:space="0" w:color="FFC000"/>
              <w:bottom w:val="single" w:sz="4" w:space="0" w:color="FFC000"/>
              <w:right w:val="single" w:sz="4" w:space="0" w:color="FFC000"/>
            </w:tcBorders>
            <w:shd w:val="clear" w:color="auto" w:fill="FFF8E6"/>
          </w:tcPr>
          <w:p>
            <w:pPr/>
          </w:p>
        </w:tc>
      </w:tr>
      <w:tr>
        <w:trPr>
          <w:trHeight w:val="241" w:hRule="exact"/>
        </w:trPr>
        <w:tc>
          <w:tcPr>
            <w:tcW w:w="2213" w:type="dxa"/>
            <w:vMerge/>
            <w:tcBorders>
              <w:left w:val="single" w:sz="4" w:space="0" w:color="FFC000"/>
              <w:bottom w:val="nil" w:sz="6" w:space="0" w:color="auto"/>
              <w:right w:val="single" w:sz="4" w:space="0" w:color="FFC000"/>
            </w:tcBorders>
            <w:shd w:val="clear" w:color="auto" w:fill="FFF8E6"/>
          </w:tcPr>
          <w:p>
            <w:pPr/>
          </w:p>
        </w:tc>
        <w:tc>
          <w:tcPr>
            <w:tcW w:w="1853"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20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应纳税暂时性差异</w:t>
            </w:r>
          </w:p>
        </w:tc>
        <w:tc>
          <w:tcPr>
            <w:tcW w:w="1576"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1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递延所得税负债</w:t>
            </w:r>
          </w:p>
        </w:tc>
        <w:tc>
          <w:tcPr>
            <w:tcW w:w="1824"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18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应纳税暂时性差异</w:t>
            </w:r>
          </w:p>
        </w:tc>
        <w:tc>
          <w:tcPr>
            <w:tcW w:w="1733"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20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递延所得税负债</w:t>
            </w:r>
          </w:p>
        </w:tc>
      </w:tr>
      <w:tr>
        <w:trPr>
          <w:trHeight w:val="250" w:hRule="exact"/>
        </w:trPr>
        <w:tc>
          <w:tcPr>
            <w:tcW w:w="2213" w:type="dxa"/>
            <w:tcBorders>
              <w:top w:val="nil" w:sz="6" w:space="0" w:color="auto"/>
              <w:left w:val="single" w:sz="4" w:space="0" w:color="FFC000"/>
              <w:bottom w:val="single" w:sz="4" w:space="0" w:color="FFC000"/>
              <w:right w:val="single" w:sz="4" w:space="0" w:color="FFC000"/>
            </w:tcBorders>
            <w:shd w:val="clear" w:color="auto" w:fill="FFF8E6"/>
          </w:tcPr>
          <w:p>
            <w:pPr/>
          </w:p>
        </w:tc>
        <w:tc>
          <w:tcPr>
            <w:tcW w:w="1853" w:type="dxa"/>
            <w:vMerge/>
            <w:tcBorders>
              <w:left w:val="single" w:sz="4" w:space="0" w:color="FFC000"/>
              <w:bottom w:val="single" w:sz="4" w:space="0" w:color="FFC000"/>
              <w:right w:val="single" w:sz="4" w:space="0" w:color="FFC000"/>
            </w:tcBorders>
            <w:shd w:val="clear" w:color="auto" w:fill="FFF8E6"/>
          </w:tcPr>
          <w:p>
            <w:pPr/>
          </w:p>
        </w:tc>
        <w:tc>
          <w:tcPr>
            <w:tcW w:w="1576" w:type="dxa"/>
            <w:vMerge/>
            <w:tcBorders>
              <w:left w:val="single" w:sz="4" w:space="0" w:color="FFC000"/>
              <w:bottom w:val="single" w:sz="4" w:space="0" w:color="FFC000"/>
              <w:right w:val="single" w:sz="4" w:space="0" w:color="FFC000"/>
            </w:tcBorders>
            <w:shd w:val="clear" w:color="auto" w:fill="FFF8E6"/>
          </w:tcPr>
          <w:p>
            <w:pPr/>
          </w:p>
        </w:tc>
        <w:tc>
          <w:tcPr>
            <w:tcW w:w="1824" w:type="dxa"/>
            <w:vMerge/>
            <w:tcBorders>
              <w:left w:val="single" w:sz="4" w:space="0" w:color="FFC000"/>
              <w:bottom w:val="single" w:sz="4" w:space="0" w:color="FFC000"/>
              <w:right w:val="single" w:sz="4" w:space="0" w:color="FFC000"/>
            </w:tcBorders>
            <w:shd w:val="clear" w:color="auto" w:fill="FFF8E6"/>
          </w:tcPr>
          <w:p>
            <w:pPr/>
          </w:p>
        </w:tc>
        <w:tc>
          <w:tcPr>
            <w:tcW w:w="1733" w:type="dxa"/>
            <w:vMerge/>
            <w:tcBorders>
              <w:left w:val="single" w:sz="4" w:space="0" w:color="FFC000"/>
              <w:bottom w:val="single" w:sz="4" w:space="0" w:color="FFC000"/>
              <w:right w:val="single" w:sz="4" w:space="0" w:color="FFC000"/>
            </w:tcBorders>
            <w:shd w:val="clear" w:color="auto" w:fill="FFF8E6"/>
          </w:tcPr>
          <w:p>
            <w:pPr/>
          </w:p>
        </w:tc>
      </w:tr>
      <w:tr>
        <w:trPr>
          <w:trHeight w:val="889" w:hRule="exact"/>
        </w:trPr>
        <w:tc>
          <w:tcPr>
            <w:tcW w:w="221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1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非同一控制下企业合并资产</w:t>
            </w:r>
            <w:r>
              <w:rPr>
                <w:rFonts w:ascii="华文细黑" w:hAnsi="华文细黑" w:cs="华文细黑" w:eastAsia="华文细黑" w:hint="default"/>
                <w:spacing w:val="-28"/>
                <w:sz w:val="18"/>
                <w:szCs w:val="18"/>
              </w:rPr>
              <w:t> </w:t>
            </w:r>
            <w:r>
              <w:rPr>
                <w:rFonts w:ascii="华文细黑" w:hAnsi="华文细黑" w:cs="华文细黑" w:eastAsia="华文细黑" w:hint="default"/>
                <w:spacing w:val="-28"/>
                <w:sz w:val="18"/>
                <w:szCs w:val="18"/>
              </w:rPr>
            </w:r>
            <w:r>
              <w:rPr>
                <w:rFonts w:ascii="华文细黑" w:hAnsi="华文细黑" w:cs="华文细黑" w:eastAsia="华文细黑" w:hint="default"/>
                <w:sz w:val="18"/>
                <w:szCs w:val="18"/>
              </w:rPr>
              <w:t>评估增值</w:t>
            </w:r>
          </w:p>
        </w:tc>
        <w:tc>
          <w:tcPr>
            <w:tcW w:w="185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3,049,716.46</w:t>
            </w:r>
          </w:p>
        </w:tc>
        <w:tc>
          <w:tcPr>
            <w:tcW w:w="15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w w:val="95"/>
                <w:sz w:val="18"/>
              </w:rPr>
              <w:t>762,429.11</w:t>
            </w:r>
          </w:p>
        </w:tc>
        <w:tc>
          <w:tcPr>
            <w:tcW w:w="182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3,049,716.46</w:t>
            </w:r>
          </w:p>
        </w:tc>
        <w:tc>
          <w:tcPr>
            <w:tcW w:w="173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w w:val="95"/>
                <w:sz w:val="18"/>
              </w:rPr>
              <w:t>762,429.11</w:t>
            </w:r>
          </w:p>
        </w:tc>
      </w:tr>
      <w:tr>
        <w:trPr>
          <w:trHeight w:val="491" w:hRule="exact"/>
        </w:trPr>
        <w:tc>
          <w:tcPr>
            <w:tcW w:w="221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公允价值变动</w:t>
            </w:r>
          </w:p>
        </w:tc>
        <w:tc>
          <w:tcPr>
            <w:tcW w:w="185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7,968,239.73</w:t>
            </w:r>
          </w:p>
        </w:tc>
        <w:tc>
          <w:tcPr>
            <w:tcW w:w="15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1,992,059.93</w:t>
            </w:r>
          </w:p>
        </w:tc>
        <w:tc>
          <w:tcPr>
            <w:tcW w:w="182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217,975,787.33</w:t>
            </w:r>
          </w:p>
        </w:tc>
        <w:tc>
          <w:tcPr>
            <w:tcW w:w="173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37,170,701.45</w:t>
            </w:r>
          </w:p>
        </w:tc>
      </w:tr>
      <w:tr>
        <w:trPr>
          <w:trHeight w:val="490" w:hRule="exact"/>
        </w:trPr>
        <w:tc>
          <w:tcPr>
            <w:tcW w:w="221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185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11,017,956.19</w:t>
            </w:r>
            <w:r>
              <w:rPr>
                <w:rFonts w:ascii="华文细黑"/>
                <w:sz w:val="18"/>
              </w:rPr>
            </w:r>
          </w:p>
        </w:tc>
        <w:tc>
          <w:tcPr>
            <w:tcW w:w="15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b/>
                <w:w w:val="95"/>
                <w:sz w:val="18"/>
              </w:rPr>
              <w:t>2,754,489.04</w:t>
            </w:r>
            <w:r>
              <w:rPr>
                <w:rFonts w:ascii="华文细黑"/>
                <w:sz w:val="18"/>
              </w:rPr>
            </w:r>
          </w:p>
        </w:tc>
        <w:tc>
          <w:tcPr>
            <w:tcW w:w="182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221,025,503.79</w:t>
            </w:r>
            <w:r>
              <w:rPr>
                <w:rFonts w:ascii="华文细黑"/>
                <w:sz w:val="18"/>
              </w:rPr>
            </w:r>
          </w:p>
        </w:tc>
        <w:tc>
          <w:tcPr>
            <w:tcW w:w="173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b/>
                <w:w w:val="95"/>
                <w:sz w:val="18"/>
              </w:rPr>
              <w:t>37,933,130.56</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740" w:right="1289"/>
        <w:jc w:val="left"/>
      </w:pPr>
      <w:r>
        <w:rPr/>
        <w:t>（</w:t>
      </w:r>
      <w:r>
        <w:rPr>
          <w:rFonts w:ascii="华文细黑" w:hAnsi="华文细黑" w:cs="华文细黑" w:eastAsia="华文细黑" w:hint="default"/>
        </w:rPr>
        <w:t>3</w:t>
      </w:r>
      <w:r>
        <w:rPr/>
        <w:t>）未确认递延所得税资产明细</w:t>
      </w:r>
    </w:p>
    <w:p>
      <w:pPr>
        <w:spacing w:line="240" w:lineRule="auto" w:before="5"/>
        <w:rPr>
          <w:rFonts w:ascii="华文细黑" w:hAnsi="华文细黑" w:cs="华文细黑" w:eastAsia="华文细黑"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3075"/>
        <w:gridCol w:w="3117"/>
        <w:gridCol w:w="3006"/>
      </w:tblGrid>
      <w:tr>
        <w:trPr>
          <w:trHeight w:val="491" w:hRule="exact"/>
        </w:trPr>
        <w:tc>
          <w:tcPr>
            <w:tcW w:w="307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6"/>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31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6"/>
              <w:ind w:left="1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300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6"/>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0" w:hRule="exact"/>
        </w:trPr>
        <w:tc>
          <w:tcPr>
            <w:tcW w:w="307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可抵扣暂时性差异</w:t>
            </w:r>
          </w:p>
        </w:tc>
        <w:tc>
          <w:tcPr>
            <w:tcW w:w="311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49,294,096.96</w:t>
            </w:r>
          </w:p>
        </w:tc>
        <w:tc>
          <w:tcPr>
            <w:tcW w:w="30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6,111,388.03</w:t>
            </w:r>
          </w:p>
        </w:tc>
      </w:tr>
      <w:tr>
        <w:trPr>
          <w:trHeight w:val="491" w:hRule="exact"/>
        </w:trPr>
        <w:tc>
          <w:tcPr>
            <w:tcW w:w="307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预计负债</w:t>
            </w:r>
          </w:p>
        </w:tc>
        <w:tc>
          <w:tcPr>
            <w:tcW w:w="311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1,238,454.00</w:t>
            </w:r>
          </w:p>
        </w:tc>
        <w:tc>
          <w:tcPr>
            <w:tcW w:w="30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240" w:right="0"/>
        </w:sectPr>
      </w:pPr>
    </w:p>
    <w:p>
      <w:pPr>
        <w:spacing w:line="240" w:lineRule="auto" w:before="8"/>
        <w:rPr>
          <w:rFonts w:ascii="华文细黑" w:hAnsi="华文细黑" w:cs="华文细黑" w:eastAsia="华文细黑" w:hint="default"/>
          <w:sz w:val="23"/>
          <w:szCs w:val="23"/>
        </w:rPr>
      </w:pPr>
    </w:p>
    <w:tbl>
      <w:tblPr>
        <w:tblW w:w="0" w:type="auto"/>
        <w:jc w:val="left"/>
        <w:tblInd w:w="114" w:type="dxa"/>
        <w:tblLayout w:type="fixed"/>
        <w:tblCellMar>
          <w:top w:w="0" w:type="dxa"/>
          <w:left w:w="0" w:type="dxa"/>
          <w:bottom w:w="0" w:type="dxa"/>
          <w:right w:w="0" w:type="dxa"/>
        </w:tblCellMar>
        <w:tblLook w:val="01E0"/>
      </w:tblPr>
      <w:tblGrid>
        <w:gridCol w:w="3075"/>
        <w:gridCol w:w="3117"/>
        <w:gridCol w:w="3006"/>
      </w:tblGrid>
      <w:tr>
        <w:trPr>
          <w:trHeight w:val="490" w:hRule="exact"/>
        </w:trPr>
        <w:tc>
          <w:tcPr>
            <w:tcW w:w="307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26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31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300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1" w:hRule="exact"/>
        </w:trPr>
        <w:tc>
          <w:tcPr>
            <w:tcW w:w="307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可抵扣亏损</w:t>
            </w:r>
          </w:p>
        </w:tc>
        <w:tc>
          <w:tcPr>
            <w:tcW w:w="311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134,903,125.69</w:t>
            </w:r>
          </w:p>
        </w:tc>
        <w:tc>
          <w:tcPr>
            <w:tcW w:w="30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124,024,737.82</w:t>
            </w:r>
          </w:p>
        </w:tc>
      </w:tr>
      <w:tr>
        <w:trPr>
          <w:trHeight w:val="490" w:hRule="exact"/>
        </w:trPr>
        <w:tc>
          <w:tcPr>
            <w:tcW w:w="307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26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311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185,435,676.65</w:t>
            </w:r>
            <w:r>
              <w:rPr>
                <w:rFonts w:ascii="华文细黑"/>
                <w:sz w:val="18"/>
              </w:rPr>
            </w:r>
          </w:p>
        </w:tc>
        <w:tc>
          <w:tcPr>
            <w:tcW w:w="30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b/>
                <w:w w:val="95"/>
                <w:sz w:val="18"/>
              </w:rPr>
              <w:t>130,136,125.85</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740" w:right="1289"/>
        <w:jc w:val="left"/>
      </w:pPr>
      <w:r>
        <w:rPr/>
        <w:t>（</w:t>
      </w:r>
      <w:r>
        <w:rPr>
          <w:rFonts w:ascii="华文细黑" w:hAnsi="华文细黑" w:cs="华文细黑" w:eastAsia="华文细黑" w:hint="default"/>
        </w:rPr>
        <w:t>4</w:t>
      </w:r>
      <w:r>
        <w:rPr/>
        <w:t>）未确认递延所得税资产的可抵扣亏损将于以下年度到期</w:t>
      </w:r>
    </w:p>
    <w:p>
      <w:pPr>
        <w:spacing w:line="240" w:lineRule="auto" w:before="5"/>
        <w:rPr>
          <w:rFonts w:ascii="华文细黑" w:hAnsi="华文细黑" w:cs="华文细黑" w:eastAsia="华文细黑"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2995"/>
        <w:gridCol w:w="2064"/>
        <w:gridCol w:w="2034"/>
        <w:gridCol w:w="2106"/>
      </w:tblGrid>
      <w:tr>
        <w:trPr>
          <w:trHeight w:val="491" w:hRule="exact"/>
        </w:trPr>
        <w:tc>
          <w:tcPr>
            <w:tcW w:w="29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份</w:t>
            </w:r>
          </w:p>
        </w:tc>
        <w:tc>
          <w:tcPr>
            <w:tcW w:w="206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67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0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65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210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备注</w:t>
            </w:r>
          </w:p>
        </w:tc>
      </w:tr>
      <w:tr>
        <w:trPr>
          <w:trHeight w:val="490" w:hRule="exact"/>
        </w:trPr>
        <w:tc>
          <w:tcPr>
            <w:tcW w:w="29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206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20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11,231,720.77</w:t>
            </w:r>
          </w:p>
        </w:tc>
        <w:tc>
          <w:tcPr>
            <w:tcW w:w="21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可抵扣亏损</w:t>
            </w:r>
          </w:p>
        </w:tc>
      </w:tr>
      <w:tr>
        <w:trPr>
          <w:trHeight w:val="490" w:hRule="exact"/>
        </w:trPr>
        <w:tc>
          <w:tcPr>
            <w:tcW w:w="29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2019</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206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44,538,846.53</w:t>
            </w:r>
          </w:p>
        </w:tc>
        <w:tc>
          <w:tcPr>
            <w:tcW w:w="20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47,305,404.93</w:t>
            </w:r>
          </w:p>
        </w:tc>
        <w:tc>
          <w:tcPr>
            <w:tcW w:w="21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可抵扣亏损</w:t>
            </w:r>
          </w:p>
        </w:tc>
      </w:tr>
      <w:tr>
        <w:trPr>
          <w:trHeight w:val="491" w:hRule="exact"/>
        </w:trPr>
        <w:tc>
          <w:tcPr>
            <w:tcW w:w="29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2020</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206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29,736,746.13</w:t>
            </w:r>
          </w:p>
        </w:tc>
        <w:tc>
          <w:tcPr>
            <w:tcW w:w="20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33,880,685.33</w:t>
            </w:r>
          </w:p>
        </w:tc>
        <w:tc>
          <w:tcPr>
            <w:tcW w:w="21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可抵扣亏损</w:t>
            </w:r>
          </w:p>
        </w:tc>
      </w:tr>
      <w:tr>
        <w:trPr>
          <w:trHeight w:val="490" w:hRule="exact"/>
        </w:trPr>
        <w:tc>
          <w:tcPr>
            <w:tcW w:w="29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2021</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206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17,936,065.06</w:t>
            </w:r>
          </w:p>
        </w:tc>
        <w:tc>
          <w:tcPr>
            <w:tcW w:w="20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18,031,765.31</w:t>
            </w:r>
          </w:p>
        </w:tc>
        <w:tc>
          <w:tcPr>
            <w:tcW w:w="21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可抵扣亏损</w:t>
            </w:r>
          </w:p>
        </w:tc>
      </w:tr>
      <w:tr>
        <w:trPr>
          <w:trHeight w:val="490" w:hRule="exact"/>
        </w:trPr>
        <w:tc>
          <w:tcPr>
            <w:tcW w:w="29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2022</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206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13,186,606.67</w:t>
            </w:r>
          </w:p>
        </w:tc>
        <w:tc>
          <w:tcPr>
            <w:tcW w:w="20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13,575,161.48</w:t>
            </w:r>
          </w:p>
        </w:tc>
        <w:tc>
          <w:tcPr>
            <w:tcW w:w="21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可抵扣亏损</w:t>
            </w:r>
          </w:p>
        </w:tc>
      </w:tr>
      <w:tr>
        <w:trPr>
          <w:trHeight w:val="491" w:hRule="exact"/>
        </w:trPr>
        <w:tc>
          <w:tcPr>
            <w:tcW w:w="29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2023</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年</w:t>
            </w:r>
          </w:p>
        </w:tc>
        <w:tc>
          <w:tcPr>
            <w:tcW w:w="206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29,504,861.30</w:t>
            </w:r>
          </w:p>
        </w:tc>
        <w:tc>
          <w:tcPr>
            <w:tcW w:w="20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z w:val="18"/>
              </w:rPr>
              <w:t>---</w:t>
            </w:r>
          </w:p>
        </w:tc>
        <w:tc>
          <w:tcPr>
            <w:tcW w:w="21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可抵扣亏损</w:t>
            </w:r>
          </w:p>
        </w:tc>
      </w:tr>
      <w:tr>
        <w:trPr>
          <w:trHeight w:val="490" w:hRule="exact"/>
        </w:trPr>
        <w:tc>
          <w:tcPr>
            <w:tcW w:w="29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206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134,903,125.69</w:t>
            </w:r>
            <w:r>
              <w:rPr>
                <w:rFonts w:ascii="华文细黑"/>
                <w:sz w:val="18"/>
              </w:rPr>
            </w:r>
          </w:p>
        </w:tc>
        <w:tc>
          <w:tcPr>
            <w:tcW w:w="20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124,024,737.82</w:t>
            </w:r>
            <w:r>
              <w:rPr>
                <w:rFonts w:ascii="华文细黑"/>
                <w:sz w:val="18"/>
              </w:rPr>
            </w:r>
          </w:p>
        </w:tc>
        <w:tc>
          <w:tcPr>
            <w:tcW w:w="2106" w:type="dxa"/>
            <w:tcBorders>
              <w:top w:val="single" w:sz="4" w:space="0" w:color="FFC000"/>
              <w:left w:val="single" w:sz="4" w:space="0" w:color="FFC000"/>
              <w:bottom w:val="single" w:sz="4" w:space="0" w:color="FFC000"/>
              <w:right w:val="single" w:sz="4" w:space="0" w:color="FFC000"/>
            </w:tcBorders>
          </w:tcPr>
          <w:p>
            <w:pPr/>
          </w:p>
        </w:tc>
      </w:tr>
    </w:tbl>
    <w:p>
      <w:pPr>
        <w:spacing w:line="240" w:lineRule="auto" w:before="13"/>
        <w:rPr>
          <w:rFonts w:ascii="华文细黑" w:hAnsi="华文细黑" w:cs="华文细黑" w:eastAsia="华文细黑" w:hint="default"/>
          <w:sz w:val="6"/>
          <w:szCs w:val="6"/>
        </w:rPr>
      </w:pPr>
    </w:p>
    <w:p>
      <w:pPr>
        <w:pStyle w:val="Heading5"/>
        <w:spacing w:line="240" w:lineRule="auto"/>
        <w:ind w:left="620" w:right="1289"/>
        <w:jc w:val="left"/>
        <w:rPr>
          <w:b w:val="0"/>
          <w:bCs w:val="0"/>
        </w:rPr>
      </w:pPr>
      <w:bookmarkStart w:name="17、其他非流动资产" w:id="280"/>
      <w:bookmarkEnd w:id="280"/>
      <w:r>
        <w:rPr>
          <w:b w:val="0"/>
          <w:bCs w:val="0"/>
        </w:rPr>
      </w:r>
      <w:r>
        <w:rPr>
          <w:rFonts w:ascii="华文细黑" w:hAnsi="华文细黑" w:cs="华文细黑" w:eastAsia="华文细黑" w:hint="default"/>
        </w:rPr>
        <w:t>17</w:t>
      </w:r>
      <w:r>
        <w:rPr/>
        <w:t>、其他非流动资产</w:t>
      </w:r>
      <w:r>
        <w:rPr>
          <w:b w:val="0"/>
          <w:bCs w:val="0"/>
        </w:rPr>
      </w:r>
    </w:p>
    <w:p>
      <w:pPr>
        <w:spacing w:line="240" w:lineRule="auto" w:before="5"/>
        <w:rPr>
          <w:rFonts w:ascii="华文细黑" w:hAnsi="华文细黑" w:cs="华文细黑" w:eastAsia="华文细黑" w:hint="default"/>
          <w:b/>
          <w:bCs/>
          <w:sz w:val="5"/>
          <w:szCs w:val="5"/>
        </w:rPr>
      </w:pPr>
    </w:p>
    <w:tbl>
      <w:tblPr>
        <w:tblW w:w="0" w:type="auto"/>
        <w:jc w:val="left"/>
        <w:tblInd w:w="200" w:type="dxa"/>
        <w:tblLayout w:type="fixed"/>
        <w:tblCellMar>
          <w:top w:w="0" w:type="dxa"/>
          <w:left w:w="0" w:type="dxa"/>
          <w:bottom w:w="0" w:type="dxa"/>
          <w:right w:w="0" w:type="dxa"/>
        </w:tblCellMar>
        <w:tblLook w:val="01E0"/>
      </w:tblPr>
      <w:tblGrid>
        <w:gridCol w:w="3717"/>
        <w:gridCol w:w="2837"/>
        <w:gridCol w:w="2553"/>
      </w:tblGrid>
      <w:tr>
        <w:trPr>
          <w:trHeight w:val="518" w:hRule="exact"/>
        </w:trPr>
        <w:tc>
          <w:tcPr>
            <w:tcW w:w="37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718" w:val="left" w:leader="none"/>
              </w:tabs>
              <w:spacing w:line="240" w:lineRule="auto" w:before="145"/>
              <w:ind w:right="1403"/>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83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55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62" w:hRule="exact"/>
        </w:trPr>
        <w:tc>
          <w:tcPr>
            <w:tcW w:w="37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7"/>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国鑫基金管理有限公司</w:t>
            </w:r>
          </w:p>
        </w:tc>
        <w:tc>
          <w:tcPr>
            <w:tcW w:w="283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17"/>
              <w:ind w:right="20"/>
              <w:jc w:val="right"/>
              <w:rPr>
                <w:rFonts w:ascii="华文细黑" w:hAnsi="华文细黑" w:cs="华文细黑" w:eastAsia="华文细黑" w:hint="default"/>
                <w:sz w:val="18"/>
                <w:szCs w:val="18"/>
              </w:rPr>
            </w:pPr>
            <w:r>
              <w:rPr>
                <w:rFonts w:ascii="华文细黑"/>
                <w:sz w:val="18"/>
              </w:rPr>
              <w:t>18,000,000.00</w:t>
            </w:r>
          </w:p>
        </w:tc>
        <w:tc>
          <w:tcPr>
            <w:tcW w:w="25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7"/>
              <w:ind w:right="21"/>
              <w:jc w:val="right"/>
              <w:rPr>
                <w:rFonts w:ascii="华文细黑" w:hAnsi="华文细黑" w:cs="华文细黑" w:eastAsia="华文细黑" w:hint="default"/>
                <w:sz w:val="18"/>
                <w:szCs w:val="18"/>
              </w:rPr>
            </w:pPr>
            <w:r>
              <w:rPr>
                <w:rFonts w:ascii="华文细黑"/>
                <w:sz w:val="18"/>
              </w:rPr>
              <w:t>18,000,000.00</w:t>
            </w:r>
          </w:p>
        </w:tc>
      </w:tr>
      <w:tr>
        <w:trPr>
          <w:trHeight w:val="491" w:hRule="exact"/>
        </w:trPr>
        <w:tc>
          <w:tcPr>
            <w:tcW w:w="37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628" w:val="left" w:leader="none"/>
              </w:tabs>
              <w:spacing w:line="240" w:lineRule="auto" w:before="84"/>
              <w:ind w:right="1449"/>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283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18,000,000.00</w:t>
            </w:r>
            <w:r>
              <w:rPr>
                <w:rFonts w:ascii="华文细黑"/>
                <w:sz w:val="18"/>
              </w:rPr>
            </w:r>
          </w:p>
        </w:tc>
        <w:tc>
          <w:tcPr>
            <w:tcW w:w="255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18,000,000.00</w:t>
            </w:r>
            <w:r>
              <w:rPr>
                <w:rFonts w:ascii="华文细黑"/>
                <w:sz w:val="18"/>
              </w:rPr>
            </w:r>
          </w:p>
        </w:tc>
      </w:tr>
    </w:tbl>
    <w:p>
      <w:pPr>
        <w:spacing w:line="240" w:lineRule="auto" w:before="12"/>
        <w:rPr>
          <w:rFonts w:ascii="华文细黑" w:hAnsi="华文细黑" w:cs="华文细黑" w:eastAsia="华文细黑" w:hint="default"/>
          <w:b/>
          <w:bCs/>
          <w:sz w:val="6"/>
          <w:szCs w:val="6"/>
        </w:rPr>
      </w:pPr>
    </w:p>
    <w:p>
      <w:pPr>
        <w:pStyle w:val="BodyText"/>
        <w:spacing w:line="324" w:lineRule="auto" w:before="10"/>
        <w:ind w:left="200" w:right="1437" w:firstLine="420"/>
        <w:jc w:val="both"/>
      </w:pPr>
      <w:r>
        <w:rPr>
          <w:spacing w:val="-1"/>
        </w:rPr>
        <w:t>注：</w:t>
      </w:r>
      <w:r>
        <w:rPr>
          <w:rFonts w:ascii="华文细黑" w:hAnsi="华文细黑" w:cs="华文细黑" w:eastAsia="华文细黑" w:hint="default"/>
          <w:spacing w:val="-1"/>
        </w:rPr>
        <w:t>2015</w:t>
      </w:r>
      <w:r>
        <w:rPr>
          <w:rFonts w:ascii="华文细黑" w:hAnsi="华文细黑" w:cs="华文细黑" w:eastAsia="华文细黑" w:hint="default"/>
        </w:rPr>
        <w:t> </w:t>
      </w:r>
      <w:r>
        <w:rPr/>
        <w:t>年 </w:t>
      </w:r>
      <w:r>
        <w:rPr>
          <w:rFonts w:ascii="华文细黑" w:hAnsi="华文细黑" w:cs="华文细黑" w:eastAsia="华文细黑" w:hint="default"/>
        </w:rPr>
        <w:t>9</w:t>
      </w:r>
      <w:r>
        <w:rPr>
          <w:rFonts w:ascii="华文细黑" w:hAnsi="华文细黑" w:cs="华文细黑" w:eastAsia="华文细黑" w:hint="default"/>
          <w:spacing w:val="27"/>
        </w:rPr>
        <w:t> </w:t>
      </w:r>
      <w:r>
        <w:rPr>
          <w:spacing w:val="-4"/>
        </w:rPr>
        <w:t>月，公司同意作为发起人之一与张礼庆共同设立“国鑫基金管理有限公司”，拟</w:t>
      </w:r>
      <w:r>
        <w:rPr/>
        <w:t> 以货币出资</w:t>
      </w:r>
      <w:r>
        <w:rPr>
          <w:spacing w:val="-15"/>
        </w:rPr>
        <w:t> </w:t>
      </w:r>
      <w:r>
        <w:rPr>
          <w:rFonts w:ascii="华文细黑" w:hAnsi="华文细黑" w:cs="华文细黑" w:eastAsia="华文细黑" w:hint="default"/>
        </w:rPr>
        <w:t>4,000</w:t>
      </w:r>
      <w:r>
        <w:rPr>
          <w:rFonts w:ascii="华文细黑" w:hAnsi="华文细黑" w:cs="华文细黑" w:eastAsia="华文细黑" w:hint="default"/>
          <w:spacing w:val="-16"/>
        </w:rPr>
        <w:t> </w:t>
      </w:r>
      <w:r>
        <w:rPr/>
        <w:t>万元人民币，持股比例</w:t>
      </w:r>
      <w:r>
        <w:rPr>
          <w:spacing w:val="-15"/>
        </w:rPr>
        <w:t> </w:t>
      </w:r>
      <w:r>
        <w:rPr>
          <w:rFonts w:ascii="华文细黑" w:hAnsi="华文细黑" w:cs="华文细黑" w:eastAsia="华文细黑" w:hint="default"/>
        </w:rPr>
        <w:t>40%</w:t>
      </w:r>
      <w:r>
        <w:rPr/>
        <w:t>，占注册资本总额的</w:t>
      </w:r>
      <w:r>
        <w:rPr>
          <w:spacing w:val="-15"/>
        </w:rPr>
        <w:t> </w:t>
      </w:r>
      <w:r>
        <w:rPr>
          <w:rFonts w:ascii="华文细黑" w:hAnsi="华文细黑" w:cs="华文细黑" w:eastAsia="华文细黑" w:hint="default"/>
        </w:rPr>
        <w:t>40%</w:t>
      </w:r>
      <w:r>
        <w:rPr/>
        <w:t>。国鑫基金管理有限公司已 于 </w:t>
      </w:r>
      <w:r>
        <w:rPr>
          <w:rFonts w:ascii="华文细黑" w:hAnsi="华文细黑" w:cs="华文细黑" w:eastAsia="华文细黑" w:hint="default"/>
        </w:rPr>
        <w:t>2015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28</w:t>
      </w:r>
      <w:r>
        <w:rPr>
          <w:rFonts w:ascii="华文细黑" w:hAnsi="华文细黑" w:cs="华文细黑" w:eastAsia="华文细黑" w:hint="default"/>
          <w:spacing w:val="5"/>
        </w:rPr>
        <w:t> </w:t>
      </w:r>
      <w:r>
        <w:rPr/>
        <w:t>日向中国证券监督管理委员会提交了《公募基金管理公司设立、公募基金管理</w:t>
      </w:r>
    </w:p>
    <w:p>
      <w:pPr>
        <w:pStyle w:val="BodyText"/>
        <w:spacing w:line="324" w:lineRule="auto" w:before="23"/>
        <w:ind w:left="200" w:right="1423"/>
        <w:jc w:val="left"/>
      </w:pPr>
      <w:r>
        <w:rPr>
          <w:spacing w:val="-12"/>
        </w:rPr>
        <w:t>人资格审批》的申请材料，申请材料已经接受。截止</w:t>
      </w:r>
      <w:r>
        <w:rPr/>
        <w:t> </w:t>
      </w:r>
      <w:r>
        <w:rPr>
          <w:rFonts w:ascii="华文细黑" w:hAnsi="华文细黑" w:cs="华文细黑" w:eastAsia="华文细黑" w:hint="default"/>
        </w:rPr>
        <w:t>2018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31 </w:t>
      </w:r>
      <w:r>
        <w:rPr>
          <w:spacing w:val="-9"/>
        </w:rPr>
        <w:t>日，公司已缴纳筹备经费</w:t>
      </w:r>
      <w:r>
        <w:rPr>
          <w:spacing w:val="16"/>
        </w:rPr>
        <w:t> </w:t>
      </w:r>
      <w:r>
        <w:rPr>
          <w:rFonts w:ascii="华文细黑" w:hAnsi="华文细黑" w:cs="华文细黑" w:eastAsia="华文细黑" w:hint="default"/>
        </w:rPr>
        <w:t>1,800 </w:t>
      </w:r>
      <w:r>
        <w:rPr/>
        <w:t>万元。</w:t>
      </w:r>
    </w:p>
    <w:p>
      <w:pPr>
        <w:pStyle w:val="Heading5"/>
        <w:spacing w:line="240" w:lineRule="auto" w:before="64"/>
        <w:ind w:left="620" w:right="1289"/>
        <w:jc w:val="left"/>
        <w:rPr>
          <w:b w:val="0"/>
          <w:bCs w:val="0"/>
        </w:rPr>
      </w:pPr>
      <w:bookmarkStart w:name="18、短期借款" w:id="281"/>
      <w:bookmarkEnd w:id="281"/>
      <w:r>
        <w:rPr>
          <w:b w:val="0"/>
          <w:bCs w:val="0"/>
        </w:rPr>
      </w:r>
      <w:r>
        <w:rPr>
          <w:rFonts w:ascii="华文细黑" w:hAnsi="华文细黑" w:cs="华文细黑" w:eastAsia="华文细黑" w:hint="default"/>
        </w:rPr>
        <w:t>18</w:t>
      </w:r>
      <w:r>
        <w:rPr/>
        <w:t>、短期借款</w:t>
      </w:r>
      <w:r>
        <w:rPr>
          <w:b w:val="0"/>
          <w:bCs w:val="0"/>
        </w:rPr>
      </w:r>
    </w:p>
    <w:p>
      <w:pPr>
        <w:spacing w:line="240" w:lineRule="auto" w:before="6"/>
        <w:rPr>
          <w:rFonts w:ascii="华文细黑" w:hAnsi="华文细黑" w:cs="华文细黑" w:eastAsia="华文细黑" w:hint="default"/>
          <w:b/>
          <w:bCs/>
          <w:sz w:val="5"/>
          <w:szCs w:val="5"/>
        </w:rPr>
      </w:pPr>
    </w:p>
    <w:tbl>
      <w:tblPr>
        <w:tblW w:w="0" w:type="auto"/>
        <w:jc w:val="left"/>
        <w:tblInd w:w="167" w:type="dxa"/>
        <w:tblLayout w:type="fixed"/>
        <w:tblCellMar>
          <w:top w:w="0" w:type="dxa"/>
          <w:left w:w="0" w:type="dxa"/>
          <w:bottom w:w="0" w:type="dxa"/>
          <w:right w:w="0" w:type="dxa"/>
        </w:tblCellMar>
        <w:tblLook w:val="01E0"/>
      </w:tblPr>
      <w:tblGrid>
        <w:gridCol w:w="3327"/>
        <w:gridCol w:w="3051"/>
        <w:gridCol w:w="2716"/>
      </w:tblGrid>
      <w:tr>
        <w:trPr>
          <w:trHeight w:val="490" w:hRule="exact"/>
        </w:trPr>
        <w:tc>
          <w:tcPr>
            <w:tcW w:w="332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38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30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3"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7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0" w:hRule="exact"/>
        </w:trPr>
        <w:tc>
          <w:tcPr>
            <w:tcW w:w="332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保证借款</w:t>
            </w:r>
          </w:p>
        </w:tc>
        <w:tc>
          <w:tcPr>
            <w:tcW w:w="305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pacing w:val="-1"/>
                <w:sz w:val="18"/>
              </w:rPr>
              <w:t>2,592,944,700.00</w:t>
            </w:r>
          </w:p>
        </w:tc>
        <w:tc>
          <w:tcPr>
            <w:tcW w:w="27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1,982,966,940.00</w:t>
            </w:r>
          </w:p>
        </w:tc>
      </w:tr>
      <w:tr>
        <w:trPr>
          <w:trHeight w:val="491" w:hRule="exact"/>
        </w:trPr>
        <w:tc>
          <w:tcPr>
            <w:tcW w:w="332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质押借款</w:t>
            </w:r>
          </w:p>
        </w:tc>
        <w:tc>
          <w:tcPr>
            <w:tcW w:w="305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pacing w:val="-1"/>
                <w:sz w:val="18"/>
              </w:rPr>
              <w:t>1,044,023,074.36</w:t>
            </w:r>
          </w:p>
        </w:tc>
        <w:tc>
          <w:tcPr>
            <w:tcW w:w="27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332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38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305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3,636,967,774.36</w:t>
            </w:r>
            <w:r>
              <w:rPr>
                <w:rFonts w:ascii="华文细黑"/>
                <w:sz w:val="18"/>
              </w:rPr>
            </w:r>
          </w:p>
        </w:tc>
        <w:tc>
          <w:tcPr>
            <w:tcW w:w="27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1,982,966,940.00</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pStyle w:val="BodyText"/>
        <w:spacing w:line="324" w:lineRule="auto" w:before="10"/>
        <w:ind w:left="200" w:right="1426" w:firstLine="420"/>
        <w:jc w:val="left"/>
      </w:pPr>
      <w:r>
        <w:rPr>
          <w:spacing w:val="-3"/>
        </w:rPr>
        <w:t>注：（</w:t>
      </w:r>
      <w:r>
        <w:rPr>
          <w:rFonts w:ascii="华文细黑" w:hAnsi="华文细黑" w:cs="华文细黑" w:eastAsia="华文细黑" w:hint="default"/>
          <w:spacing w:val="-3"/>
        </w:rPr>
        <w:t>1</w:t>
      </w:r>
      <w:r>
        <w:rPr>
          <w:spacing w:val="-3"/>
        </w:rPr>
        <w:t>）上述短期借款中包含全资子公司西藏酷爱通信有限公司贴现本公司开具的信用证和银</w:t>
      </w:r>
      <w:r>
        <w:rPr/>
        <w:t> 行承兑汇票而转入的保证借款 </w:t>
      </w:r>
      <w:r>
        <w:rPr>
          <w:rFonts w:ascii="华文细黑" w:hAnsi="华文细黑" w:cs="华文细黑" w:eastAsia="华文细黑" w:hint="default"/>
        </w:rPr>
        <w:t>512,850,000.00 </w:t>
      </w:r>
      <w:r>
        <w:rPr/>
        <w:t>元、质押借款 </w:t>
      </w:r>
      <w:r>
        <w:rPr>
          <w:rFonts w:ascii="华文细黑" w:hAnsi="华文细黑" w:cs="华文细黑" w:eastAsia="华文细黑" w:hint="default"/>
        </w:rPr>
        <w:t>522,500,000.00</w:t>
      </w:r>
      <w:r>
        <w:rPr>
          <w:rFonts w:ascii="华文细黑" w:hAnsi="华文细黑" w:cs="华文细黑" w:eastAsia="华文细黑" w:hint="default"/>
          <w:spacing w:val="-1"/>
        </w:rPr>
        <w:t> </w:t>
      </w:r>
      <w:r>
        <w:rPr/>
        <w:t>元。</w:t>
      </w:r>
    </w:p>
    <w:p>
      <w:pPr>
        <w:pStyle w:val="BodyText"/>
        <w:spacing w:line="240" w:lineRule="auto" w:before="64"/>
        <w:ind w:left="620" w:right="1289"/>
        <w:jc w:val="left"/>
      </w:pPr>
      <w:r>
        <w:rPr/>
        <w:t>（</w:t>
      </w:r>
      <w:r>
        <w:rPr>
          <w:rFonts w:ascii="华文细黑" w:hAnsi="华文细黑" w:cs="华文细黑" w:eastAsia="华文细黑" w:hint="default"/>
        </w:rPr>
        <w:t>2</w:t>
      </w:r>
      <w:r>
        <w:rPr/>
        <w:t>）质押借款中包含附追索权取得的应收账款保理融资款 </w:t>
      </w:r>
      <w:r>
        <w:rPr>
          <w:rFonts w:ascii="华文细黑" w:hAnsi="华文细黑" w:cs="华文细黑" w:eastAsia="华文细黑" w:hint="default"/>
        </w:rPr>
        <w:t>18,584,274.36 </w:t>
      </w:r>
      <w:r>
        <w:rPr/>
        <w:t>元。</w:t>
      </w:r>
    </w:p>
    <w:p>
      <w:pPr>
        <w:spacing w:after="0" w:line="240" w:lineRule="auto"/>
        <w:jc w:val="left"/>
        <w:sectPr>
          <w:pgSz w:w="11910" w:h="16840"/>
          <w:pgMar w:header="917" w:footer="1019" w:top="1100" w:bottom="1200" w:left="1240" w:right="0"/>
        </w:sectPr>
      </w:pPr>
    </w:p>
    <w:p>
      <w:pPr>
        <w:spacing w:line="240" w:lineRule="auto" w:before="9"/>
        <w:rPr>
          <w:rFonts w:ascii="华文细黑" w:hAnsi="华文细黑" w:cs="华文细黑" w:eastAsia="华文细黑" w:hint="default"/>
          <w:sz w:val="27"/>
          <w:szCs w:val="27"/>
        </w:rPr>
      </w:pPr>
    </w:p>
    <w:p>
      <w:pPr>
        <w:pStyle w:val="BodyText"/>
        <w:spacing w:line="355" w:lineRule="auto" w:before="10"/>
        <w:ind w:left="620" w:right="1846"/>
        <w:jc w:val="left"/>
        <w:rPr>
          <w:rFonts w:ascii="华文细黑" w:hAnsi="华文细黑" w:cs="华文细黑" w:eastAsia="华文细黑" w:hint="default"/>
        </w:rPr>
      </w:pPr>
      <w:r>
        <w:rPr/>
        <w:pict>
          <v:shape style="position:absolute;margin-left:67.739998pt;margin-top:63.121738pt;width:460.7pt;height:98.55pt;mso-position-horizontal-relative:page;mso-position-vertical-relative:paragraph;z-index:143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345"/>
                    <w:gridCol w:w="2987"/>
                    <w:gridCol w:w="2867"/>
                  </w:tblGrid>
                  <w:tr>
                    <w:trPr>
                      <w:trHeight w:val="490" w:hRule="exact"/>
                    </w:trPr>
                    <w:tc>
                      <w:tcPr>
                        <w:tcW w:w="33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39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种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类</w:t>
                        </w:r>
                      </w:p>
                    </w:tc>
                    <w:tc>
                      <w:tcPr>
                        <w:tcW w:w="298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8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1" w:hRule="exact"/>
                    </w:trPr>
                    <w:tc>
                      <w:tcPr>
                        <w:tcW w:w="33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应付票据</w:t>
                        </w:r>
                      </w:p>
                    </w:tc>
                    <w:tc>
                      <w:tcPr>
                        <w:tcW w:w="298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28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33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应付账款</w:t>
                        </w:r>
                      </w:p>
                    </w:tc>
                    <w:tc>
                      <w:tcPr>
                        <w:tcW w:w="298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176,250,914.20</w:t>
                        </w:r>
                      </w:p>
                    </w:tc>
                    <w:tc>
                      <w:tcPr>
                        <w:tcW w:w="28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pacing w:val="-1"/>
                            <w:sz w:val="18"/>
                          </w:rPr>
                          <w:t>2,855,479,741.27</w:t>
                        </w:r>
                      </w:p>
                    </w:tc>
                  </w:tr>
                  <w:tr>
                    <w:trPr>
                      <w:trHeight w:val="491" w:hRule="exact"/>
                    </w:trPr>
                    <w:tc>
                      <w:tcPr>
                        <w:tcW w:w="33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39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98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176,250,914.20</w:t>
                        </w:r>
                        <w:r>
                          <w:rPr>
                            <w:rFonts w:ascii="华文细黑"/>
                            <w:sz w:val="18"/>
                          </w:rPr>
                        </w:r>
                      </w:p>
                    </w:tc>
                    <w:tc>
                      <w:tcPr>
                        <w:tcW w:w="28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2,855,479,741.27</w:t>
                        </w:r>
                        <w:r>
                          <w:rPr>
                            <w:rFonts w:ascii="华文细黑"/>
                            <w:sz w:val="18"/>
                          </w:rPr>
                        </w:r>
                      </w:p>
                    </w:tc>
                  </w:tr>
                </w:tbl>
                <w:p>
                  <w:pPr/>
                </w:p>
              </w:txbxContent>
            </v:textbox>
            <w10:wrap type="none"/>
          </v:shape>
        </w:pict>
      </w:r>
      <w:r>
        <w:rPr>
          <w:spacing w:val="-11"/>
        </w:rPr>
        <w:t>（</w:t>
      </w:r>
      <w:r>
        <w:rPr>
          <w:rFonts w:ascii="华文细黑" w:hAnsi="华文细黑" w:cs="华文细黑" w:eastAsia="华文细黑" w:hint="default"/>
          <w:spacing w:val="-11"/>
        </w:rPr>
        <w:t>3</w:t>
      </w:r>
      <w:r>
        <w:rPr>
          <w:spacing w:val="-11"/>
        </w:rPr>
        <w:t>）保证借款的保证人以及金额，参见附注十一、</w:t>
      </w:r>
      <w:r>
        <w:rPr>
          <w:rFonts w:ascii="华文细黑" w:hAnsi="华文细黑" w:cs="华文细黑" w:eastAsia="华文细黑" w:hint="default"/>
          <w:spacing w:val="-11"/>
        </w:rPr>
        <w:t>5</w:t>
      </w:r>
      <w:r>
        <w:rPr>
          <w:spacing w:val="-11"/>
        </w:rPr>
        <w:t>、（</w:t>
      </w:r>
      <w:r>
        <w:rPr>
          <w:rFonts w:ascii="华文细黑" w:hAnsi="华文细黑" w:cs="华文细黑" w:eastAsia="华文细黑" w:hint="default"/>
          <w:spacing w:val="-11"/>
        </w:rPr>
        <w:t>2</w:t>
      </w:r>
      <w:r>
        <w:rPr>
          <w:spacing w:val="-11"/>
        </w:rPr>
        <w:t>）；</w:t>
      </w:r>
      <w:r>
        <w:rPr>
          <w:spacing w:val="-51"/>
        </w:rPr>
        <w:t> </w:t>
      </w:r>
      <w:r>
        <w:rPr/>
        <w:t>质押借款的质押资产类别以及金额，参见附注六、</w:t>
      </w:r>
      <w:r>
        <w:rPr>
          <w:rFonts w:ascii="华文细黑" w:hAnsi="华文细黑" w:cs="华文细黑" w:eastAsia="华文细黑" w:hint="default"/>
        </w:rPr>
        <w:t>1</w:t>
      </w:r>
      <w:r>
        <w:rPr/>
        <w:t>、附注六、</w:t>
      </w:r>
      <w:r>
        <w:rPr>
          <w:rFonts w:ascii="华文细黑" w:hAnsi="华文细黑" w:cs="华文细黑" w:eastAsia="华文细黑" w:hint="default"/>
        </w:rPr>
        <w:t>2 </w:t>
      </w:r>
      <w:r>
        <w:rPr>
          <w:spacing w:val="-9"/>
        </w:rPr>
        <w:t>及附注六、</w:t>
      </w:r>
      <w:r>
        <w:rPr>
          <w:rFonts w:ascii="华文细黑" w:hAnsi="华文细黑" w:cs="华文细黑" w:eastAsia="华文细黑" w:hint="default"/>
          <w:spacing w:val="-9"/>
        </w:rPr>
        <w:t>3</w:t>
      </w:r>
      <w:r>
        <w:rPr>
          <w:spacing w:val="-9"/>
        </w:rPr>
        <w:t>、（</w:t>
      </w:r>
      <w:r>
        <w:rPr>
          <w:rFonts w:ascii="华文细黑" w:hAnsi="华文细黑" w:cs="华文细黑" w:eastAsia="华文细黑" w:hint="default"/>
          <w:spacing w:val="-9"/>
        </w:rPr>
        <w:t>1</w:t>
      </w:r>
      <w:r>
        <w:rPr>
          <w:spacing w:val="-9"/>
        </w:rPr>
        <w:t>）④。</w:t>
      </w:r>
      <w:r>
        <w:rPr/>
        <w:t> </w:t>
      </w:r>
      <w:bookmarkStart w:name="19、应付票据及应付账款" w:id="282"/>
      <w:bookmarkEnd w:id="282"/>
      <w:r>
        <w:rPr/>
      </w:r>
      <w:r>
        <w:rPr>
          <w:rFonts w:ascii="华文细黑" w:hAnsi="华文细黑" w:cs="华文细黑" w:eastAsia="华文细黑" w:hint="default"/>
          <w:b/>
          <w:bCs/>
        </w:rPr>
        <w:t>19</w:t>
      </w:r>
      <w:r>
        <w:rPr>
          <w:rFonts w:ascii="华文细黑" w:hAnsi="华文细黑" w:cs="华文细黑" w:eastAsia="华文细黑" w:hint="default"/>
          <w:b/>
          <w:bCs/>
        </w:rPr>
        <w:t>、应付票据及应付账款</w:t>
      </w:r>
      <w:r>
        <w:rPr>
          <w:rFonts w:ascii="华文细黑" w:hAnsi="华文细黑" w:cs="华文细黑" w:eastAsia="华文细黑" w:hint="default"/>
        </w:rPr>
      </w: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3"/>
        <w:rPr>
          <w:rFonts w:ascii="华文细黑" w:hAnsi="华文细黑" w:cs="华文细黑" w:eastAsia="华文细黑" w:hint="default"/>
          <w:b/>
          <w:bCs/>
          <w:sz w:val="24"/>
          <w:szCs w:val="24"/>
        </w:rPr>
      </w:pPr>
    </w:p>
    <w:p>
      <w:pPr>
        <w:pStyle w:val="BodyText"/>
        <w:spacing w:line="240" w:lineRule="auto" w:before="10"/>
        <w:ind w:left="620" w:right="1289"/>
        <w:jc w:val="left"/>
      </w:pPr>
      <w:r>
        <w:rPr/>
        <w:t>应付账款</w:t>
      </w:r>
    </w:p>
    <w:p>
      <w:pPr>
        <w:spacing w:line="240" w:lineRule="auto" w:before="5"/>
        <w:rPr>
          <w:rFonts w:ascii="华文细黑" w:hAnsi="华文细黑" w:cs="华文细黑" w:eastAsia="华文细黑"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3296"/>
        <w:gridCol w:w="3059"/>
        <w:gridCol w:w="2844"/>
      </w:tblGrid>
      <w:tr>
        <w:trPr>
          <w:trHeight w:val="490" w:hRule="exact"/>
        </w:trPr>
        <w:tc>
          <w:tcPr>
            <w:tcW w:w="32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32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30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3"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8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0" w:hRule="exact"/>
        </w:trPr>
        <w:tc>
          <w:tcPr>
            <w:tcW w:w="32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应付货款</w:t>
            </w:r>
          </w:p>
        </w:tc>
        <w:tc>
          <w:tcPr>
            <w:tcW w:w="305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176,250,914.20</w:t>
            </w:r>
          </w:p>
        </w:tc>
        <w:tc>
          <w:tcPr>
            <w:tcW w:w="28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pacing w:val="-1"/>
                <w:sz w:val="18"/>
              </w:rPr>
              <w:t>2,855,479,741.27</w:t>
            </w:r>
          </w:p>
        </w:tc>
      </w:tr>
      <w:tr>
        <w:trPr>
          <w:trHeight w:val="491" w:hRule="exact"/>
        </w:trPr>
        <w:tc>
          <w:tcPr>
            <w:tcW w:w="32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5"/>
              <w:ind w:right="132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305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b/>
                <w:w w:val="95"/>
                <w:sz w:val="18"/>
              </w:rPr>
              <w:t>176,250,914.20</w:t>
            </w:r>
            <w:r>
              <w:rPr>
                <w:rFonts w:ascii="华文细黑"/>
                <w:sz w:val="18"/>
              </w:rPr>
            </w:r>
          </w:p>
        </w:tc>
        <w:tc>
          <w:tcPr>
            <w:tcW w:w="28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b/>
                <w:w w:val="95"/>
                <w:sz w:val="18"/>
              </w:rPr>
              <w:t>2,855,479,741.27</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Heading5"/>
        <w:spacing w:line="240" w:lineRule="auto"/>
        <w:ind w:left="620" w:right="1289"/>
        <w:jc w:val="left"/>
        <w:rPr>
          <w:b w:val="0"/>
          <w:bCs w:val="0"/>
        </w:rPr>
      </w:pPr>
      <w:bookmarkStart w:name="20、预收款项" w:id="283"/>
      <w:bookmarkEnd w:id="283"/>
      <w:r>
        <w:rPr>
          <w:b w:val="0"/>
          <w:bCs w:val="0"/>
        </w:rPr>
      </w:r>
      <w:r>
        <w:rPr>
          <w:rFonts w:ascii="华文细黑" w:hAnsi="华文细黑" w:cs="华文细黑" w:eastAsia="华文细黑" w:hint="default"/>
        </w:rPr>
        <w:t>20</w:t>
      </w:r>
      <w:r>
        <w:rPr/>
        <w:t>、预收款项</w:t>
      </w:r>
      <w:r>
        <w:rPr>
          <w:b w:val="0"/>
          <w:bCs w:val="0"/>
        </w:rPr>
      </w:r>
    </w:p>
    <w:p>
      <w:pPr>
        <w:spacing w:line="240" w:lineRule="auto" w:before="5"/>
        <w:rPr>
          <w:rFonts w:ascii="华文细黑" w:hAnsi="华文细黑" w:cs="华文细黑" w:eastAsia="华文细黑" w:hint="default"/>
          <w:b/>
          <w:bCs/>
          <w:sz w:val="5"/>
          <w:szCs w:val="5"/>
        </w:rPr>
      </w:pPr>
    </w:p>
    <w:tbl>
      <w:tblPr>
        <w:tblW w:w="0" w:type="auto"/>
        <w:jc w:val="left"/>
        <w:tblInd w:w="102" w:type="dxa"/>
        <w:tblLayout w:type="fixed"/>
        <w:tblCellMar>
          <w:top w:w="0" w:type="dxa"/>
          <w:left w:w="0" w:type="dxa"/>
          <w:bottom w:w="0" w:type="dxa"/>
          <w:right w:w="0" w:type="dxa"/>
        </w:tblCellMar>
        <w:tblLook w:val="01E0"/>
      </w:tblPr>
      <w:tblGrid>
        <w:gridCol w:w="3378"/>
        <w:gridCol w:w="2916"/>
        <w:gridCol w:w="2916"/>
      </w:tblGrid>
      <w:tr>
        <w:trPr>
          <w:trHeight w:val="490" w:hRule="exact"/>
        </w:trPr>
        <w:tc>
          <w:tcPr>
            <w:tcW w:w="33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36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9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9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1" w:hRule="exact"/>
        </w:trPr>
        <w:tc>
          <w:tcPr>
            <w:tcW w:w="33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预收货款</w:t>
            </w:r>
          </w:p>
        </w:tc>
        <w:tc>
          <w:tcPr>
            <w:tcW w:w="2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514,975,304.31</w:t>
            </w:r>
          </w:p>
        </w:tc>
        <w:tc>
          <w:tcPr>
            <w:tcW w:w="2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669,371,497.39</w:t>
            </w:r>
          </w:p>
        </w:tc>
      </w:tr>
      <w:tr>
        <w:trPr>
          <w:trHeight w:val="490" w:hRule="exact"/>
        </w:trPr>
        <w:tc>
          <w:tcPr>
            <w:tcW w:w="33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5"/>
              <w:ind w:right="136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2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b/>
                <w:w w:val="95"/>
                <w:sz w:val="18"/>
              </w:rPr>
              <w:t>514,975,304.31</w:t>
            </w:r>
            <w:r>
              <w:rPr>
                <w:rFonts w:ascii="华文细黑"/>
                <w:sz w:val="18"/>
              </w:rPr>
            </w:r>
          </w:p>
        </w:tc>
        <w:tc>
          <w:tcPr>
            <w:tcW w:w="29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b/>
                <w:w w:val="95"/>
                <w:sz w:val="18"/>
              </w:rPr>
              <w:t>669,371,497.39</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spacing w:before="10"/>
        <w:ind w:left="620" w:right="1289" w:firstLine="0"/>
        <w:jc w:val="left"/>
        <w:rPr>
          <w:rFonts w:ascii="华文细黑" w:hAnsi="华文细黑" w:cs="华文细黑" w:eastAsia="华文细黑" w:hint="default"/>
          <w:sz w:val="21"/>
          <w:szCs w:val="21"/>
        </w:rPr>
      </w:pPr>
      <w:bookmarkStart w:name="21、应付职工薪酬" w:id="284"/>
      <w:bookmarkEnd w:id="284"/>
      <w:r>
        <w:rPr/>
      </w:r>
      <w:r>
        <w:rPr>
          <w:rFonts w:ascii="华文细黑" w:hAnsi="华文细黑" w:cs="华文细黑" w:eastAsia="华文细黑" w:hint="default"/>
          <w:b/>
          <w:bCs/>
          <w:sz w:val="21"/>
          <w:szCs w:val="21"/>
        </w:rPr>
        <w:t>21</w:t>
      </w:r>
      <w:r>
        <w:rPr>
          <w:rFonts w:ascii="华文细黑" w:hAnsi="华文细黑" w:cs="华文细黑" w:eastAsia="华文细黑" w:hint="default"/>
          <w:b/>
          <w:bCs/>
          <w:sz w:val="21"/>
          <w:szCs w:val="21"/>
        </w:rPr>
        <w:t>、应付职工薪酬</w:t>
      </w:r>
      <w:r>
        <w:rPr>
          <w:rFonts w:ascii="华文细黑" w:hAnsi="华文细黑" w:cs="华文细黑" w:eastAsia="华文细黑" w:hint="default"/>
          <w:sz w:val="21"/>
          <w:szCs w:val="21"/>
        </w:rPr>
      </w:r>
    </w:p>
    <w:p>
      <w:pPr>
        <w:pStyle w:val="BodyText"/>
        <w:spacing w:line="240" w:lineRule="auto" w:before="142"/>
        <w:ind w:left="620" w:right="1289"/>
        <w:jc w:val="left"/>
      </w:pPr>
      <w:r>
        <w:rPr/>
        <w:t>（</w:t>
      </w:r>
      <w:r>
        <w:rPr>
          <w:rFonts w:ascii="华文细黑" w:hAnsi="华文细黑" w:cs="华文细黑" w:eastAsia="华文细黑" w:hint="default"/>
        </w:rPr>
        <w:t>1</w:t>
      </w:r>
      <w:r>
        <w:rPr/>
        <w:t>）应付职工薪酬列示</w:t>
      </w:r>
    </w:p>
    <w:p>
      <w:pPr>
        <w:spacing w:line="240" w:lineRule="auto" w:before="6"/>
        <w:rPr>
          <w:rFonts w:ascii="华文细黑" w:hAnsi="华文细黑" w:cs="华文细黑" w:eastAsia="华文细黑"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2763"/>
        <w:gridCol w:w="1572"/>
        <w:gridCol w:w="1636"/>
        <w:gridCol w:w="1668"/>
        <w:gridCol w:w="1560"/>
      </w:tblGrid>
      <w:tr>
        <w:trPr>
          <w:trHeight w:val="490" w:hRule="exact"/>
        </w:trPr>
        <w:tc>
          <w:tcPr>
            <w:tcW w:w="2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项目</w:t>
            </w:r>
          </w:p>
        </w:tc>
        <w:tc>
          <w:tcPr>
            <w:tcW w:w="157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2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16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5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本年增加</w:t>
            </w:r>
          </w:p>
        </w:tc>
        <w:tc>
          <w:tcPr>
            <w:tcW w:w="16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6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本年减少</w:t>
            </w:r>
          </w:p>
        </w:tc>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1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491" w:hRule="exact"/>
        </w:trPr>
        <w:tc>
          <w:tcPr>
            <w:tcW w:w="2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一、短期薪酬</w:t>
            </w:r>
          </w:p>
        </w:tc>
        <w:tc>
          <w:tcPr>
            <w:tcW w:w="157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93,446,367.79</w:t>
            </w:r>
          </w:p>
        </w:tc>
        <w:tc>
          <w:tcPr>
            <w:tcW w:w="16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361,385,260.42</w:t>
            </w:r>
          </w:p>
        </w:tc>
        <w:tc>
          <w:tcPr>
            <w:tcW w:w="16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401,075,867.16</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53,755,761.05</w:t>
            </w:r>
          </w:p>
        </w:tc>
      </w:tr>
      <w:tr>
        <w:trPr>
          <w:trHeight w:val="490" w:hRule="exact"/>
        </w:trPr>
        <w:tc>
          <w:tcPr>
            <w:tcW w:w="2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二、离职后福利</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设定提存计划</w:t>
            </w:r>
          </w:p>
        </w:tc>
        <w:tc>
          <w:tcPr>
            <w:tcW w:w="157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484,823.17</w:t>
            </w:r>
          </w:p>
        </w:tc>
        <w:tc>
          <w:tcPr>
            <w:tcW w:w="16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pacing w:val="-1"/>
                <w:sz w:val="18"/>
              </w:rPr>
              <w:t>19,418,858.94</w:t>
            </w:r>
          </w:p>
        </w:tc>
        <w:tc>
          <w:tcPr>
            <w:tcW w:w="16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19,376,234.78</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w w:val="95"/>
                <w:sz w:val="18"/>
              </w:rPr>
              <w:t>527,447.33</w:t>
            </w:r>
          </w:p>
        </w:tc>
      </w:tr>
      <w:tr>
        <w:trPr>
          <w:trHeight w:val="490" w:hRule="exact"/>
        </w:trPr>
        <w:tc>
          <w:tcPr>
            <w:tcW w:w="2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三、辞退福利</w:t>
            </w:r>
          </w:p>
        </w:tc>
        <w:tc>
          <w:tcPr>
            <w:tcW w:w="157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6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13,109.00</w:t>
            </w:r>
          </w:p>
        </w:tc>
        <w:tc>
          <w:tcPr>
            <w:tcW w:w="16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13,109.00</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27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57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93,931,190.96</w:t>
            </w:r>
            <w:r>
              <w:rPr>
                <w:rFonts w:ascii="华文细黑"/>
                <w:sz w:val="18"/>
              </w:rPr>
            </w:r>
          </w:p>
        </w:tc>
        <w:tc>
          <w:tcPr>
            <w:tcW w:w="16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380,817,228.36</w:t>
            </w:r>
            <w:r>
              <w:rPr>
                <w:rFonts w:ascii="华文细黑"/>
                <w:sz w:val="18"/>
              </w:rPr>
            </w:r>
          </w:p>
        </w:tc>
        <w:tc>
          <w:tcPr>
            <w:tcW w:w="16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420,465,210.94</w:t>
            </w:r>
            <w:r>
              <w:rPr>
                <w:rFonts w:ascii="华文细黑"/>
                <w:sz w:val="18"/>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b/>
                <w:w w:val="95"/>
                <w:sz w:val="18"/>
              </w:rPr>
              <w:t>54,283,208.38</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20" w:right="1289"/>
        <w:jc w:val="left"/>
      </w:pPr>
      <w:r>
        <w:rPr/>
        <w:t>（</w:t>
      </w:r>
      <w:r>
        <w:rPr>
          <w:rFonts w:ascii="华文细黑" w:hAnsi="华文细黑" w:cs="华文细黑" w:eastAsia="华文细黑" w:hint="default"/>
        </w:rPr>
        <w:t>2</w:t>
      </w:r>
      <w:r>
        <w:rPr/>
        <w:t>）短期薪酬列示</w:t>
      </w:r>
    </w:p>
    <w:p>
      <w:pPr>
        <w:spacing w:line="240" w:lineRule="auto" w:before="5"/>
        <w:rPr>
          <w:rFonts w:ascii="华文细黑" w:hAnsi="华文细黑" w:cs="华文细黑" w:eastAsia="华文细黑"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2767"/>
        <w:gridCol w:w="1584"/>
        <w:gridCol w:w="1667"/>
        <w:gridCol w:w="1679"/>
        <w:gridCol w:w="1502"/>
      </w:tblGrid>
      <w:tr>
        <w:trPr>
          <w:trHeight w:val="490" w:hRule="exact"/>
        </w:trPr>
        <w:tc>
          <w:tcPr>
            <w:tcW w:w="27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项目</w:t>
            </w:r>
          </w:p>
        </w:tc>
        <w:tc>
          <w:tcPr>
            <w:tcW w:w="15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3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16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6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本年增加</w:t>
            </w:r>
          </w:p>
        </w:tc>
        <w:tc>
          <w:tcPr>
            <w:tcW w:w="167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7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本年减少</w:t>
            </w:r>
          </w:p>
        </w:tc>
        <w:tc>
          <w:tcPr>
            <w:tcW w:w="15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38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491" w:hRule="exact"/>
        </w:trPr>
        <w:tc>
          <w:tcPr>
            <w:tcW w:w="27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、工资、奖金、津贴和补贴</w:t>
            </w:r>
          </w:p>
        </w:tc>
        <w:tc>
          <w:tcPr>
            <w:tcW w:w="158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91,240,564.94</w:t>
            </w:r>
          </w:p>
        </w:tc>
        <w:tc>
          <w:tcPr>
            <w:tcW w:w="16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330,631,444.32</w:t>
            </w:r>
          </w:p>
        </w:tc>
        <w:tc>
          <w:tcPr>
            <w:tcW w:w="16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370,124,269.66</w:t>
            </w:r>
          </w:p>
        </w:tc>
        <w:tc>
          <w:tcPr>
            <w:tcW w:w="1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51,747,739.60</w:t>
            </w:r>
          </w:p>
        </w:tc>
      </w:tr>
      <w:tr>
        <w:trPr>
          <w:trHeight w:val="490" w:hRule="exact"/>
        </w:trPr>
        <w:tc>
          <w:tcPr>
            <w:tcW w:w="27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、职工福利费</w:t>
            </w:r>
          </w:p>
        </w:tc>
        <w:tc>
          <w:tcPr>
            <w:tcW w:w="158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6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pacing w:val="-1"/>
                <w:sz w:val="18"/>
              </w:rPr>
              <w:t>9,407,249.91</w:t>
            </w:r>
          </w:p>
        </w:tc>
        <w:tc>
          <w:tcPr>
            <w:tcW w:w="16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9,407,249.91</w:t>
            </w:r>
          </w:p>
        </w:tc>
        <w:tc>
          <w:tcPr>
            <w:tcW w:w="1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27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w:t>
            </w:r>
            <w:r>
              <w:rPr>
                <w:rFonts w:ascii="华文细黑" w:hAnsi="华文细黑" w:cs="华文细黑" w:eastAsia="华文细黑" w:hint="default"/>
                <w:sz w:val="18"/>
                <w:szCs w:val="18"/>
              </w:rPr>
              <w:t>、社会保险费</w:t>
            </w:r>
          </w:p>
        </w:tc>
        <w:tc>
          <w:tcPr>
            <w:tcW w:w="158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w w:val="95"/>
                <w:sz w:val="18"/>
              </w:rPr>
              <w:t>157,972.66</w:t>
            </w:r>
          </w:p>
        </w:tc>
        <w:tc>
          <w:tcPr>
            <w:tcW w:w="16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10,473,804.93</w:t>
            </w:r>
          </w:p>
        </w:tc>
        <w:tc>
          <w:tcPr>
            <w:tcW w:w="16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10,475,438.64</w:t>
            </w:r>
          </w:p>
        </w:tc>
        <w:tc>
          <w:tcPr>
            <w:tcW w:w="1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w w:val="95"/>
                <w:sz w:val="18"/>
              </w:rPr>
              <w:t>156,338.95</w:t>
            </w:r>
          </w:p>
        </w:tc>
      </w:tr>
      <w:tr>
        <w:trPr>
          <w:trHeight w:val="491" w:hRule="exact"/>
        </w:trPr>
        <w:tc>
          <w:tcPr>
            <w:tcW w:w="27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其中：医疗保险费</w:t>
            </w:r>
          </w:p>
        </w:tc>
        <w:tc>
          <w:tcPr>
            <w:tcW w:w="158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w w:val="95"/>
                <w:sz w:val="18"/>
              </w:rPr>
              <w:t>151,314.78</w:t>
            </w:r>
          </w:p>
        </w:tc>
        <w:tc>
          <w:tcPr>
            <w:tcW w:w="16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9,281,505.46</w:t>
            </w:r>
          </w:p>
        </w:tc>
        <w:tc>
          <w:tcPr>
            <w:tcW w:w="16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9,282,873.41</w:t>
            </w:r>
          </w:p>
        </w:tc>
        <w:tc>
          <w:tcPr>
            <w:tcW w:w="1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w w:val="95"/>
                <w:sz w:val="18"/>
              </w:rPr>
              <w:t>149,946.83</w:t>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240" w:right="0"/>
        </w:sectPr>
      </w:pPr>
    </w:p>
    <w:p>
      <w:pPr>
        <w:spacing w:line="240" w:lineRule="auto" w:before="8"/>
        <w:rPr>
          <w:rFonts w:ascii="华文细黑" w:hAnsi="华文细黑" w:cs="华文细黑" w:eastAsia="华文细黑" w:hint="default"/>
          <w:sz w:val="23"/>
          <w:szCs w:val="23"/>
        </w:rPr>
      </w:pPr>
    </w:p>
    <w:tbl>
      <w:tblPr>
        <w:tblW w:w="0" w:type="auto"/>
        <w:jc w:val="left"/>
        <w:tblInd w:w="102" w:type="dxa"/>
        <w:tblLayout w:type="fixed"/>
        <w:tblCellMar>
          <w:top w:w="0" w:type="dxa"/>
          <w:left w:w="0" w:type="dxa"/>
          <w:bottom w:w="0" w:type="dxa"/>
          <w:right w:w="0" w:type="dxa"/>
        </w:tblCellMar>
        <w:tblLook w:val="01E0"/>
      </w:tblPr>
      <w:tblGrid>
        <w:gridCol w:w="2790"/>
        <w:gridCol w:w="1572"/>
        <w:gridCol w:w="1667"/>
        <w:gridCol w:w="1679"/>
        <w:gridCol w:w="1502"/>
      </w:tblGrid>
      <w:tr>
        <w:trPr>
          <w:trHeight w:val="490" w:hRule="exact"/>
        </w:trPr>
        <w:tc>
          <w:tcPr>
            <w:tcW w:w="27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项目</w:t>
            </w:r>
          </w:p>
        </w:tc>
        <w:tc>
          <w:tcPr>
            <w:tcW w:w="157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2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16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6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本年增加</w:t>
            </w:r>
          </w:p>
        </w:tc>
        <w:tc>
          <w:tcPr>
            <w:tcW w:w="167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7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本年减少</w:t>
            </w:r>
          </w:p>
        </w:tc>
        <w:tc>
          <w:tcPr>
            <w:tcW w:w="15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38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491" w:hRule="exact"/>
        </w:trPr>
        <w:tc>
          <w:tcPr>
            <w:tcW w:w="27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56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工伤保险费</w:t>
            </w:r>
          </w:p>
        </w:tc>
        <w:tc>
          <w:tcPr>
            <w:tcW w:w="157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6,464.55</w:t>
            </w:r>
          </w:p>
        </w:tc>
        <w:tc>
          <w:tcPr>
            <w:tcW w:w="16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w w:val="95"/>
                <w:sz w:val="18"/>
              </w:rPr>
              <w:t>387,223.02</w:t>
            </w:r>
          </w:p>
        </w:tc>
        <w:tc>
          <w:tcPr>
            <w:tcW w:w="16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387,336.09</w:t>
            </w:r>
          </w:p>
        </w:tc>
        <w:tc>
          <w:tcPr>
            <w:tcW w:w="1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6,351.48</w:t>
            </w:r>
          </w:p>
        </w:tc>
      </w:tr>
      <w:tr>
        <w:trPr>
          <w:trHeight w:val="490" w:hRule="exact"/>
        </w:trPr>
        <w:tc>
          <w:tcPr>
            <w:tcW w:w="27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生育保险费</w:t>
            </w:r>
          </w:p>
        </w:tc>
        <w:tc>
          <w:tcPr>
            <w:tcW w:w="157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193.33</w:t>
            </w:r>
          </w:p>
        </w:tc>
        <w:tc>
          <w:tcPr>
            <w:tcW w:w="16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w w:val="95"/>
                <w:sz w:val="18"/>
              </w:rPr>
              <w:t>805,076.45</w:t>
            </w:r>
          </w:p>
        </w:tc>
        <w:tc>
          <w:tcPr>
            <w:tcW w:w="16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805,229.14</w:t>
            </w:r>
          </w:p>
        </w:tc>
        <w:tc>
          <w:tcPr>
            <w:tcW w:w="1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40.64</w:t>
            </w:r>
          </w:p>
        </w:tc>
      </w:tr>
      <w:tr>
        <w:trPr>
          <w:trHeight w:val="490" w:hRule="exact"/>
        </w:trPr>
        <w:tc>
          <w:tcPr>
            <w:tcW w:w="27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4</w:t>
            </w:r>
            <w:r>
              <w:rPr>
                <w:rFonts w:ascii="华文细黑" w:hAnsi="华文细黑" w:cs="华文细黑" w:eastAsia="华文细黑" w:hint="default"/>
                <w:sz w:val="18"/>
                <w:szCs w:val="18"/>
              </w:rPr>
              <w:t>、住房公积金</w:t>
            </w:r>
          </w:p>
        </w:tc>
        <w:tc>
          <w:tcPr>
            <w:tcW w:w="157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w w:val="95"/>
                <w:sz w:val="18"/>
              </w:rPr>
              <w:t>153,444.39</w:t>
            </w:r>
          </w:p>
        </w:tc>
        <w:tc>
          <w:tcPr>
            <w:tcW w:w="16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7,645,564.80</w:t>
            </w:r>
          </w:p>
        </w:tc>
        <w:tc>
          <w:tcPr>
            <w:tcW w:w="16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7,614,238.39</w:t>
            </w:r>
          </w:p>
        </w:tc>
        <w:tc>
          <w:tcPr>
            <w:tcW w:w="1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w w:val="95"/>
                <w:sz w:val="18"/>
              </w:rPr>
              <w:t>184,770.80</w:t>
            </w:r>
          </w:p>
        </w:tc>
      </w:tr>
      <w:tr>
        <w:trPr>
          <w:trHeight w:val="491" w:hRule="exact"/>
        </w:trPr>
        <w:tc>
          <w:tcPr>
            <w:tcW w:w="27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5"/>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5</w:t>
            </w:r>
            <w:r>
              <w:rPr>
                <w:rFonts w:ascii="华文细黑" w:hAnsi="华文细黑" w:cs="华文细黑" w:eastAsia="华文细黑" w:hint="default"/>
                <w:sz w:val="18"/>
                <w:szCs w:val="18"/>
              </w:rPr>
              <w:t>、工会经费和职工教育经费</w:t>
            </w:r>
          </w:p>
        </w:tc>
        <w:tc>
          <w:tcPr>
            <w:tcW w:w="157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1,891,934.19</w:t>
            </w:r>
          </w:p>
        </w:tc>
        <w:tc>
          <w:tcPr>
            <w:tcW w:w="16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2,250,763.17</w:t>
            </w:r>
          </w:p>
        </w:tc>
        <w:tc>
          <w:tcPr>
            <w:tcW w:w="16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2,478,237.27</w:t>
            </w:r>
          </w:p>
        </w:tc>
        <w:tc>
          <w:tcPr>
            <w:tcW w:w="1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1,664,460.09</w:t>
            </w:r>
          </w:p>
        </w:tc>
      </w:tr>
      <w:tr>
        <w:trPr>
          <w:trHeight w:val="490" w:hRule="exact"/>
        </w:trPr>
        <w:tc>
          <w:tcPr>
            <w:tcW w:w="27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6</w:t>
            </w:r>
            <w:r>
              <w:rPr>
                <w:rFonts w:ascii="华文细黑" w:hAnsi="华文细黑" w:cs="华文细黑" w:eastAsia="华文细黑" w:hint="default"/>
                <w:sz w:val="18"/>
                <w:szCs w:val="18"/>
              </w:rPr>
              <w:t>、短期带薪缺勤</w:t>
            </w:r>
          </w:p>
        </w:tc>
        <w:tc>
          <w:tcPr>
            <w:tcW w:w="157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6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6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27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7</w:t>
            </w:r>
            <w:r>
              <w:rPr>
                <w:rFonts w:ascii="华文细黑" w:hAnsi="华文细黑" w:cs="华文细黑" w:eastAsia="华文细黑" w:hint="default"/>
                <w:sz w:val="18"/>
                <w:szCs w:val="18"/>
              </w:rPr>
              <w:t>、短期利润分享计划</w:t>
            </w:r>
          </w:p>
        </w:tc>
        <w:tc>
          <w:tcPr>
            <w:tcW w:w="157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6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6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27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8</w:t>
            </w:r>
            <w:r>
              <w:rPr>
                <w:rFonts w:ascii="华文细黑" w:hAnsi="华文细黑" w:cs="华文细黑" w:eastAsia="华文细黑" w:hint="default"/>
                <w:sz w:val="18"/>
                <w:szCs w:val="18"/>
              </w:rPr>
              <w:t>、其他短期薪酬</w:t>
            </w:r>
          </w:p>
        </w:tc>
        <w:tc>
          <w:tcPr>
            <w:tcW w:w="157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2,451.61</w:t>
            </w:r>
          </w:p>
        </w:tc>
        <w:tc>
          <w:tcPr>
            <w:tcW w:w="16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w w:val="95"/>
                <w:sz w:val="18"/>
              </w:rPr>
              <w:t>976,433.29</w:t>
            </w:r>
          </w:p>
        </w:tc>
        <w:tc>
          <w:tcPr>
            <w:tcW w:w="16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976,433.29</w:t>
            </w:r>
          </w:p>
        </w:tc>
        <w:tc>
          <w:tcPr>
            <w:tcW w:w="1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2,451.61</w:t>
            </w:r>
          </w:p>
        </w:tc>
      </w:tr>
      <w:tr>
        <w:trPr>
          <w:trHeight w:val="490" w:hRule="exact"/>
        </w:trPr>
        <w:tc>
          <w:tcPr>
            <w:tcW w:w="279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57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b/>
                <w:w w:val="95"/>
                <w:sz w:val="18"/>
              </w:rPr>
              <w:t>93,446,367.79</w:t>
            </w:r>
            <w:r>
              <w:rPr>
                <w:rFonts w:ascii="华文细黑"/>
                <w:sz w:val="18"/>
              </w:rPr>
            </w:r>
          </w:p>
        </w:tc>
        <w:tc>
          <w:tcPr>
            <w:tcW w:w="16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b/>
                <w:w w:val="95"/>
                <w:sz w:val="18"/>
              </w:rPr>
              <w:t>361,385,260.42</w:t>
            </w:r>
            <w:r>
              <w:rPr>
                <w:rFonts w:ascii="华文细黑"/>
                <w:sz w:val="18"/>
              </w:rPr>
            </w:r>
          </w:p>
        </w:tc>
        <w:tc>
          <w:tcPr>
            <w:tcW w:w="16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401,075,867.16</w:t>
            </w:r>
            <w:r>
              <w:rPr>
                <w:rFonts w:ascii="华文细黑"/>
                <w:sz w:val="18"/>
              </w:rPr>
            </w:r>
          </w:p>
        </w:tc>
        <w:tc>
          <w:tcPr>
            <w:tcW w:w="1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b/>
                <w:w w:val="95"/>
                <w:sz w:val="18"/>
              </w:rPr>
              <w:t>53,755,761.05</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20" w:right="1289"/>
        <w:jc w:val="left"/>
      </w:pPr>
      <w:r>
        <w:rPr/>
        <w:t>（</w:t>
      </w:r>
      <w:r>
        <w:rPr>
          <w:rFonts w:ascii="华文细黑" w:hAnsi="华文细黑" w:cs="华文细黑" w:eastAsia="华文细黑" w:hint="default"/>
        </w:rPr>
        <w:t>3</w:t>
      </w:r>
      <w:r>
        <w:rPr/>
        <w:t>）设定提存计划列示</w:t>
      </w:r>
    </w:p>
    <w:p>
      <w:pPr>
        <w:spacing w:line="240" w:lineRule="auto" w:before="5"/>
        <w:rPr>
          <w:rFonts w:ascii="华文细黑" w:hAnsi="华文细黑" w:cs="华文细黑" w:eastAsia="华文细黑" w:hint="default"/>
          <w:sz w:val="5"/>
          <w:szCs w:val="5"/>
        </w:rPr>
      </w:pPr>
    </w:p>
    <w:tbl>
      <w:tblPr>
        <w:tblW w:w="0" w:type="auto"/>
        <w:jc w:val="left"/>
        <w:tblInd w:w="102" w:type="dxa"/>
        <w:tblLayout w:type="fixed"/>
        <w:tblCellMar>
          <w:top w:w="0" w:type="dxa"/>
          <w:left w:w="0" w:type="dxa"/>
          <w:bottom w:w="0" w:type="dxa"/>
          <w:right w:w="0" w:type="dxa"/>
        </w:tblCellMar>
        <w:tblLook w:val="01E0"/>
      </w:tblPr>
      <w:tblGrid>
        <w:gridCol w:w="2945"/>
        <w:gridCol w:w="1418"/>
        <w:gridCol w:w="1558"/>
        <w:gridCol w:w="1558"/>
        <w:gridCol w:w="1733"/>
      </w:tblGrid>
      <w:tr>
        <w:trPr>
          <w:trHeight w:val="518" w:hRule="exact"/>
        </w:trPr>
        <w:tc>
          <w:tcPr>
            <w:tcW w:w="29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项目</w:t>
            </w:r>
          </w:p>
        </w:tc>
        <w:tc>
          <w:tcPr>
            <w:tcW w:w="141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34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15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41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本年增加</w:t>
            </w:r>
          </w:p>
        </w:tc>
        <w:tc>
          <w:tcPr>
            <w:tcW w:w="15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41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本年减少</w:t>
            </w:r>
          </w:p>
        </w:tc>
        <w:tc>
          <w:tcPr>
            <w:tcW w:w="173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5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462" w:hRule="exact"/>
        </w:trPr>
        <w:tc>
          <w:tcPr>
            <w:tcW w:w="29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7"/>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、基本养老保险</w:t>
            </w:r>
          </w:p>
        </w:tc>
        <w:tc>
          <w:tcPr>
            <w:tcW w:w="141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17"/>
              <w:ind w:right="22"/>
              <w:jc w:val="right"/>
              <w:rPr>
                <w:rFonts w:ascii="华文细黑" w:hAnsi="华文细黑" w:cs="华文细黑" w:eastAsia="华文细黑" w:hint="default"/>
                <w:sz w:val="18"/>
                <w:szCs w:val="18"/>
              </w:rPr>
            </w:pPr>
            <w:r>
              <w:rPr>
                <w:rFonts w:ascii="华文细黑"/>
                <w:w w:val="95"/>
                <w:sz w:val="18"/>
              </w:rPr>
              <w:t>484,615.72</w:t>
            </w:r>
          </w:p>
        </w:tc>
        <w:tc>
          <w:tcPr>
            <w:tcW w:w="155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7"/>
              <w:ind w:right="20"/>
              <w:jc w:val="right"/>
              <w:rPr>
                <w:rFonts w:ascii="华文细黑" w:hAnsi="华文细黑" w:cs="华文细黑" w:eastAsia="华文细黑" w:hint="default"/>
                <w:sz w:val="18"/>
                <w:szCs w:val="18"/>
              </w:rPr>
            </w:pPr>
            <w:r>
              <w:rPr>
                <w:rFonts w:ascii="华文细黑"/>
                <w:sz w:val="18"/>
              </w:rPr>
              <w:t>18,800,373.01</w:t>
            </w:r>
          </w:p>
        </w:tc>
        <w:tc>
          <w:tcPr>
            <w:tcW w:w="155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7"/>
              <w:ind w:right="21"/>
              <w:jc w:val="right"/>
              <w:rPr>
                <w:rFonts w:ascii="华文细黑" w:hAnsi="华文细黑" w:cs="华文细黑" w:eastAsia="华文细黑" w:hint="default"/>
                <w:sz w:val="18"/>
                <w:szCs w:val="18"/>
              </w:rPr>
            </w:pPr>
            <w:r>
              <w:rPr>
                <w:rFonts w:ascii="华文细黑"/>
                <w:sz w:val="18"/>
              </w:rPr>
              <w:t>18,757,568.60</w:t>
            </w:r>
          </w:p>
        </w:tc>
        <w:tc>
          <w:tcPr>
            <w:tcW w:w="173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7"/>
              <w:ind w:right="20"/>
              <w:jc w:val="right"/>
              <w:rPr>
                <w:rFonts w:ascii="华文细黑" w:hAnsi="华文细黑" w:cs="华文细黑" w:eastAsia="华文细黑" w:hint="default"/>
                <w:sz w:val="18"/>
                <w:szCs w:val="18"/>
              </w:rPr>
            </w:pPr>
            <w:r>
              <w:rPr>
                <w:rFonts w:ascii="华文细黑"/>
                <w:w w:val="95"/>
                <w:sz w:val="18"/>
              </w:rPr>
              <w:t>527,420.13</w:t>
            </w:r>
          </w:p>
        </w:tc>
      </w:tr>
      <w:tr>
        <w:trPr>
          <w:trHeight w:val="490" w:hRule="exact"/>
        </w:trPr>
        <w:tc>
          <w:tcPr>
            <w:tcW w:w="29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z w:val="18"/>
                <w:szCs w:val="18"/>
              </w:rPr>
              <w:t>、失业保险费</w:t>
            </w:r>
          </w:p>
        </w:tc>
        <w:tc>
          <w:tcPr>
            <w:tcW w:w="141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207.45</w:t>
            </w:r>
          </w:p>
        </w:tc>
        <w:tc>
          <w:tcPr>
            <w:tcW w:w="155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w w:val="95"/>
                <w:sz w:val="18"/>
              </w:rPr>
              <w:t>618,485.93</w:t>
            </w:r>
          </w:p>
        </w:tc>
        <w:tc>
          <w:tcPr>
            <w:tcW w:w="155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w w:val="95"/>
                <w:sz w:val="18"/>
              </w:rPr>
              <w:t>618,666.18</w:t>
            </w:r>
          </w:p>
        </w:tc>
        <w:tc>
          <w:tcPr>
            <w:tcW w:w="173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27.20</w:t>
            </w:r>
          </w:p>
        </w:tc>
      </w:tr>
      <w:tr>
        <w:trPr>
          <w:trHeight w:val="491" w:hRule="exact"/>
        </w:trPr>
        <w:tc>
          <w:tcPr>
            <w:tcW w:w="29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9" w:val="left" w:leader="none"/>
              </w:tabs>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41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484,823.17</w:t>
            </w:r>
            <w:r>
              <w:rPr>
                <w:rFonts w:ascii="华文细黑"/>
                <w:sz w:val="18"/>
              </w:rPr>
            </w:r>
          </w:p>
        </w:tc>
        <w:tc>
          <w:tcPr>
            <w:tcW w:w="155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b/>
                <w:w w:val="95"/>
                <w:sz w:val="18"/>
              </w:rPr>
              <w:t>19,418,858.94</w:t>
            </w:r>
            <w:r>
              <w:rPr>
                <w:rFonts w:ascii="华文细黑"/>
                <w:sz w:val="18"/>
              </w:rPr>
            </w:r>
          </w:p>
        </w:tc>
        <w:tc>
          <w:tcPr>
            <w:tcW w:w="155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b/>
                <w:w w:val="95"/>
                <w:sz w:val="18"/>
              </w:rPr>
              <w:t>19,376,234.78</w:t>
            </w:r>
            <w:r>
              <w:rPr>
                <w:rFonts w:ascii="华文细黑"/>
                <w:sz w:val="18"/>
              </w:rPr>
            </w:r>
          </w:p>
        </w:tc>
        <w:tc>
          <w:tcPr>
            <w:tcW w:w="173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b/>
                <w:w w:val="95"/>
                <w:sz w:val="18"/>
              </w:rPr>
              <w:t>527,447.33</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324" w:lineRule="auto" w:before="10"/>
        <w:ind w:left="200" w:right="1436" w:firstLine="420"/>
        <w:jc w:val="both"/>
      </w:pPr>
      <w:r>
        <w:rPr/>
        <w:t>本公司按规定参加由政府机构设立的养老保险、失业保险计划，根据该等计划，本公司分别按 员工基本工资乘以各地适用的比例向该等计划缴存费用。除上述缴存费用外，本公司不再承担进一 步支付义务。相应的支出于发生时计入当期损益或相关资产的成本。</w:t>
      </w:r>
    </w:p>
    <w:p>
      <w:pPr>
        <w:pStyle w:val="Heading5"/>
        <w:spacing w:line="240" w:lineRule="auto" w:before="64"/>
        <w:ind w:left="620" w:right="1289"/>
        <w:jc w:val="left"/>
        <w:rPr>
          <w:b w:val="0"/>
          <w:bCs w:val="0"/>
        </w:rPr>
      </w:pPr>
      <w:bookmarkStart w:name="22、应交税费" w:id="285"/>
      <w:bookmarkEnd w:id="285"/>
      <w:r>
        <w:rPr>
          <w:b w:val="0"/>
          <w:bCs w:val="0"/>
        </w:rPr>
      </w:r>
      <w:r>
        <w:rPr>
          <w:rFonts w:ascii="华文细黑" w:hAnsi="华文细黑" w:cs="华文细黑" w:eastAsia="华文细黑" w:hint="default"/>
        </w:rPr>
        <w:t>22</w:t>
      </w:r>
      <w:r>
        <w:rPr/>
        <w:t>、应交税费</w:t>
      </w:r>
      <w:r>
        <w:rPr>
          <w:b w:val="0"/>
          <w:bCs w:val="0"/>
        </w:rPr>
      </w:r>
    </w:p>
    <w:p>
      <w:pPr>
        <w:spacing w:line="240" w:lineRule="auto" w:before="5"/>
        <w:rPr>
          <w:rFonts w:ascii="华文细黑" w:hAnsi="华文细黑" w:cs="华文细黑" w:eastAsia="华文细黑" w:hint="default"/>
          <w:b/>
          <w:bCs/>
          <w:sz w:val="5"/>
          <w:szCs w:val="5"/>
        </w:rPr>
      </w:pPr>
    </w:p>
    <w:tbl>
      <w:tblPr>
        <w:tblW w:w="0" w:type="auto"/>
        <w:jc w:val="left"/>
        <w:tblInd w:w="114" w:type="dxa"/>
        <w:tblLayout w:type="fixed"/>
        <w:tblCellMar>
          <w:top w:w="0" w:type="dxa"/>
          <w:left w:w="0" w:type="dxa"/>
          <w:bottom w:w="0" w:type="dxa"/>
          <w:right w:w="0" w:type="dxa"/>
        </w:tblCellMar>
        <w:tblLook w:val="01E0"/>
      </w:tblPr>
      <w:tblGrid>
        <w:gridCol w:w="4195"/>
        <w:gridCol w:w="2563"/>
        <w:gridCol w:w="2441"/>
      </w:tblGrid>
      <w:tr>
        <w:trPr>
          <w:trHeight w:val="491" w:hRule="exact"/>
        </w:trPr>
        <w:tc>
          <w:tcPr>
            <w:tcW w:w="4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5"/>
              <w:ind w:right="1777"/>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5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44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2"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0" w:hRule="exact"/>
        </w:trPr>
        <w:tc>
          <w:tcPr>
            <w:tcW w:w="4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增值税</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58,604,014.26</w:t>
            </w:r>
          </w:p>
        </w:tc>
        <w:tc>
          <w:tcPr>
            <w:tcW w:w="24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11,244,684.66</w:t>
            </w:r>
          </w:p>
        </w:tc>
      </w:tr>
      <w:tr>
        <w:trPr>
          <w:trHeight w:val="490" w:hRule="exact"/>
        </w:trPr>
        <w:tc>
          <w:tcPr>
            <w:tcW w:w="4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企业所得税</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31,195,078.05</w:t>
            </w:r>
          </w:p>
        </w:tc>
        <w:tc>
          <w:tcPr>
            <w:tcW w:w="24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43,786,110.09</w:t>
            </w:r>
          </w:p>
        </w:tc>
      </w:tr>
      <w:tr>
        <w:trPr>
          <w:trHeight w:val="490" w:hRule="exact"/>
        </w:trPr>
        <w:tc>
          <w:tcPr>
            <w:tcW w:w="4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城市维护建设税</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436,108.44</w:t>
            </w:r>
          </w:p>
        </w:tc>
        <w:tc>
          <w:tcPr>
            <w:tcW w:w="24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1,230,632.30</w:t>
            </w:r>
          </w:p>
        </w:tc>
      </w:tr>
      <w:tr>
        <w:trPr>
          <w:trHeight w:val="490" w:hRule="exact"/>
        </w:trPr>
        <w:tc>
          <w:tcPr>
            <w:tcW w:w="4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教育费附加</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325,503.40</w:t>
            </w:r>
          </w:p>
        </w:tc>
        <w:tc>
          <w:tcPr>
            <w:tcW w:w="24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w w:val="95"/>
                <w:sz w:val="18"/>
              </w:rPr>
              <w:t>898,809.16</w:t>
            </w:r>
          </w:p>
        </w:tc>
      </w:tr>
      <w:tr>
        <w:trPr>
          <w:trHeight w:val="490" w:hRule="exact"/>
        </w:trPr>
        <w:tc>
          <w:tcPr>
            <w:tcW w:w="4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个人所得税</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2,968,091.35</w:t>
            </w:r>
          </w:p>
        </w:tc>
        <w:tc>
          <w:tcPr>
            <w:tcW w:w="24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3,803,425.09</w:t>
            </w:r>
          </w:p>
        </w:tc>
      </w:tr>
      <w:tr>
        <w:trPr>
          <w:trHeight w:val="490" w:hRule="exact"/>
        </w:trPr>
        <w:tc>
          <w:tcPr>
            <w:tcW w:w="4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w w:val="95"/>
                <w:sz w:val="18"/>
              </w:rPr>
              <w:t>821,107.47</w:t>
            </w:r>
          </w:p>
        </w:tc>
        <w:tc>
          <w:tcPr>
            <w:tcW w:w="24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2,506,759.25</w:t>
            </w:r>
          </w:p>
        </w:tc>
      </w:tr>
      <w:tr>
        <w:trPr>
          <w:trHeight w:val="490" w:hRule="exact"/>
        </w:trPr>
        <w:tc>
          <w:tcPr>
            <w:tcW w:w="4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777"/>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b/>
                <w:w w:val="95"/>
                <w:sz w:val="18"/>
              </w:rPr>
              <w:t>94,349,902.97</w:t>
            </w:r>
            <w:r>
              <w:rPr>
                <w:rFonts w:ascii="华文细黑"/>
                <w:sz w:val="18"/>
              </w:rPr>
            </w:r>
          </w:p>
        </w:tc>
        <w:tc>
          <w:tcPr>
            <w:tcW w:w="24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b/>
                <w:w w:val="95"/>
                <w:sz w:val="18"/>
              </w:rPr>
              <w:t>63,470,420.55</w:t>
            </w:r>
            <w:r>
              <w:rPr>
                <w:rFonts w:ascii="华文细黑"/>
                <w:sz w:val="18"/>
              </w:rPr>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240" w:right="0"/>
        </w:sectPr>
      </w:pPr>
    </w:p>
    <w:p>
      <w:pPr>
        <w:spacing w:line="240" w:lineRule="auto" w:before="9"/>
        <w:rPr>
          <w:rFonts w:ascii="华文细黑" w:hAnsi="华文细黑" w:cs="华文细黑" w:eastAsia="华文细黑" w:hint="default"/>
          <w:b/>
          <w:bCs/>
          <w:sz w:val="27"/>
          <w:szCs w:val="27"/>
        </w:rPr>
      </w:pPr>
    </w:p>
    <w:p>
      <w:pPr>
        <w:spacing w:before="10"/>
        <w:ind w:left="620" w:right="1289" w:firstLine="0"/>
        <w:jc w:val="left"/>
        <w:rPr>
          <w:rFonts w:ascii="华文细黑" w:hAnsi="华文细黑" w:cs="华文细黑" w:eastAsia="华文细黑" w:hint="default"/>
          <w:sz w:val="21"/>
          <w:szCs w:val="21"/>
        </w:rPr>
      </w:pPr>
      <w:bookmarkStart w:name="23、其他应付款" w:id="286"/>
      <w:bookmarkEnd w:id="286"/>
      <w:r>
        <w:rPr/>
      </w:r>
      <w:r>
        <w:rPr>
          <w:rFonts w:ascii="华文细黑" w:hAnsi="华文细黑" w:cs="华文细黑" w:eastAsia="华文细黑" w:hint="default"/>
          <w:b/>
          <w:bCs/>
          <w:sz w:val="21"/>
          <w:szCs w:val="21"/>
        </w:rPr>
        <w:t>23</w:t>
      </w:r>
      <w:r>
        <w:rPr>
          <w:rFonts w:ascii="华文细黑" w:hAnsi="华文细黑" w:cs="华文细黑" w:eastAsia="华文细黑" w:hint="default"/>
          <w:b/>
          <w:bCs/>
          <w:sz w:val="21"/>
          <w:szCs w:val="21"/>
        </w:rPr>
        <w:t>、其他应付款</w:t>
      </w:r>
      <w:r>
        <w:rPr>
          <w:rFonts w:ascii="华文细黑" w:hAnsi="华文细黑" w:cs="华文细黑" w:eastAsia="华文细黑" w:hint="default"/>
          <w:sz w:val="21"/>
          <w:szCs w:val="21"/>
        </w:rPr>
      </w:r>
    </w:p>
    <w:p>
      <w:pPr>
        <w:spacing w:line="240" w:lineRule="auto" w:before="6"/>
        <w:rPr>
          <w:rFonts w:ascii="华文细黑" w:hAnsi="华文细黑" w:cs="华文细黑" w:eastAsia="华文细黑" w:hint="default"/>
          <w:b/>
          <w:bCs/>
          <w:sz w:val="5"/>
          <w:szCs w:val="5"/>
        </w:rPr>
      </w:pPr>
    </w:p>
    <w:tbl>
      <w:tblPr>
        <w:tblW w:w="0" w:type="auto"/>
        <w:jc w:val="left"/>
        <w:tblInd w:w="114" w:type="dxa"/>
        <w:tblLayout w:type="fixed"/>
        <w:tblCellMar>
          <w:top w:w="0" w:type="dxa"/>
          <w:left w:w="0" w:type="dxa"/>
          <w:bottom w:w="0" w:type="dxa"/>
          <w:right w:w="0" w:type="dxa"/>
        </w:tblCellMar>
        <w:tblLook w:val="01E0"/>
      </w:tblPr>
      <w:tblGrid>
        <w:gridCol w:w="4195"/>
        <w:gridCol w:w="2563"/>
        <w:gridCol w:w="2441"/>
      </w:tblGrid>
      <w:tr>
        <w:trPr>
          <w:trHeight w:val="490" w:hRule="exact"/>
        </w:trPr>
        <w:tc>
          <w:tcPr>
            <w:tcW w:w="4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777"/>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5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44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1" w:hRule="exact"/>
        </w:trPr>
        <w:tc>
          <w:tcPr>
            <w:tcW w:w="4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应付利息</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15,900,631.65</w:t>
            </w:r>
          </w:p>
        </w:tc>
        <w:tc>
          <w:tcPr>
            <w:tcW w:w="24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18,412,793.14</w:t>
            </w:r>
          </w:p>
        </w:tc>
      </w:tr>
      <w:tr>
        <w:trPr>
          <w:trHeight w:val="490" w:hRule="exact"/>
        </w:trPr>
        <w:tc>
          <w:tcPr>
            <w:tcW w:w="4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其他应付款</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42,179,384.26</w:t>
            </w:r>
          </w:p>
        </w:tc>
        <w:tc>
          <w:tcPr>
            <w:tcW w:w="24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105,555,122.13</w:t>
            </w:r>
          </w:p>
        </w:tc>
      </w:tr>
      <w:tr>
        <w:trPr>
          <w:trHeight w:val="490" w:hRule="exact"/>
        </w:trPr>
        <w:tc>
          <w:tcPr>
            <w:tcW w:w="4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777"/>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58,080,015.91</w:t>
            </w:r>
            <w:r>
              <w:rPr>
                <w:rFonts w:ascii="华文细黑"/>
                <w:sz w:val="18"/>
              </w:rPr>
            </w:r>
          </w:p>
        </w:tc>
        <w:tc>
          <w:tcPr>
            <w:tcW w:w="24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b/>
                <w:w w:val="95"/>
                <w:sz w:val="18"/>
              </w:rPr>
              <w:t>123,967,915.27</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spacing w:before="10"/>
        <w:ind w:left="620" w:right="1289" w:firstLine="0"/>
        <w:jc w:val="left"/>
        <w:rPr>
          <w:rFonts w:ascii="华文细黑" w:hAnsi="华文细黑" w:cs="华文细黑" w:eastAsia="华文细黑" w:hint="default"/>
          <w:sz w:val="21"/>
          <w:szCs w:val="21"/>
        </w:rPr>
      </w:pPr>
      <w:bookmarkStart w:name="（1）应付利息" w:id="287"/>
      <w:bookmarkEnd w:id="287"/>
      <w:r>
        <w:rPr/>
      </w:r>
      <w:r>
        <w:rPr>
          <w:rFonts w:ascii="华文细黑" w:hAnsi="华文细黑" w:cs="华文细黑" w:eastAsia="华文细黑" w:hint="default"/>
          <w:b/>
          <w:bCs/>
          <w:sz w:val="21"/>
          <w:szCs w:val="21"/>
        </w:rPr>
        <w:t>（</w:t>
      </w:r>
      <w:r>
        <w:rPr>
          <w:rFonts w:ascii="华文细黑" w:hAnsi="华文细黑" w:cs="华文细黑" w:eastAsia="华文细黑" w:hint="default"/>
          <w:b/>
          <w:bCs/>
          <w:sz w:val="21"/>
          <w:szCs w:val="21"/>
        </w:rPr>
        <w:t>1</w:t>
      </w:r>
      <w:r>
        <w:rPr>
          <w:rFonts w:ascii="华文细黑" w:hAnsi="华文细黑" w:cs="华文细黑" w:eastAsia="华文细黑" w:hint="default"/>
          <w:b/>
          <w:bCs/>
          <w:sz w:val="21"/>
          <w:szCs w:val="21"/>
        </w:rPr>
        <w:t>）应付利息</w:t>
      </w:r>
      <w:r>
        <w:rPr>
          <w:rFonts w:ascii="华文细黑" w:hAnsi="华文细黑" w:cs="华文细黑" w:eastAsia="华文细黑" w:hint="default"/>
          <w:sz w:val="21"/>
          <w:szCs w:val="21"/>
        </w:rPr>
      </w:r>
    </w:p>
    <w:p>
      <w:pPr>
        <w:spacing w:line="240" w:lineRule="auto" w:before="5"/>
        <w:rPr>
          <w:rFonts w:ascii="华文细黑" w:hAnsi="华文细黑" w:cs="华文细黑" w:eastAsia="华文细黑" w:hint="default"/>
          <w:b/>
          <w:bCs/>
          <w:sz w:val="5"/>
          <w:szCs w:val="5"/>
        </w:rPr>
      </w:pPr>
    </w:p>
    <w:tbl>
      <w:tblPr>
        <w:tblW w:w="0" w:type="auto"/>
        <w:jc w:val="left"/>
        <w:tblInd w:w="114" w:type="dxa"/>
        <w:tblLayout w:type="fixed"/>
        <w:tblCellMar>
          <w:top w:w="0" w:type="dxa"/>
          <w:left w:w="0" w:type="dxa"/>
          <w:bottom w:w="0" w:type="dxa"/>
          <w:right w:w="0" w:type="dxa"/>
        </w:tblCellMar>
        <w:tblLook w:val="01E0"/>
      </w:tblPr>
      <w:tblGrid>
        <w:gridCol w:w="4198"/>
        <w:gridCol w:w="2517"/>
        <w:gridCol w:w="2484"/>
      </w:tblGrid>
      <w:tr>
        <w:trPr>
          <w:trHeight w:val="491" w:hRule="exact"/>
        </w:trPr>
        <w:tc>
          <w:tcPr>
            <w:tcW w:w="41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538" w:val="left" w:leader="none"/>
              </w:tabs>
              <w:spacing w:line="240" w:lineRule="auto" w:before="145"/>
              <w:ind w:right="1734"/>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5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4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0" w:hRule="exact"/>
        </w:trPr>
        <w:tc>
          <w:tcPr>
            <w:tcW w:w="41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企业债券利息</w:t>
            </w:r>
          </w:p>
        </w:tc>
        <w:tc>
          <w:tcPr>
            <w:tcW w:w="251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11,661,000.00</w:t>
            </w:r>
          </w:p>
        </w:tc>
        <w:tc>
          <w:tcPr>
            <w:tcW w:w="24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15,649,875.25</w:t>
            </w:r>
          </w:p>
        </w:tc>
      </w:tr>
      <w:tr>
        <w:trPr>
          <w:trHeight w:val="490" w:hRule="exact"/>
        </w:trPr>
        <w:tc>
          <w:tcPr>
            <w:tcW w:w="41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短期借款应付利息</w:t>
            </w:r>
          </w:p>
        </w:tc>
        <w:tc>
          <w:tcPr>
            <w:tcW w:w="251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4,239,631.65</w:t>
            </w:r>
          </w:p>
        </w:tc>
        <w:tc>
          <w:tcPr>
            <w:tcW w:w="24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2,762,917.89</w:t>
            </w:r>
          </w:p>
        </w:tc>
      </w:tr>
      <w:tr>
        <w:trPr>
          <w:trHeight w:val="490" w:hRule="exact"/>
        </w:trPr>
        <w:tc>
          <w:tcPr>
            <w:tcW w:w="41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5"/>
              <w:ind w:right="177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251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15,900,631.65</w:t>
            </w:r>
            <w:r>
              <w:rPr>
                <w:rFonts w:ascii="华文细黑"/>
                <w:sz w:val="18"/>
              </w:rPr>
            </w:r>
          </w:p>
        </w:tc>
        <w:tc>
          <w:tcPr>
            <w:tcW w:w="24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18,412,793.14</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spacing w:before="10"/>
        <w:ind w:left="620" w:right="1289" w:firstLine="0"/>
        <w:jc w:val="left"/>
        <w:rPr>
          <w:rFonts w:ascii="华文细黑" w:hAnsi="华文细黑" w:cs="华文细黑" w:eastAsia="华文细黑" w:hint="default"/>
          <w:sz w:val="21"/>
          <w:szCs w:val="21"/>
        </w:rPr>
      </w:pPr>
      <w:bookmarkStart w:name="（2）其他应付款" w:id="288"/>
      <w:bookmarkEnd w:id="288"/>
      <w:r>
        <w:rPr/>
      </w:r>
      <w:r>
        <w:rPr>
          <w:rFonts w:ascii="华文细黑" w:hAnsi="华文细黑" w:cs="华文细黑" w:eastAsia="华文细黑" w:hint="default"/>
          <w:b/>
          <w:bCs/>
          <w:sz w:val="21"/>
          <w:szCs w:val="21"/>
        </w:rPr>
        <w:t>（</w:t>
      </w: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）其他应付款</w:t>
      </w:r>
      <w:r>
        <w:rPr>
          <w:rFonts w:ascii="华文细黑" w:hAnsi="华文细黑" w:cs="华文细黑" w:eastAsia="华文细黑" w:hint="default"/>
          <w:sz w:val="21"/>
          <w:szCs w:val="21"/>
        </w:rPr>
      </w:r>
    </w:p>
    <w:p>
      <w:pPr>
        <w:spacing w:line="240" w:lineRule="auto" w:before="5"/>
        <w:rPr>
          <w:rFonts w:ascii="华文细黑" w:hAnsi="华文细黑" w:cs="华文细黑" w:eastAsia="华文细黑" w:hint="default"/>
          <w:b/>
          <w:bCs/>
          <w:sz w:val="5"/>
          <w:szCs w:val="5"/>
        </w:rPr>
      </w:pPr>
    </w:p>
    <w:tbl>
      <w:tblPr>
        <w:tblW w:w="0" w:type="auto"/>
        <w:jc w:val="left"/>
        <w:tblInd w:w="114" w:type="dxa"/>
        <w:tblLayout w:type="fixed"/>
        <w:tblCellMar>
          <w:top w:w="0" w:type="dxa"/>
          <w:left w:w="0" w:type="dxa"/>
          <w:bottom w:w="0" w:type="dxa"/>
          <w:right w:w="0" w:type="dxa"/>
        </w:tblCellMar>
        <w:tblLook w:val="01E0"/>
      </w:tblPr>
      <w:tblGrid>
        <w:gridCol w:w="4195"/>
        <w:gridCol w:w="2563"/>
        <w:gridCol w:w="2441"/>
      </w:tblGrid>
      <w:tr>
        <w:trPr>
          <w:trHeight w:val="490" w:hRule="exact"/>
        </w:trPr>
        <w:tc>
          <w:tcPr>
            <w:tcW w:w="4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777"/>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5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44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0" w:hRule="exact"/>
        </w:trPr>
        <w:tc>
          <w:tcPr>
            <w:tcW w:w="4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预提费用</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1,501,169.15</w:t>
            </w:r>
          </w:p>
        </w:tc>
        <w:tc>
          <w:tcPr>
            <w:tcW w:w="24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9,162,360.35</w:t>
            </w:r>
          </w:p>
        </w:tc>
      </w:tr>
      <w:tr>
        <w:trPr>
          <w:trHeight w:val="490" w:hRule="exact"/>
        </w:trPr>
        <w:tc>
          <w:tcPr>
            <w:tcW w:w="4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代垫费用</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510,857.63</w:t>
            </w:r>
          </w:p>
        </w:tc>
        <w:tc>
          <w:tcPr>
            <w:tcW w:w="24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2,341,934.68</w:t>
            </w:r>
          </w:p>
        </w:tc>
      </w:tr>
      <w:tr>
        <w:trPr>
          <w:trHeight w:val="491" w:hRule="exact"/>
        </w:trPr>
        <w:tc>
          <w:tcPr>
            <w:tcW w:w="4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押金及保证金</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35,421,287.00</w:t>
            </w:r>
          </w:p>
        </w:tc>
        <w:tc>
          <w:tcPr>
            <w:tcW w:w="24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19,721,473.99</w:t>
            </w:r>
          </w:p>
        </w:tc>
      </w:tr>
      <w:tr>
        <w:trPr>
          <w:trHeight w:val="490" w:hRule="exact"/>
        </w:trPr>
        <w:tc>
          <w:tcPr>
            <w:tcW w:w="4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往来款</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2,693,968.38</w:t>
            </w:r>
          </w:p>
        </w:tc>
        <w:tc>
          <w:tcPr>
            <w:tcW w:w="24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70,640,118.20</w:t>
            </w:r>
          </w:p>
        </w:tc>
      </w:tr>
      <w:tr>
        <w:trPr>
          <w:trHeight w:val="490" w:hRule="exact"/>
        </w:trPr>
        <w:tc>
          <w:tcPr>
            <w:tcW w:w="4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2,052,102.10</w:t>
            </w:r>
          </w:p>
        </w:tc>
        <w:tc>
          <w:tcPr>
            <w:tcW w:w="24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3,689,234.91</w:t>
            </w:r>
          </w:p>
        </w:tc>
      </w:tr>
      <w:tr>
        <w:trPr>
          <w:trHeight w:val="491" w:hRule="exact"/>
        </w:trPr>
        <w:tc>
          <w:tcPr>
            <w:tcW w:w="41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777"/>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42,179,384.26</w:t>
            </w:r>
            <w:r>
              <w:rPr>
                <w:rFonts w:ascii="华文细黑"/>
                <w:sz w:val="18"/>
              </w:rPr>
            </w:r>
          </w:p>
        </w:tc>
        <w:tc>
          <w:tcPr>
            <w:tcW w:w="24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b/>
                <w:w w:val="95"/>
                <w:sz w:val="18"/>
              </w:rPr>
              <w:t>105,555,122.13</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spacing w:before="10"/>
        <w:ind w:left="620" w:right="1289" w:firstLine="0"/>
        <w:jc w:val="left"/>
        <w:rPr>
          <w:rFonts w:ascii="华文细黑" w:hAnsi="华文细黑" w:cs="华文细黑" w:eastAsia="华文细黑" w:hint="default"/>
          <w:sz w:val="21"/>
          <w:szCs w:val="21"/>
        </w:rPr>
      </w:pPr>
      <w:bookmarkStart w:name="24、一年内到期的非流动负债" w:id="289"/>
      <w:bookmarkEnd w:id="289"/>
      <w:r>
        <w:rPr/>
      </w:r>
      <w:r>
        <w:rPr>
          <w:rFonts w:ascii="华文细黑" w:hAnsi="华文细黑" w:cs="华文细黑" w:eastAsia="华文细黑" w:hint="default"/>
          <w:b/>
          <w:bCs/>
          <w:sz w:val="21"/>
          <w:szCs w:val="21"/>
        </w:rPr>
        <w:t>24</w:t>
      </w:r>
      <w:r>
        <w:rPr>
          <w:rFonts w:ascii="华文细黑" w:hAnsi="华文细黑" w:cs="华文细黑" w:eastAsia="华文细黑" w:hint="default"/>
          <w:b/>
          <w:bCs/>
          <w:sz w:val="21"/>
          <w:szCs w:val="21"/>
        </w:rPr>
        <w:t>、一年内到期的非流动负债</w:t>
      </w:r>
      <w:r>
        <w:rPr>
          <w:rFonts w:ascii="华文细黑" w:hAnsi="华文细黑" w:cs="华文细黑" w:eastAsia="华文细黑" w:hint="default"/>
          <w:sz w:val="21"/>
          <w:szCs w:val="21"/>
        </w:rPr>
      </w:r>
    </w:p>
    <w:p>
      <w:pPr>
        <w:spacing w:line="240" w:lineRule="auto" w:before="5"/>
        <w:rPr>
          <w:rFonts w:ascii="华文细黑" w:hAnsi="华文细黑" w:cs="华文细黑" w:eastAsia="华文细黑" w:hint="default"/>
          <w:b/>
          <w:bCs/>
          <w:sz w:val="5"/>
          <w:szCs w:val="5"/>
        </w:rPr>
      </w:pPr>
    </w:p>
    <w:tbl>
      <w:tblPr>
        <w:tblW w:w="0" w:type="auto"/>
        <w:jc w:val="left"/>
        <w:tblInd w:w="114" w:type="dxa"/>
        <w:tblLayout w:type="fixed"/>
        <w:tblCellMar>
          <w:top w:w="0" w:type="dxa"/>
          <w:left w:w="0" w:type="dxa"/>
          <w:bottom w:w="0" w:type="dxa"/>
          <w:right w:w="0" w:type="dxa"/>
        </w:tblCellMar>
        <w:tblLook w:val="01E0"/>
      </w:tblPr>
      <w:tblGrid>
        <w:gridCol w:w="4132"/>
        <w:gridCol w:w="2532"/>
        <w:gridCol w:w="2535"/>
      </w:tblGrid>
      <w:tr>
        <w:trPr>
          <w:trHeight w:val="490" w:hRule="exact"/>
        </w:trPr>
        <w:tc>
          <w:tcPr>
            <w:tcW w:w="413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53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9"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53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0" w:hRule="exact"/>
        </w:trPr>
        <w:tc>
          <w:tcPr>
            <w:tcW w:w="413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年内到期的应付债券（附注六、</w:t>
            </w:r>
            <w:r>
              <w:rPr>
                <w:rFonts w:ascii="华文细黑" w:hAnsi="华文细黑" w:cs="华文细黑" w:eastAsia="华文细黑" w:hint="default"/>
                <w:sz w:val="18"/>
                <w:szCs w:val="18"/>
              </w:rPr>
              <w:t>25</w:t>
            </w:r>
            <w:r>
              <w:rPr>
                <w:rFonts w:ascii="华文细黑" w:hAnsi="华文细黑" w:cs="华文细黑" w:eastAsia="华文细黑" w:hint="default"/>
                <w:sz w:val="18"/>
                <w:szCs w:val="18"/>
              </w:rPr>
              <w:t>）</w:t>
            </w:r>
          </w:p>
        </w:tc>
        <w:tc>
          <w:tcPr>
            <w:tcW w:w="2532"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253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501,649,478.68</w:t>
            </w:r>
          </w:p>
        </w:tc>
      </w:tr>
      <w:tr>
        <w:trPr>
          <w:trHeight w:val="490" w:hRule="exact"/>
        </w:trPr>
        <w:tc>
          <w:tcPr>
            <w:tcW w:w="413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2532"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253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501,649,478.68</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spacing w:before="10"/>
        <w:ind w:left="620" w:right="1289" w:firstLine="0"/>
        <w:jc w:val="left"/>
        <w:rPr>
          <w:rFonts w:ascii="华文细黑" w:hAnsi="华文细黑" w:cs="华文细黑" w:eastAsia="华文细黑" w:hint="default"/>
          <w:sz w:val="21"/>
          <w:szCs w:val="21"/>
        </w:rPr>
      </w:pPr>
      <w:bookmarkStart w:name="25、应付债券" w:id="290"/>
      <w:bookmarkEnd w:id="290"/>
      <w:r>
        <w:rPr/>
      </w:r>
      <w:r>
        <w:rPr>
          <w:rFonts w:ascii="华文细黑" w:hAnsi="华文细黑" w:cs="华文细黑" w:eastAsia="华文细黑" w:hint="default"/>
          <w:b/>
          <w:bCs/>
          <w:sz w:val="21"/>
          <w:szCs w:val="21"/>
        </w:rPr>
        <w:t>25</w:t>
      </w:r>
      <w:r>
        <w:rPr>
          <w:rFonts w:ascii="华文细黑" w:hAnsi="华文细黑" w:cs="华文细黑" w:eastAsia="华文细黑" w:hint="default"/>
          <w:b/>
          <w:bCs/>
          <w:sz w:val="21"/>
          <w:szCs w:val="21"/>
        </w:rPr>
        <w:t>、应付债券</w:t>
      </w:r>
      <w:r>
        <w:rPr>
          <w:rFonts w:ascii="华文细黑" w:hAnsi="华文细黑" w:cs="华文细黑" w:eastAsia="华文细黑" w:hint="default"/>
          <w:sz w:val="21"/>
          <w:szCs w:val="21"/>
        </w:rPr>
      </w:r>
    </w:p>
    <w:p>
      <w:pPr>
        <w:pStyle w:val="BodyText"/>
        <w:spacing w:line="240" w:lineRule="auto" w:before="142"/>
        <w:ind w:left="620" w:right="1289"/>
        <w:jc w:val="left"/>
      </w:pPr>
      <w:r>
        <w:rPr/>
        <w:t>（</w:t>
      </w:r>
      <w:r>
        <w:rPr>
          <w:rFonts w:ascii="华文细黑" w:hAnsi="华文细黑" w:cs="华文细黑" w:eastAsia="华文细黑" w:hint="default"/>
        </w:rPr>
        <w:t>1</w:t>
      </w:r>
      <w:r>
        <w:rPr/>
        <w:t>）应付债券</w:t>
      </w:r>
    </w:p>
    <w:p>
      <w:pPr>
        <w:spacing w:line="240" w:lineRule="auto" w:before="6"/>
        <w:rPr>
          <w:rFonts w:ascii="华文细黑" w:hAnsi="华文细黑" w:cs="华文细黑" w:eastAsia="华文细黑"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4105"/>
        <w:gridCol w:w="2636"/>
        <w:gridCol w:w="2458"/>
      </w:tblGrid>
      <w:tr>
        <w:trPr>
          <w:trHeight w:val="490" w:hRule="exact"/>
        </w:trPr>
        <w:tc>
          <w:tcPr>
            <w:tcW w:w="410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7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26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4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1" w:hRule="exact"/>
        </w:trPr>
        <w:tc>
          <w:tcPr>
            <w:tcW w:w="410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一般公司债券</w:t>
            </w:r>
          </w:p>
        </w:tc>
        <w:tc>
          <w:tcPr>
            <w:tcW w:w="2636"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599,248,224.96</w:t>
            </w:r>
          </w:p>
        </w:tc>
        <w:tc>
          <w:tcPr>
            <w:tcW w:w="245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598,150,321.29</w:t>
            </w:r>
          </w:p>
        </w:tc>
      </w:tr>
      <w:tr>
        <w:trPr>
          <w:trHeight w:val="490" w:hRule="exact"/>
        </w:trPr>
        <w:tc>
          <w:tcPr>
            <w:tcW w:w="410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77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636"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599,248,224.96</w:t>
            </w:r>
            <w:r>
              <w:rPr>
                <w:rFonts w:ascii="华文细黑"/>
                <w:sz w:val="18"/>
              </w:rPr>
            </w:r>
          </w:p>
        </w:tc>
        <w:tc>
          <w:tcPr>
            <w:tcW w:w="245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598,150,321.29</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20" w:right="1289"/>
        <w:jc w:val="left"/>
      </w:pPr>
      <w:r>
        <w:rPr/>
        <w:t>（</w:t>
      </w:r>
      <w:r>
        <w:rPr>
          <w:rFonts w:ascii="华文细黑" w:hAnsi="华文细黑" w:cs="华文细黑" w:eastAsia="华文细黑" w:hint="default"/>
        </w:rPr>
        <w:t>2</w:t>
      </w:r>
      <w:r>
        <w:rPr/>
        <w:t>）应付债券的增减变动（不包括划分为金融负债的优先股、永续债等其他金融工具）</w:t>
      </w:r>
    </w:p>
    <w:p>
      <w:pPr>
        <w:spacing w:after="0" w:line="240" w:lineRule="auto"/>
        <w:jc w:val="left"/>
        <w:sectPr>
          <w:pgSz w:w="11910" w:h="16840"/>
          <w:pgMar w:header="917" w:footer="1019" w:top="1100" w:bottom="1200" w:left="1240" w:right="0"/>
        </w:sectPr>
      </w:pPr>
    </w:p>
    <w:p>
      <w:pPr>
        <w:spacing w:line="240" w:lineRule="auto" w:before="5"/>
        <w:rPr>
          <w:rFonts w:ascii="华文细黑" w:hAnsi="华文细黑" w:cs="华文细黑" w:eastAsia="华文细黑" w:hint="default"/>
          <w:sz w:val="27"/>
          <w:szCs w:val="27"/>
        </w:rPr>
      </w:pPr>
    </w:p>
    <w:tbl>
      <w:tblPr>
        <w:tblW w:w="0" w:type="auto"/>
        <w:jc w:val="left"/>
        <w:tblInd w:w="105" w:type="dxa"/>
        <w:tblLayout w:type="fixed"/>
        <w:tblCellMar>
          <w:top w:w="0" w:type="dxa"/>
          <w:left w:w="0" w:type="dxa"/>
          <w:bottom w:w="0" w:type="dxa"/>
          <w:right w:w="0" w:type="dxa"/>
        </w:tblCellMar>
        <w:tblLook w:val="01E0"/>
      </w:tblPr>
      <w:tblGrid>
        <w:gridCol w:w="2247"/>
        <w:gridCol w:w="1145"/>
        <w:gridCol w:w="1278"/>
        <w:gridCol w:w="1117"/>
        <w:gridCol w:w="1766"/>
        <w:gridCol w:w="1796"/>
      </w:tblGrid>
      <w:tr>
        <w:trPr>
          <w:trHeight w:val="485" w:hRule="exact"/>
        </w:trPr>
        <w:tc>
          <w:tcPr>
            <w:tcW w:w="22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2"/>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债券名称</w:t>
            </w:r>
          </w:p>
        </w:tc>
        <w:tc>
          <w:tcPr>
            <w:tcW w:w="11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2"/>
              <w:ind w:left="12"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面值</w:t>
            </w:r>
          </w:p>
        </w:tc>
        <w:tc>
          <w:tcPr>
            <w:tcW w:w="12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2"/>
              <w:ind w:left="27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发行日期</w:t>
            </w:r>
          </w:p>
        </w:tc>
        <w:tc>
          <w:tcPr>
            <w:tcW w:w="11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2"/>
              <w:ind w:left="19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债券期限</w:t>
            </w:r>
          </w:p>
        </w:tc>
        <w:tc>
          <w:tcPr>
            <w:tcW w:w="176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2"/>
              <w:ind w:left="51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发行金额</w:t>
            </w:r>
          </w:p>
        </w:tc>
        <w:tc>
          <w:tcPr>
            <w:tcW w:w="17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2"/>
              <w:ind w:left="53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942" w:hRule="exact"/>
        </w:trPr>
        <w:tc>
          <w:tcPr>
            <w:tcW w:w="22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379" w:lineRule="auto"/>
              <w:ind w:left="11" w:right="6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深圳市爱施德股份有限公司 </w:t>
            </w:r>
            <w:r>
              <w:rPr>
                <w:rFonts w:ascii="华文细黑" w:hAnsi="华文细黑" w:cs="华文细黑" w:eastAsia="华文细黑" w:hint="default"/>
                <w:sz w:val="18"/>
                <w:szCs w:val="18"/>
              </w:rPr>
              <w:t>2015</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年公司债券</w:t>
            </w:r>
          </w:p>
        </w:tc>
        <w:tc>
          <w:tcPr>
            <w:tcW w:w="1145" w:type="dxa"/>
            <w:tcBorders>
              <w:top w:val="single" w:sz="24" w:space="0" w:color="FFF8E6"/>
              <w:left w:val="single" w:sz="13" w:space="0" w:color="FFF8E6"/>
              <w:bottom w:val="single" w:sz="4" w:space="0" w:color="FFC000"/>
              <w:right w:val="single" w:sz="4" w:space="0" w:color="FFC000"/>
            </w:tcBorders>
          </w:tcPr>
          <w:p>
            <w:pPr>
              <w:pStyle w:val="TableParagraph"/>
              <w:spacing w:line="240" w:lineRule="auto" w:before="5"/>
              <w:ind w:right="0"/>
              <w:jc w:val="left"/>
              <w:rPr>
                <w:rFonts w:ascii="华文细黑" w:hAnsi="华文细黑" w:cs="华文细黑" w:eastAsia="华文细黑" w:hint="default"/>
                <w:sz w:val="26"/>
                <w:szCs w:val="26"/>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100.00</w:t>
            </w:r>
          </w:p>
        </w:tc>
        <w:tc>
          <w:tcPr>
            <w:tcW w:w="1278" w:type="dxa"/>
            <w:tcBorders>
              <w:top w:val="single" w:sz="42" w:space="0" w:color="FFF8E6"/>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24"/>
                <w:szCs w:val="24"/>
              </w:rPr>
            </w:pPr>
          </w:p>
          <w:p>
            <w:pPr>
              <w:pStyle w:val="TableParagraph"/>
              <w:spacing w:line="240" w:lineRule="auto"/>
              <w:ind w:left="157" w:right="0"/>
              <w:jc w:val="left"/>
              <w:rPr>
                <w:rFonts w:ascii="华文细黑" w:hAnsi="华文细黑" w:cs="华文细黑" w:eastAsia="华文细黑" w:hint="default"/>
                <w:sz w:val="18"/>
                <w:szCs w:val="18"/>
              </w:rPr>
            </w:pPr>
            <w:r>
              <w:rPr>
                <w:rFonts w:ascii="华文细黑"/>
                <w:sz w:val="18"/>
              </w:rPr>
              <w:t>2015/11/13</w:t>
            </w:r>
          </w:p>
        </w:tc>
        <w:tc>
          <w:tcPr>
            <w:tcW w:w="1117" w:type="dxa"/>
            <w:tcBorders>
              <w:top w:val="single" w:sz="42" w:space="0" w:color="FFF8E6"/>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24"/>
                <w:szCs w:val="24"/>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3</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w:t>
            </w:r>
          </w:p>
        </w:tc>
        <w:tc>
          <w:tcPr>
            <w:tcW w:w="1766" w:type="dxa"/>
            <w:tcBorders>
              <w:top w:val="single" w:sz="42" w:space="0" w:color="FFF8E6"/>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600,000,000.00</w:t>
            </w:r>
          </w:p>
        </w:tc>
        <w:tc>
          <w:tcPr>
            <w:tcW w:w="1796" w:type="dxa"/>
            <w:tcBorders>
              <w:top w:val="single" w:sz="42" w:space="0" w:color="FFF8E6"/>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501,649,478.68</w:t>
            </w:r>
          </w:p>
        </w:tc>
      </w:tr>
      <w:tr>
        <w:trPr>
          <w:trHeight w:val="890" w:hRule="exact"/>
        </w:trPr>
        <w:tc>
          <w:tcPr>
            <w:tcW w:w="22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4"/>
              <w:ind w:left="11" w:right="6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深圳市爱施德股份有限公司 </w:t>
            </w:r>
            <w:r>
              <w:rPr>
                <w:rFonts w:ascii="华文细黑" w:hAnsi="华文细黑" w:cs="华文细黑" w:eastAsia="华文细黑" w:hint="default"/>
                <w:sz w:val="18"/>
                <w:szCs w:val="18"/>
              </w:rPr>
              <w:t>2017</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年公司债券</w:t>
            </w:r>
          </w:p>
        </w:tc>
        <w:tc>
          <w:tcPr>
            <w:tcW w:w="114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100.00</w:t>
            </w:r>
          </w:p>
        </w:tc>
        <w:tc>
          <w:tcPr>
            <w:tcW w:w="127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257" w:right="0"/>
              <w:jc w:val="left"/>
              <w:rPr>
                <w:rFonts w:ascii="华文细黑" w:hAnsi="华文细黑" w:cs="华文细黑" w:eastAsia="华文细黑" w:hint="default"/>
                <w:sz w:val="18"/>
                <w:szCs w:val="18"/>
              </w:rPr>
            </w:pPr>
            <w:r>
              <w:rPr>
                <w:rFonts w:ascii="华文细黑"/>
                <w:sz w:val="18"/>
              </w:rPr>
              <w:t>2017/9/4</w:t>
            </w:r>
          </w:p>
        </w:tc>
        <w:tc>
          <w:tcPr>
            <w:tcW w:w="11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3</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w:t>
            </w:r>
          </w:p>
        </w:tc>
        <w:tc>
          <w:tcPr>
            <w:tcW w:w="17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600,000,000.00</w:t>
            </w:r>
          </w:p>
        </w:tc>
        <w:tc>
          <w:tcPr>
            <w:tcW w:w="17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598,150,321.29</w:t>
            </w:r>
          </w:p>
        </w:tc>
      </w:tr>
      <w:tr>
        <w:trPr>
          <w:trHeight w:val="490" w:hRule="exact"/>
        </w:trPr>
        <w:tc>
          <w:tcPr>
            <w:tcW w:w="22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小</w:t>
              <w:tab/>
              <w:t>计</w:t>
            </w:r>
          </w:p>
        </w:tc>
        <w:tc>
          <w:tcPr>
            <w:tcW w:w="114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27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1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7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b/>
                <w:w w:val="95"/>
                <w:sz w:val="18"/>
              </w:rPr>
              <w:t>1,200,000,000.00</w:t>
            </w:r>
            <w:r>
              <w:rPr>
                <w:rFonts w:ascii="华文细黑"/>
                <w:sz w:val="18"/>
              </w:rPr>
            </w:r>
          </w:p>
        </w:tc>
        <w:tc>
          <w:tcPr>
            <w:tcW w:w="17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1,099,799,799.97</w:t>
            </w:r>
            <w:r>
              <w:rPr>
                <w:rFonts w:ascii="华文细黑"/>
                <w:sz w:val="18"/>
              </w:rPr>
            </w:r>
          </w:p>
        </w:tc>
      </w:tr>
      <w:tr>
        <w:trPr>
          <w:trHeight w:val="890" w:hRule="exact"/>
        </w:trPr>
        <w:tc>
          <w:tcPr>
            <w:tcW w:w="22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4"/>
              <w:ind w:left="11" w:right="6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减：一年内到期部分年末余 额（附注六、</w:t>
            </w:r>
            <w:r>
              <w:rPr>
                <w:rFonts w:ascii="华文细黑" w:hAnsi="华文细黑" w:cs="华文细黑" w:eastAsia="华文细黑" w:hint="default"/>
                <w:sz w:val="18"/>
                <w:szCs w:val="18"/>
              </w:rPr>
              <w:t>24</w:t>
            </w:r>
            <w:r>
              <w:rPr>
                <w:rFonts w:ascii="华文细黑" w:hAnsi="华文细黑" w:cs="华文细黑" w:eastAsia="华文细黑" w:hint="default"/>
                <w:sz w:val="18"/>
                <w:szCs w:val="18"/>
              </w:rPr>
              <w:t>）</w:t>
            </w:r>
          </w:p>
        </w:tc>
        <w:tc>
          <w:tcPr>
            <w:tcW w:w="114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27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1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7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7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501,649,478.68</w:t>
            </w:r>
          </w:p>
        </w:tc>
      </w:tr>
      <w:tr>
        <w:trPr>
          <w:trHeight w:val="491" w:hRule="exact"/>
        </w:trPr>
        <w:tc>
          <w:tcPr>
            <w:tcW w:w="22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14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27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1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76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b/>
                <w:w w:val="95"/>
                <w:sz w:val="18"/>
              </w:rPr>
              <w:t>1,200,000,000.00</w:t>
            </w:r>
            <w:r>
              <w:rPr>
                <w:rFonts w:ascii="华文细黑"/>
                <w:sz w:val="18"/>
              </w:rPr>
            </w:r>
          </w:p>
        </w:tc>
        <w:tc>
          <w:tcPr>
            <w:tcW w:w="179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598,150,321.29</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60" w:right="1246"/>
        <w:jc w:val="left"/>
      </w:pPr>
      <w:r>
        <w:rPr/>
        <w:t>（续）</w:t>
      </w:r>
    </w:p>
    <w:p>
      <w:pPr>
        <w:spacing w:line="240" w:lineRule="auto" w:before="1"/>
        <w:rPr>
          <w:rFonts w:ascii="华文细黑" w:hAnsi="华文细黑" w:cs="华文细黑" w:eastAsia="华文细黑" w:hint="default"/>
          <w:sz w:val="9"/>
          <w:szCs w:val="9"/>
        </w:rPr>
      </w:pPr>
    </w:p>
    <w:tbl>
      <w:tblPr>
        <w:tblW w:w="0" w:type="auto"/>
        <w:jc w:val="left"/>
        <w:tblInd w:w="105" w:type="dxa"/>
        <w:tblLayout w:type="fixed"/>
        <w:tblCellMar>
          <w:top w:w="0" w:type="dxa"/>
          <w:left w:w="0" w:type="dxa"/>
          <w:bottom w:w="0" w:type="dxa"/>
          <w:right w:w="0" w:type="dxa"/>
        </w:tblCellMar>
        <w:tblLook w:val="01E0"/>
      </w:tblPr>
      <w:tblGrid>
        <w:gridCol w:w="2245"/>
        <w:gridCol w:w="863"/>
        <w:gridCol w:w="1419"/>
        <w:gridCol w:w="1416"/>
        <w:gridCol w:w="1560"/>
        <w:gridCol w:w="426"/>
        <w:gridCol w:w="1416"/>
      </w:tblGrid>
      <w:tr>
        <w:trPr>
          <w:trHeight w:val="484" w:hRule="exact"/>
        </w:trPr>
        <w:tc>
          <w:tcPr>
            <w:tcW w:w="22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2"/>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债券名称</w:t>
            </w:r>
          </w:p>
        </w:tc>
        <w:tc>
          <w:tcPr>
            <w:tcW w:w="8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2"/>
              <w:ind w:right="59"/>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本年发行</w:t>
            </w:r>
          </w:p>
        </w:tc>
        <w:tc>
          <w:tcPr>
            <w:tcW w:w="141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2"/>
              <w:ind w:left="7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按面值计提利息</w:t>
            </w:r>
          </w:p>
        </w:tc>
        <w:tc>
          <w:tcPr>
            <w:tcW w:w="14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2"/>
              <w:ind w:left="25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溢折价摊销</w:t>
            </w:r>
          </w:p>
        </w:tc>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2"/>
              <w:ind w:left="41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本年偿还</w:t>
            </w:r>
          </w:p>
        </w:tc>
        <w:tc>
          <w:tcPr>
            <w:tcW w:w="42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2"/>
              <w:ind w:right="2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14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2"/>
              <w:ind w:left="34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943" w:hRule="exact"/>
        </w:trPr>
        <w:tc>
          <w:tcPr>
            <w:tcW w:w="22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3"/>
                <w:szCs w:val="13"/>
              </w:rPr>
            </w:pPr>
          </w:p>
          <w:p>
            <w:pPr>
              <w:pStyle w:val="TableParagraph"/>
              <w:spacing w:line="376" w:lineRule="auto"/>
              <w:ind w:left="11" w:right="6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深圳市爱施德股份有限公司 </w:t>
            </w:r>
            <w:r>
              <w:rPr>
                <w:rFonts w:ascii="华文细黑" w:hAnsi="华文细黑" w:cs="华文细黑" w:eastAsia="华文细黑" w:hint="default"/>
                <w:sz w:val="18"/>
                <w:szCs w:val="18"/>
              </w:rPr>
              <w:t>2015</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年公司债券</w:t>
            </w:r>
          </w:p>
        </w:tc>
        <w:tc>
          <w:tcPr>
            <w:tcW w:w="863" w:type="dxa"/>
            <w:tcBorders>
              <w:top w:val="single" w:sz="42" w:space="0" w:color="FFF8E6"/>
              <w:left w:val="single" w:sz="13" w:space="0" w:color="FFF8E6"/>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419" w:type="dxa"/>
            <w:tcBorders>
              <w:top w:val="single" w:sz="42" w:space="0" w:color="FFF8E6"/>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25,927,689.06</w:t>
            </w:r>
          </w:p>
        </w:tc>
        <w:tc>
          <w:tcPr>
            <w:tcW w:w="1416" w:type="dxa"/>
            <w:tcBorders>
              <w:top w:val="single" w:sz="42" w:space="0" w:color="FFF8E6"/>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24"/>
                <w:szCs w:val="24"/>
              </w:rPr>
            </w:pPr>
          </w:p>
          <w:p>
            <w:pPr>
              <w:pStyle w:val="TableParagraph"/>
              <w:spacing w:line="240" w:lineRule="auto"/>
              <w:ind w:left="277" w:right="0"/>
              <w:jc w:val="left"/>
              <w:rPr>
                <w:rFonts w:ascii="华文细黑" w:hAnsi="华文细黑" w:cs="华文细黑" w:eastAsia="华文细黑" w:hint="default"/>
                <w:sz w:val="18"/>
                <w:szCs w:val="18"/>
              </w:rPr>
            </w:pPr>
            <w:r>
              <w:rPr>
                <w:rFonts w:ascii="华文细黑"/>
                <w:sz w:val="18"/>
              </w:rPr>
              <w:t>-1,149,921.32</w:t>
            </w:r>
          </w:p>
        </w:tc>
        <w:tc>
          <w:tcPr>
            <w:tcW w:w="1560" w:type="dxa"/>
            <w:tcBorders>
              <w:top w:val="single" w:sz="42" w:space="0" w:color="FFF8E6"/>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502,799,400.00</w:t>
            </w:r>
          </w:p>
        </w:tc>
        <w:tc>
          <w:tcPr>
            <w:tcW w:w="426" w:type="dxa"/>
            <w:tcBorders>
              <w:top w:val="single" w:sz="42" w:space="0" w:color="FFF8E6"/>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6" w:type="dxa"/>
            <w:tcBorders>
              <w:top w:val="single" w:sz="42" w:space="0" w:color="FFF8E6"/>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r>
      <w:tr>
        <w:trPr>
          <w:trHeight w:val="891" w:hRule="exact"/>
        </w:trPr>
        <w:tc>
          <w:tcPr>
            <w:tcW w:w="22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6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深圳市爱施德股份有限公司 </w:t>
            </w:r>
            <w:r>
              <w:rPr>
                <w:rFonts w:ascii="华文细黑" w:hAnsi="华文细黑" w:cs="华文细黑" w:eastAsia="华文细黑" w:hint="default"/>
                <w:sz w:val="18"/>
                <w:szCs w:val="18"/>
              </w:rPr>
              <w:t>2017</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年公司债券</w:t>
            </w:r>
          </w:p>
        </w:tc>
        <w:tc>
          <w:tcPr>
            <w:tcW w:w="8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35,880,000.00</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277" w:right="0"/>
              <w:jc w:val="left"/>
              <w:rPr>
                <w:rFonts w:ascii="华文细黑" w:hAnsi="华文细黑" w:cs="华文细黑" w:eastAsia="华文细黑" w:hint="default"/>
                <w:sz w:val="18"/>
                <w:szCs w:val="18"/>
              </w:rPr>
            </w:pPr>
            <w:r>
              <w:rPr>
                <w:rFonts w:ascii="华文细黑"/>
                <w:sz w:val="18"/>
              </w:rPr>
              <w:t>-1,097,903.67</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4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599,248,224.96</w:t>
            </w:r>
          </w:p>
        </w:tc>
      </w:tr>
      <w:tr>
        <w:trPr>
          <w:trHeight w:val="490" w:hRule="exact"/>
        </w:trPr>
        <w:tc>
          <w:tcPr>
            <w:tcW w:w="22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小</w:t>
              <w:tab/>
              <w:t>计</w:t>
            </w:r>
          </w:p>
        </w:tc>
        <w:tc>
          <w:tcPr>
            <w:tcW w:w="8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61,807,689.06</w:t>
            </w:r>
            <w:r>
              <w:rPr>
                <w:rFonts w:ascii="华文细黑"/>
                <w:sz w:val="18"/>
              </w:rPr>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74" w:right="0"/>
              <w:jc w:val="left"/>
              <w:rPr>
                <w:rFonts w:ascii="华文细黑" w:hAnsi="华文细黑" w:cs="华文细黑" w:eastAsia="华文细黑" w:hint="default"/>
                <w:sz w:val="18"/>
                <w:szCs w:val="18"/>
              </w:rPr>
            </w:pPr>
            <w:r>
              <w:rPr>
                <w:rFonts w:ascii="华文细黑"/>
                <w:b/>
                <w:sz w:val="18"/>
              </w:rPr>
              <w:t>-2,247,824.99</w:t>
            </w:r>
            <w:r>
              <w:rPr>
                <w:rFonts w:ascii="华文细黑"/>
                <w:sz w:val="18"/>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502,799,400.00</w:t>
            </w:r>
            <w:r>
              <w:rPr>
                <w:rFonts w:ascii="华文细黑"/>
                <w:sz w:val="18"/>
              </w:rPr>
            </w:r>
          </w:p>
        </w:tc>
        <w:tc>
          <w:tcPr>
            <w:tcW w:w="4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b/>
                <w:w w:val="95"/>
                <w:sz w:val="18"/>
              </w:rPr>
              <w:t>599,248,224.96</w:t>
            </w:r>
            <w:r>
              <w:rPr>
                <w:rFonts w:ascii="华文细黑"/>
                <w:sz w:val="18"/>
              </w:rPr>
            </w:r>
          </w:p>
        </w:tc>
      </w:tr>
      <w:tr>
        <w:trPr>
          <w:trHeight w:val="890" w:hRule="exact"/>
        </w:trPr>
        <w:tc>
          <w:tcPr>
            <w:tcW w:w="22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6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减：一年内到期部分年末余 额（附注六、</w:t>
            </w:r>
            <w:r>
              <w:rPr>
                <w:rFonts w:ascii="华文细黑" w:hAnsi="华文细黑" w:cs="华文细黑" w:eastAsia="华文细黑" w:hint="default"/>
                <w:sz w:val="18"/>
                <w:szCs w:val="18"/>
              </w:rPr>
              <w:t>24</w:t>
            </w:r>
            <w:r>
              <w:rPr>
                <w:rFonts w:ascii="华文细黑" w:hAnsi="华文细黑" w:cs="华文细黑" w:eastAsia="华文细黑" w:hint="default"/>
                <w:sz w:val="18"/>
                <w:szCs w:val="18"/>
              </w:rPr>
              <w:t>）</w:t>
            </w:r>
          </w:p>
        </w:tc>
        <w:tc>
          <w:tcPr>
            <w:tcW w:w="8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25,927,689.06</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277" w:right="0"/>
              <w:jc w:val="left"/>
              <w:rPr>
                <w:rFonts w:ascii="华文细黑" w:hAnsi="华文细黑" w:cs="华文细黑" w:eastAsia="华文细黑" w:hint="default"/>
                <w:sz w:val="18"/>
                <w:szCs w:val="18"/>
              </w:rPr>
            </w:pPr>
            <w:r>
              <w:rPr>
                <w:rFonts w:ascii="华文细黑"/>
                <w:sz w:val="18"/>
              </w:rPr>
              <w:t>-1,149,921.32</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502,799,400.00</w:t>
            </w:r>
          </w:p>
        </w:tc>
        <w:tc>
          <w:tcPr>
            <w:tcW w:w="4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22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8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35,880,000.00</w:t>
            </w:r>
            <w:r>
              <w:rPr>
                <w:rFonts w:ascii="华文细黑"/>
                <w:sz w:val="18"/>
              </w:rPr>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74" w:right="0"/>
              <w:jc w:val="left"/>
              <w:rPr>
                <w:rFonts w:ascii="华文细黑" w:hAnsi="华文细黑" w:cs="华文细黑" w:eastAsia="华文细黑" w:hint="default"/>
                <w:sz w:val="18"/>
                <w:szCs w:val="18"/>
              </w:rPr>
            </w:pPr>
            <w:r>
              <w:rPr>
                <w:rFonts w:ascii="华文细黑"/>
                <w:b/>
                <w:sz w:val="18"/>
              </w:rPr>
              <w:t>-1,097,903.67</w:t>
            </w:r>
            <w:r>
              <w:rPr>
                <w:rFonts w:ascii="华文细黑"/>
                <w:sz w:val="18"/>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42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599,248,224.96</w:t>
            </w:r>
            <w:r>
              <w:rPr>
                <w:rFonts w:ascii="华文细黑"/>
                <w:sz w:val="18"/>
              </w:rPr>
            </w:r>
          </w:p>
        </w:tc>
      </w:tr>
    </w:tbl>
    <w:p>
      <w:pPr>
        <w:spacing w:line="240" w:lineRule="auto" w:before="12"/>
        <w:rPr>
          <w:rFonts w:ascii="华文细黑" w:hAnsi="华文细黑" w:cs="华文细黑" w:eastAsia="华文细黑" w:hint="default"/>
          <w:sz w:val="6"/>
          <w:szCs w:val="6"/>
        </w:rPr>
      </w:pPr>
    </w:p>
    <w:p>
      <w:pPr>
        <w:pStyle w:val="BodyText"/>
        <w:spacing w:line="240" w:lineRule="auto" w:before="10"/>
        <w:ind w:left="660" w:right="1246"/>
        <w:jc w:val="left"/>
        <w:rPr>
          <w:rFonts w:ascii="华文细黑" w:hAnsi="华文细黑" w:cs="华文细黑" w:eastAsia="华文细黑" w:hint="default"/>
        </w:rPr>
      </w:pPr>
      <w:r>
        <w:rPr>
          <w:spacing w:val="-5"/>
        </w:rPr>
        <w:t>注：本公司于 </w:t>
      </w:r>
      <w:r>
        <w:rPr>
          <w:rFonts w:ascii="华文细黑" w:hAnsi="华文细黑" w:cs="华文细黑" w:eastAsia="华文细黑" w:hint="default"/>
        </w:rPr>
        <w:t>2015 </w:t>
      </w:r>
      <w:r>
        <w:rPr/>
        <w:t>年 </w:t>
      </w:r>
      <w:r>
        <w:rPr>
          <w:rFonts w:ascii="华文细黑" w:hAnsi="华文细黑" w:cs="华文细黑" w:eastAsia="华文细黑" w:hint="default"/>
        </w:rPr>
        <w:t>11 </w:t>
      </w:r>
      <w:r>
        <w:rPr/>
        <w:t>月 </w:t>
      </w:r>
      <w:r>
        <w:rPr>
          <w:rFonts w:ascii="华文细黑" w:hAnsi="华文细黑" w:cs="华文细黑" w:eastAsia="华文细黑" w:hint="default"/>
        </w:rPr>
        <w:t>13 </w:t>
      </w:r>
      <w:r>
        <w:rPr/>
        <w:t>日发行的深圳市爱施德股份有限公司 </w:t>
      </w:r>
      <w:r>
        <w:rPr>
          <w:rFonts w:ascii="华文细黑" w:hAnsi="华文细黑" w:cs="华文细黑" w:eastAsia="华文细黑" w:hint="default"/>
        </w:rPr>
        <w:t>2015 </w:t>
      </w:r>
      <w:r>
        <w:rPr/>
        <w:t>年公司债券至</w:t>
      </w:r>
      <w:r>
        <w:rPr>
          <w:spacing w:val="4"/>
        </w:rPr>
        <w:t> </w:t>
      </w:r>
      <w:r>
        <w:rPr>
          <w:rFonts w:ascii="华文细黑" w:hAnsi="华文细黑" w:cs="华文细黑" w:eastAsia="华文细黑" w:hint="default"/>
        </w:rPr>
        <w:t>2018</w:t>
      </w:r>
    </w:p>
    <w:p>
      <w:pPr>
        <w:spacing w:line="357" w:lineRule="auto" w:before="104"/>
        <w:ind w:left="660" w:right="7243" w:hanging="421"/>
        <w:jc w:val="left"/>
        <w:rPr>
          <w:rFonts w:ascii="华文细黑" w:hAnsi="华文细黑" w:cs="华文细黑" w:eastAsia="华文细黑" w:hint="default"/>
          <w:sz w:val="21"/>
          <w:szCs w:val="21"/>
        </w:rPr>
      </w:pPr>
      <w:r>
        <w:rPr/>
        <w:pict>
          <v:shape style="position:absolute;margin-left:72.570pt;margin-top:45.801659pt;width:455.5pt;height:94.05pt;mso-position-horizontal-relative:page;mso-position-vertical-relative:paragraph;z-index:145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004"/>
                    <w:gridCol w:w="1560"/>
                    <w:gridCol w:w="1418"/>
                    <w:gridCol w:w="4113"/>
                  </w:tblGrid>
                  <w:tr>
                    <w:trPr>
                      <w:trHeight w:val="463" w:hRule="exact"/>
                    </w:trPr>
                    <w:tc>
                      <w:tcPr>
                        <w:tcW w:w="20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73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5"/>
                          <w:ind w:left="41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141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5"/>
                          <w:ind w:left="34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411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形成原因</w:t>
                        </w:r>
                      </w:p>
                    </w:tc>
                  </w:tr>
                  <w:tr>
                    <w:trPr>
                      <w:trHeight w:val="233" w:hRule="exact"/>
                    </w:trPr>
                    <w:tc>
                      <w:tcPr>
                        <w:tcW w:w="2004" w:type="dxa"/>
                        <w:tcBorders>
                          <w:top w:val="single" w:sz="4" w:space="0" w:color="FFC000"/>
                          <w:left w:val="single" w:sz="4" w:space="0" w:color="FFC000"/>
                          <w:bottom w:val="nil" w:sz="6" w:space="0" w:color="auto"/>
                          <w:right w:val="single" w:sz="4" w:space="0" w:color="FFC000"/>
                        </w:tcBorders>
                        <w:shd w:val="clear" w:color="auto" w:fill="FFF8E6"/>
                      </w:tcPr>
                      <w:p>
                        <w:pPr/>
                      </w:p>
                    </w:tc>
                    <w:tc>
                      <w:tcPr>
                        <w:tcW w:w="1560" w:type="dxa"/>
                        <w:vMerge w:val="restart"/>
                        <w:tcBorders>
                          <w:top w:val="single" w:sz="26" w:space="0" w:color="FFF8E6"/>
                          <w:left w:val="single" w:sz="9" w:space="0" w:color="FFF8E6"/>
                          <w:right w:val="single" w:sz="4" w:space="0" w:color="FFC000"/>
                        </w:tcBorders>
                      </w:tcPr>
                      <w:p>
                        <w:pPr>
                          <w:pStyle w:val="TableParagraph"/>
                          <w:spacing w:line="240" w:lineRule="auto" w:before="6"/>
                          <w:ind w:right="0"/>
                          <w:jc w:val="left"/>
                          <w:rPr>
                            <w:rFonts w:ascii="华文细黑" w:hAnsi="华文细黑" w:cs="华文细黑" w:eastAsia="华文细黑" w:hint="default"/>
                            <w:b/>
                            <w:bCs/>
                            <w:sz w:val="24"/>
                            <w:szCs w:val="24"/>
                          </w:rPr>
                        </w:pPr>
                      </w:p>
                      <w:p>
                        <w:pPr>
                          <w:pStyle w:val="TableParagraph"/>
                          <w:spacing w:line="240" w:lineRule="auto"/>
                          <w:ind w:left="472" w:right="0"/>
                          <w:jc w:val="left"/>
                          <w:rPr>
                            <w:rFonts w:ascii="华文细黑" w:hAnsi="华文细黑" w:cs="华文细黑" w:eastAsia="华文细黑" w:hint="default"/>
                            <w:sz w:val="18"/>
                            <w:szCs w:val="18"/>
                          </w:rPr>
                        </w:pPr>
                        <w:r>
                          <w:rPr>
                            <w:rFonts w:ascii="华文细黑"/>
                            <w:sz w:val="18"/>
                          </w:rPr>
                          <w:t>1,238,454.00</w:t>
                        </w:r>
                      </w:p>
                    </w:tc>
                    <w:tc>
                      <w:tcPr>
                        <w:tcW w:w="1418" w:type="dxa"/>
                        <w:vMerge w:val="restart"/>
                        <w:tcBorders>
                          <w:top w:val="single" w:sz="26" w:space="0" w:color="FFF8E6"/>
                          <w:left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b/>
                            <w:bCs/>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4113" w:type="dxa"/>
                        <w:vMerge w:val="restart"/>
                        <w:tcBorders>
                          <w:top w:val="single" w:sz="4" w:space="0" w:color="FFC000"/>
                          <w:left w:val="single" w:sz="4" w:space="0" w:color="FFC000"/>
                          <w:right w:val="single" w:sz="4" w:space="0" w:color="FFC000"/>
                        </w:tcBorders>
                      </w:tcPr>
                      <w:p>
                        <w:pPr>
                          <w:pStyle w:val="TableParagraph"/>
                          <w:spacing w:line="240" w:lineRule="auto" w:before="1"/>
                          <w:ind w:right="0"/>
                          <w:jc w:val="left"/>
                          <w:rPr>
                            <w:rFonts w:ascii="华文细黑" w:hAnsi="华文细黑" w:cs="华文细黑" w:eastAsia="华文细黑" w:hint="default"/>
                            <w:b/>
                            <w:bCs/>
                            <w:sz w:val="12"/>
                            <w:szCs w:val="12"/>
                          </w:rPr>
                        </w:pPr>
                      </w:p>
                      <w:p>
                        <w:pPr>
                          <w:pStyle w:val="TableParagraph"/>
                          <w:spacing w:line="379" w:lineRule="auto"/>
                          <w:ind w:left="1871" w:right="23" w:hanging="1849"/>
                          <w:jc w:val="left"/>
                          <w:rPr>
                            <w:rFonts w:ascii="华文细黑" w:hAnsi="华文细黑" w:cs="华文细黑" w:eastAsia="华文细黑" w:hint="default"/>
                            <w:sz w:val="18"/>
                            <w:szCs w:val="18"/>
                          </w:rPr>
                        </w:pPr>
                        <w:r>
                          <w:rPr>
                            <w:rFonts w:ascii="华文细黑" w:hAnsi="华文细黑" w:cs="华文细黑" w:eastAsia="华文细黑" w:hint="default"/>
                            <w:spacing w:val="-4"/>
                            <w:sz w:val="18"/>
                            <w:szCs w:val="18"/>
                          </w:rPr>
                          <w:t>因合作商中止经营，预计需支付的手机碎屏保证后续</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服务</w:t>
                        </w:r>
                      </w:p>
                    </w:tc>
                  </w:tr>
                  <w:tr>
                    <w:trPr>
                      <w:trHeight w:val="480" w:hRule="exact"/>
                    </w:trPr>
                    <w:tc>
                      <w:tcPr>
                        <w:tcW w:w="2004"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手机碎屏保证</w:t>
                        </w:r>
                      </w:p>
                    </w:tc>
                    <w:tc>
                      <w:tcPr>
                        <w:tcW w:w="1560" w:type="dxa"/>
                        <w:vMerge/>
                        <w:tcBorders>
                          <w:left w:val="single" w:sz="9" w:space="0" w:color="FFF8E6"/>
                          <w:right w:val="single" w:sz="4" w:space="0" w:color="FFC000"/>
                        </w:tcBorders>
                      </w:tcPr>
                      <w:p>
                        <w:pPr/>
                      </w:p>
                    </w:tc>
                    <w:tc>
                      <w:tcPr>
                        <w:tcW w:w="1418" w:type="dxa"/>
                        <w:vMerge/>
                        <w:tcBorders>
                          <w:left w:val="single" w:sz="4" w:space="0" w:color="FFC000"/>
                          <w:right w:val="single" w:sz="4" w:space="0" w:color="FFC000"/>
                        </w:tcBorders>
                      </w:tcPr>
                      <w:p>
                        <w:pPr/>
                      </w:p>
                    </w:tc>
                    <w:tc>
                      <w:tcPr>
                        <w:tcW w:w="4113" w:type="dxa"/>
                        <w:vMerge/>
                        <w:tcBorders>
                          <w:left w:val="single" w:sz="4" w:space="0" w:color="FFC000"/>
                          <w:right w:val="single" w:sz="4" w:space="0" w:color="FFC000"/>
                        </w:tcBorders>
                      </w:tcPr>
                      <w:p>
                        <w:pPr/>
                      </w:p>
                    </w:tc>
                  </w:tr>
                  <w:tr>
                    <w:trPr>
                      <w:trHeight w:val="204" w:hRule="exact"/>
                    </w:trPr>
                    <w:tc>
                      <w:tcPr>
                        <w:tcW w:w="2004" w:type="dxa"/>
                        <w:tcBorders>
                          <w:top w:val="nil" w:sz="6" w:space="0" w:color="auto"/>
                          <w:left w:val="single" w:sz="4" w:space="0" w:color="FFC000"/>
                          <w:bottom w:val="single" w:sz="4" w:space="0" w:color="FFC000"/>
                          <w:right w:val="single" w:sz="4" w:space="0" w:color="FFC000"/>
                        </w:tcBorders>
                        <w:shd w:val="clear" w:color="auto" w:fill="FFF8E6"/>
                      </w:tcPr>
                      <w:p>
                        <w:pPr/>
                      </w:p>
                    </w:tc>
                    <w:tc>
                      <w:tcPr>
                        <w:tcW w:w="1560" w:type="dxa"/>
                        <w:vMerge/>
                        <w:tcBorders>
                          <w:left w:val="single" w:sz="9" w:space="0" w:color="FFF8E6"/>
                          <w:bottom w:val="single" w:sz="4" w:space="0" w:color="FFC000"/>
                          <w:right w:val="single" w:sz="4" w:space="0" w:color="FFC000"/>
                        </w:tcBorders>
                      </w:tcPr>
                      <w:p>
                        <w:pPr/>
                      </w:p>
                    </w:tc>
                    <w:tc>
                      <w:tcPr>
                        <w:tcW w:w="1418" w:type="dxa"/>
                        <w:vMerge/>
                        <w:tcBorders>
                          <w:left w:val="single" w:sz="4" w:space="0" w:color="FFC000"/>
                          <w:bottom w:val="single" w:sz="4" w:space="0" w:color="FFC000"/>
                          <w:right w:val="single" w:sz="4" w:space="0" w:color="FFC000"/>
                        </w:tcBorders>
                      </w:tcPr>
                      <w:p>
                        <w:pPr/>
                      </w:p>
                    </w:tc>
                    <w:tc>
                      <w:tcPr>
                        <w:tcW w:w="4113" w:type="dxa"/>
                        <w:vMerge/>
                        <w:tcBorders>
                          <w:left w:val="single" w:sz="4" w:space="0" w:color="FFC000"/>
                          <w:bottom w:val="single" w:sz="4" w:space="0" w:color="FFC000"/>
                          <w:right w:val="single" w:sz="4" w:space="0" w:color="FFC000"/>
                        </w:tcBorders>
                      </w:tcPr>
                      <w:p>
                        <w:pPr/>
                      </w:p>
                    </w:tc>
                  </w:tr>
                  <w:tr>
                    <w:trPr>
                      <w:trHeight w:val="491" w:hRule="exact"/>
                    </w:trPr>
                    <w:tc>
                      <w:tcPr>
                        <w:tcW w:w="20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73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156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465" w:right="0"/>
                          <w:jc w:val="left"/>
                          <w:rPr>
                            <w:rFonts w:ascii="华文细黑" w:hAnsi="华文细黑" w:cs="华文细黑" w:eastAsia="华文细黑" w:hint="default"/>
                            <w:sz w:val="18"/>
                            <w:szCs w:val="18"/>
                          </w:rPr>
                        </w:pPr>
                        <w:r>
                          <w:rPr>
                            <w:rFonts w:ascii="华文细黑"/>
                            <w:b/>
                            <w:sz w:val="18"/>
                          </w:rPr>
                          <w:t>1,238,454.00</w:t>
                        </w:r>
                        <w:r>
                          <w:rPr>
                            <w:rFonts w:ascii="华文细黑"/>
                            <w:sz w:val="18"/>
                          </w:rPr>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4113" w:type="dxa"/>
                        <w:tcBorders>
                          <w:top w:val="single" w:sz="4" w:space="0" w:color="FFC000"/>
                          <w:left w:val="single" w:sz="4" w:space="0" w:color="FFC000"/>
                          <w:bottom w:val="single" w:sz="4" w:space="0" w:color="FFC000"/>
                          <w:right w:val="single" w:sz="4" w:space="0" w:color="FFC000"/>
                        </w:tcBorders>
                      </w:tcPr>
                      <w:p>
                        <w:pPr/>
                      </w:p>
                    </w:tc>
                  </w:tr>
                </w:tbl>
                <w:p>
                  <w:pPr/>
                </w:p>
              </w:txbxContent>
            </v:textbox>
            <w10:wrap type="none"/>
          </v:shape>
        </w:pict>
      </w:r>
      <w:r>
        <w:rPr>
          <w:rFonts w:ascii="华文细黑" w:hAnsi="华文细黑" w:cs="华文细黑" w:eastAsia="华文细黑" w:hint="default"/>
          <w:sz w:val="21"/>
          <w:szCs w:val="21"/>
        </w:rPr>
        <w:t>年 </w:t>
      </w:r>
      <w:r>
        <w:rPr>
          <w:rFonts w:ascii="华文细黑" w:hAnsi="华文细黑" w:cs="华文细黑" w:eastAsia="华文细黑" w:hint="default"/>
          <w:sz w:val="21"/>
          <w:szCs w:val="21"/>
        </w:rPr>
        <w:t>11 </w:t>
      </w:r>
      <w:r>
        <w:rPr>
          <w:rFonts w:ascii="华文细黑" w:hAnsi="华文细黑" w:cs="华文细黑" w:eastAsia="华文细黑" w:hint="default"/>
          <w:sz w:val="21"/>
          <w:szCs w:val="21"/>
        </w:rPr>
        <w:t>月 </w:t>
      </w:r>
      <w:r>
        <w:rPr>
          <w:rFonts w:ascii="华文细黑" w:hAnsi="华文细黑" w:cs="华文细黑" w:eastAsia="华文细黑" w:hint="default"/>
          <w:sz w:val="21"/>
          <w:szCs w:val="21"/>
        </w:rPr>
        <w:t>13 </w:t>
      </w:r>
      <w:r>
        <w:rPr>
          <w:rFonts w:ascii="华文细黑" w:hAnsi="华文细黑" w:cs="华文细黑" w:eastAsia="华文细黑" w:hint="default"/>
          <w:sz w:val="21"/>
          <w:szCs w:val="21"/>
        </w:rPr>
        <w:t>日期满 </w:t>
      </w:r>
      <w:r>
        <w:rPr>
          <w:rFonts w:ascii="华文细黑" w:hAnsi="华文细黑" w:cs="华文细黑" w:eastAsia="华文细黑" w:hint="default"/>
          <w:sz w:val="21"/>
          <w:szCs w:val="21"/>
        </w:rPr>
        <w:t>3</w:t>
      </w:r>
      <w:r>
        <w:rPr>
          <w:rFonts w:ascii="华文细黑" w:hAnsi="华文细黑" w:cs="华文细黑" w:eastAsia="华文细黑" w:hint="default"/>
          <w:spacing w:val="-3"/>
          <w:sz w:val="21"/>
          <w:szCs w:val="21"/>
        </w:rPr>
        <w:t> </w:t>
      </w:r>
      <w:r>
        <w:rPr>
          <w:rFonts w:ascii="华文细黑" w:hAnsi="华文细黑" w:cs="华文细黑" w:eastAsia="华文细黑" w:hint="default"/>
          <w:sz w:val="21"/>
          <w:szCs w:val="21"/>
        </w:rPr>
        <w:t>年到期兑付。 </w:t>
      </w:r>
      <w:bookmarkStart w:name="26、预计负债" w:id="291"/>
      <w:bookmarkEnd w:id="291"/>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26</w:t>
      </w:r>
      <w:r>
        <w:rPr>
          <w:rFonts w:ascii="华文细黑" w:hAnsi="华文细黑" w:cs="华文细黑" w:eastAsia="华文细黑" w:hint="default"/>
          <w:b/>
          <w:bCs/>
          <w:sz w:val="21"/>
          <w:szCs w:val="21"/>
        </w:rPr>
        <w:t>、预计负债</w:t>
      </w:r>
      <w:r>
        <w:rPr>
          <w:rFonts w:ascii="华文细黑" w:hAnsi="华文细黑" w:cs="华文细黑" w:eastAsia="华文细黑" w:hint="default"/>
          <w:sz w:val="21"/>
          <w:szCs w:val="21"/>
        </w:rPr>
      </w: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8"/>
        <w:rPr>
          <w:rFonts w:ascii="华文细黑" w:hAnsi="华文细黑" w:cs="华文细黑" w:eastAsia="华文细黑" w:hint="default"/>
          <w:b/>
          <w:bCs/>
          <w:sz w:val="17"/>
          <w:szCs w:val="17"/>
        </w:rPr>
      </w:pPr>
    </w:p>
    <w:p>
      <w:pPr>
        <w:pStyle w:val="Heading5"/>
        <w:spacing w:line="240" w:lineRule="auto"/>
        <w:ind w:left="660" w:right="1246"/>
        <w:jc w:val="left"/>
        <w:rPr>
          <w:b w:val="0"/>
          <w:bCs w:val="0"/>
        </w:rPr>
      </w:pPr>
      <w:bookmarkStart w:name="27、递延收益" w:id="292"/>
      <w:bookmarkEnd w:id="292"/>
      <w:r>
        <w:rPr>
          <w:b w:val="0"/>
          <w:bCs w:val="0"/>
        </w:rPr>
      </w:r>
      <w:r>
        <w:rPr>
          <w:rFonts w:ascii="华文细黑" w:hAnsi="华文细黑" w:cs="华文细黑" w:eastAsia="华文细黑" w:hint="default"/>
        </w:rPr>
        <w:t>27</w:t>
      </w:r>
      <w:r>
        <w:rPr/>
        <w:t>、递延收益</w:t>
      </w:r>
      <w:r>
        <w:rPr>
          <w:b w:val="0"/>
          <w:bCs w:val="0"/>
        </w:rPr>
      </w:r>
    </w:p>
    <w:p>
      <w:pPr>
        <w:spacing w:line="240" w:lineRule="auto" w:before="5"/>
        <w:rPr>
          <w:rFonts w:ascii="华文细黑" w:hAnsi="华文细黑" w:cs="华文细黑" w:eastAsia="华文细黑" w:hint="default"/>
          <w:b/>
          <w:bCs/>
          <w:sz w:val="5"/>
          <w:szCs w:val="5"/>
        </w:rPr>
      </w:pPr>
    </w:p>
    <w:tbl>
      <w:tblPr>
        <w:tblW w:w="0" w:type="auto"/>
        <w:jc w:val="left"/>
        <w:tblInd w:w="154" w:type="dxa"/>
        <w:tblLayout w:type="fixed"/>
        <w:tblCellMar>
          <w:top w:w="0" w:type="dxa"/>
          <w:left w:w="0" w:type="dxa"/>
          <w:bottom w:w="0" w:type="dxa"/>
          <w:right w:w="0" w:type="dxa"/>
        </w:tblCellMar>
        <w:tblLook w:val="01E0"/>
      </w:tblPr>
      <w:tblGrid>
        <w:gridCol w:w="1787"/>
        <w:gridCol w:w="1571"/>
        <w:gridCol w:w="1134"/>
        <w:gridCol w:w="1558"/>
        <w:gridCol w:w="1416"/>
        <w:gridCol w:w="1733"/>
      </w:tblGrid>
      <w:tr>
        <w:trPr>
          <w:trHeight w:val="490" w:hRule="exact"/>
        </w:trPr>
        <w:tc>
          <w:tcPr>
            <w:tcW w:w="178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157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2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11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本年增加</w:t>
            </w:r>
          </w:p>
        </w:tc>
        <w:tc>
          <w:tcPr>
            <w:tcW w:w="15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1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本年减少</w:t>
            </w:r>
          </w:p>
        </w:tc>
        <w:tc>
          <w:tcPr>
            <w:tcW w:w="14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34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173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形成原因</w:t>
            </w:r>
          </w:p>
        </w:tc>
      </w:tr>
      <w:tr>
        <w:trPr>
          <w:trHeight w:val="491" w:hRule="exact"/>
        </w:trPr>
        <w:tc>
          <w:tcPr>
            <w:tcW w:w="178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政府补助</w:t>
            </w:r>
          </w:p>
        </w:tc>
        <w:tc>
          <w:tcPr>
            <w:tcW w:w="157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508" w:right="-8"/>
              <w:jc w:val="left"/>
              <w:rPr>
                <w:rFonts w:ascii="华文细黑" w:hAnsi="华文细黑" w:cs="华文细黑" w:eastAsia="华文细黑" w:hint="default"/>
                <w:sz w:val="18"/>
                <w:szCs w:val="18"/>
              </w:rPr>
            </w:pPr>
            <w:r>
              <w:rPr>
                <w:rFonts w:ascii="华文细黑"/>
                <w:sz w:val="18"/>
              </w:rPr>
              <w:t>6,670,000.00</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7"/>
              <w:jc w:val="right"/>
              <w:rPr>
                <w:rFonts w:ascii="华文细黑" w:hAnsi="华文细黑" w:cs="华文细黑" w:eastAsia="华文细黑" w:hint="default"/>
                <w:sz w:val="18"/>
                <w:szCs w:val="18"/>
              </w:rPr>
            </w:pPr>
            <w:r>
              <w:rPr>
                <w:rFonts w:ascii="华文细黑"/>
                <w:sz w:val="18"/>
              </w:rPr>
              <w:t>---</w:t>
            </w:r>
          </w:p>
        </w:tc>
        <w:tc>
          <w:tcPr>
            <w:tcW w:w="155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507" w:right="-8"/>
              <w:jc w:val="left"/>
              <w:rPr>
                <w:rFonts w:ascii="华文细黑" w:hAnsi="华文细黑" w:cs="华文细黑" w:eastAsia="华文细黑" w:hint="default"/>
                <w:sz w:val="18"/>
                <w:szCs w:val="18"/>
              </w:rPr>
            </w:pPr>
            <w:r>
              <w:rPr>
                <w:rFonts w:ascii="华文细黑"/>
                <w:sz w:val="18"/>
              </w:rPr>
              <w:t>6,670,000.00</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7"/>
              <w:jc w:val="right"/>
              <w:rPr>
                <w:rFonts w:ascii="华文细黑" w:hAnsi="华文细黑" w:cs="华文细黑" w:eastAsia="华文细黑" w:hint="default"/>
                <w:sz w:val="18"/>
                <w:szCs w:val="18"/>
              </w:rPr>
            </w:pPr>
            <w:r>
              <w:rPr>
                <w:rFonts w:ascii="华文细黑"/>
                <w:sz w:val="18"/>
              </w:rPr>
              <w:t>---</w:t>
            </w:r>
          </w:p>
        </w:tc>
        <w:tc>
          <w:tcPr>
            <w:tcW w:w="1733" w:type="dxa"/>
            <w:tcBorders>
              <w:top w:val="single" w:sz="4" w:space="0" w:color="FFC000"/>
              <w:left w:val="single" w:sz="4" w:space="0" w:color="FFC000"/>
              <w:bottom w:val="single" w:sz="4" w:space="0" w:color="FFC000"/>
              <w:right w:val="single" w:sz="4" w:space="0" w:color="FFC000"/>
            </w:tcBorders>
          </w:tcPr>
          <w:p>
            <w:pPr/>
          </w:p>
        </w:tc>
      </w:tr>
    </w:tbl>
    <w:p>
      <w:pPr>
        <w:spacing w:after="0"/>
        <w:sectPr>
          <w:pgSz w:w="11910" w:h="16840"/>
          <w:pgMar w:header="917" w:footer="1019" w:top="1100" w:bottom="1200" w:left="1200" w:right="0"/>
        </w:sectPr>
      </w:pPr>
    </w:p>
    <w:p>
      <w:pPr>
        <w:spacing w:line="240" w:lineRule="auto" w:before="8"/>
        <w:rPr>
          <w:rFonts w:ascii="华文细黑" w:hAnsi="华文细黑" w:cs="华文细黑" w:eastAsia="华文细黑" w:hint="default"/>
          <w:b/>
          <w:bCs/>
          <w:sz w:val="23"/>
          <w:szCs w:val="23"/>
        </w:rPr>
      </w:pPr>
    </w:p>
    <w:tbl>
      <w:tblPr>
        <w:tblW w:w="0" w:type="auto"/>
        <w:jc w:val="left"/>
        <w:tblInd w:w="294" w:type="dxa"/>
        <w:tblLayout w:type="fixed"/>
        <w:tblCellMar>
          <w:top w:w="0" w:type="dxa"/>
          <w:left w:w="0" w:type="dxa"/>
          <w:bottom w:w="0" w:type="dxa"/>
          <w:right w:w="0" w:type="dxa"/>
        </w:tblCellMar>
        <w:tblLook w:val="01E0"/>
      </w:tblPr>
      <w:tblGrid>
        <w:gridCol w:w="1787"/>
        <w:gridCol w:w="1571"/>
        <w:gridCol w:w="1134"/>
        <w:gridCol w:w="1558"/>
        <w:gridCol w:w="1416"/>
        <w:gridCol w:w="1733"/>
      </w:tblGrid>
      <w:tr>
        <w:trPr>
          <w:trHeight w:val="490" w:hRule="exact"/>
        </w:trPr>
        <w:tc>
          <w:tcPr>
            <w:tcW w:w="178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157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2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11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本年增加</w:t>
            </w:r>
          </w:p>
        </w:tc>
        <w:tc>
          <w:tcPr>
            <w:tcW w:w="15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1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本年减少</w:t>
            </w:r>
          </w:p>
        </w:tc>
        <w:tc>
          <w:tcPr>
            <w:tcW w:w="14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34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173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形成原因</w:t>
            </w:r>
          </w:p>
        </w:tc>
      </w:tr>
      <w:tr>
        <w:trPr>
          <w:trHeight w:val="491" w:hRule="exact"/>
        </w:trPr>
        <w:tc>
          <w:tcPr>
            <w:tcW w:w="178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4"/>
                <w:sz w:val="18"/>
                <w:szCs w:val="18"/>
              </w:rPr>
              <w:t> </w:t>
            </w:r>
            <w:r>
              <w:rPr>
                <w:rFonts w:ascii="华文细黑" w:hAnsi="华文细黑" w:cs="华文细黑" w:eastAsia="华文细黑" w:hint="default"/>
                <w:sz w:val="18"/>
                <w:szCs w:val="18"/>
              </w:rPr>
              <w:t>计</w:t>
            </w:r>
          </w:p>
        </w:tc>
        <w:tc>
          <w:tcPr>
            <w:tcW w:w="157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506" w:right="-6"/>
              <w:jc w:val="left"/>
              <w:rPr>
                <w:rFonts w:ascii="华文细黑" w:hAnsi="华文细黑" w:cs="华文细黑" w:eastAsia="华文细黑" w:hint="default"/>
                <w:sz w:val="18"/>
                <w:szCs w:val="18"/>
              </w:rPr>
            </w:pPr>
            <w:r>
              <w:rPr>
                <w:rFonts w:ascii="华文细黑"/>
                <w:b/>
                <w:sz w:val="18"/>
              </w:rPr>
              <w:t>6,670,000.00</w:t>
            </w:r>
            <w:r>
              <w:rPr>
                <w:rFonts w:ascii="华文细黑"/>
                <w:sz w:val="18"/>
              </w:rPr>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5"/>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55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505" w:right="-6"/>
              <w:jc w:val="left"/>
              <w:rPr>
                <w:rFonts w:ascii="华文细黑" w:hAnsi="华文细黑" w:cs="华文细黑" w:eastAsia="华文细黑" w:hint="default"/>
                <w:sz w:val="18"/>
                <w:szCs w:val="18"/>
              </w:rPr>
            </w:pPr>
            <w:r>
              <w:rPr>
                <w:rFonts w:ascii="华文细黑"/>
                <w:b/>
                <w:sz w:val="18"/>
              </w:rPr>
              <w:t>6,670,000.00</w:t>
            </w:r>
            <w:r>
              <w:rPr>
                <w:rFonts w:ascii="华文细黑"/>
                <w:sz w:val="18"/>
              </w:rPr>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5"/>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733" w:type="dxa"/>
            <w:tcBorders>
              <w:top w:val="single" w:sz="4" w:space="0" w:color="FFC000"/>
              <w:left w:val="single" w:sz="4" w:space="0" w:color="FFC000"/>
              <w:bottom w:val="single" w:sz="4" w:space="0" w:color="FFC000"/>
              <w:right w:val="single" w:sz="4" w:space="0" w:color="FFC000"/>
            </w:tcBorders>
          </w:tcPr>
          <w:p>
            <w:pPr/>
          </w:p>
        </w:tc>
      </w:tr>
    </w:tbl>
    <w:p>
      <w:pPr>
        <w:spacing w:line="240" w:lineRule="auto" w:before="13"/>
        <w:rPr>
          <w:rFonts w:ascii="华文细黑" w:hAnsi="华文细黑" w:cs="华文细黑" w:eastAsia="华文细黑" w:hint="default"/>
          <w:b/>
          <w:bCs/>
          <w:sz w:val="6"/>
          <w:szCs w:val="6"/>
        </w:rPr>
      </w:pPr>
    </w:p>
    <w:p>
      <w:pPr>
        <w:pStyle w:val="BodyText"/>
        <w:spacing w:line="240" w:lineRule="auto" w:before="10"/>
        <w:ind w:left="800" w:right="0"/>
        <w:jc w:val="left"/>
      </w:pPr>
      <w:r>
        <w:rPr/>
        <w:t>其中，涉及政府补助的项目：</w:t>
      </w:r>
    </w:p>
    <w:p>
      <w:pPr>
        <w:spacing w:line="240" w:lineRule="auto" w:before="5"/>
        <w:rPr>
          <w:rFonts w:ascii="华文细黑" w:hAnsi="华文细黑" w:cs="华文细黑" w:eastAsia="华文细黑" w:hint="default"/>
          <w:sz w:val="5"/>
          <w:szCs w:val="5"/>
        </w:rPr>
      </w:pPr>
    </w:p>
    <w:tbl>
      <w:tblPr>
        <w:tblW w:w="0" w:type="auto"/>
        <w:jc w:val="left"/>
        <w:tblInd w:w="103" w:type="dxa"/>
        <w:tblLayout w:type="fixed"/>
        <w:tblCellMar>
          <w:top w:w="0" w:type="dxa"/>
          <w:left w:w="0" w:type="dxa"/>
          <w:bottom w:w="0" w:type="dxa"/>
          <w:right w:w="0" w:type="dxa"/>
        </w:tblCellMar>
        <w:tblLook w:val="01E0"/>
      </w:tblPr>
      <w:tblGrid>
        <w:gridCol w:w="1703"/>
        <w:gridCol w:w="1121"/>
        <w:gridCol w:w="1134"/>
        <w:gridCol w:w="1276"/>
        <w:gridCol w:w="1134"/>
        <w:gridCol w:w="1276"/>
        <w:gridCol w:w="992"/>
        <w:gridCol w:w="992"/>
      </w:tblGrid>
      <w:tr>
        <w:trPr>
          <w:trHeight w:val="205" w:hRule="exact"/>
        </w:trPr>
        <w:tc>
          <w:tcPr>
            <w:tcW w:w="1703" w:type="dxa"/>
            <w:tcBorders>
              <w:top w:val="single" w:sz="4" w:space="0" w:color="FFC000"/>
              <w:left w:val="single" w:sz="4" w:space="0" w:color="FFC000"/>
              <w:bottom w:val="nil" w:sz="6" w:space="0" w:color="auto"/>
              <w:right w:val="single" w:sz="4" w:space="0" w:color="FFC000"/>
            </w:tcBorders>
            <w:shd w:val="clear" w:color="auto" w:fill="FFF8E6"/>
          </w:tcPr>
          <w:p>
            <w:pPr/>
          </w:p>
        </w:tc>
        <w:tc>
          <w:tcPr>
            <w:tcW w:w="1121" w:type="dxa"/>
            <w:tcBorders>
              <w:top w:val="single" w:sz="4" w:space="0" w:color="FFC000"/>
              <w:left w:val="single" w:sz="4" w:space="0" w:color="FFC000"/>
              <w:bottom w:val="nil" w:sz="6" w:space="0" w:color="auto"/>
              <w:right w:val="single" w:sz="4" w:space="0" w:color="FFC000"/>
            </w:tcBorders>
            <w:shd w:val="clear" w:color="auto" w:fill="FFF8E6"/>
          </w:tcPr>
          <w:p>
            <w:pPr/>
          </w:p>
        </w:tc>
        <w:tc>
          <w:tcPr>
            <w:tcW w:w="1134"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3"/>
              <w:ind w:left="291" w:right="111"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本年新增补 助金额</w:t>
            </w:r>
          </w:p>
        </w:tc>
        <w:tc>
          <w:tcPr>
            <w:tcW w:w="1276"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3"/>
              <w:ind w:left="182" w:right="91" w:hanging="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本年计入营业 外收入金额</w:t>
            </w:r>
          </w:p>
        </w:tc>
        <w:tc>
          <w:tcPr>
            <w:tcW w:w="1134"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3"/>
              <w:ind w:left="111" w:right="11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本年计入其 他收益金额</w:t>
            </w:r>
          </w:p>
        </w:tc>
        <w:tc>
          <w:tcPr>
            <w:tcW w:w="1276"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3"/>
              <w:ind w:left="452" w:right="93" w:hanging="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本年冲减成本 费用</w:t>
            </w:r>
          </w:p>
        </w:tc>
        <w:tc>
          <w:tcPr>
            <w:tcW w:w="992" w:type="dxa"/>
            <w:tcBorders>
              <w:top w:val="single" w:sz="4" w:space="0" w:color="FFC000"/>
              <w:left w:val="single" w:sz="4" w:space="0" w:color="FFC000"/>
              <w:bottom w:val="nil" w:sz="6" w:space="0" w:color="auto"/>
              <w:right w:val="single" w:sz="4" w:space="0" w:color="FFC000"/>
            </w:tcBorders>
            <w:shd w:val="clear" w:color="auto" w:fill="FFF8E6"/>
          </w:tcPr>
          <w:p>
            <w:pPr/>
          </w:p>
        </w:tc>
        <w:tc>
          <w:tcPr>
            <w:tcW w:w="992"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3"/>
              <w:ind w:left="220" w:right="90" w:hanging="13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与资产</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收 益相关</w:t>
            </w:r>
          </w:p>
        </w:tc>
      </w:tr>
      <w:tr>
        <w:trPr>
          <w:trHeight w:val="480" w:hRule="exact"/>
        </w:trPr>
        <w:tc>
          <w:tcPr>
            <w:tcW w:w="1703"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补助项目</w:t>
            </w:r>
          </w:p>
        </w:tc>
        <w:tc>
          <w:tcPr>
            <w:tcW w:w="1121"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0"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1134" w:type="dxa"/>
            <w:vMerge/>
            <w:tcBorders>
              <w:left w:val="single" w:sz="4" w:space="0" w:color="FFC000"/>
              <w:right w:val="single" w:sz="4" w:space="0" w:color="FFC000"/>
            </w:tcBorders>
            <w:shd w:val="clear" w:color="auto" w:fill="FFF8E6"/>
          </w:tcPr>
          <w:p>
            <w:pPr/>
          </w:p>
        </w:tc>
        <w:tc>
          <w:tcPr>
            <w:tcW w:w="1276" w:type="dxa"/>
            <w:vMerge/>
            <w:tcBorders>
              <w:left w:val="single" w:sz="4" w:space="0" w:color="FFC000"/>
              <w:right w:val="single" w:sz="4" w:space="0" w:color="FFC000"/>
            </w:tcBorders>
            <w:shd w:val="clear" w:color="auto" w:fill="FFF8E6"/>
          </w:tcPr>
          <w:p>
            <w:pPr/>
          </w:p>
        </w:tc>
        <w:tc>
          <w:tcPr>
            <w:tcW w:w="1134" w:type="dxa"/>
            <w:vMerge/>
            <w:tcBorders>
              <w:left w:val="single" w:sz="4" w:space="0" w:color="FFC000"/>
              <w:right w:val="single" w:sz="4" w:space="0" w:color="FFC000"/>
            </w:tcBorders>
            <w:shd w:val="clear" w:color="auto" w:fill="FFF8E6"/>
          </w:tcPr>
          <w:p>
            <w:pPr/>
          </w:p>
        </w:tc>
        <w:tc>
          <w:tcPr>
            <w:tcW w:w="1276" w:type="dxa"/>
            <w:vMerge/>
            <w:tcBorders>
              <w:left w:val="single" w:sz="4" w:space="0" w:color="FFC000"/>
              <w:right w:val="single" w:sz="4" w:space="0" w:color="FFC000"/>
            </w:tcBorders>
            <w:shd w:val="clear" w:color="auto" w:fill="FFF8E6"/>
          </w:tcPr>
          <w:p>
            <w:pPr/>
          </w:p>
        </w:tc>
        <w:tc>
          <w:tcPr>
            <w:tcW w:w="992"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3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992" w:type="dxa"/>
            <w:vMerge/>
            <w:tcBorders>
              <w:left w:val="single" w:sz="4" w:space="0" w:color="FFC000"/>
              <w:right w:val="single" w:sz="4" w:space="0" w:color="FFC000"/>
            </w:tcBorders>
            <w:shd w:val="clear" w:color="auto" w:fill="FFF8E6"/>
          </w:tcPr>
          <w:p>
            <w:pPr/>
          </w:p>
        </w:tc>
      </w:tr>
      <w:tr>
        <w:trPr>
          <w:trHeight w:val="205" w:hRule="exact"/>
        </w:trPr>
        <w:tc>
          <w:tcPr>
            <w:tcW w:w="1703" w:type="dxa"/>
            <w:tcBorders>
              <w:top w:val="nil" w:sz="6" w:space="0" w:color="auto"/>
              <w:left w:val="single" w:sz="4" w:space="0" w:color="FFC000"/>
              <w:bottom w:val="single" w:sz="4" w:space="0" w:color="FFC000"/>
              <w:right w:val="single" w:sz="4" w:space="0" w:color="FFC000"/>
            </w:tcBorders>
            <w:shd w:val="clear" w:color="auto" w:fill="FFF8E6"/>
          </w:tcPr>
          <w:p>
            <w:pPr/>
          </w:p>
        </w:tc>
        <w:tc>
          <w:tcPr>
            <w:tcW w:w="1121" w:type="dxa"/>
            <w:tcBorders>
              <w:top w:val="nil" w:sz="6" w:space="0" w:color="auto"/>
              <w:left w:val="single" w:sz="4" w:space="0" w:color="FFC000"/>
              <w:bottom w:val="single" w:sz="4" w:space="0" w:color="FFC000"/>
              <w:right w:val="single" w:sz="4" w:space="0" w:color="FFC000"/>
            </w:tcBorders>
            <w:shd w:val="clear" w:color="auto" w:fill="FFF8E6"/>
          </w:tcPr>
          <w:p>
            <w:pPr/>
          </w:p>
        </w:tc>
        <w:tc>
          <w:tcPr>
            <w:tcW w:w="1134" w:type="dxa"/>
            <w:vMerge/>
            <w:tcBorders>
              <w:left w:val="single" w:sz="4" w:space="0" w:color="FFC000"/>
              <w:bottom w:val="single" w:sz="4" w:space="0" w:color="FFC000"/>
              <w:right w:val="single" w:sz="4" w:space="0" w:color="FFC000"/>
            </w:tcBorders>
            <w:shd w:val="clear" w:color="auto" w:fill="FFF8E6"/>
          </w:tcPr>
          <w:p>
            <w:pPr/>
          </w:p>
        </w:tc>
        <w:tc>
          <w:tcPr>
            <w:tcW w:w="1276" w:type="dxa"/>
            <w:vMerge/>
            <w:tcBorders>
              <w:left w:val="single" w:sz="4" w:space="0" w:color="FFC000"/>
              <w:bottom w:val="single" w:sz="4" w:space="0" w:color="FFC000"/>
              <w:right w:val="single" w:sz="4" w:space="0" w:color="FFC000"/>
            </w:tcBorders>
            <w:shd w:val="clear" w:color="auto" w:fill="FFF8E6"/>
          </w:tcPr>
          <w:p>
            <w:pPr/>
          </w:p>
        </w:tc>
        <w:tc>
          <w:tcPr>
            <w:tcW w:w="1134" w:type="dxa"/>
            <w:vMerge/>
            <w:tcBorders>
              <w:left w:val="single" w:sz="4" w:space="0" w:color="FFC000"/>
              <w:bottom w:val="single" w:sz="4" w:space="0" w:color="FFC000"/>
              <w:right w:val="single" w:sz="4" w:space="0" w:color="FFC000"/>
            </w:tcBorders>
            <w:shd w:val="clear" w:color="auto" w:fill="FFF8E6"/>
          </w:tcPr>
          <w:p>
            <w:pPr/>
          </w:p>
        </w:tc>
        <w:tc>
          <w:tcPr>
            <w:tcW w:w="1276" w:type="dxa"/>
            <w:vMerge/>
            <w:tcBorders>
              <w:left w:val="single" w:sz="4" w:space="0" w:color="FFC000"/>
              <w:bottom w:val="single" w:sz="4" w:space="0" w:color="FFC000"/>
              <w:right w:val="single" w:sz="4" w:space="0" w:color="FFC000"/>
            </w:tcBorders>
            <w:shd w:val="clear" w:color="auto" w:fill="FFF8E6"/>
          </w:tcPr>
          <w:p>
            <w:pPr/>
          </w:p>
        </w:tc>
        <w:tc>
          <w:tcPr>
            <w:tcW w:w="992" w:type="dxa"/>
            <w:tcBorders>
              <w:top w:val="nil" w:sz="6" w:space="0" w:color="auto"/>
              <w:left w:val="single" w:sz="4" w:space="0" w:color="FFC000"/>
              <w:bottom w:val="single" w:sz="4" w:space="0" w:color="FFC000"/>
              <w:right w:val="single" w:sz="4" w:space="0" w:color="FFC000"/>
            </w:tcBorders>
            <w:shd w:val="clear" w:color="auto" w:fill="FFF8E6"/>
          </w:tcPr>
          <w:p>
            <w:pPr/>
          </w:p>
        </w:tc>
        <w:tc>
          <w:tcPr>
            <w:tcW w:w="992" w:type="dxa"/>
            <w:vMerge/>
            <w:tcBorders>
              <w:left w:val="single" w:sz="4" w:space="0" w:color="FFC000"/>
              <w:bottom w:val="single" w:sz="4" w:space="0" w:color="FFC000"/>
              <w:right w:val="single" w:sz="4" w:space="0" w:color="FFC000"/>
            </w:tcBorders>
            <w:shd w:val="clear" w:color="auto" w:fill="FFF8E6"/>
          </w:tcPr>
          <w:p>
            <w:pPr/>
          </w:p>
        </w:tc>
      </w:tr>
      <w:tr>
        <w:trPr>
          <w:trHeight w:val="1690" w:hRule="exact"/>
        </w:trPr>
        <w:tc>
          <w:tcPr>
            <w:tcW w:w="170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3"/>
              <w:ind w:left="12" w:right="-24"/>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pacing w:val="14"/>
                <w:sz w:val="18"/>
                <w:szCs w:val="18"/>
              </w:rPr>
              <w:t> </w:t>
            </w:r>
            <w:r>
              <w:rPr>
                <w:rFonts w:ascii="华文细黑" w:hAnsi="华文细黑" w:cs="华文细黑" w:eastAsia="华文细黑" w:hint="default"/>
                <w:spacing w:val="7"/>
                <w:sz w:val="18"/>
                <w:szCs w:val="18"/>
              </w:rPr>
              <w:t>号机平台——颠覆</w:t>
            </w:r>
            <w:r>
              <w:rPr>
                <w:rFonts w:ascii="华文细黑" w:hAnsi="华文细黑" w:cs="华文细黑" w:eastAsia="华文细黑" w:hint="default"/>
                <w:spacing w:val="8"/>
                <w:sz w:val="18"/>
                <w:szCs w:val="18"/>
              </w:rPr>
              <w:t> </w:t>
            </w:r>
            <w:r>
              <w:rPr>
                <w:rFonts w:ascii="华文细黑" w:hAnsi="华文细黑" w:cs="华文细黑" w:eastAsia="华文细黑" w:hint="default"/>
                <w:sz w:val="18"/>
                <w:szCs w:val="18"/>
              </w:rPr>
              <w:t>式 、 开 放 型</w:t>
            </w:r>
            <w:r>
              <w:rPr>
                <w:rFonts w:ascii="华文细黑" w:hAnsi="华文细黑" w:cs="华文细黑" w:eastAsia="华文细黑" w:hint="default"/>
                <w:spacing w:val="29"/>
                <w:sz w:val="18"/>
                <w:szCs w:val="18"/>
              </w:rPr>
              <w:t> </w:t>
            </w:r>
            <w:r>
              <w:rPr>
                <w:rFonts w:ascii="华文细黑" w:hAnsi="华文细黑" w:cs="华文细黑" w:eastAsia="华文细黑" w:hint="default"/>
                <w:sz w:val="18"/>
                <w:szCs w:val="18"/>
              </w:rPr>
              <w:t>的</w:t>
            </w:r>
            <w:r>
              <w:rPr>
                <w:rFonts w:ascii="华文细黑" w:hAnsi="华文细黑" w:cs="华文细黑" w:eastAsia="华文细黑" w:hint="default"/>
                <w:sz w:val="18"/>
                <w:szCs w:val="18"/>
              </w:rPr>
              <w:t> </w:t>
            </w:r>
            <w:r>
              <w:rPr>
                <w:rFonts w:ascii="华文细黑" w:hAnsi="华文细黑" w:cs="华文细黑" w:eastAsia="华文细黑" w:hint="default"/>
                <w:sz w:val="18"/>
                <w:szCs w:val="18"/>
              </w:rPr>
              <w:t>B2B+O2O</w:t>
            </w:r>
            <w:r>
              <w:rPr>
                <w:rFonts w:ascii="华文细黑" w:hAnsi="华文细黑" w:cs="华文细黑" w:eastAsia="华文细黑" w:hint="default"/>
                <w:spacing w:val="15"/>
                <w:sz w:val="18"/>
                <w:szCs w:val="18"/>
              </w:rPr>
              <w:t> </w:t>
            </w:r>
            <w:r>
              <w:rPr>
                <w:rFonts w:ascii="华文细黑" w:hAnsi="华文细黑" w:cs="华文细黑" w:eastAsia="华文细黑" w:hint="default"/>
                <w:spacing w:val="10"/>
                <w:sz w:val="18"/>
                <w:szCs w:val="18"/>
              </w:rPr>
              <w:t>式线上采</w:t>
            </w:r>
            <w:r>
              <w:rPr>
                <w:rFonts w:ascii="华文细黑" w:hAnsi="华文细黑" w:cs="华文细黑" w:eastAsia="华文细黑" w:hint="default"/>
                <w:sz w:val="18"/>
                <w:szCs w:val="18"/>
              </w:rPr>
              <w:t> 销平台</w:t>
            </w:r>
          </w:p>
        </w:tc>
        <w:tc>
          <w:tcPr>
            <w:tcW w:w="1121" w:type="dxa"/>
            <w:tcBorders>
              <w:top w:val="single" w:sz="4" w:space="0" w:color="FFC000"/>
              <w:left w:val="single" w:sz="14" w:space="0" w:color="FFF8E6"/>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0"/>
              <w:ind w:right="0"/>
              <w:jc w:val="left"/>
              <w:rPr>
                <w:rFonts w:ascii="华文细黑" w:hAnsi="华文细黑" w:cs="华文细黑" w:eastAsia="华文细黑" w:hint="default"/>
                <w:sz w:val="16"/>
                <w:szCs w:val="16"/>
              </w:rPr>
            </w:pPr>
          </w:p>
          <w:p>
            <w:pPr>
              <w:pStyle w:val="TableParagraph"/>
              <w:spacing w:line="240" w:lineRule="auto"/>
              <w:ind w:left="55" w:right="-4"/>
              <w:jc w:val="center"/>
              <w:rPr>
                <w:rFonts w:ascii="华文细黑" w:hAnsi="华文细黑" w:cs="华文细黑" w:eastAsia="华文细黑" w:hint="default"/>
                <w:sz w:val="18"/>
                <w:szCs w:val="18"/>
              </w:rPr>
            </w:pPr>
            <w:r>
              <w:rPr>
                <w:rFonts w:ascii="华文细黑"/>
                <w:sz w:val="18"/>
              </w:rPr>
              <w:t>6,670,000.00</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0"/>
              <w:ind w:right="0"/>
              <w:jc w:val="left"/>
              <w:rPr>
                <w:rFonts w:ascii="华文细黑" w:hAnsi="华文细黑" w:cs="华文细黑" w:eastAsia="华文细黑" w:hint="default"/>
                <w:sz w:val="16"/>
                <w:szCs w:val="16"/>
              </w:rPr>
            </w:pPr>
          </w:p>
          <w:p>
            <w:pPr>
              <w:pStyle w:val="TableParagraph"/>
              <w:spacing w:line="240" w:lineRule="auto"/>
              <w:ind w:right="-5"/>
              <w:jc w:val="right"/>
              <w:rPr>
                <w:rFonts w:ascii="华文细黑" w:hAnsi="华文细黑" w:cs="华文细黑" w:eastAsia="华文细黑" w:hint="default"/>
                <w:sz w:val="18"/>
                <w:szCs w:val="18"/>
              </w:rPr>
            </w:pPr>
            <w:r>
              <w:rPr>
                <w:rFonts w:ascii="华文细黑"/>
                <w:sz w:val="18"/>
              </w:rPr>
              <w:t>---</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0"/>
              <w:ind w:right="0"/>
              <w:jc w:val="left"/>
              <w:rPr>
                <w:rFonts w:ascii="华文细黑" w:hAnsi="华文细黑" w:cs="华文细黑" w:eastAsia="华文细黑" w:hint="default"/>
                <w:sz w:val="16"/>
                <w:szCs w:val="16"/>
              </w:rPr>
            </w:pPr>
          </w:p>
          <w:p>
            <w:pPr>
              <w:pStyle w:val="TableParagraph"/>
              <w:spacing w:line="240" w:lineRule="auto"/>
              <w:ind w:right="-7"/>
              <w:jc w:val="right"/>
              <w:rPr>
                <w:rFonts w:ascii="华文细黑" w:hAnsi="华文细黑" w:cs="华文细黑" w:eastAsia="华文细黑" w:hint="default"/>
                <w:sz w:val="18"/>
                <w:szCs w:val="18"/>
              </w:rPr>
            </w:pPr>
            <w:r>
              <w:rPr>
                <w:rFonts w:ascii="华文细黑"/>
                <w:sz w:val="18"/>
              </w:rPr>
              <w:t>---</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0"/>
              <w:ind w:right="0"/>
              <w:jc w:val="left"/>
              <w:rPr>
                <w:rFonts w:ascii="华文细黑" w:hAnsi="华文细黑" w:cs="华文细黑" w:eastAsia="华文细黑" w:hint="default"/>
                <w:sz w:val="16"/>
                <w:szCs w:val="16"/>
              </w:rPr>
            </w:pPr>
          </w:p>
          <w:p>
            <w:pPr>
              <w:pStyle w:val="TableParagraph"/>
              <w:spacing w:line="240" w:lineRule="auto"/>
              <w:ind w:right="-5"/>
              <w:jc w:val="right"/>
              <w:rPr>
                <w:rFonts w:ascii="华文细黑" w:hAnsi="华文细黑" w:cs="华文细黑" w:eastAsia="华文细黑" w:hint="default"/>
                <w:sz w:val="18"/>
                <w:szCs w:val="18"/>
              </w:rPr>
            </w:pPr>
            <w:r>
              <w:rPr>
                <w:rFonts w:ascii="华文细黑"/>
                <w:sz w:val="18"/>
              </w:rPr>
              <w:t>---</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0"/>
              <w:ind w:right="0"/>
              <w:jc w:val="left"/>
              <w:rPr>
                <w:rFonts w:ascii="华文细黑" w:hAnsi="华文细黑" w:cs="华文细黑" w:eastAsia="华文细黑" w:hint="default"/>
                <w:sz w:val="16"/>
                <w:szCs w:val="16"/>
              </w:rPr>
            </w:pPr>
          </w:p>
          <w:p>
            <w:pPr>
              <w:pStyle w:val="TableParagraph"/>
              <w:spacing w:line="240" w:lineRule="auto"/>
              <w:ind w:right="-5"/>
              <w:jc w:val="right"/>
              <w:rPr>
                <w:rFonts w:ascii="华文细黑" w:hAnsi="华文细黑" w:cs="华文细黑" w:eastAsia="华文细黑" w:hint="default"/>
                <w:sz w:val="18"/>
                <w:szCs w:val="18"/>
              </w:rPr>
            </w:pPr>
            <w:r>
              <w:rPr>
                <w:rFonts w:ascii="华文细黑"/>
                <w:sz w:val="18"/>
              </w:rPr>
              <w:t>6,670,000.00</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0"/>
              <w:ind w:right="0"/>
              <w:jc w:val="left"/>
              <w:rPr>
                <w:rFonts w:ascii="华文细黑" w:hAnsi="华文细黑" w:cs="华文细黑" w:eastAsia="华文细黑" w:hint="default"/>
                <w:sz w:val="16"/>
                <w:szCs w:val="16"/>
              </w:rPr>
            </w:pPr>
          </w:p>
          <w:p>
            <w:pPr>
              <w:pStyle w:val="TableParagraph"/>
              <w:spacing w:line="240" w:lineRule="auto"/>
              <w:ind w:right="-7"/>
              <w:jc w:val="right"/>
              <w:rPr>
                <w:rFonts w:ascii="华文细黑" w:hAnsi="华文细黑" w:cs="华文细黑" w:eastAsia="华文细黑" w:hint="default"/>
                <w:sz w:val="18"/>
                <w:szCs w:val="18"/>
              </w:rPr>
            </w:pPr>
            <w:r>
              <w:rPr>
                <w:rFonts w:ascii="华文细黑"/>
                <w:sz w:val="18"/>
              </w:rPr>
              <w:t>---</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0"/>
              <w:ind w:right="0"/>
              <w:jc w:val="left"/>
              <w:rPr>
                <w:rFonts w:ascii="华文细黑" w:hAnsi="华文细黑" w:cs="华文细黑" w:eastAsia="华文细黑" w:hint="default"/>
                <w:sz w:val="16"/>
                <w:szCs w:val="16"/>
              </w:rPr>
            </w:pPr>
          </w:p>
          <w:p>
            <w:pPr>
              <w:pStyle w:val="TableParagraph"/>
              <w:spacing w:line="240" w:lineRule="auto"/>
              <w:ind w:left="4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与收益相关</w:t>
            </w:r>
          </w:p>
        </w:tc>
      </w:tr>
      <w:tr>
        <w:trPr>
          <w:trHeight w:val="491" w:hRule="exact"/>
        </w:trPr>
        <w:tc>
          <w:tcPr>
            <w:tcW w:w="170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1121" w:type="dxa"/>
            <w:tcBorders>
              <w:top w:val="single" w:sz="4" w:space="0" w:color="FFC000"/>
              <w:left w:val="single" w:sz="14" w:space="0" w:color="FFF8E6"/>
              <w:bottom w:val="single" w:sz="4" w:space="0" w:color="FFC000"/>
              <w:right w:val="single" w:sz="4" w:space="0" w:color="FFC000"/>
            </w:tcBorders>
          </w:tcPr>
          <w:p>
            <w:pPr>
              <w:pStyle w:val="TableParagraph"/>
              <w:spacing w:line="240" w:lineRule="auto" w:before="144"/>
              <w:ind w:left="52" w:right="-3"/>
              <w:jc w:val="center"/>
              <w:rPr>
                <w:rFonts w:ascii="华文细黑" w:hAnsi="华文细黑" w:cs="华文细黑" w:eastAsia="华文细黑" w:hint="default"/>
                <w:sz w:val="18"/>
                <w:szCs w:val="18"/>
              </w:rPr>
            </w:pPr>
            <w:r>
              <w:rPr>
                <w:rFonts w:ascii="华文细黑"/>
                <w:b/>
                <w:sz w:val="18"/>
              </w:rPr>
              <w:t>6,670,000.00</w:t>
            </w:r>
            <w:r>
              <w:rPr>
                <w:rFonts w:ascii="华文细黑"/>
                <w:sz w:val="18"/>
              </w:rPr>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4"/>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5"/>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4"/>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4"/>
              <w:jc w:val="right"/>
              <w:rPr>
                <w:rFonts w:ascii="华文细黑" w:hAnsi="华文细黑" w:cs="华文细黑" w:eastAsia="华文细黑" w:hint="default"/>
                <w:sz w:val="18"/>
                <w:szCs w:val="18"/>
              </w:rPr>
            </w:pPr>
            <w:r>
              <w:rPr>
                <w:rFonts w:ascii="华文细黑"/>
                <w:b/>
                <w:w w:val="95"/>
                <w:sz w:val="18"/>
              </w:rPr>
              <w:t>6,670,000.00</w:t>
            </w:r>
            <w:r>
              <w:rPr>
                <w:rFonts w:ascii="华文细黑"/>
                <w:sz w:val="18"/>
              </w:rPr>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5"/>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992" w:type="dxa"/>
            <w:tcBorders>
              <w:top w:val="single" w:sz="4" w:space="0" w:color="FFC000"/>
              <w:left w:val="single" w:sz="4" w:space="0" w:color="FFC000"/>
              <w:bottom w:val="single" w:sz="4" w:space="0" w:color="FFC000"/>
              <w:right w:val="single" w:sz="4" w:space="0" w:color="FFC000"/>
            </w:tcBorders>
          </w:tcPr>
          <w:p>
            <w:pPr/>
          </w:p>
        </w:tc>
      </w:tr>
    </w:tbl>
    <w:p>
      <w:pPr>
        <w:spacing w:line="240" w:lineRule="auto" w:before="13"/>
        <w:rPr>
          <w:rFonts w:ascii="华文细黑" w:hAnsi="华文细黑" w:cs="华文细黑" w:eastAsia="华文细黑" w:hint="default"/>
          <w:sz w:val="6"/>
          <w:szCs w:val="6"/>
        </w:rPr>
      </w:pPr>
    </w:p>
    <w:p>
      <w:pPr>
        <w:pStyle w:val="Heading5"/>
        <w:spacing w:line="240" w:lineRule="auto"/>
        <w:ind w:left="800" w:right="0"/>
        <w:jc w:val="left"/>
        <w:rPr>
          <w:b w:val="0"/>
          <w:bCs w:val="0"/>
        </w:rPr>
      </w:pPr>
      <w:bookmarkStart w:name="28、股本" w:id="293"/>
      <w:bookmarkEnd w:id="293"/>
      <w:r>
        <w:rPr>
          <w:b w:val="0"/>
          <w:bCs w:val="0"/>
        </w:rPr>
      </w:r>
      <w:r>
        <w:rPr>
          <w:rFonts w:ascii="华文细黑" w:hAnsi="华文细黑" w:cs="华文细黑" w:eastAsia="华文细黑" w:hint="default"/>
        </w:rPr>
        <w:t>28</w:t>
      </w:r>
      <w:r>
        <w:rPr/>
        <w:t>、股本</w:t>
      </w:r>
      <w:r>
        <w:rPr>
          <w:b w:val="0"/>
          <w:bCs w:val="0"/>
        </w:rPr>
      </w:r>
    </w:p>
    <w:p>
      <w:pPr>
        <w:spacing w:line="240" w:lineRule="auto" w:before="5"/>
        <w:rPr>
          <w:rFonts w:ascii="华文细黑" w:hAnsi="华文细黑" w:cs="华文细黑" w:eastAsia="华文细黑" w:hint="default"/>
          <w:b/>
          <w:bCs/>
          <w:sz w:val="5"/>
          <w:szCs w:val="5"/>
        </w:rPr>
      </w:pPr>
    </w:p>
    <w:tbl>
      <w:tblPr>
        <w:tblW w:w="0" w:type="auto"/>
        <w:jc w:val="left"/>
        <w:tblInd w:w="129" w:type="dxa"/>
        <w:tblLayout w:type="fixed"/>
        <w:tblCellMar>
          <w:top w:w="0" w:type="dxa"/>
          <w:left w:w="0" w:type="dxa"/>
          <w:bottom w:w="0" w:type="dxa"/>
          <w:right w:w="0" w:type="dxa"/>
        </w:tblCellMar>
        <w:tblLook w:val="01E0"/>
      </w:tblPr>
      <w:tblGrid>
        <w:gridCol w:w="1137"/>
        <w:gridCol w:w="1676"/>
        <w:gridCol w:w="893"/>
        <w:gridCol w:w="509"/>
        <w:gridCol w:w="1614"/>
        <w:gridCol w:w="556"/>
        <w:gridCol w:w="1521"/>
        <w:gridCol w:w="1619"/>
      </w:tblGrid>
      <w:tr>
        <w:trPr>
          <w:trHeight w:val="250" w:hRule="exact"/>
        </w:trPr>
        <w:tc>
          <w:tcPr>
            <w:tcW w:w="1137" w:type="dxa"/>
            <w:tcBorders>
              <w:top w:val="single" w:sz="4" w:space="0" w:color="FFC000"/>
              <w:left w:val="single" w:sz="4" w:space="0" w:color="FFC000"/>
              <w:bottom w:val="nil" w:sz="6" w:space="0" w:color="auto"/>
              <w:right w:val="single" w:sz="4" w:space="0" w:color="FFC000"/>
            </w:tcBorders>
            <w:shd w:val="clear" w:color="auto" w:fill="FFF8E6"/>
          </w:tcPr>
          <w:p>
            <w:pPr/>
          </w:p>
        </w:tc>
        <w:tc>
          <w:tcPr>
            <w:tcW w:w="1676" w:type="dxa"/>
            <w:tcBorders>
              <w:top w:val="single" w:sz="4" w:space="0" w:color="FFC000"/>
              <w:left w:val="single" w:sz="4" w:space="0" w:color="FFC000"/>
              <w:bottom w:val="nil" w:sz="6" w:space="0" w:color="auto"/>
              <w:right w:val="single" w:sz="4" w:space="0" w:color="FFC000"/>
            </w:tcBorders>
            <w:shd w:val="clear" w:color="auto" w:fill="FFF8E6"/>
          </w:tcPr>
          <w:p>
            <w:pPr/>
          </w:p>
        </w:tc>
        <w:tc>
          <w:tcPr>
            <w:tcW w:w="5092" w:type="dxa"/>
            <w:gridSpan w:val="5"/>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159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本年增减变动（</w:t>
            </w:r>
            <w:r>
              <w:rPr>
                <w:rFonts w:ascii="华文细黑" w:hAnsi="华文细黑" w:cs="华文细黑" w:eastAsia="华文细黑" w:hint="default"/>
                <w:sz w:val="18"/>
                <w:szCs w:val="18"/>
              </w:rPr>
              <w:t>+</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161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45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268" w:hRule="exact"/>
        </w:trPr>
        <w:tc>
          <w:tcPr>
            <w:tcW w:w="1137"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37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项目</w:t>
            </w:r>
          </w:p>
        </w:tc>
        <w:tc>
          <w:tcPr>
            <w:tcW w:w="1676"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46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5092" w:type="dxa"/>
            <w:gridSpan w:val="5"/>
            <w:vMerge/>
            <w:tcBorders>
              <w:left w:val="single" w:sz="4" w:space="0" w:color="FFC000"/>
              <w:bottom w:val="single" w:sz="4" w:space="0" w:color="FFC000"/>
              <w:right w:val="single" w:sz="4" w:space="0" w:color="FFC000"/>
            </w:tcBorders>
            <w:shd w:val="clear" w:color="auto" w:fill="FFF8E6"/>
          </w:tcPr>
          <w:p>
            <w:pPr/>
          </w:p>
        </w:tc>
        <w:tc>
          <w:tcPr>
            <w:tcW w:w="1619" w:type="dxa"/>
            <w:vMerge/>
            <w:tcBorders>
              <w:left w:val="single" w:sz="4" w:space="0" w:color="FFC000"/>
              <w:bottom w:val="nil" w:sz="6" w:space="0" w:color="auto"/>
              <w:right w:val="single" w:sz="4" w:space="0" w:color="FFC000"/>
            </w:tcBorders>
            <w:shd w:val="clear" w:color="auto" w:fill="FFF8E6"/>
          </w:tcPr>
          <w:p>
            <w:pPr/>
          </w:p>
        </w:tc>
      </w:tr>
      <w:tr>
        <w:trPr>
          <w:trHeight w:val="212" w:hRule="exact"/>
        </w:trPr>
        <w:tc>
          <w:tcPr>
            <w:tcW w:w="1137" w:type="dxa"/>
            <w:vMerge/>
            <w:tcBorders>
              <w:left w:val="single" w:sz="4" w:space="0" w:color="FFC000"/>
              <w:bottom w:val="nil" w:sz="6" w:space="0" w:color="auto"/>
              <w:right w:val="single" w:sz="4" w:space="0" w:color="FFC000"/>
            </w:tcBorders>
            <w:shd w:val="clear" w:color="auto" w:fill="FFF8E6"/>
          </w:tcPr>
          <w:p>
            <w:pPr/>
          </w:p>
        </w:tc>
        <w:tc>
          <w:tcPr>
            <w:tcW w:w="1676" w:type="dxa"/>
            <w:vMerge/>
            <w:tcBorders>
              <w:left w:val="single" w:sz="4" w:space="0" w:color="FFC000"/>
              <w:bottom w:val="nil" w:sz="6" w:space="0" w:color="auto"/>
              <w:right w:val="single" w:sz="4" w:space="0" w:color="FFC000"/>
            </w:tcBorders>
            <w:shd w:val="clear" w:color="auto" w:fill="FFF8E6"/>
          </w:tcPr>
          <w:p>
            <w:pPr/>
          </w:p>
        </w:tc>
        <w:tc>
          <w:tcPr>
            <w:tcW w:w="893"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17"/>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发行新股</w:t>
            </w:r>
          </w:p>
        </w:tc>
        <w:tc>
          <w:tcPr>
            <w:tcW w:w="50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17"/>
              <w:ind w:left="1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送股</w:t>
            </w:r>
          </w:p>
        </w:tc>
        <w:tc>
          <w:tcPr>
            <w:tcW w:w="1614"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17"/>
              <w:ind w:left="34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公积金转股</w:t>
            </w:r>
          </w:p>
        </w:tc>
        <w:tc>
          <w:tcPr>
            <w:tcW w:w="556"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17"/>
              <w:ind w:left="1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1521"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57"/>
              <w:ind w:right="14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小计</w:t>
            </w:r>
          </w:p>
        </w:tc>
        <w:tc>
          <w:tcPr>
            <w:tcW w:w="1619" w:type="dxa"/>
            <w:vMerge w:val="restart"/>
            <w:tcBorders>
              <w:top w:val="nil" w:sz="6" w:space="0" w:color="auto"/>
              <w:left w:val="single" w:sz="4" w:space="0" w:color="FFC000"/>
              <w:right w:val="single" w:sz="4" w:space="0" w:color="FFC000"/>
            </w:tcBorders>
            <w:shd w:val="clear" w:color="auto" w:fill="FFF8E6"/>
          </w:tcPr>
          <w:p>
            <w:pPr/>
          </w:p>
        </w:tc>
      </w:tr>
      <w:tr>
        <w:trPr>
          <w:trHeight w:val="250" w:hRule="exact"/>
        </w:trPr>
        <w:tc>
          <w:tcPr>
            <w:tcW w:w="1137" w:type="dxa"/>
            <w:tcBorders>
              <w:top w:val="nil" w:sz="6" w:space="0" w:color="auto"/>
              <w:left w:val="single" w:sz="4" w:space="0" w:color="FFC000"/>
              <w:bottom w:val="single" w:sz="4" w:space="0" w:color="FFC000"/>
              <w:right w:val="single" w:sz="4" w:space="0" w:color="FFC000"/>
            </w:tcBorders>
            <w:shd w:val="clear" w:color="auto" w:fill="FFF8E6"/>
          </w:tcPr>
          <w:p>
            <w:pPr/>
          </w:p>
        </w:tc>
        <w:tc>
          <w:tcPr>
            <w:tcW w:w="1676" w:type="dxa"/>
            <w:tcBorders>
              <w:top w:val="nil" w:sz="6" w:space="0" w:color="auto"/>
              <w:left w:val="single" w:sz="4" w:space="0" w:color="FFC000"/>
              <w:bottom w:val="single" w:sz="4" w:space="0" w:color="FFC000"/>
              <w:right w:val="single" w:sz="4" w:space="0" w:color="FFC000"/>
            </w:tcBorders>
            <w:shd w:val="clear" w:color="auto" w:fill="FFF8E6"/>
          </w:tcPr>
          <w:p>
            <w:pPr/>
          </w:p>
        </w:tc>
        <w:tc>
          <w:tcPr>
            <w:tcW w:w="893" w:type="dxa"/>
            <w:vMerge/>
            <w:tcBorders>
              <w:left w:val="single" w:sz="4" w:space="0" w:color="FFC000"/>
              <w:bottom w:val="single" w:sz="4" w:space="0" w:color="FFC000"/>
              <w:right w:val="single" w:sz="4" w:space="0" w:color="FFC000"/>
            </w:tcBorders>
            <w:shd w:val="clear" w:color="auto" w:fill="FFF8E6"/>
          </w:tcPr>
          <w:p>
            <w:pPr/>
          </w:p>
        </w:tc>
        <w:tc>
          <w:tcPr>
            <w:tcW w:w="509" w:type="dxa"/>
            <w:vMerge/>
            <w:tcBorders>
              <w:left w:val="single" w:sz="4" w:space="0" w:color="FFC000"/>
              <w:bottom w:val="single" w:sz="4" w:space="0" w:color="FFC000"/>
              <w:right w:val="single" w:sz="4" w:space="0" w:color="FFC000"/>
            </w:tcBorders>
            <w:shd w:val="clear" w:color="auto" w:fill="FFF8E6"/>
          </w:tcPr>
          <w:p>
            <w:pPr/>
          </w:p>
        </w:tc>
        <w:tc>
          <w:tcPr>
            <w:tcW w:w="1614" w:type="dxa"/>
            <w:vMerge/>
            <w:tcBorders>
              <w:left w:val="single" w:sz="4" w:space="0" w:color="FFC000"/>
              <w:bottom w:val="single" w:sz="4" w:space="0" w:color="FFC000"/>
              <w:right w:val="single" w:sz="4" w:space="0" w:color="FFC000"/>
            </w:tcBorders>
            <w:shd w:val="clear" w:color="auto" w:fill="FFF8E6"/>
          </w:tcPr>
          <w:p>
            <w:pPr/>
          </w:p>
        </w:tc>
        <w:tc>
          <w:tcPr>
            <w:tcW w:w="556" w:type="dxa"/>
            <w:vMerge/>
            <w:tcBorders>
              <w:left w:val="single" w:sz="4" w:space="0" w:color="FFC000"/>
              <w:bottom w:val="single" w:sz="4" w:space="0" w:color="FFC000"/>
              <w:right w:val="single" w:sz="4" w:space="0" w:color="FFC000"/>
            </w:tcBorders>
            <w:shd w:val="clear" w:color="auto" w:fill="FFF8E6"/>
          </w:tcPr>
          <w:p>
            <w:pPr/>
          </w:p>
        </w:tc>
        <w:tc>
          <w:tcPr>
            <w:tcW w:w="1521" w:type="dxa"/>
            <w:vMerge/>
            <w:tcBorders>
              <w:left w:val="single" w:sz="4" w:space="0" w:color="FFC000"/>
              <w:bottom w:val="single" w:sz="4" w:space="0" w:color="FFC000"/>
              <w:right w:val="single" w:sz="4" w:space="0" w:color="FFC000"/>
            </w:tcBorders>
            <w:shd w:val="clear" w:color="auto" w:fill="FFF8E6"/>
          </w:tcPr>
          <w:p>
            <w:pPr/>
          </w:p>
        </w:tc>
        <w:tc>
          <w:tcPr>
            <w:tcW w:w="1619" w:type="dxa"/>
            <w:vMerge/>
            <w:tcBorders>
              <w:left w:val="single" w:sz="4" w:space="0" w:color="FFC000"/>
              <w:bottom w:val="single" w:sz="4" w:space="0" w:color="FFC000"/>
              <w:right w:val="single" w:sz="4" w:space="0" w:color="FFC000"/>
            </w:tcBorders>
            <w:shd w:val="clear" w:color="auto" w:fill="FFF8E6"/>
          </w:tcPr>
          <w:p>
            <w:pPr/>
          </w:p>
        </w:tc>
      </w:tr>
      <w:tr>
        <w:trPr>
          <w:trHeight w:val="491" w:hRule="exact"/>
        </w:trPr>
        <w:tc>
          <w:tcPr>
            <w:tcW w:w="1137" w:type="dxa"/>
            <w:tcBorders>
              <w:top w:val="single" w:sz="4" w:space="0" w:color="FFC000"/>
              <w:left w:val="single" w:sz="5" w:space="0" w:color="FFC000"/>
              <w:bottom w:val="single" w:sz="4" w:space="0" w:color="FFC000"/>
              <w:right w:val="single" w:sz="5" w:space="0" w:color="FFC000"/>
            </w:tcBorders>
            <w:shd w:val="clear" w:color="auto" w:fill="FFF8E6"/>
          </w:tcPr>
          <w:p>
            <w:pPr>
              <w:pStyle w:val="TableParagraph"/>
              <w:spacing w:line="240" w:lineRule="auto" w:before="145"/>
              <w:ind w:left="1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股份总数</w:t>
            </w:r>
          </w:p>
        </w:tc>
        <w:tc>
          <w:tcPr>
            <w:tcW w:w="1676" w:type="dxa"/>
            <w:tcBorders>
              <w:top w:val="single" w:sz="4" w:space="0" w:color="FFC000"/>
              <w:left w:val="single" w:sz="14" w:space="0" w:color="FFF8E6"/>
              <w:bottom w:val="single" w:sz="4" w:space="0" w:color="FFC000"/>
              <w:right w:val="single" w:sz="5" w:space="0" w:color="FFC000"/>
            </w:tcBorders>
          </w:tcPr>
          <w:p>
            <w:pPr>
              <w:pStyle w:val="TableParagraph"/>
              <w:spacing w:line="240" w:lineRule="auto" w:before="145"/>
              <w:ind w:left="258" w:right="-2"/>
              <w:jc w:val="left"/>
              <w:rPr>
                <w:rFonts w:ascii="华文细黑" w:hAnsi="华文细黑" w:cs="华文细黑" w:eastAsia="华文细黑" w:hint="default"/>
                <w:sz w:val="18"/>
                <w:szCs w:val="18"/>
              </w:rPr>
            </w:pPr>
            <w:r>
              <w:rPr>
                <w:rFonts w:ascii="华文细黑"/>
                <w:sz w:val="18"/>
              </w:rPr>
              <w:t>1,032,734,839.00</w:t>
            </w:r>
          </w:p>
        </w:tc>
        <w:tc>
          <w:tcPr>
            <w:tcW w:w="893" w:type="dxa"/>
            <w:tcBorders>
              <w:top w:val="single" w:sz="4" w:space="0" w:color="FFC000"/>
              <w:left w:val="single" w:sz="5" w:space="0" w:color="FFC000"/>
              <w:bottom w:val="single" w:sz="4" w:space="0" w:color="FFC000"/>
              <w:right w:val="single" w:sz="5" w:space="0" w:color="FFC000"/>
            </w:tcBorders>
          </w:tcPr>
          <w:p>
            <w:pPr>
              <w:pStyle w:val="TableParagraph"/>
              <w:spacing w:line="240" w:lineRule="auto" w:before="145"/>
              <w:ind w:right="-11"/>
              <w:jc w:val="right"/>
              <w:rPr>
                <w:rFonts w:ascii="华文细黑" w:hAnsi="华文细黑" w:cs="华文细黑" w:eastAsia="华文细黑" w:hint="default"/>
                <w:sz w:val="18"/>
                <w:szCs w:val="18"/>
              </w:rPr>
            </w:pPr>
            <w:r>
              <w:rPr>
                <w:rFonts w:ascii="华文细黑"/>
                <w:sz w:val="18"/>
              </w:rPr>
              <w:t>---</w:t>
            </w:r>
          </w:p>
        </w:tc>
        <w:tc>
          <w:tcPr>
            <w:tcW w:w="509" w:type="dxa"/>
            <w:tcBorders>
              <w:top w:val="single" w:sz="4" w:space="0" w:color="FFC000"/>
              <w:left w:val="single" w:sz="5" w:space="0" w:color="FFC000"/>
              <w:bottom w:val="single" w:sz="4" w:space="0" w:color="FFC000"/>
              <w:right w:val="single" w:sz="5" w:space="0" w:color="FFC000"/>
            </w:tcBorders>
          </w:tcPr>
          <w:p>
            <w:pPr>
              <w:pStyle w:val="TableParagraph"/>
              <w:spacing w:line="240" w:lineRule="auto" w:before="145"/>
              <w:ind w:left="327" w:right="-11"/>
              <w:jc w:val="left"/>
              <w:rPr>
                <w:rFonts w:ascii="华文细黑" w:hAnsi="华文细黑" w:cs="华文细黑" w:eastAsia="华文细黑" w:hint="default"/>
                <w:sz w:val="18"/>
                <w:szCs w:val="18"/>
              </w:rPr>
            </w:pPr>
            <w:r>
              <w:rPr>
                <w:rFonts w:ascii="华文细黑"/>
                <w:sz w:val="18"/>
              </w:rPr>
              <w:t>---</w:t>
            </w:r>
          </w:p>
        </w:tc>
        <w:tc>
          <w:tcPr>
            <w:tcW w:w="1614" w:type="dxa"/>
            <w:tcBorders>
              <w:top w:val="single" w:sz="4" w:space="0" w:color="FFC000"/>
              <w:left w:val="single" w:sz="5" w:space="0" w:color="FFC000"/>
              <w:bottom w:val="single" w:sz="4" w:space="0" w:color="FFC000"/>
              <w:right w:val="single" w:sz="5" w:space="0" w:color="FFC000"/>
            </w:tcBorders>
          </w:tcPr>
          <w:p>
            <w:pPr>
              <w:pStyle w:val="TableParagraph"/>
              <w:spacing w:line="240" w:lineRule="auto" w:before="145"/>
              <w:ind w:left="363" w:right="-9"/>
              <w:jc w:val="left"/>
              <w:rPr>
                <w:rFonts w:ascii="华文细黑" w:hAnsi="华文细黑" w:cs="华文细黑" w:eastAsia="华文细黑" w:hint="default"/>
                <w:sz w:val="18"/>
                <w:szCs w:val="18"/>
              </w:rPr>
            </w:pPr>
            <w:r>
              <w:rPr>
                <w:rFonts w:ascii="华文细黑"/>
                <w:sz w:val="18"/>
              </w:rPr>
              <w:t>206,546,967.00</w:t>
            </w:r>
          </w:p>
        </w:tc>
        <w:tc>
          <w:tcPr>
            <w:tcW w:w="556" w:type="dxa"/>
            <w:tcBorders>
              <w:top w:val="single" w:sz="4" w:space="0" w:color="FFC000"/>
              <w:left w:val="single" w:sz="5" w:space="0" w:color="FFC000"/>
              <w:bottom w:val="single" w:sz="4" w:space="0" w:color="FFC000"/>
              <w:right w:val="single" w:sz="5" w:space="0" w:color="FFC000"/>
            </w:tcBorders>
          </w:tcPr>
          <w:p>
            <w:pPr>
              <w:pStyle w:val="TableParagraph"/>
              <w:spacing w:line="240" w:lineRule="auto" w:before="145"/>
              <w:ind w:right="-15"/>
              <w:jc w:val="right"/>
              <w:rPr>
                <w:rFonts w:ascii="华文细黑" w:hAnsi="华文细黑" w:cs="华文细黑" w:eastAsia="华文细黑" w:hint="default"/>
                <w:sz w:val="18"/>
                <w:szCs w:val="18"/>
              </w:rPr>
            </w:pPr>
            <w:r>
              <w:rPr>
                <w:rFonts w:ascii="华文细黑"/>
                <w:sz w:val="18"/>
              </w:rPr>
              <w:t>---</w:t>
            </w:r>
          </w:p>
        </w:tc>
        <w:tc>
          <w:tcPr>
            <w:tcW w:w="1521" w:type="dxa"/>
            <w:tcBorders>
              <w:top w:val="single" w:sz="25" w:space="0" w:color="FFF8E6"/>
              <w:left w:val="single" w:sz="5" w:space="0" w:color="FFC000"/>
              <w:bottom w:val="single" w:sz="4" w:space="0" w:color="FFC000"/>
              <w:right w:val="single" w:sz="5" w:space="0" w:color="FFC000"/>
            </w:tcBorders>
          </w:tcPr>
          <w:p>
            <w:pPr>
              <w:pStyle w:val="TableParagraph"/>
              <w:spacing w:line="240" w:lineRule="auto" w:before="118"/>
              <w:ind w:left="272" w:right="-10"/>
              <w:jc w:val="left"/>
              <w:rPr>
                <w:rFonts w:ascii="华文细黑" w:hAnsi="华文细黑" w:cs="华文细黑" w:eastAsia="华文细黑" w:hint="default"/>
                <w:sz w:val="18"/>
                <w:szCs w:val="18"/>
              </w:rPr>
            </w:pPr>
            <w:r>
              <w:rPr>
                <w:rFonts w:ascii="华文细黑"/>
                <w:sz w:val="18"/>
              </w:rPr>
              <w:t>206,546,967.00</w:t>
            </w:r>
          </w:p>
        </w:tc>
        <w:tc>
          <w:tcPr>
            <w:tcW w:w="1619" w:type="dxa"/>
            <w:tcBorders>
              <w:top w:val="single" w:sz="25" w:space="0" w:color="FFF8E6"/>
              <w:left w:val="single" w:sz="5" w:space="0" w:color="FFC000"/>
              <w:bottom w:val="single" w:sz="4" w:space="0" w:color="FFC000"/>
              <w:right w:val="single" w:sz="4" w:space="0" w:color="FFC000"/>
            </w:tcBorders>
          </w:tcPr>
          <w:p>
            <w:pPr>
              <w:pStyle w:val="TableParagraph"/>
              <w:spacing w:line="240" w:lineRule="auto" w:before="118"/>
              <w:ind w:left="217" w:right="-5"/>
              <w:jc w:val="left"/>
              <w:rPr>
                <w:rFonts w:ascii="华文细黑" w:hAnsi="华文细黑" w:cs="华文细黑" w:eastAsia="华文细黑" w:hint="default"/>
                <w:sz w:val="18"/>
                <w:szCs w:val="18"/>
              </w:rPr>
            </w:pPr>
            <w:r>
              <w:rPr>
                <w:rFonts w:ascii="华文细黑"/>
                <w:sz w:val="18"/>
              </w:rPr>
              <w:t>1,239,281,806.00</w:t>
            </w:r>
          </w:p>
        </w:tc>
      </w:tr>
    </w:tbl>
    <w:p>
      <w:pPr>
        <w:spacing w:line="240" w:lineRule="auto" w:before="12"/>
        <w:rPr>
          <w:rFonts w:ascii="华文细黑" w:hAnsi="华文细黑" w:cs="华文细黑" w:eastAsia="华文细黑" w:hint="default"/>
          <w:b/>
          <w:bCs/>
          <w:sz w:val="6"/>
          <w:szCs w:val="6"/>
        </w:rPr>
      </w:pPr>
    </w:p>
    <w:p>
      <w:pPr>
        <w:pStyle w:val="BodyText"/>
        <w:spacing w:line="240" w:lineRule="auto" w:before="10"/>
        <w:ind w:left="800" w:right="0"/>
        <w:jc w:val="left"/>
      </w:pPr>
      <w:r>
        <w:rPr/>
        <w:t>注：根据 </w:t>
      </w:r>
      <w:r>
        <w:rPr>
          <w:rFonts w:ascii="华文细黑" w:hAnsi="华文细黑" w:cs="华文细黑" w:eastAsia="华文细黑" w:hint="default"/>
        </w:rPr>
        <w:t>2018 </w:t>
      </w:r>
      <w:r>
        <w:rPr/>
        <w:t>年 </w:t>
      </w:r>
      <w:r>
        <w:rPr>
          <w:rFonts w:ascii="华文细黑" w:hAnsi="华文细黑" w:cs="华文细黑" w:eastAsia="华文细黑" w:hint="default"/>
        </w:rPr>
        <w:t>5 </w:t>
      </w:r>
      <w:r>
        <w:rPr/>
        <w:t>月 </w:t>
      </w:r>
      <w:r>
        <w:rPr>
          <w:rFonts w:ascii="华文细黑" w:hAnsi="华文细黑" w:cs="华文细黑" w:eastAsia="华文细黑" w:hint="default"/>
        </w:rPr>
        <w:t>21 </w:t>
      </w:r>
      <w:r>
        <w:rPr/>
        <w:t>日召开的 </w:t>
      </w:r>
      <w:r>
        <w:rPr>
          <w:rFonts w:ascii="华文细黑" w:hAnsi="华文细黑" w:cs="华文细黑" w:eastAsia="华文细黑" w:hint="default"/>
        </w:rPr>
        <w:t>2017 </w:t>
      </w:r>
      <w:r>
        <w:rPr/>
        <w:t>年度股东大会审议通过的 </w:t>
      </w:r>
      <w:r>
        <w:rPr>
          <w:rFonts w:ascii="华文细黑" w:hAnsi="华文细黑" w:cs="华文细黑" w:eastAsia="华文细黑" w:hint="default"/>
        </w:rPr>
        <w:t>2017</w:t>
      </w:r>
      <w:r>
        <w:rPr>
          <w:rFonts w:ascii="华文细黑" w:hAnsi="华文细黑" w:cs="华文细黑" w:eastAsia="华文细黑" w:hint="default"/>
          <w:spacing w:val="27"/>
        </w:rPr>
        <w:t> </w:t>
      </w:r>
      <w:r>
        <w:rPr/>
        <w:t>年度利润分配方案，</w:t>
      </w:r>
    </w:p>
    <w:p>
      <w:pPr>
        <w:pStyle w:val="BodyText"/>
        <w:spacing w:line="240" w:lineRule="auto" w:before="104"/>
        <w:ind w:left="380" w:right="0"/>
        <w:jc w:val="left"/>
      </w:pPr>
      <w:r>
        <w:rPr/>
        <w:t>公司申请新增注册资本人民币 </w:t>
      </w:r>
      <w:r>
        <w:rPr>
          <w:rFonts w:ascii="华文细黑" w:hAnsi="华文细黑" w:cs="华文细黑" w:eastAsia="华文细黑" w:hint="default"/>
        </w:rPr>
        <w:t>206,546,967.00 </w:t>
      </w:r>
      <w:r>
        <w:rPr/>
        <w:t>元。公司按每 </w:t>
      </w:r>
      <w:r>
        <w:rPr>
          <w:rFonts w:ascii="华文细黑" w:hAnsi="华文细黑" w:cs="华文细黑" w:eastAsia="华文细黑" w:hint="default"/>
        </w:rPr>
        <w:t>10 </w:t>
      </w:r>
      <w:r>
        <w:rPr/>
        <w:t>股转增 </w:t>
      </w:r>
      <w:r>
        <w:rPr>
          <w:rFonts w:ascii="华文细黑" w:hAnsi="华文细黑" w:cs="华文细黑" w:eastAsia="华文细黑" w:hint="default"/>
        </w:rPr>
        <w:t>2</w:t>
      </w:r>
      <w:r>
        <w:rPr>
          <w:rFonts w:ascii="华文细黑" w:hAnsi="华文细黑" w:cs="华文细黑" w:eastAsia="华文细黑" w:hint="default"/>
          <w:spacing w:val="-26"/>
        </w:rPr>
        <w:t> </w:t>
      </w:r>
      <w:r>
        <w:rPr/>
        <w:t>股的比例，以资本公积向</w:t>
      </w:r>
    </w:p>
    <w:p>
      <w:pPr>
        <w:pStyle w:val="BodyText"/>
        <w:spacing w:line="240" w:lineRule="auto" w:before="103"/>
        <w:ind w:left="380" w:right="0"/>
        <w:jc w:val="left"/>
      </w:pPr>
      <w:r>
        <w:rPr/>
        <w:t>全体股东转增股份 </w:t>
      </w:r>
      <w:r>
        <w:rPr>
          <w:rFonts w:ascii="华文细黑" w:hAnsi="华文细黑" w:cs="华文细黑" w:eastAsia="华文细黑" w:hint="default"/>
        </w:rPr>
        <w:t>206,546,967 </w:t>
      </w:r>
      <w:r>
        <w:rPr>
          <w:spacing w:val="-6"/>
        </w:rPr>
        <w:t>股，每股面值 </w:t>
      </w:r>
      <w:r>
        <w:rPr>
          <w:rFonts w:ascii="华文细黑" w:hAnsi="华文细黑" w:cs="华文细黑" w:eastAsia="华文细黑" w:hint="default"/>
        </w:rPr>
        <w:t>1 </w:t>
      </w:r>
      <w:r>
        <w:rPr>
          <w:spacing w:val="-4"/>
        </w:rPr>
        <w:t>元，转增后总股本增至  </w:t>
      </w:r>
      <w:r>
        <w:rPr>
          <w:rFonts w:ascii="华文细黑" w:hAnsi="华文细黑" w:cs="华文细黑" w:eastAsia="华文细黑" w:hint="default"/>
        </w:rPr>
        <w:t>1,239,281,806 </w:t>
      </w:r>
      <w:r>
        <w:rPr>
          <w:rFonts w:ascii="华文细黑" w:hAnsi="华文细黑" w:cs="华文细黑" w:eastAsia="华文细黑" w:hint="default"/>
          <w:spacing w:val="20"/>
        </w:rPr>
        <w:t> </w:t>
      </w:r>
      <w:r>
        <w:rPr>
          <w:spacing w:val="-7"/>
        </w:rPr>
        <w:t>股。该次增</w:t>
      </w:r>
    </w:p>
    <w:p>
      <w:pPr>
        <w:pStyle w:val="BodyText"/>
        <w:spacing w:line="324" w:lineRule="auto" w:before="103"/>
        <w:ind w:left="380" w:right="1424"/>
        <w:jc w:val="left"/>
      </w:pPr>
      <w:r>
        <w:rPr>
          <w:spacing w:val="-7"/>
        </w:rPr>
        <w:t>资经北京中证天通会计师事务所（特殊普通合伙）出具的验资报告中证天通（</w:t>
      </w:r>
      <w:r>
        <w:rPr>
          <w:rFonts w:ascii="华文细黑" w:hAnsi="华文细黑" w:cs="华文细黑" w:eastAsia="华文细黑" w:hint="default"/>
          <w:spacing w:val="-7"/>
        </w:rPr>
        <w:t>2018</w:t>
      </w:r>
      <w:r>
        <w:rPr>
          <w:spacing w:val="-7"/>
        </w:rPr>
        <w:t>）证验字第</w:t>
      </w:r>
      <w:r>
        <w:rPr>
          <w:spacing w:val="33"/>
        </w:rPr>
        <w:t> </w:t>
      </w:r>
      <w:r>
        <w:rPr>
          <w:rFonts w:ascii="华文细黑" w:hAnsi="华文细黑" w:cs="华文细黑" w:eastAsia="华文细黑" w:hint="default"/>
        </w:rPr>
        <w:t>10006</w:t>
      </w:r>
      <w:r>
        <w:rPr>
          <w:rFonts w:ascii="华文细黑" w:hAnsi="华文细黑" w:cs="华文细黑" w:eastAsia="华文细黑" w:hint="default"/>
          <w:spacing w:val="-48"/>
        </w:rPr>
        <w:t> </w:t>
      </w:r>
      <w:r>
        <w:rPr/>
        <w:t>号验证。</w:t>
      </w:r>
    </w:p>
    <w:p>
      <w:pPr>
        <w:pStyle w:val="Heading5"/>
        <w:spacing w:line="240" w:lineRule="auto" w:before="63"/>
        <w:ind w:left="800" w:right="0"/>
        <w:jc w:val="left"/>
        <w:rPr>
          <w:b w:val="0"/>
          <w:bCs w:val="0"/>
        </w:rPr>
      </w:pPr>
      <w:bookmarkStart w:name="29、资本公积" w:id="294"/>
      <w:bookmarkEnd w:id="294"/>
      <w:r>
        <w:rPr>
          <w:b w:val="0"/>
          <w:bCs w:val="0"/>
        </w:rPr>
      </w:r>
      <w:r>
        <w:rPr>
          <w:rFonts w:ascii="华文细黑" w:hAnsi="华文细黑" w:cs="华文细黑" w:eastAsia="华文细黑" w:hint="default"/>
        </w:rPr>
        <w:t>29</w:t>
      </w:r>
      <w:r>
        <w:rPr/>
        <w:t>、资本公积</w:t>
      </w:r>
      <w:r>
        <w:rPr>
          <w:b w:val="0"/>
          <w:bCs w:val="0"/>
        </w:rPr>
      </w:r>
    </w:p>
    <w:p>
      <w:pPr>
        <w:spacing w:line="240" w:lineRule="auto" w:before="6"/>
        <w:rPr>
          <w:rFonts w:ascii="华文细黑" w:hAnsi="华文细黑" w:cs="华文细黑" w:eastAsia="华文细黑" w:hint="default"/>
          <w:b/>
          <w:bCs/>
          <w:sz w:val="5"/>
          <w:szCs w:val="5"/>
        </w:rPr>
      </w:pPr>
    </w:p>
    <w:tbl>
      <w:tblPr>
        <w:tblW w:w="0" w:type="auto"/>
        <w:jc w:val="left"/>
        <w:tblInd w:w="127" w:type="dxa"/>
        <w:tblLayout w:type="fixed"/>
        <w:tblCellMar>
          <w:top w:w="0" w:type="dxa"/>
          <w:left w:w="0" w:type="dxa"/>
          <w:bottom w:w="0" w:type="dxa"/>
          <w:right w:w="0" w:type="dxa"/>
        </w:tblCellMar>
        <w:tblLook w:val="01E0"/>
      </w:tblPr>
      <w:tblGrid>
        <w:gridCol w:w="3029"/>
        <w:gridCol w:w="1955"/>
        <w:gridCol w:w="1032"/>
        <w:gridCol w:w="1679"/>
        <w:gridCol w:w="1840"/>
      </w:tblGrid>
      <w:tr>
        <w:trPr>
          <w:trHeight w:val="490" w:hRule="exact"/>
        </w:trPr>
        <w:tc>
          <w:tcPr>
            <w:tcW w:w="30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23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195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61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103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5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本年增加</w:t>
            </w:r>
          </w:p>
        </w:tc>
        <w:tc>
          <w:tcPr>
            <w:tcW w:w="167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7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本年减少</w:t>
            </w:r>
          </w:p>
        </w:tc>
        <w:tc>
          <w:tcPr>
            <w:tcW w:w="184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5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491" w:hRule="exact"/>
        </w:trPr>
        <w:tc>
          <w:tcPr>
            <w:tcW w:w="30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股本溢价</w:t>
            </w:r>
          </w:p>
        </w:tc>
        <w:tc>
          <w:tcPr>
            <w:tcW w:w="195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6"/>
              <w:jc w:val="right"/>
              <w:rPr>
                <w:rFonts w:ascii="华文细黑" w:hAnsi="华文细黑" w:cs="华文细黑" w:eastAsia="华文细黑" w:hint="default"/>
                <w:sz w:val="18"/>
                <w:szCs w:val="18"/>
              </w:rPr>
            </w:pPr>
            <w:r>
              <w:rPr>
                <w:rFonts w:ascii="华文细黑"/>
                <w:sz w:val="18"/>
              </w:rPr>
              <w:t>1,826,371,524.19</w:t>
            </w:r>
          </w:p>
        </w:tc>
        <w:tc>
          <w:tcPr>
            <w:tcW w:w="103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8"/>
              <w:jc w:val="right"/>
              <w:rPr>
                <w:rFonts w:ascii="华文细黑" w:hAnsi="华文细黑" w:cs="华文细黑" w:eastAsia="华文细黑" w:hint="default"/>
                <w:sz w:val="18"/>
                <w:szCs w:val="18"/>
              </w:rPr>
            </w:pPr>
            <w:r>
              <w:rPr>
                <w:rFonts w:ascii="华文细黑"/>
                <w:sz w:val="18"/>
              </w:rPr>
              <w:t>---</w:t>
            </w:r>
          </w:p>
        </w:tc>
        <w:tc>
          <w:tcPr>
            <w:tcW w:w="16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6"/>
              <w:jc w:val="right"/>
              <w:rPr>
                <w:rFonts w:ascii="华文细黑" w:hAnsi="华文细黑" w:cs="华文细黑" w:eastAsia="华文细黑" w:hint="default"/>
                <w:sz w:val="18"/>
                <w:szCs w:val="18"/>
              </w:rPr>
            </w:pPr>
            <w:r>
              <w:rPr>
                <w:rFonts w:ascii="华文细黑"/>
                <w:sz w:val="18"/>
              </w:rPr>
              <w:t>206,546,967.00</w:t>
            </w:r>
          </w:p>
        </w:tc>
        <w:tc>
          <w:tcPr>
            <w:tcW w:w="18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5"/>
              <w:jc w:val="right"/>
              <w:rPr>
                <w:rFonts w:ascii="华文细黑" w:hAnsi="华文细黑" w:cs="华文细黑" w:eastAsia="华文细黑" w:hint="default"/>
                <w:sz w:val="18"/>
                <w:szCs w:val="18"/>
              </w:rPr>
            </w:pPr>
            <w:r>
              <w:rPr>
                <w:rFonts w:ascii="华文细黑"/>
                <w:sz w:val="18"/>
              </w:rPr>
              <w:t>1,619,824,557.19</w:t>
            </w:r>
          </w:p>
        </w:tc>
      </w:tr>
      <w:tr>
        <w:trPr>
          <w:trHeight w:val="490" w:hRule="exact"/>
        </w:trPr>
        <w:tc>
          <w:tcPr>
            <w:tcW w:w="30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其他资本公积</w:t>
            </w:r>
          </w:p>
        </w:tc>
        <w:tc>
          <w:tcPr>
            <w:tcW w:w="195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6"/>
              <w:jc w:val="right"/>
              <w:rPr>
                <w:rFonts w:ascii="华文细黑" w:hAnsi="华文细黑" w:cs="华文细黑" w:eastAsia="华文细黑" w:hint="default"/>
                <w:sz w:val="18"/>
                <w:szCs w:val="18"/>
              </w:rPr>
            </w:pPr>
            <w:r>
              <w:rPr>
                <w:rFonts w:ascii="华文细黑"/>
                <w:sz w:val="18"/>
              </w:rPr>
              <w:t>1,998,171.50</w:t>
            </w:r>
          </w:p>
        </w:tc>
        <w:tc>
          <w:tcPr>
            <w:tcW w:w="103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8"/>
              <w:jc w:val="right"/>
              <w:rPr>
                <w:rFonts w:ascii="华文细黑" w:hAnsi="华文细黑" w:cs="华文细黑" w:eastAsia="华文细黑" w:hint="default"/>
                <w:sz w:val="18"/>
                <w:szCs w:val="18"/>
              </w:rPr>
            </w:pPr>
            <w:r>
              <w:rPr>
                <w:rFonts w:ascii="华文细黑"/>
                <w:sz w:val="18"/>
              </w:rPr>
              <w:t>---</w:t>
            </w:r>
          </w:p>
        </w:tc>
        <w:tc>
          <w:tcPr>
            <w:tcW w:w="16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7"/>
              <w:jc w:val="right"/>
              <w:rPr>
                <w:rFonts w:ascii="华文细黑" w:hAnsi="华文细黑" w:cs="华文细黑" w:eastAsia="华文细黑" w:hint="default"/>
                <w:sz w:val="18"/>
                <w:szCs w:val="18"/>
              </w:rPr>
            </w:pPr>
            <w:r>
              <w:rPr>
                <w:rFonts w:ascii="华文细黑"/>
                <w:sz w:val="18"/>
              </w:rPr>
              <w:t>---</w:t>
            </w:r>
          </w:p>
        </w:tc>
        <w:tc>
          <w:tcPr>
            <w:tcW w:w="18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5"/>
              <w:jc w:val="right"/>
              <w:rPr>
                <w:rFonts w:ascii="华文细黑" w:hAnsi="华文细黑" w:cs="华文细黑" w:eastAsia="华文细黑" w:hint="default"/>
                <w:sz w:val="18"/>
                <w:szCs w:val="18"/>
              </w:rPr>
            </w:pPr>
            <w:r>
              <w:rPr>
                <w:rFonts w:ascii="华文细黑"/>
                <w:sz w:val="18"/>
              </w:rPr>
              <w:t>1,998,171.50</w:t>
            </w:r>
          </w:p>
        </w:tc>
      </w:tr>
      <w:tr>
        <w:trPr>
          <w:trHeight w:val="491" w:hRule="exact"/>
        </w:trPr>
        <w:tc>
          <w:tcPr>
            <w:tcW w:w="30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23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195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5"/>
              <w:jc w:val="right"/>
              <w:rPr>
                <w:rFonts w:ascii="华文细黑" w:hAnsi="华文细黑" w:cs="华文细黑" w:eastAsia="华文细黑" w:hint="default"/>
                <w:sz w:val="18"/>
                <w:szCs w:val="18"/>
              </w:rPr>
            </w:pPr>
            <w:r>
              <w:rPr>
                <w:rFonts w:ascii="华文细黑"/>
                <w:b/>
                <w:w w:val="95"/>
                <w:sz w:val="18"/>
              </w:rPr>
              <w:t>1,828,369,695.69</w:t>
            </w:r>
            <w:r>
              <w:rPr>
                <w:rFonts w:ascii="华文细黑"/>
                <w:sz w:val="18"/>
              </w:rPr>
            </w:r>
          </w:p>
        </w:tc>
        <w:tc>
          <w:tcPr>
            <w:tcW w:w="103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7"/>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6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5"/>
              <w:jc w:val="right"/>
              <w:rPr>
                <w:rFonts w:ascii="华文细黑" w:hAnsi="华文细黑" w:cs="华文细黑" w:eastAsia="华文细黑" w:hint="default"/>
                <w:sz w:val="18"/>
                <w:szCs w:val="18"/>
              </w:rPr>
            </w:pPr>
            <w:r>
              <w:rPr>
                <w:rFonts w:ascii="华文细黑"/>
                <w:b/>
                <w:w w:val="95"/>
                <w:sz w:val="18"/>
              </w:rPr>
              <w:t>206,546,967.00</w:t>
            </w:r>
            <w:r>
              <w:rPr>
                <w:rFonts w:ascii="华文细黑"/>
                <w:sz w:val="18"/>
              </w:rPr>
            </w:r>
          </w:p>
        </w:tc>
        <w:tc>
          <w:tcPr>
            <w:tcW w:w="18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4"/>
              <w:jc w:val="right"/>
              <w:rPr>
                <w:rFonts w:ascii="华文细黑" w:hAnsi="华文细黑" w:cs="华文细黑" w:eastAsia="华文细黑" w:hint="default"/>
                <w:sz w:val="18"/>
                <w:szCs w:val="18"/>
              </w:rPr>
            </w:pPr>
            <w:r>
              <w:rPr>
                <w:rFonts w:ascii="华文细黑"/>
                <w:b/>
                <w:w w:val="95"/>
                <w:sz w:val="18"/>
              </w:rPr>
              <w:t>1,621,822,728.69</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pStyle w:val="BodyText"/>
        <w:spacing w:line="240" w:lineRule="auto" w:before="10"/>
        <w:ind w:left="800" w:right="0"/>
        <w:jc w:val="left"/>
      </w:pPr>
      <w:r>
        <w:rPr/>
        <w:t>注：本年减少参见附注六、</w:t>
      </w:r>
      <w:r>
        <w:rPr>
          <w:rFonts w:ascii="华文细黑" w:hAnsi="华文细黑" w:cs="华文细黑" w:eastAsia="华文细黑" w:hint="default"/>
        </w:rPr>
        <w:t>28</w:t>
      </w:r>
      <w:r>
        <w:rPr/>
        <w:t>。</w:t>
      </w:r>
    </w:p>
    <w:p>
      <w:pPr>
        <w:spacing w:after="0" w:line="240" w:lineRule="auto"/>
        <w:jc w:val="left"/>
        <w:sectPr>
          <w:pgSz w:w="11910" w:h="16840"/>
          <w:pgMar w:header="917" w:footer="1019" w:top="1100" w:bottom="1200" w:left="1060" w:right="0"/>
        </w:sectPr>
      </w:pPr>
    </w:p>
    <w:p>
      <w:pPr>
        <w:spacing w:line="240" w:lineRule="auto" w:before="9"/>
        <w:rPr>
          <w:rFonts w:ascii="华文细黑" w:hAnsi="华文细黑" w:cs="华文细黑" w:eastAsia="华文细黑" w:hint="default"/>
          <w:sz w:val="27"/>
          <w:szCs w:val="27"/>
        </w:rPr>
      </w:pPr>
    </w:p>
    <w:p>
      <w:pPr>
        <w:pStyle w:val="Heading5"/>
        <w:spacing w:line="240" w:lineRule="auto"/>
        <w:ind w:left="960" w:right="1023"/>
        <w:jc w:val="left"/>
        <w:rPr>
          <w:b w:val="0"/>
          <w:bCs w:val="0"/>
        </w:rPr>
      </w:pPr>
      <w:bookmarkStart w:name="30、其他综合收益" w:id="295"/>
      <w:bookmarkEnd w:id="295"/>
      <w:r>
        <w:rPr>
          <w:b w:val="0"/>
          <w:bCs w:val="0"/>
        </w:rPr>
      </w:r>
      <w:r>
        <w:rPr>
          <w:rFonts w:ascii="华文细黑" w:hAnsi="华文细黑" w:cs="华文细黑" w:eastAsia="华文细黑" w:hint="default"/>
        </w:rPr>
        <w:t>30</w:t>
      </w:r>
      <w:r>
        <w:rPr/>
        <w:t>、其他综合收益</w:t>
      </w:r>
      <w:r>
        <w:rPr>
          <w:b w:val="0"/>
          <w:bCs w:val="0"/>
        </w:rPr>
      </w:r>
    </w:p>
    <w:p>
      <w:pPr>
        <w:spacing w:line="240" w:lineRule="auto" w:before="6"/>
        <w:rPr>
          <w:rFonts w:ascii="华文细黑" w:hAnsi="华文细黑" w:cs="华文细黑" w:eastAsia="华文细黑" w:hint="default"/>
          <w:b/>
          <w:bCs/>
          <w:sz w:val="5"/>
          <w:szCs w:val="5"/>
        </w:rPr>
      </w:pPr>
    </w:p>
    <w:tbl>
      <w:tblPr>
        <w:tblW w:w="0" w:type="auto"/>
        <w:jc w:val="left"/>
        <w:tblInd w:w="109" w:type="dxa"/>
        <w:tblLayout w:type="fixed"/>
        <w:tblCellMar>
          <w:top w:w="0" w:type="dxa"/>
          <w:left w:w="0" w:type="dxa"/>
          <w:bottom w:w="0" w:type="dxa"/>
          <w:right w:w="0" w:type="dxa"/>
        </w:tblCellMar>
        <w:tblLook w:val="01E0"/>
      </w:tblPr>
      <w:tblGrid>
        <w:gridCol w:w="1845"/>
        <w:gridCol w:w="1276"/>
        <w:gridCol w:w="1418"/>
        <w:gridCol w:w="1277"/>
        <w:gridCol w:w="1102"/>
        <w:gridCol w:w="1308"/>
        <w:gridCol w:w="992"/>
        <w:gridCol w:w="1134"/>
      </w:tblGrid>
      <w:tr>
        <w:trPr>
          <w:trHeight w:val="380" w:hRule="exact"/>
        </w:trPr>
        <w:tc>
          <w:tcPr>
            <w:tcW w:w="1845"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9"/>
              <w:ind w:right="0"/>
              <w:jc w:val="left"/>
              <w:rPr>
                <w:rFonts w:ascii="华文细黑" w:hAnsi="华文细黑" w:cs="华文细黑" w:eastAsia="华文细黑" w:hint="default"/>
                <w:b/>
                <w:bCs/>
                <w:sz w:val="14"/>
                <w:szCs w:val="14"/>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项目</w:t>
            </w:r>
          </w:p>
        </w:tc>
        <w:tc>
          <w:tcPr>
            <w:tcW w:w="1276"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9"/>
              <w:ind w:right="0"/>
              <w:jc w:val="left"/>
              <w:rPr>
                <w:rFonts w:ascii="华文细黑" w:hAnsi="华文细黑" w:cs="华文细黑" w:eastAsia="华文细黑" w:hint="default"/>
                <w:b/>
                <w:bCs/>
                <w:sz w:val="16"/>
                <w:szCs w:val="16"/>
              </w:rPr>
            </w:pPr>
          </w:p>
          <w:p>
            <w:pPr>
              <w:pStyle w:val="TableParagraph"/>
              <w:spacing w:line="312" w:lineRule="auto"/>
              <w:ind w:left="452" w:right="45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 余额</w:t>
            </w:r>
          </w:p>
        </w:tc>
        <w:tc>
          <w:tcPr>
            <w:tcW w:w="6097" w:type="dxa"/>
            <w:gridSpan w:val="5"/>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9"/>
              <w:ind w:left="7"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本年发生金额</w:t>
            </w:r>
          </w:p>
        </w:tc>
        <w:tc>
          <w:tcPr>
            <w:tcW w:w="1134" w:type="dxa"/>
            <w:tcBorders>
              <w:top w:val="single" w:sz="4" w:space="0" w:color="FFC000"/>
              <w:left w:val="single" w:sz="4" w:space="0" w:color="FFC000"/>
              <w:bottom w:val="nil" w:sz="6" w:space="0" w:color="auto"/>
              <w:right w:val="single" w:sz="4" w:space="0" w:color="FFC000"/>
            </w:tcBorders>
            <w:shd w:val="clear" w:color="auto" w:fill="FFF8E6"/>
          </w:tcPr>
          <w:p>
            <w:pPr/>
          </w:p>
        </w:tc>
      </w:tr>
      <w:tr>
        <w:trPr>
          <w:trHeight w:val="1250" w:hRule="exact"/>
        </w:trPr>
        <w:tc>
          <w:tcPr>
            <w:tcW w:w="1845" w:type="dxa"/>
            <w:vMerge/>
            <w:tcBorders>
              <w:left w:val="single" w:sz="4" w:space="0" w:color="FFC000"/>
              <w:bottom w:val="single" w:sz="4" w:space="0" w:color="FFC000"/>
              <w:right w:val="single" w:sz="4" w:space="0" w:color="FFC000"/>
            </w:tcBorders>
            <w:shd w:val="clear" w:color="auto" w:fill="FFF8E6"/>
          </w:tcPr>
          <w:p>
            <w:pPr/>
          </w:p>
        </w:tc>
        <w:tc>
          <w:tcPr>
            <w:tcW w:w="1276" w:type="dxa"/>
            <w:vMerge/>
            <w:tcBorders>
              <w:left w:val="single" w:sz="4" w:space="0" w:color="FFC000"/>
              <w:bottom w:val="single" w:sz="4" w:space="0" w:color="FFC000"/>
              <w:right w:val="single" w:sz="4" w:space="0" w:color="FFC000"/>
            </w:tcBorders>
            <w:shd w:val="clear" w:color="auto" w:fill="FFF8E6"/>
          </w:tcPr>
          <w:p>
            <w:pPr/>
          </w:p>
        </w:tc>
        <w:tc>
          <w:tcPr>
            <w:tcW w:w="141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9"/>
              <w:ind w:right="0"/>
              <w:jc w:val="left"/>
              <w:rPr>
                <w:rFonts w:ascii="华文细黑" w:hAnsi="华文细黑" w:cs="华文细黑" w:eastAsia="华文细黑" w:hint="default"/>
                <w:b/>
                <w:bCs/>
                <w:sz w:val="22"/>
                <w:szCs w:val="22"/>
              </w:rPr>
            </w:pPr>
          </w:p>
          <w:p>
            <w:pPr>
              <w:pStyle w:val="TableParagraph"/>
              <w:spacing w:line="273" w:lineRule="auto"/>
              <w:ind w:left="433" w:right="162" w:hanging="27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本年所得税前 发生额</w:t>
            </w:r>
          </w:p>
        </w:tc>
        <w:tc>
          <w:tcPr>
            <w:tcW w:w="12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03" w:right="101"/>
              <w:jc w:val="center"/>
              <w:rPr>
                <w:rFonts w:ascii="华文细黑" w:hAnsi="华文细黑" w:cs="华文细黑" w:eastAsia="华文细黑" w:hint="default"/>
                <w:sz w:val="18"/>
                <w:szCs w:val="18"/>
              </w:rPr>
            </w:pPr>
            <w:r>
              <w:rPr>
                <w:rFonts w:ascii="华文细黑" w:hAnsi="华文细黑" w:cs="华文细黑" w:eastAsia="华文细黑" w:hint="default"/>
                <w:spacing w:val="-4"/>
                <w:sz w:val="18"/>
                <w:szCs w:val="18"/>
              </w:rPr>
              <w:t>减：前期计入</w:t>
            </w:r>
            <w:r>
              <w:rPr>
                <w:rFonts w:ascii="华文细黑" w:hAnsi="华文细黑" w:cs="华文细黑" w:eastAsia="华文细黑" w:hint="default"/>
                <w:sz w:val="18"/>
                <w:szCs w:val="18"/>
              </w:rPr>
              <w:t> 其他综合收 益当期转入 损益</w:t>
            </w:r>
          </w:p>
        </w:tc>
        <w:tc>
          <w:tcPr>
            <w:tcW w:w="11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9"/>
              <w:ind w:right="0"/>
              <w:jc w:val="left"/>
              <w:rPr>
                <w:rFonts w:ascii="华文细黑" w:hAnsi="华文细黑" w:cs="华文细黑" w:eastAsia="华文细黑" w:hint="default"/>
                <w:b/>
                <w:bCs/>
                <w:sz w:val="22"/>
                <w:szCs w:val="22"/>
              </w:rPr>
            </w:pPr>
          </w:p>
          <w:p>
            <w:pPr>
              <w:pStyle w:val="TableParagraph"/>
              <w:spacing w:line="273" w:lineRule="auto"/>
              <w:ind w:left="365" w:right="101" w:hanging="263"/>
              <w:jc w:val="left"/>
              <w:rPr>
                <w:rFonts w:ascii="华文细黑" w:hAnsi="华文细黑" w:cs="华文细黑" w:eastAsia="华文细黑" w:hint="default"/>
                <w:sz w:val="18"/>
                <w:szCs w:val="18"/>
              </w:rPr>
            </w:pPr>
            <w:r>
              <w:rPr>
                <w:rFonts w:ascii="华文细黑" w:hAnsi="华文细黑" w:cs="华文细黑" w:eastAsia="华文细黑" w:hint="default"/>
                <w:spacing w:val="-3"/>
                <w:sz w:val="18"/>
                <w:szCs w:val="18"/>
              </w:rPr>
              <w:t>减：所得税</w:t>
            </w:r>
            <w:r>
              <w:rPr>
                <w:rFonts w:ascii="华文细黑" w:hAnsi="华文细黑" w:cs="华文细黑" w:eastAsia="华文细黑" w:hint="default"/>
                <w:sz w:val="18"/>
                <w:szCs w:val="18"/>
              </w:rPr>
              <w:t> 费用</w:t>
            </w:r>
          </w:p>
        </w:tc>
        <w:tc>
          <w:tcPr>
            <w:tcW w:w="13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9"/>
              <w:ind w:right="0"/>
              <w:jc w:val="left"/>
              <w:rPr>
                <w:rFonts w:ascii="华文细黑" w:hAnsi="华文细黑" w:cs="华文细黑" w:eastAsia="华文细黑" w:hint="default"/>
                <w:b/>
                <w:bCs/>
                <w:sz w:val="22"/>
                <w:szCs w:val="22"/>
              </w:rPr>
            </w:pPr>
          </w:p>
          <w:p>
            <w:pPr>
              <w:pStyle w:val="TableParagraph"/>
              <w:spacing w:line="273" w:lineRule="auto"/>
              <w:ind w:left="468" w:right="108" w:hanging="36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税后归属于母 公司</w:t>
            </w:r>
          </w:p>
        </w:tc>
        <w:tc>
          <w:tcPr>
            <w:tcW w:w="9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
              <w:ind w:right="0"/>
              <w:jc w:val="left"/>
              <w:rPr>
                <w:rFonts w:ascii="华文细黑" w:hAnsi="华文细黑" w:cs="华文细黑" w:eastAsia="华文细黑" w:hint="default"/>
                <w:b/>
                <w:bCs/>
                <w:sz w:val="12"/>
                <w:szCs w:val="12"/>
              </w:rPr>
            </w:pPr>
          </w:p>
          <w:p>
            <w:pPr>
              <w:pStyle w:val="TableParagraph"/>
              <w:spacing w:line="273" w:lineRule="auto"/>
              <w:ind w:left="130" w:right="13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税后归属 于少数股 东</w:t>
            </w:r>
          </w:p>
        </w:tc>
        <w:tc>
          <w:tcPr>
            <w:tcW w:w="1134" w:type="dxa"/>
            <w:tcBorders>
              <w:top w:val="nil" w:sz="6" w:space="0" w:color="auto"/>
              <w:left w:val="single" w:sz="4" w:space="0" w:color="FFC000"/>
              <w:bottom w:val="single" w:sz="4" w:space="0" w:color="FFC000"/>
              <w:right w:val="single" w:sz="4" w:space="0" w:color="FFC000"/>
            </w:tcBorders>
            <w:shd w:val="clear" w:color="auto" w:fill="FFF8E6"/>
          </w:tcPr>
          <w:p>
            <w:pPr>
              <w:pStyle w:val="TableParagraph"/>
              <w:spacing w:line="240" w:lineRule="auto" w:before="8"/>
              <w:ind w:right="0"/>
              <w:jc w:val="left"/>
              <w:rPr>
                <w:rFonts w:ascii="华文细黑" w:hAnsi="华文细黑" w:cs="华文细黑" w:eastAsia="华文细黑" w:hint="default"/>
                <w:b/>
                <w:bCs/>
                <w:sz w:val="21"/>
                <w:szCs w:val="21"/>
              </w:rPr>
            </w:pPr>
          </w:p>
          <w:p>
            <w:pPr>
              <w:pStyle w:val="TableParagraph"/>
              <w:spacing w:line="312" w:lineRule="auto"/>
              <w:ind w:left="381" w:right="38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 余额</w:t>
            </w:r>
          </w:p>
        </w:tc>
      </w:tr>
      <w:tr>
        <w:trPr>
          <w:trHeight w:val="960" w:hRule="exact"/>
        </w:trPr>
        <w:tc>
          <w:tcPr>
            <w:tcW w:w="18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2"/>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一、以后不能重分类</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进损益的其他综合收</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益</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6"/>
              <w:ind w:right="0"/>
              <w:jc w:val="left"/>
              <w:rPr>
                <w:rFonts w:ascii="华文细黑" w:hAnsi="华文细黑" w:cs="华文细黑" w:eastAsia="华文细黑" w:hint="default"/>
                <w:b/>
                <w:bCs/>
                <w:sz w:val="15"/>
                <w:szCs w:val="15"/>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6"/>
              <w:ind w:right="0"/>
              <w:jc w:val="left"/>
              <w:rPr>
                <w:rFonts w:ascii="华文细黑" w:hAnsi="华文细黑" w:cs="华文细黑" w:eastAsia="华文细黑" w:hint="default"/>
                <w:b/>
                <w:bCs/>
                <w:sz w:val="15"/>
                <w:szCs w:val="15"/>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6"/>
              <w:ind w:right="0"/>
              <w:jc w:val="left"/>
              <w:rPr>
                <w:rFonts w:ascii="华文细黑" w:hAnsi="华文细黑" w:cs="华文细黑" w:eastAsia="华文细黑" w:hint="default"/>
                <w:b/>
                <w:bCs/>
                <w:sz w:val="15"/>
                <w:szCs w:val="15"/>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11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6"/>
              <w:ind w:right="0"/>
              <w:jc w:val="left"/>
              <w:rPr>
                <w:rFonts w:ascii="华文细黑" w:hAnsi="华文细黑" w:cs="华文细黑" w:eastAsia="华文细黑" w:hint="default"/>
                <w:b/>
                <w:bCs/>
                <w:sz w:val="15"/>
                <w:szCs w:val="15"/>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13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6"/>
              <w:ind w:right="0"/>
              <w:jc w:val="left"/>
              <w:rPr>
                <w:rFonts w:ascii="华文细黑" w:hAnsi="华文细黑" w:cs="华文细黑" w:eastAsia="华文细黑" w:hint="default"/>
                <w:b/>
                <w:bCs/>
                <w:sz w:val="15"/>
                <w:szCs w:val="15"/>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6"/>
              <w:ind w:right="0"/>
              <w:jc w:val="left"/>
              <w:rPr>
                <w:rFonts w:ascii="华文细黑" w:hAnsi="华文细黑" w:cs="华文细黑" w:eastAsia="华文细黑" w:hint="default"/>
                <w:b/>
                <w:bCs/>
                <w:sz w:val="15"/>
                <w:szCs w:val="15"/>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6"/>
              <w:ind w:right="0"/>
              <w:jc w:val="left"/>
              <w:rPr>
                <w:rFonts w:ascii="华文细黑" w:hAnsi="华文细黑" w:cs="华文细黑" w:eastAsia="华文细黑" w:hint="default"/>
                <w:b/>
                <w:bCs/>
                <w:sz w:val="15"/>
                <w:szCs w:val="15"/>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r>
      <w:tr>
        <w:trPr>
          <w:trHeight w:val="670" w:hRule="exact"/>
        </w:trPr>
        <w:tc>
          <w:tcPr>
            <w:tcW w:w="18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二、以后将重分类进</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损益的其他综合收益</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2"/>
              <w:ind w:right="0"/>
              <w:jc w:val="left"/>
              <w:rPr>
                <w:rFonts w:ascii="华文细黑" w:hAnsi="华文细黑" w:cs="华文细黑" w:eastAsia="华文细黑" w:hint="default"/>
                <w:b/>
                <w:bCs/>
                <w:sz w:val="19"/>
                <w:szCs w:val="19"/>
              </w:rPr>
            </w:pPr>
          </w:p>
          <w:p>
            <w:pPr>
              <w:pStyle w:val="TableParagraph"/>
              <w:spacing w:line="240" w:lineRule="auto"/>
              <w:ind w:right="72"/>
              <w:jc w:val="right"/>
              <w:rPr>
                <w:rFonts w:ascii="华文细黑" w:hAnsi="华文细黑" w:cs="华文细黑" w:eastAsia="华文细黑" w:hint="default"/>
                <w:sz w:val="15"/>
                <w:szCs w:val="15"/>
              </w:rPr>
            </w:pPr>
            <w:r>
              <w:rPr>
                <w:rFonts w:ascii="华文细黑"/>
                <w:b/>
                <w:spacing w:val="-1"/>
                <w:sz w:val="15"/>
              </w:rPr>
              <w:t>167,752,408.95</w:t>
            </w:r>
            <w:r>
              <w:rPr>
                <w:rFonts w:ascii="华文细黑"/>
                <w:spacing w:val="-1"/>
                <w:sz w:val="15"/>
              </w:rPr>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2"/>
              <w:ind w:right="0"/>
              <w:jc w:val="left"/>
              <w:rPr>
                <w:rFonts w:ascii="华文细黑" w:hAnsi="华文细黑" w:cs="华文细黑" w:eastAsia="华文细黑" w:hint="default"/>
                <w:b/>
                <w:bCs/>
                <w:sz w:val="19"/>
                <w:szCs w:val="19"/>
              </w:rPr>
            </w:pPr>
          </w:p>
          <w:p>
            <w:pPr>
              <w:pStyle w:val="TableParagraph"/>
              <w:spacing w:line="240" w:lineRule="auto"/>
              <w:ind w:right="72"/>
              <w:jc w:val="right"/>
              <w:rPr>
                <w:rFonts w:ascii="华文细黑" w:hAnsi="华文细黑" w:cs="华文细黑" w:eastAsia="华文细黑" w:hint="default"/>
                <w:sz w:val="15"/>
                <w:szCs w:val="15"/>
              </w:rPr>
            </w:pPr>
            <w:r>
              <w:rPr>
                <w:rFonts w:ascii="华文细黑"/>
                <w:b/>
                <w:w w:val="95"/>
                <w:sz w:val="15"/>
              </w:rPr>
              <w:t>-152,009,009.46</w:t>
            </w:r>
            <w:r>
              <w:rPr>
                <w:rFonts w:ascii="华文细黑"/>
                <w:sz w:val="15"/>
              </w:rPr>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2"/>
              <w:ind w:right="0"/>
              <w:jc w:val="left"/>
              <w:rPr>
                <w:rFonts w:ascii="华文细黑" w:hAnsi="华文细黑" w:cs="华文细黑" w:eastAsia="华文细黑" w:hint="default"/>
                <w:b/>
                <w:bCs/>
                <w:sz w:val="19"/>
                <w:szCs w:val="19"/>
              </w:rPr>
            </w:pPr>
          </w:p>
          <w:p>
            <w:pPr>
              <w:pStyle w:val="TableParagraph"/>
              <w:spacing w:line="240" w:lineRule="auto"/>
              <w:ind w:right="72"/>
              <w:jc w:val="right"/>
              <w:rPr>
                <w:rFonts w:ascii="华文细黑" w:hAnsi="华文细黑" w:cs="华文细黑" w:eastAsia="华文细黑" w:hint="default"/>
                <w:sz w:val="15"/>
                <w:szCs w:val="15"/>
              </w:rPr>
            </w:pPr>
            <w:r>
              <w:rPr>
                <w:rFonts w:ascii="华文细黑"/>
                <w:b/>
                <w:w w:val="95"/>
                <w:sz w:val="15"/>
              </w:rPr>
              <w:t>11,320,831.94</w:t>
            </w:r>
            <w:r>
              <w:rPr>
                <w:rFonts w:ascii="华文细黑"/>
                <w:sz w:val="15"/>
              </w:rPr>
            </w:r>
          </w:p>
        </w:tc>
        <w:tc>
          <w:tcPr>
            <w:tcW w:w="11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2"/>
              <w:ind w:right="0"/>
              <w:jc w:val="left"/>
              <w:rPr>
                <w:rFonts w:ascii="华文细黑" w:hAnsi="华文细黑" w:cs="华文细黑" w:eastAsia="华文细黑" w:hint="default"/>
                <w:b/>
                <w:bCs/>
                <w:sz w:val="19"/>
                <w:szCs w:val="19"/>
              </w:rPr>
            </w:pPr>
          </w:p>
          <w:p>
            <w:pPr>
              <w:pStyle w:val="TableParagraph"/>
              <w:spacing w:line="240" w:lineRule="auto"/>
              <w:ind w:right="72"/>
              <w:jc w:val="right"/>
              <w:rPr>
                <w:rFonts w:ascii="华文细黑" w:hAnsi="华文细黑" w:cs="华文细黑" w:eastAsia="华文细黑" w:hint="default"/>
                <w:sz w:val="15"/>
                <w:szCs w:val="15"/>
              </w:rPr>
            </w:pPr>
            <w:r>
              <w:rPr>
                <w:rFonts w:ascii="华文细黑"/>
                <w:b/>
                <w:w w:val="95"/>
                <w:sz w:val="15"/>
              </w:rPr>
              <w:t>1,867,937.27</w:t>
            </w:r>
            <w:r>
              <w:rPr>
                <w:rFonts w:ascii="华文细黑"/>
                <w:sz w:val="15"/>
              </w:rPr>
            </w:r>
          </w:p>
        </w:tc>
        <w:tc>
          <w:tcPr>
            <w:tcW w:w="13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2"/>
              <w:ind w:right="0"/>
              <w:jc w:val="left"/>
              <w:rPr>
                <w:rFonts w:ascii="华文细黑" w:hAnsi="华文细黑" w:cs="华文细黑" w:eastAsia="华文细黑" w:hint="default"/>
                <w:b/>
                <w:bCs/>
                <w:sz w:val="19"/>
                <w:szCs w:val="19"/>
              </w:rPr>
            </w:pPr>
          </w:p>
          <w:p>
            <w:pPr>
              <w:pStyle w:val="TableParagraph"/>
              <w:spacing w:line="240" w:lineRule="auto"/>
              <w:ind w:right="72"/>
              <w:jc w:val="right"/>
              <w:rPr>
                <w:rFonts w:ascii="华文细黑" w:hAnsi="华文细黑" w:cs="华文细黑" w:eastAsia="华文细黑" w:hint="default"/>
                <w:sz w:val="15"/>
                <w:szCs w:val="15"/>
              </w:rPr>
            </w:pPr>
            <w:r>
              <w:rPr>
                <w:rFonts w:ascii="华文细黑"/>
                <w:b/>
                <w:w w:val="95"/>
                <w:sz w:val="15"/>
              </w:rPr>
              <w:t>-165,301,322.98</w:t>
            </w:r>
            <w:r>
              <w:rPr>
                <w:rFonts w:ascii="华文细黑"/>
                <w:sz w:val="15"/>
              </w:rPr>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2"/>
              <w:ind w:right="0"/>
              <w:jc w:val="left"/>
              <w:rPr>
                <w:rFonts w:ascii="华文细黑" w:hAnsi="华文细黑" w:cs="华文细黑" w:eastAsia="华文细黑" w:hint="default"/>
                <w:b/>
                <w:bCs/>
                <w:sz w:val="19"/>
                <w:szCs w:val="19"/>
              </w:rPr>
            </w:pPr>
          </w:p>
          <w:p>
            <w:pPr>
              <w:pStyle w:val="TableParagraph"/>
              <w:spacing w:line="240" w:lineRule="auto"/>
              <w:ind w:right="72"/>
              <w:jc w:val="right"/>
              <w:rPr>
                <w:rFonts w:ascii="华文细黑" w:hAnsi="华文细黑" w:cs="华文细黑" w:eastAsia="华文细黑" w:hint="default"/>
                <w:sz w:val="15"/>
                <w:szCs w:val="15"/>
              </w:rPr>
            </w:pPr>
            <w:r>
              <w:rPr>
                <w:rFonts w:ascii="华文细黑"/>
                <w:b/>
                <w:spacing w:val="-1"/>
                <w:sz w:val="15"/>
              </w:rPr>
              <w:t>103,544.31</w:t>
            </w:r>
            <w:r>
              <w:rPr>
                <w:rFonts w:ascii="华文细黑"/>
                <w:spacing w:val="-1"/>
                <w:sz w:val="15"/>
              </w:rPr>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2"/>
              <w:ind w:right="0"/>
              <w:jc w:val="left"/>
              <w:rPr>
                <w:rFonts w:ascii="华文细黑" w:hAnsi="华文细黑" w:cs="华文细黑" w:eastAsia="华文细黑" w:hint="default"/>
                <w:b/>
                <w:bCs/>
                <w:sz w:val="19"/>
                <w:szCs w:val="19"/>
              </w:rPr>
            </w:pPr>
          </w:p>
          <w:p>
            <w:pPr>
              <w:pStyle w:val="TableParagraph"/>
              <w:spacing w:line="240" w:lineRule="auto"/>
              <w:ind w:right="72"/>
              <w:jc w:val="right"/>
              <w:rPr>
                <w:rFonts w:ascii="华文细黑" w:hAnsi="华文细黑" w:cs="华文细黑" w:eastAsia="华文细黑" w:hint="default"/>
                <w:sz w:val="15"/>
                <w:szCs w:val="15"/>
              </w:rPr>
            </w:pPr>
            <w:r>
              <w:rPr>
                <w:rFonts w:ascii="华文细黑"/>
                <w:b/>
                <w:w w:val="95"/>
                <w:sz w:val="15"/>
              </w:rPr>
              <w:t>2,451,085.97</w:t>
            </w:r>
            <w:r>
              <w:rPr>
                <w:rFonts w:ascii="华文细黑"/>
                <w:sz w:val="15"/>
              </w:rPr>
            </w:r>
          </w:p>
        </w:tc>
      </w:tr>
      <w:tr>
        <w:trPr>
          <w:trHeight w:val="1250" w:hRule="exact"/>
        </w:trPr>
        <w:tc>
          <w:tcPr>
            <w:tcW w:w="18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03" w:right="102"/>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其中：权益法下在被</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投资单位以后将重分</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类进损益的其他综合</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收益中享有的份额</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10"/>
              <w:ind w:right="0"/>
              <w:jc w:val="left"/>
              <w:rPr>
                <w:rFonts w:ascii="华文细黑" w:hAnsi="华文细黑" w:cs="华文细黑" w:eastAsia="华文细黑" w:hint="default"/>
                <w:b/>
                <w:bCs/>
                <w:sz w:val="11"/>
                <w:szCs w:val="11"/>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10"/>
              <w:ind w:right="0"/>
              <w:jc w:val="left"/>
              <w:rPr>
                <w:rFonts w:ascii="华文细黑" w:hAnsi="华文细黑" w:cs="华文细黑" w:eastAsia="华文细黑" w:hint="default"/>
                <w:b/>
                <w:bCs/>
                <w:sz w:val="11"/>
                <w:szCs w:val="11"/>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10"/>
              <w:ind w:right="0"/>
              <w:jc w:val="left"/>
              <w:rPr>
                <w:rFonts w:ascii="华文细黑" w:hAnsi="华文细黑" w:cs="华文细黑" w:eastAsia="华文细黑" w:hint="default"/>
                <w:b/>
                <w:bCs/>
                <w:sz w:val="11"/>
                <w:szCs w:val="11"/>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11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10"/>
              <w:ind w:right="0"/>
              <w:jc w:val="left"/>
              <w:rPr>
                <w:rFonts w:ascii="华文细黑" w:hAnsi="华文细黑" w:cs="华文细黑" w:eastAsia="华文细黑" w:hint="default"/>
                <w:b/>
                <w:bCs/>
                <w:sz w:val="11"/>
                <w:szCs w:val="11"/>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13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10"/>
              <w:ind w:right="0"/>
              <w:jc w:val="left"/>
              <w:rPr>
                <w:rFonts w:ascii="华文细黑" w:hAnsi="华文细黑" w:cs="华文细黑" w:eastAsia="华文细黑" w:hint="default"/>
                <w:b/>
                <w:bCs/>
                <w:sz w:val="11"/>
                <w:szCs w:val="11"/>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10"/>
              <w:ind w:right="0"/>
              <w:jc w:val="left"/>
              <w:rPr>
                <w:rFonts w:ascii="华文细黑" w:hAnsi="华文细黑" w:cs="华文细黑" w:eastAsia="华文细黑" w:hint="default"/>
                <w:b/>
                <w:bCs/>
                <w:sz w:val="11"/>
                <w:szCs w:val="11"/>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10"/>
              <w:ind w:right="0"/>
              <w:jc w:val="left"/>
              <w:rPr>
                <w:rFonts w:ascii="华文细黑" w:hAnsi="华文细黑" w:cs="华文细黑" w:eastAsia="华文细黑" w:hint="default"/>
                <w:b/>
                <w:bCs/>
                <w:sz w:val="11"/>
                <w:szCs w:val="11"/>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r>
      <w:tr>
        <w:trPr>
          <w:trHeight w:val="960" w:hRule="exact"/>
        </w:trPr>
        <w:tc>
          <w:tcPr>
            <w:tcW w:w="18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firstLine="54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可供出售金融 资产公允价值变动损</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益</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6"/>
              <w:ind w:right="0"/>
              <w:jc w:val="left"/>
              <w:rPr>
                <w:rFonts w:ascii="华文细黑" w:hAnsi="华文细黑" w:cs="华文细黑" w:eastAsia="华文细黑" w:hint="default"/>
                <w:b/>
                <w:bCs/>
                <w:sz w:val="15"/>
                <w:szCs w:val="15"/>
              </w:rPr>
            </w:pPr>
          </w:p>
          <w:p>
            <w:pPr>
              <w:pStyle w:val="TableParagraph"/>
              <w:spacing w:line="240" w:lineRule="auto"/>
              <w:ind w:right="73"/>
              <w:jc w:val="right"/>
              <w:rPr>
                <w:rFonts w:ascii="华文细黑" w:hAnsi="华文细黑" w:cs="华文细黑" w:eastAsia="华文细黑" w:hint="default"/>
                <w:sz w:val="15"/>
                <w:szCs w:val="15"/>
              </w:rPr>
            </w:pPr>
            <w:r>
              <w:rPr>
                <w:rFonts w:ascii="华文细黑"/>
                <w:spacing w:val="-1"/>
                <w:sz w:val="15"/>
              </w:rPr>
              <w:t>169,626,794.59</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6"/>
              <w:ind w:right="0"/>
              <w:jc w:val="left"/>
              <w:rPr>
                <w:rFonts w:ascii="华文细黑" w:hAnsi="华文细黑" w:cs="华文细黑" w:eastAsia="华文细黑" w:hint="default"/>
                <w:b/>
                <w:bCs/>
                <w:sz w:val="15"/>
                <w:szCs w:val="15"/>
              </w:rPr>
            </w:pPr>
          </w:p>
          <w:p>
            <w:pPr>
              <w:pStyle w:val="TableParagraph"/>
              <w:spacing w:line="240" w:lineRule="auto"/>
              <w:ind w:right="73"/>
              <w:jc w:val="right"/>
              <w:rPr>
                <w:rFonts w:ascii="华文细黑" w:hAnsi="华文细黑" w:cs="华文细黑" w:eastAsia="华文细黑" w:hint="default"/>
                <w:sz w:val="15"/>
                <w:szCs w:val="15"/>
              </w:rPr>
            </w:pPr>
            <w:r>
              <w:rPr>
                <w:rFonts w:ascii="华文细黑"/>
                <w:spacing w:val="-1"/>
                <w:sz w:val="15"/>
              </w:rPr>
              <w:t>-156,438,025.38</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6"/>
              <w:ind w:right="0"/>
              <w:jc w:val="left"/>
              <w:rPr>
                <w:rFonts w:ascii="华文细黑" w:hAnsi="华文细黑" w:cs="华文细黑" w:eastAsia="华文细黑" w:hint="default"/>
                <w:b/>
                <w:bCs/>
                <w:sz w:val="15"/>
                <w:szCs w:val="15"/>
              </w:rPr>
            </w:pPr>
          </w:p>
          <w:p>
            <w:pPr>
              <w:pStyle w:val="TableParagraph"/>
              <w:spacing w:line="240" w:lineRule="auto"/>
              <w:ind w:right="73"/>
              <w:jc w:val="right"/>
              <w:rPr>
                <w:rFonts w:ascii="华文细黑" w:hAnsi="华文细黑" w:cs="华文细黑" w:eastAsia="华文细黑" w:hint="default"/>
                <w:sz w:val="15"/>
                <w:szCs w:val="15"/>
              </w:rPr>
            </w:pPr>
            <w:r>
              <w:rPr>
                <w:rFonts w:ascii="华文细黑"/>
                <w:spacing w:val="-1"/>
                <w:sz w:val="15"/>
              </w:rPr>
              <w:t>11,320,831.94</w:t>
            </w:r>
          </w:p>
        </w:tc>
        <w:tc>
          <w:tcPr>
            <w:tcW w:w="11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6"/>
              <w:ind w:right="0"/>
              <w:jc w:val="left"/>
              <w:rPr>
                <w:rFonts w:ascii="华文细黑" w:hAnsi="华文细黑" w:cs="华文细黑" w:eastAsia="华文细黑" w:hint="default"/>
                <w:b/>
                <w:bCs/>
                <w:sz w:val="15"/>
                <w:szCs w:val="15"/>
              </w:rPr>
            </w:pPr>
          </w:p>
          <w:p>
            <w:pPr>
              <w:pStyle w:val="TableParagraph"/>
              <w:spacing w:line="240" w:lineRule="auto"/>
              <w:ind w:right="73"/>
              <w:jc w:val="right"/>
              <w:rPr>
                <w:rFonts w:ascii="华文细黑" w:hAnsi="华文细黑" w:cs="华文细黑" w:eastAsia="华文细黑" w:hint="default"/>
                <w:sz w:val="15"/>
                <w:szCs w:val="15"/>
              </w:rPr>
            </w:pPr>
            <w:r>
              <w:rPr>
                <w:rFonts w:ascii="华文细黑"/>
                <w:spacing w:val="-1"/>
                <w:sz w:val="15"/>
              </w:rPr>
              <w:t>1,867,937.27</w:t>
            </w:r>
          </w:p>
        </w:tc>
        <w:tc>
          <w:tcPr>
            <w:tcW w:w="13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6"/>
              <w:ind w:right="0"/>
              <w:jc w:val="left"/>
              <w:rPr>
                <w:rFonts w:ascii="华文细黑" w:hAnsi="华文细黑" w:cs="华文细黑" w:eastAsia="华文细黑" w:hint="default"/>
                <w:b/>
                <w:bCs/>
                <w:sz w:val="15"/>
                <w:szCs w:val="15"/>
              </w:rPr>
            </w:pPr>
          </w:p>
          <w:p>
            <w:pPr>
              <w:pStyle w:val="TableParagraph"/>
              <w:spacing w:line="240" w:lineRule="auto"/>
              <w:ind w:right="73"/>
              <w:jc w:val="right"/>
              <w:rPr>
                <w:rFonts w:ascii="华文细黑" w:hAnsi="华文细黑" w:cs="华文细黑" w:eastAsia="华文细黑" w:hint="default"/>
                <w:sz w:val="15"/>
                <w:szCs w:val="15"/>
              </w:rPr>
            </w:pPr>
            <w:r>
              <w:rPr>
                <w:rFonts w:ascii="华文细黑"/>
                <w:spacing w:val="-1"/>
                <w:sz w:val="15"/>
              </w:rPr>
              <w:t>-169,626,794.59</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6"/>
              <w:ind w:right="0"/>
              <w:jc w:val="left"/>
              <w:rPr>
                <w:rFonts w:ascii="华文细黑" w:hAnsi="华文细黑" w:cs="华文细黑" w:eastAsia="华文细黑" w:hint="default"/>
                <w:b/>
                <w:bCs/>
                <w:sz w:val="15"/>
                <w:szCs w:val="15"/>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6"/>
              <w:ind w:right="0"/>
              <w:jc w:val="left"/>
              <w:rPr>
                <w:rFonts w:ascii="华文细黑" w:hAnsi="华文细黑" w:cs="华文细黑" w:eastAsia="华文细黑" w:hint="default"/>
                <w:b/>
                <w:bCs/>
                <w:sz w:val="15"/>
                <w:szCs w:val="15"/>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r>
      <w:tr>
        <w:trPr>
          <w:trHeight w:val="960" w:hRule="exact"/>
        </w:trPr>
        <w:tc>
          <w:tcPr>
            <w:tcW w:w="18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2" w:firstLine="54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持有至到期投 资重分类为可供出售</w:t>
            </w:r>
            <w:r>
              <w:rPr>
                <w:rFonts w:ascii="华文细黑" w:hAnsi="华文细黑" w:cs="华文细黑" w:eastAsia="华文细黑" w:hint="default"/>
                <w:spacing w:val="-39"/>
                <w:sz w:val="18"/>
                <w:szCs w:val="18"/>
              </w:rPr>
              <w:t> </w:t>
            </w:r>
            <w:r>
              <w:rPr>
                <w:rFonts w:ascii="华文细黑" w:hAnsi="华文细黑" w:cs="华文细黑" w:eastAsia="华文细黑" w:hint="default"/>
                <w:spacing w:val="-39"/>
                <w:sz w:val="18"/>
                <w:szCs w:val="18"/>
              </w:rPr>
            </w:r>
            <w:r>
              <w:rPr>
                <w:rFonts w:ascii="华文细黑" w:hAnsi="华文细黑" w:cs="华文细黑" w:eastAsia="华文细黑" w:hint="default"/>
                <w:sz w:val="18"/>
                <w:szCs w:val="18"/>
              </w:rPr>
              <w:t>金融资产损益</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6"/>
              <w:ind w:right="0"/>
              <w:jc w:val="left"/>
              <w:rPr>
                <w:rFonts w:ascii="华文细黑" w:hAnsi="华文细黑" w:cs="华文细黑" w:eastAsia="华文细黑" w:hint="default"/>
                <w:b/>
                <w:bCs/>
                <w:sz w:val="15"/>
                <w:szCs w:val="15"/>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6"/>
              <w:ind w:right="0"/>
              <w:jc w:val="left"/>
              <w:rPr>
                <w:rFonts w:ascii="华文细黑" w:hAnsi="华文细黑" w:cs="华文细黑" w:eastAsia="华文细黑" w:hint="default"/>
                <w:b/>
                <w:bCs/>
                <w:sz w:val="15"/>
                <w:szCs w:val="15"/>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6"/>
              <w:ind w:right="0"/>
              <w:jc w:val="left"/>
              <w:rPr>
                <w:rFonts w:ascii="华文细黑" w:hAnsi="华文细黑" w:cs="华文细黑" w:eastAsia="华文细黑" w:hint="default"/>
                <w:b/>
                <w:bCs/>
                <w:sz w:val="15"/>
                <w:szCs w:val="15"/>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11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6"/>
              <w:ind w:right="0"/>
              <w:jc w:val="left"/>
              <w:rPr>
                <w:rFonts w:ascii="华文细黑" w:hAnsi="华文细黑" w:cs="华文细黑" w:eastAsia="华文细黑" w:hint="default"/>
                <w:b/>
                <w:bCs/>
                <w:sz w:val="15"/>
                <w:szCs w:val="15"/>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13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6"/>
              <w:ind w:right="0"/>
              <w:jc w:val="left"/>
              <w:rPr>
                <w:rFonts w:ascii="华文细黑" w:hAnsi="华文细黑" w:cs="华文细黑" w:eastAsia="华文细黑" w:hint="default"/>
                <w:b/>
                <w:bCs/>
                <w:sz w:val="15"/>
                <w:szCs w:val="15"/>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6"/>
              <w:ind w:right="0"/>
              <w:jc w:val="left"/>
              <w:rPr>
                <w:rFonts w:ascii="华文细黑" w:hAnsi="华文细黑" w:cs="华文细黑" w:eastAsia="华文细黑" w:hint="default"/>
                <w:b/>
                <w:bCs/>
                <w:sz w:val="15"/>
                <w:szCs w:val="15"/>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4"/>
                <w:szCs w:val="14"/>
              </w:rPr>
            </w:pPr>
          </w:p>
          <w:p>
            <w:pPr>
              <w:pStyle w:val="TableParagraph"/>
              <w:spacing w:line="240" w:lineRule="auto" w:before="6"/>
              <w:ind w:right="0"/>
              <w:jc w:val="left"/>
              <w:rPr>
                <w:rFonts w:ascii="华文细黑" w:hAnsi="华文细黑" w:cs="华文细黑" w:eastAsia="华文细黑" w:hint="default"/>
                <w:b/>
                <w:bCs/>
                <w:sz w:val="15"/>
                <w:szCs w:val="15"/>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r>
      <w:tr>
        <w:trPr>
          <w:trHeight w:val="670" w:hRule="exact"/>
        </w:trPr>
        <w:tc>
          <w:tcPr>
            <w:tcW w:w="18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3" w:firstLine="54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现金流量套期 损益的有效部分</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3"/>
              <w:ind w:right="0"/>
              <w:jc w:val="left"/>
              <w:rPr>
                <w:rFonts w:ascii="华文细黑" w:hAnsi="华文细黑" w:cs="华文细黑" w:eastAsia="华文细黑" w:hint="default"/>
                <w:b/>
                <w:bCs/>
                <w:sz w:val="19"/>
                <w:szCs w:val="19"/>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3"/>
              <w:ind w:right="0"/>
              <w:jc w:val="left"/>
              <w:rPr>
                <w:rFonts w:ascii="华文细黑" w:hAnsi="华文细黑" w:cs="华文细黑" w:eastAsia="华文细黑" w:hint="default"/>
                <w:b/>
                <w:bCs/>
                <w:sz w:val="19"/>
                <w:szCs w:val="19"/>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3"/>
              <w:ind w:right="0"/>
              <w:jc w:val="left"/>
              <w:rPr>
                <w:rFonts w:ascii="华文细黑" w:hAnsi="华文细黑" w:cs="华文细黑" w:eastAsia="华文细黑" w:hint="default"/>
                <w:b/>
                <w:bCs/>
                <w:sz w:val="19"/>
                <w:szCs w:val="19"/>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11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3"/>
              <w:ind w:right="0"/>
              <w:jc w:val="left"/>
              <w:rPr>
                <w:rFonts w:ascii="华文细黑" w:hAnsi="华文细黑" w:cs="华文细黑" w:eastAsia="华文细黑" w:hint="default"/>
                <w:b/>
                <w:bCs/>
                <w:sz w:val="19"/>
                <w:szCs w:val="19"/>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13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3"/>
              <w:ind w:right="0"/>
              <w:jc w:val="left"/>
              <w:rPr>
                <w:rFonts w:ascii="华文细黑" w:hAnsi="华文细黑" w:cs="华文细黑" w:eastAsia="华文细黑" w:hint="default"/>
                <w:b/>
                <w:bCs/>
                <w:sz w:val="19"/>
                <w:szCs w:val="19"/>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3"/>
              <w:ind w:right="0"/>
              <w:jc w:val="left"/>
              <w:rPr>
                <w:rFonts w:ascii="华文细黑" w:hAnsi="华文细黑" w:cs="华文细黑" w:eastAsia="华文细黑" w:hint="default"/>
                <w:b/>
                <w:bCs/>
                <w:sz w:val="19"/>
                <w:szCs w:val="19"/>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3"/>
              <w:ind w:right="0"/>
              <w:jc w:val="left"/>
              <w:rPr>
                <w:rFonts w:ascii="华文细黑" w:hAnsi="华文细黑" w:cs="华文细黑" w:eastAsia="华文细黑" w:hint="default"/>
                <w:b/>
                <w:bCs/>
                <w:sz w:val="19"/>
                <w:szCs w:val="19"/>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r>
      <w:tr>
        <w:trPr>
          <w:trHeight w:val="671" w:hRule="exact"/>
        </w:trPr>
        <w:tc>
          <w:tcPr>
            <w:tcW w:w="18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03" w:right="103" w:firstLine="54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外币财务报表 折算差额</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
              <w:ind w:right="0"/>
              <w:jc w:val="left"/>
              <w:rPr>
                <w:rFonts w:ascii="华文细黑" w:hAnsi="华文细黑" w:cs="华文细黑" w:eastAsia="华文细黑" w:hint="default"/>
                <w:b/>
                <w:bCs/>
                <w:sz w:val="19"/>
                <w:szCs w:val="19"/>
              </w:rPr>
            </w:pPr>
          </w:p>
          <w:p>
            <w:pPr>
              <w:pStyle w:val="TableParagraph"/>
              <w:spacing w:line="240" w:lineRule="auto"/>
              <w:ind w:right="73"/>
              <w:jc w:val="right"/>
              <w:rPr>
                <w:rFonts w:ascii="华文细黑" w:hAnsi="华文细黑" w:cs="华文细黑" w:eastAsia="华文细黑" w:hint="default"/>
                <w:sz w:val="15"/>
                <w:szCs w:val="15"/>
              </w:rPr>
            </w:pPr>
            <w:r>
              <w:rPr>
                <w:rFonts w:ascii="华文细黑"/>
                <w:spacing w:val="-1"/>
                <w:sz w:val="15"/>
              </w:rPr>
              <w:t>-1,874,385.64</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
              <w:ind w:right="0"/>
              <w:jc w:val="left"/>
              <w:rPr>
                <w:rFonts w:ascii="华文细黑" w:hAnsi="华文细黑" w:cs="华文细黑" w:eastAsia="华文细黑" w:hint="default"/>
                <w:b/>
                <w:bCs/>
                <w:sz w:val="19"/>
                <w:szCs w:val="19"/>
              </w:rPr>
            </w:pPr>
          </w:p>
          <w:p>
            <w:pPr>
              <w:pStyle w:val="TableParagraph"/>
              <w:spacing w:line="240" w:lineRule="auto"/>
              <w:ind w:right="73"/>
              <w:jc w:val="right"/>
              <w:rPr>
                <w:rFonts w:ascii="华文细黑" w:hAnsi="华文细黑" w:cs="华文细黑" w:eastAsia="华文细黑" w:hint="default"/>
                <w:sz w:val="15"/>
                <w:szCs w:val="15"/>
              </w:rPr>
            </w:pPr>
            <w:r>
              <w:rPr>
                <w:rFonts w:ascii="华文细黑"/>
                <w:spacing w:val="-1"/>
                <w:sz w:val="15"/>
              </w:rPr>
              <w:t>4,429,015.92</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
              <w:ind w:right="0"/>
              <w:jc w:val="left"/>
              <w:rPr>
                <w:rFonts w:ascii="华文细黑" w:hAnsi="华文细黑" w:cs="华文细黑" w:eastAsia="华文细黑" w:hint="default"/>
                <w:b/>
                <w:bCs/>
                <w:sz w:val="19"/>
                <w:szCs w:val="19"/>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11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
              <w:ind w:right="0"/>
              <w:jc w:val="left"/>
              <w:rPr>
                <w:rFonts w:ascii="华文细黑" w:hAnsi="华文细黑" w:cs="华文细黑" w:eastAsia="华文细黑" w:hint="default"/>
                <w:b/>
                <w:bCs/>
                <w:sz w:val="19"/>
                <w:szCs w:val="19"/>
              </w:rPr>
            </w:pPr>
          </w:p>
          <w:p>
            <w:pPr>
              <w:pStyle w:val="TableParagraph"/>
              <w:spacing w:line="240" w:lineRule="auto"/>
              <w:ind w:right="71"/>
              <w:jc w:val="right"/>
              <w:rPr>
                <w:rFonts w:ascii="华文细黑" w:hAnsi="华文细黑" w:cs="华文细黑" w:eastAsia="华文细黑" w:hint="default"/>
                <w:sz w:val="15"/>
                <w:szCs w:val="15"/>
              </w:rPr>
            </w:pPr>
            <w:r>
              <w:rPr>
                <w:rFonts w:ascii="华文细黑"/>
                <w:spacing w:val="-1"/>
                <w:sz w:val="15"/>
              </w:rPr>
              <w:t>---</w:t>
            </w:r>
          </w:p>
        </w:tc>
        <w:tc>
          <w:tcPr>
            <w:tcW w:w="13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
              <w:ind w:right="0"/>
              <w:jc w:val="left"/>
              <w:rPr>
                <w:rFonts w:ascii="华文细黑" w:hAnsi="华文细黑" w:cs="华文细黑" w:eastAsia="华文细黑" w:hint="default"/>
                <w:b/>
                <w:bCs/>
                <w:sz w:val="19"/>
                <w:szCs w:val="19"/>
              </w:rPr>
            </w:pPr>
          </w:p>
          <w:p>
            <w:pPr>
              <w:pStyle w:val="TableParagraph"/>
              <w:spacing w:line="240" w:lineRule="auto"/>
              <w:ind w:right="73"/>
              <w:jc w:val="right"/>
              <w:rPr>
                <w:rFonts w:ascii="华文细黑" w:hAnsi="华文细黑" w:cs="华文细黑" w:eastAsia="华文细黑" w:hint="default"/>
                <w:sz w:val="15"/>
                <w:szCs w:val="15"/>
              </w:rPr>
            </w:pPr>
            <w:r>
              <w:rPr>
                <w:rFonts w:ascii="华文细黑"/>
                <w:spacing w:val="-1"/>
                <w:sz w:val="15"/>
              </w:rPr>
              <w:t>4,325,471.61</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
              <w:ind w:right="0"/>
              <w:jc w:val="left"/>
              <w:rPr>
                <w:rFonts w:ascii="华文细黑" w:hAnsi="华文细黑" w:cs="华文细黑" w:eastAsia="华文细黑" w:hint="default"/>
                <w:b/>
                <w:bCs/>
                <w:sz w:val="19"/>
                <w:szCs w:val="19"/>
              </w:rPr>
            </w:pPr>
          </w:p>
          <w:p>
            <w:pPr>
              <w:pStyle w:val="TableParagraph"/>
              <w:spacing w:line="240" w:lineRule="auto"/>
              <w:ind w:right="73"/>
              <w:jc w:val="right"/>
              <w:rPr>
                <w:rFonts w:ascii="华文细黑" w:hAnsi="华文细黑" w:cs="华文细黑" w:eastAsia="华文细黑" w:hint="default"/>
                <w:sz w:val="15"/>
                <w:szCs w:val="15"/>
              </w:rPr>
            </w:pPr>
            <w:r>
              <w:rPr>
                <w:rFonts w:ascii="华文细黑"/>
                <w:spacing w:val="-1"/>
                <w:sz w:val="15"/>
              </w:rPr>
              <w:t>103,544.31</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
              <w:ind w:right="0"/>
              <w:jc w:val="left"/>
              <w:rPr>
                <w:rFonts w:ascii="华文细黑" w:hAnsi="华文细黑" w:cs="华文细黑" w:eastAsia="华文细黑" w:hint="default"/>
                <w:b/>
                <w:bCs/>
                <w:sz w:val="19"/>
                <w:szCs w:val="19"/>
              </w:rPr>
            </w:pPr>
          </w:p>
          <w:p>
            <w:pPr>
              <w:pStyle w:val="TableParagraph"/>
              <w:spacing w:line="240" w:lineRule="auto"/>
              <w:ind w:right="73"/>
              <w:jc w:val="right"/>
              <w:rPr>
                <w:rFonts w:ascii="华文细黑" w:hAnsi="华文细黑" w:cs="华文细黑" w:eastAsia="华文细黑" w:hint="default"/>
                <w:sz w:val="15"/>
                <w:szCs w:val="15"/>
              </w:rPr>
            </w:pPr>
            <w:r>
              <w:rPr>
                <w:rFonts w:ascii="华文细黑"/>
                <w:spacing w:val="-1"/>
                <w:sz w:val="15"/>
              </w:rPr>
              <w:t>2,451,085.97</w:t>
            </w:r>
          </w:p>
        </w:tc>
      </w:tr>
      <w:tr>
        <w:trPr>
          <w:trHeight w:val="490" w:hRule="exact"/>
        </w:trPr>
        <w:tc>
          <w:tcPr>
            <w:tcW w:w="184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其他综合收益合计</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b/>
                <w:bCs/>
                <w:sz w:val="12"/>
                <w:szCs w:val="12"/>
              </w:rPr>
            </w:pPr>
          </w:p>
          <w:p>
            <w:pPr>
              <w:pStyle w:val="TableParagraph"/>
              <w:spacing w:line="240" w:lineRule="auto"/>
              <w:ind w:right="72"/>
              <w:jc w:val="right"/>
              <w:rPr>
                <w:rFonts w:ascii="华文细黑" w:hAnsi="华文细黑" w:cs="华文细黑" w:eastAsia="华文细黑" w:hint="default"/>
                <w:sz w:val="15"/>
                <w:szCs w:val="15"/>
              </w:rPr>
            </w:pPr>
            <w:r>
              <w:rPr>
                <w:rFonts w:ascii="华文细黑"/>
                <w:b/>
                <w:spacing w:val="-1"/>
                <w:sz w:val="15"/>
              </w:rPr>
              <w:t>167,752,408.95</w:t>
            </w:r>
            <w:r>
              <w:rPr>
                <w:rFonts w:ascii="华文细黑"/>
                <w:spacing w:val="-1"/>
                <w:sz w:val="15"/>
              </w:rPr>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b/>
                <w:bCs/>
                <w:sz w:val="12"/>
                <w:szCs w:val="12"/>
              </w:rPr>
            </w:pPr>
          </w:p>
          <w:p>
            <w:pPr>
              <w:pStyle w:val="TableParagraph"/>
              <w:spacing w:line="240" w:lineRule="auto"/>
              <w:ind w:right="72"/>
              <w:jc w:val="right"/>
              <w:rPr>
                <w:rFonts w:ascii="华文细黑" w:hAnsi="华文细黑" w:cs="华文细黑" w:eastAsia="华文细黑" w:hint="default"/>
                <w:sz w:val="15"/>
                <w:szCs w:val="15"/>
              </w:rPr>
            </w:pPr>
            <w:r>
              <w:rPr>
                <w:rFonts w:ascii="华文细黑"/>
                <w:b/>
                <w:w w:val="95"/>
                <w:sz w:val="15"/>
              </w:rPr>
              <w:t>-152,009,009.46</w:t>
            </w:r>
            <w:r>
              <w:rPr>
                <w:rFonts w:ascii="华文细黑"/>
                <w:sz w:val="15"/>
              </w:rPr>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b/>
                <w:bCs/>
                <w:sz w:val="12"/>
                <w:szCs w:val="12"/>
              </w:rPr>
            </w:pPr>
          </w:p>
          <w:p>
            <w:pPr>
              <w:pStyle w:val="TableParagraph"/>
              <w:spacing w:line="240" w:lineRule="auto"/>
              <w:ind w:right="72"/>
              <w:jc w:val="right"/>
              <w:rPr>
                <w:rFonts w:ascii="华文细黑" w:hAnsi="华文细黑" w:cs="华文细黑" w:eastAsia="华文细黑" w:hint="default"/>
                <w:sz w:val="15"/>
                <w:szCs w:val="15"/>
              </w:rPr>
            </w:pPr>
            <w:r>
              <w:rPr>
                <w:rFonts w:ascii="华文细黑"/>
                <w:b/>
                <w:w w:val="95"/>
                <w:sz w:val="15"/>
              </w:rPr>
              <w:t>11,320,831.94</w:t>
            </w:r>
            <w:r>
              <w:rPr>
                <w:rFonts w:ascii="华文细黑"/>
                <w:sz w:val="15"/>
              </w:rPr>
            </w:r>
          </w:p>
        </w:tc>
        <w:tc>
          <w:tcPr>
            <w:tcW w:w="11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b/>
                <w:bCs/>
                <w:sz w:val="12"/>
                <w:szCs w:val="12"/>
              </w:rPr>
            </w:pPr>
          </w:p>
          <w:p>
            <w:pPr>
              <w:pStyle w:val="TableParagraph"/>
              <w:spacing w:line="240" w:lineRule="auto"/>
              <w:ind w:right="72"/>
              <w:jc w:val="right"/>
              <w:rPr>
                <w:rFonts w:ascii="华文细黑" w:hAnsi="华文细黑" w:cs="华文细黑" w:eastAsia="华文细黑" w:hint="default"/>
                <w:sz w:val="15"/>
                <w:szCs w:val="15"/>
              </w:rPr>
            </w:pPr>
            <w:r>
              <w:rPr>
                <w:rFonts w:ascii="华文细黑"/>
                <w:b/>
                <w:w w:val="95"/>
                <w:sz w:val="15"/>
              </w:rPr>
              <w:t>1,867,937.27</w:t>
            </w:r>
            <w:r>
              <w:rPr>
                <w:rFonts w:ascii="华文细黑"/>
                <w:sz w:val="15"/>
              </w:rPr>
            </w:r>
          </w:p>
        </w:tc>
        <w:tc>
          <w:tcPr>
            <w:tcW w:w="13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b/>
                <w:bCs/>
                <w:sz w:val="12"/>
                <w:szCs w:val="12"/>
              </w:rPr>
            </w:pPr>
          </w:p>
          <w:p>
            <w:pPr>
              <w:pStyle w:val="TableParagraph"/>
              <w:spacing w:line="240" w:lineRule="auto"/>
              <w:ind w:right="72"/>
              <w:jc w:val="right"/>
              <w:rPr>
                <w:rFonts w:ascii="华文细黑" w:hAnsi="华文细黑" w:cs="华文细黑" w:eastAsia="华文细黑" w:hint="default"/>
                <w:sz w:val="15"/>
                <w:szCs w:val="15"/>
              </w:rPr>
            </w:pPr>
            <w:r>
              <w:rPr>
                <w:rFonts w:ascii="华文细黑"/>
                <w:b/>
                <w:w w:val="95"/>
                <w:sz w:val="15"/>
              </w:rPr>
              <w:t>-165,301,322.98</w:t>
            </w:r>
            <w:r>
              <w:rPr>
                <w:rFonts w:ascii="华文细黑"/>
                <w:sz w:val="15"/>
              </w:rPr>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b/>
                <w:bCs/>
                <w:sz w:val="12"/>
                <w:szCs w:val="12"/>
              </w:rPr>
            </w:pPr>
          </w:p>
          <w:p>
            <w:pPr>
              <w:pStyle w:val="TableParagraph"/>
              <w:spacing w:line="240" w:lineRule="auto"/>
              <w:ind w:right="72"/>
              <w:jc w:val="right"/>
              <w:rPr>
                <w:rFonts w:ascii="华文细黑" w:hAnsi="华文细黑" w:cs="华文细黑" w:eastAsia="华文细黑" w:hint="default"/>
                <w:sz w:val="15"/>
                <w:szCs w:val="15"/>
              </w:rPr>
            </w:pPr>
            <w:r>
              <w:rPr>
                <w:rFonts w:ascii="华文细黑"/>
                <w:b/>
                <w:spacing w:val="-1"/>
                <w:sz w:val="15"/>
              </w:rPr>
              <w:t>103,544.31</w:t>
            </w:r>
            <w:r>
              <w:rPr>
                <w:rFonts w:ascii="华文细黑"/>
                <w:spacing w:val="-1"/>
                <w:sz w:val="15"/>
              </w:rPr>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
              <w:ind w:right="0"/>
              <w:jc w:val="left"/>
              <w:rPr>
                <w:rFonts w:ascii="华文细黑" w:hAnsi="华文细黑" w:cs="华文细黑" w:eastAsia="华文细黑" w:hint="default"/>
                <w:b/>
                <w:bCs/>
                <w:sz w:val="12"/>
                <w:szCs w:val="12"/>
              </w:rPr>
            </w:pPr>
          </w:p>
          <w:p>
            <w:pPr>
              <w:pStyle w:val="TableParagraph"/>
              <w:spacing w:line="240" w:lineRule="auto"/>
              <w:ind w:right="72"/>
              <w:jc w:val="right"/>
              <w:rPr>
                <w:rFonts w:ascii="华文细黑" w:hAnsi="华文细黑" w:cs="华文细黑" w:eastAsia="华文细黑" w:hint="default"/>
                <w:sz w:val="15"/>
                <w:szCs w:val="15"/>
              </w:rPr>
            </w:pPr>
            <w:r>
              <w:rPr>
                <w:rFonts w:ascii="华文细黑"/>
                <w:b/>
                <w:w w:val="95"/>
                <w:sz w:val="15"/>
              </w:rPr>
              <w:t>2,451,085.97</w:t>
            </w:r>
            <w:r>
              <w:rPr>
                <w:rFonts w:ascii="华文细黑"/>
                <w:sz w:val="15"/>
              </w:rPr>
            </w:r>
          </w:p>
        </w:tc>
      </w:tr>
    </w:tbl>
    <w:p>
      <w:pPr>
        <w:spacing w:line="240" w:lineRule="auto" w:before="13"/>
        <w:rPr>
          <w:rFonts w:ascii="华文细黑" w:hAnsi="华文细黑" w:cs="华文细黑" w:eastAsia="华文细黑" w:hint="default"/>
          <w:b/>
          <w:bCs/>
          <w:sz w:val="6"/>
          <w:szCs w:val="6"/>
        </w:rPr>
      </w:pPr>
    </w:p>
    <w:p>
      <w:pPr>
        <w:spacing w:before="10"/>
        <w:ind w:left="960" w:right="1023" w:firstLine="0"/>
        <w:jc w:val="left"/>
        <w:rPr>
          <w:rFonts w:ascii="华文细黑" w:hAnsi="华文细黑" w:cs="华文细黑" w:eastAsia="华文细黑" w:hint="default"/>
          <w:sz w:val="21"/>
          <w:szCs w:val="21"/>
        </w:rPr>
      </w:pPr>
      <w:bookmarkStart w:name="31、盈余公积" w:id="296"/>
      <w:bookmarkEnd w:id="296"/>
      <w:r>
        <w:rPr/>
      </w:r>
      <w:r>
        <w:rPr>
          <w:rFonts w:ascii="华文细黑" w:hAnsi="华文细黑" w:cs="华文细黑" w:eastAsia="华文细黑" w:hint="default"/>
          <w:b/>
          <w:bCs/>
          <w:sz w:val="21"/>
          <w:szCs w:val="21"/>
        </w:rPr>
        <w:t>31</w:t>
      </w:r>
      <w:r>
        <w:rPr>
          <w:rFonts w:ascii="华文细黑" w:hAnsi="华文细黑" w:cs="华文细黑" w:eastAsia="华文细黑" w:hint="default"/>
          <w:b/>
          <w:bCs/>
          <w:sz w:val="21"/>
          <w:szCs w:val="21"/>
        </w:rPr>
        <w:t>、盈余公积</w:t>
      </w:r>
      <w:r>
        <w:rPr>
          <w:rFonts w:ascii="华文细黑" w:hAnsi="华文细黑" w:cs="华文细黑" w:eastAsia="华文细黑" w:hint="default"/>
          <w:sz w:val="21"/>
          <w:szCs w:val="21"/>
        </w:rPr>
      </w:r>
    </w:p>
    <w:p>
      <w:pPr>
        <w:spacing w:line="240" w:lineRule="auto" w:before="5"/>
        <w:rPr>
          <w:rFonts w:ascii="华文细黑" w:hAnsi="华文细黑" w:cs="华文细黑" w:eastAsia="华文细黑" w:hint="default"/>
          <w:b/>
          <w:bCs/>
          <w:sz w:val="5"/>
          <w:szCs w:val="5"/>
        </w:rPr>
      </w:pPr>
    </w:p>
    <w:tbl>
      <w:tblPr>
        <w:tblW w:w="0" w:type="auto"/>
        <w:jc w:val="left"/>
        <w:tblInd w:w="454" w:type="dxa"/>
        <w:tblLayout w:type="fixed"/>
        <w:tblCellMar>
          <w:top w:w="0" w:type="dxa"/>
          <w:left w:w="0" w:type="dxa"/>
          <w:bottom w:w="0" w:type="dxa"/>
          <w:right w:w="0" w:type="dxa"/>
        </w:tblCellMar>
        <w:tblLook w:val="01E0"/>
      </w:tblPr>
      <w:tblGrid>
        <w:gridCol w:w="2487"/>
        <w:gridCol w:w="1767"/>
        <w:gridCol w:w="1580"/>
        <w:gridCol w:w="1785"/>
        <w:gridCol w:w="1579"/>
      </w:tblGrid>
      <w:tr>
        <w:trPr>
          <w:trHeight w:val="491" w:hRule="exact"/>
        </w:trPr>
        <w:tc>
          <w:tcPr>
            <w:tcW w:w="248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538" w:val="left" w:leader="none"/>
              </w:tabs>
              <w:spacing w:line="240" w:lineRule="auto" w:before="145"/>
              <w:ind w:right="87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17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5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15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42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本年增加</w:t>
            </w:r>
          </w:p>
        </w:tc>
        <w:tc>
          <w:tcPr>
            <w:tcW w:w="17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52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本年减少</w:t>
            </w:r>
          </w:p>
        </w:tc>
        <w:tc>
          <w:tcPr>
            <w:tcW w:w="157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4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490" w:hRule="exact"/>
        </w:trPr>
        <w:tc>
          <w:tcPr>
            <w:tcW w:w="248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法定盈余公积</w:t>
            </w:r>
          </w:p>
        </w:tc>
        <w:tc>
          <w:tcPr>
            <w:tcW w:w="176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505" w:right="-6"/>
              <w:jc w:val="left"/>
              <w:rPr>
                <w:rFonts w:ascii="华文细黑" w:hAnsi="华文细黑" w:cs="华文细黑" w:eastAsia="华文细黑" w:hint="default"/>
                <w:sz w:val="18"/>
                <w:szCs w:val="18"/>
              </w:rPr>
            </w:pPr>
            <w:r>
              <w:rPr>
                <w:rFonts w:ascii="华文细黑"/>
                <w:sz w:val="18"/>
              </w:rPr>
              <w:t>246,843,122.20</w:t>
            </w:r>
          </w:p>
        </w:tc>
        <w:tc>
          <w:tcPr>
            <w:tcW w:w="15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429" w:right="-7"/>
              <w:jc w:val="left"/>
              <w:rPr>
                <w:rFonts w:ascii="华文细黑" w:hAnsi="华文细黑" w:cs="华文细黑" w:eastAsia="华文细黑" w:hint="default"/>
                <w:sz w:val="18"/>
                <w:szCs w:val="18"/>
              </w:rPr>
            </w:pPr>
            <w:r>
              <w:rPr>
                <w:rFonts w:ascii="华文细黑"/>
                <w:sz w:val="18"/>
              </w:rPr>
              <w:t>17,881,062.23</w:t>
            </w:r>
          </w:p>
        </w:tc>
        <w:tc>
          <w:tcPr>
            <w:tcW w:w="1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7"/>
              <w:jc w:val="right"/>
              <w:rPr>
                <w:rFonts w:ascii="华文细黑" w:hAnsi="华文细黑" w:cs="华文细黑" w:eastAsia="华文细黑" w:hint="default"/>
                <w:sz w:val="18"/>
                <w:szCs w:val="18"/>
              </w:rPr>
            </w:pPr>
            <w:r>
              <w:rPr>
                <w:rFonts w:ascii="华文细黑"/>
                <w:sz w:val="18"/>
              </w:rPr>
              <w:t>---</w:t>
            </w:r>
          </w:p>
        </w:tc>
        <w:tc>
          <w:tcPr>
            <w:tcW w:w="15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7"/>
              <w:jc w:val="right"/>
              <w:rPr>
                <w:rFonts w:ascii="华文细黑" w:hAnsi="华文细黑" w:cs="华文细黑" w:eastAsia="华文细黑" w:hint="default"/>
                <w:sz w:val="18"/>
                <w:szCs w:val="18"/>
              </w:rPr>
            </w:pPr>
            <w:r>
              <w:rPr>
                <w:rFonts w:ascii="华文细黑"/>
                <w:sz w:val="18"/>
              </w:rPr>
              <w:t>264,724,184.43</w:t>
            </w:r>
          </w:p>
        </w:tc>
      </w:tr>
      <w:tr>
        <w:trPr>
          <w:trHeight w:val="491" w:hRule="exact"/>
        </w:trPr>
        <w:tc>
          <w:tcPr>
            <w:tcW w:w="248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539" w:val="left" w:leader="none"/>
              </w:tabs>
              <w:spacing w:line="240" w:lineRule="auto" w:before="144"/>
              <w:ind w:right="83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76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502" w:right="-5"/>
              <w:jc w:val="left"/>
              <w:rPr>
                <w:rFonts w:ascii="华文细黑" w:hAnsi="华文细黑" w:cs="华文细黑" w:eastAsia="华文细黑" w:hint="default"/>
                <w:sz w:val="18"/>
                <w:szCs w:val="18"/>
              </w:rPr>
            </w:pPr>
            <w:r>
              <w:rPr>
                <w:rFonts w:ascii="华文细黑"/>
                <w:b/>
                <w:sz w:val="18"/>
              </w:rPr>
              <w:t>246,843,122.20</w:t>
            </w:r>
            <w:r>
              <w:rPr>
                <w:rFonts w:ascii="华文细黑"/>
                <w:sz w:val="18"/>
              </w:rPr>
            </w:r>
          </w:p>
        </w:tc>
        <w:tc>
          <w:tcPr>
            <w:tcW w:w="158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427" w:right="-5"/>
              <w:jc w:val="left"/>
              <w:rPr>
                <w:rFonts w:ascii="华文细黑" w:hAnsi="华文细黑" w:cs="华文细黑" w:eastAsia="华文细黑" w:hint="default"/>
                <w:sz w:val="18"/>
                <w:szCs w:val="18"/>
              </w:rPr>
            </w:pPr>
            <w:r>
              <w:rPr>
                <w:rFonts w:ascii="华文细黑"/>
                <w:b/>
                <w:sz w:val="18"/>
              </w:rPr>
              <w:t>17,881,062.23</w:t>
            </w:r>
            <w:r>
              <w:rPr>
                <w:rFonts w:ascii="华文细黑"/>
                <w:sz w:val="18"/>
              </w:rPr>
            </w:r>
          </w:p>
        </w:tc>
        <w:tc>
          <w:tcPr>
            <w:tcW w:w="17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5"/>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57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4"/>
              <w:jc w:val="right"/>
              <w:rPr>
                <w:rFonts w:ascii="华文细黑" w:hAnsi="华文细黑" w:cs="华文细黑" w:eastAsia="华文细黑" w:hint="default"/>
                <w:sz w:val="18"/>
                <w:szCs w:val="18"/>
              </w:rPr>
            </w:pPr>
            <w:r>
              <w:rPr>
                <w:rFonts w:ascii="华文细黑"/>
                <w:b/>
                <w:w w:val="95"/>
                <w:sz w:val="18"/>
              </w:rPr>
              <w:t>264,724,184.43</w:t>
            </w:r>
            <w:r>
              <w:rPr>
                <w:rFonts w:ascii="华文细黑"/>
                <w:sz w:val="18"/>
              </w:rPr>
            </w:r>
          </w:p>
        </w:tc>
      </w:tr>
    </w:tbl>
    <w:p>
      <w:pPr>
        <w:spacing w:line="240" w:lineRule="auto" w:before="12"/>
        <w:rPr>
          <w:rFonts w:ascii="华文细黑" w:hAnsi="华文细黑" w:cs="华文细黑" w:eastAsia="华文细黑" w:hint="default"/>
          <w:b/>
          <w:bCs/>
          <w:sz w:val="6"/>
          <w:szCs w:val="6"/>
        </w:rPr>
      </w:pPr>
    </w:p>
    <w:p>
      <w:pPr>
        <w:pStyle w:val="BodyText"/>
        <w:spacing w:line="324" w:lineRule="auto" w:before="10"/>
        <w:ind w:left="540" w:right="1023" w:firstLine="420"/>
        <w:jc w:val="left"/>
      </w:pPr>
      <w:r>
        <w:rPr>
          <w:spacing w:val="-4"/>
        </w:rPr>
        <w:t>注：根据《公司法》、公司章程的规定，本公司按净利润的</w:t>
      </w:r>
      <w:r>
        <w:rPr>
          <w:spacing w:val="14"/>
        </w:rPr>
        <w:t> </w:t>
      </w:r>
      <w:r>
        <w:rPr>
          <w:rFonts w:ascii="华文细黑" w:hAnsi="华文细黑" w:cs="华文细黑" w:eastAsia="华文细黑" w:hint="default"/>
        </w:rPr>
        <w:t>10%</w:t>
      </w:r>
      <w:r>
        <w:rPr/>
        <w:t>提取法定盈余公积。法定盈余 公积累计额达到本公司注册资本 </w:t>
      </w:r>
      <w:r>
        <w:rPr>
          <w:rFonts w:ascii="华文细黑" w:hAnsi="华文细黑" w:cs="华文细黑" w:eastAsia="华文细黑" w:hint="default"/>
        </w:rPr>
        <w:t>50%</w:t>
      </w:r>
      <w:r>
        <w:rPr/>
        <w:t>以上的，不再提取。</w:t>
      </w:r>
    </w:p>
    <w:p>
      <w:pPr>
        <w:pStyle w:val="BodyText"/>
        <w:spacing w:line="324" w:lineRule="auto" w:before="64"/>
        <w:ind w:left="540" w:right="1023" w:firstLine="420"/>
        <w:jc w:val="left"/>
      </w:pPr>
      <w:r>
        <w:rPr/>
        <w:t>本公司在提取法定盈余公积金后，可提取任意盈余公积金。经批准，任意盈余公积金可用于弥 补以前年度亏损或增加股本。</w:t>
      </w:r>
    </w:p>
    <w:p>
      <w:pPr>
        <w:pStyle w:val="Heading5"/>
        <w:spacing w:line="240" w:lineRule="auto" w:before="65"/>
        <w:ind w:left="960" w:right="1023"/>
        <w:jc w:val="left"/>
        <w:rPr>
          <w:b w:val="0"/>
          <w:bCs w:val="0"/>
        </w:rPr>
      </w:pPr>
      <w:bookmarkStart w:name="32、一般风险准备金" w:id="297"/>
      <w:bookmarkEnd w:id="297"/>
      <w:r>
        <w:rPr>
          <w:b w:val="0"/>
          <w:bCs w:val="0"/>
        </w:rPr>
      </w:r>
      <w:r>
        <w:rPr>
          <w:rFonts w:ascii="华文细黑" w:hAnsi="华文细黑" w:cs="华文细黑" w:eastAsia="华文细黑" w:hint="default"/>
        </w:rPr>
        <w:t>32</w:t>
      </w:r>
      <w:r>
        <w:rPr/>
        <w:t>、一般风险准备金</w:t>
      </w:r>
      <w:r>
        <w:rPr>
          <w:b w:val="0"/>
          <w:bCs w:val="0"/>
        </w:rPr>
      </w:r>
    </w:p>
    <w:p>
      <w:pPr>
        <w:spacing w:line="240" w:lineRule="auto" w:before="6"/>
        <w:rPr>
          <w:rFonts w:ascii="华文细黑" w:hAnsi="华文细黑" w:cs="华文细黑" w:eastAsia="华文细黑" w:hint="default"/>
          <w:b/>
          <w:bCs/>
          <w:sz w:val="5"/>
          <w:szCs w:val="5"/>
        </w:rPr>
      </w:pPr>
    </w:p>
    <w:tbl>
      <w:tblPr>
        <w:tblW w:w="0" w:type="auto"/>
        <w:jc w:val="left"/>
        <w:tblInd w:w="442" w:type="dxa"/>
        <w:tblLayout w:type="fixed"/>
        <w:tblCellMar>
          <w:top w:w="0" w:type="dxa"/>
          <w:left w:w="0" w:type="dxa"/>
          <w:bottom w:w="0" w:type="dxa"/>
          <w:right w:w="0" w:type="dxa"/>
        </w:tblCellMar>
        <w:tblLook w:val="01E0"/>
      </w:tblPr>
      <w:tblGrid>
        <w:gridCol w:w="2508"/>
        <w:gridCol w:w="1712"/>
        <w:gridCol w:w="1985"/>
        <w:gridCol w:w="1347"/>
        <w:gridCol w:w="1660"/>
      </w:tblGrid>
      <w:tr>
        <w:trPr>
          <w:trHeight w:val="490" w:hRule="exact"/>
        </w:trPr>
        <w:tc>
          <w:tcPr>
            <w:tcW w:w="25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171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9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19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62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本年计提</w:t>
            </w:r>
          </w:p>
        </w:tc>
        <w:tc>
          <w:tcPr>
            <w:tcW w:w="13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30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本年减少</w:t>
            </w:r>
          </w:p>
        </w:tc>
        <w:tc>
          <w:tcPr>
            <w:tcW w:w="16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6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491" w:hRule="exact"/>
        </w:trPr>
        <w:tc>
          <w:tcPr>
            <w:tcW w:w="25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一般风险准备金</w:t>
            </w:r>
          </w:p>
        </w:tc>
        <w:tc>
          <w:tcPr>
            <w:tcW w:w="171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548" w:right="-6"/>
              <w:jc w:val="left"/>
              <w:rPr>
                <w:rFonts w:ascii="华文细黑" w:hAnsi="华文细黑" w:cs="华文细黑" w:eastAsia="华文细黑" w:hint="default"/>
                <w:sz w:val="18"/>
                <w:szCs w:val="18"/>
              </w:rPr>
            </w:pPr>
            <w:r>
              <w:rPr>
                <w:rFonts w:ascii="华文细黑"/>
                <w:sz w:val="18"/>
              </w:rPr>
              <w:t>14,732,877.61</w:t>
            </w:r>
          </w:p>
        </w:tc>
        <w:tc>
          <w:tcPr>
            <w:tcW w:w="19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933" w:right="-6"/>
              <w:jc w:val="left"/>
              <w:rPr>
                <w:rFonts w:ascii="华文细黑" w:hAnsi="华文细黑" w:cs="华文细黑" w:eastAsia="华文细黑" w:hint="default"/>
                <w:sz w:val="18"/>
                <w:szCs w:val="18"/>
              </w:rPr>
            </w:pPr>
            <w:r>
              <w:rPr>
                <w:rFonts w:ascii="华文细黑"/>
                <w:sz w:val="18"/>
              </w:rPr>
              <w:t>2,049,266.35</w:t>
            </w:r>
          </w:p>
        </w:tc>
        <w:tc>
          <w:tcPr>
            <w:tcW w:w="13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8"/>
              <w:jc w:val="right"/>
              <w:rPr>
                <w:rFonts w:ascii="华文细黑" w:hAnsi="华文细黑" w:cs="华文细黑" w:eastAsia="华文细黑" w:hint="default"/>
                <w:sz w:val="18"/>
                <w:szCs w:val="18"/>
              </w:rPr>
            </w:pPr>
            <w:r>
              <w:rPr>
                <w:rFonts w:ascii="华文细黑"/>
                <w:sz w:val="18"/>
              </w:rPr>
              <w:t>---</w:t>
            </w:r>
          </w:p>
        </w:tc>
        <w:tc>
          <w:tcPr>
            <w:tcW w:w="16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508" w:right="-7"/>
              <w:jc w:val="left"/>
              <w:rPr>
                <w:rFonts w:ascii="华文细黑" w:hAnsi="华文细黑" w:cs="华文细黑" w:eastAsia="华文细黑" w:hint="default"/>
                <w:sz w:val="18"/>
                <w:szCs w:val="18"/>
              </w:rPr>
            </w:pPr>
            <w:r>
              <w:rPr>
                <w:rFonts w:ascii="华文细黑"/>
                <w:sz w:val="18"/>
              </w:rPr>
              <w:t>16,782,143.96</w:t>
            </w:r>
          </w:p>
        </w:tc>
      </w:tr>
    </w:tbl>
    <w:p>
      <w:pPr>
        <w:spacing w:after="0" w:line="240" w:lineRule="auto"/>
        <w:jc w:val="left"/>
        <w:rPr>
          <w:rFonts w:ascii="华文细黑" w:hAnsi="华文细黑" w:cs="华文细黑" w:eastAsia="华文细黑" w:hint="default"/>
          <w:sz w:val="18"/>
          <w:szCs w:val="18"/>
        </w:rPr>
        <w:sectPr>
          <w:pgSz w:w="11910" w:h="16840"/>
          <w:pgMar w:header="917" w:footer="1019" w:top="1100" w:bottom="1200" w:left="900" w:right="0"/>
        </w:sectPr>
      </w:pPr>
    </w:p>
    <w:p>
      <w:pPr>
        <w:spacing w:line="240" w:lineRule="auto" w:before="8"/>
        <w:rPr>
          <w:rFonts w:ascii="华文细黑" w:hAnsi="华文细黑" w:cs="华文细黑" w:eastAsia="华文细黑" w:hint="default"/>
          <w:b/>
          <w:bCs/>
          <w:sz w:val="23"/>
          <w:szCs w:val="23"/>
        </w:rPr>
      </w:pPr>
    </w:p>
    <w:tbl>
      <w:tblPr>
        <w:tblW w:w="0" w:type="auto"/>
        <w:jc w:val="left"/>
        <w:tblInd w:w="142" w:type="dxa"/>
        <w:tblLayout w:type="fixed"/>
        <w:tblCellMar>
          <w:top w:w="0" w:type="dxa"/>
          <w:left w:w="0" w:type="dxa"/>
          <w:bottom w:w="0" w:type="dxa"/>
          <w:right w:w="0" w:type="dxa"/>
        </w:tblCellMar>
        <w:tblLook w:val="01E0"/>
      </w:tblPr>
      <w:tblGrid>
        <w:gridCol w:w="2508"/>
        <w:gridCol w:w="1712"/>
        <w:gridCol w:w="1985"/>
        <w:gridCol w:w="1347"/>
        <w:gridCol w:w="1660"/>
      </w:tblGrid>
      <w:tr>
        <w:trPr>
          <w:trHeight w:val="490" w:hRule="exact"/>
        </w:trPr>
        <w:tc>
          <w:tcPr>
            <w:tcW w:w="25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171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9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19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62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本年计提</w:t>
            </w:r>
          </w:p>
        </w:tc>
        <w:tc>
          <w:tcPr>
            <w:tcW w:w="13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30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本年减少</w:t>
            </w:r>
          </w:p>
        </w:tc>
        <w:tc>
          <w:tcPr>
            <w:tcW w:w="16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6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491" w:hRule="exact"/>
        </w:trPr>
        <w:tc>
          <w:tcPr>
            <w:tcW w:w="25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171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545" w:right="-5"/>
              <w:jc w:val="left"/>
              <w:rPr>
                <w:rFonts w:ascii="华文细黑" w:hAnsi="华文细黑" w:cs="华文细黑" w:eastAsia="华文细黑" w:hint="default"/>
                <w:sz w:val="18"/>
                <w:szCs w:val="18"/>
              </w:rPr>
            </w:pPr>
            <w:r>
              <w:rPr>
                <w:rFonts w:ascii="华文细黑"/>
                <w:b/>
                <w:sz w:val="18"/>
              </w:rPr>
              <w:t>14,732,877.61</w:t>
            </w:r>
            <w:r>
              <w:rPr>
                <w:rFonts w:ascii="华文细黑"/>
                <w:sz w:val="18"/>
              </w:rPr>
            </w:r>
          </w:p>
        </w:tc>
        <w:tc>
          <w:tcPr>
            <w:tcW w:w="19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932" w:right="-6"/>
              <w:jc w:val="left"/>
              <w:rPr>
                <w:rFonts w:ascii="华文细黑" w:hAnsi="华文细黑" w:cs="华文细黑" w:eastAsia="华文细黑" w:hint="default"/>
                <w:sz w:val="18"/>
                <w:szCs w:val="18"/>
              </w:rPr>
            </w:pPr>
            <w:r>
              <w:rPr>
                <w:rFonts w:ascii="华文细黑"/>
                <w:b/>
                <w:sz w:val="18"/>
              </w:rPr>
              <w:t>2,049,266.35</w:t>
            </w:r>
            <w:r>
              <w:rPr>
                <w:rFonts w:ascii="华文细黑"/>
                <w:sz w:val="18"/>
              </w:rPr>
            </w:r>
          </w:p>
        </w:tc>
        <w:tc>
          <w:tcPr>
            <w:tcW w:w="13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7"/>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6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506" w:right="-5"/>
              <w:jc w:val="left"/>
              <w:rPr>
                <w:rFonts w:ascii="华文细黑" w:hAnsi="华文细黑" w:cs="华文细黑" w:eastAsia="华文细黑" w:hint="default"/>
                <w:sz w:val="18"/>
                <w:szCs w:val="18"/>
              </w:rPr>
            </w:pPr>
            <w:r>
              <w:rPr>
                <w:rFonts w:ascii="华文细黑"/>
                <w:b/>
                <w:sz w:val="18"/>
              </w:rPr>
              <w:t>16,782,143.96</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pStyle w:val="BodyText"/>
        <w:spacing w:line="355" w:lineRule="auto" w:before="10"/>
        <w:ind w:left="660" w:right="1749"/>
        <w:jc w:val="left"/>
        <w:rPr>
          <w:rFonts w:ascii="华文细黑" w:hAnsi="华文细黑" w:cs="华文细黑" w:eastAsia="华文细黑" w:hint="default"/>
        </w:rPr>
      </w:pPr>
      <w:r>
        <w:rPr/>
        <w:pict>
          <v:shape style="position:absolute;margin-left:65.25pt;margin-top:41.121696pt;width:462.85pt;height:270.05pt;mso-position-horizontal-relative:page;mso-position-vertical-relative:paragraph;z-index:14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692"/>
                    <w:gridCol w:w="2281"/>
                    <w:gridCol w:w="2269"/>
                  </w:tblGrid>
                  <w:tr>
                    <w:trPr>
                      <w:trHeight w:val="490" w:hRule="exact"/>
                    </w:trPr>
                    <w:tc>
                      <w:tcPr>
                        <w:tcW w:w="46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228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8"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年</w:t>
                        </w:r>
                      </w:p>
                    </w:tc>
                    <w:tc>
                      <w:tcPr>
                        <w:tcW w:w="226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上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年</w:t>
                        </w:r>
                      </w:p>
                    </w:tc>
                  </w:tr>
                  <w:tr>
                    <w:trPr>
                      <w:trHeight w:val="490" w:hRule="exact"/>
                    </w:trPr>
                    <w:tc>
                      <w:tcPr>
                        <w:tcW w:w="46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调整前上年末未分配利润</w:t>
                        </w:r>
                      </w:p>
                    </w:tc>
                    <w:tc>
                      <w:tcPr>
                        <w:tcW w:w="228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5"/>
                          <w:jc w:val="right"/>
                          <w:rPr>
                            <w:rFonts w:ascii="华文细黑" w:hAnsi="华文细黑" w:cs="华文细黑" w:eastAsia="华文细黑" w:hint="default"/>
                            <w:sz w:val="18"/>
                            <w:szCs w:val="18"/>
                          </w:rPr>
                        </w:pPr>
                        <w:r>
                          <w:rPr>
                            <w:rFonts w:ascii="华文细黑"/>
                            <w:sz w:val="18"/>
                          </w:rPr>
                          <w:t>2,095,944,239.39</w:t>
                        </w:r>
                      </w:p>
                    </w:tc>
                    <w:tc>
                      <w:tcPr>
                        <w:tcW w:w="226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5"/>
                          <w:jc w:val="right"/>
                          <w:rPr>
                            <w:rFonts w:ascii="华文细黑" w:hAnsi="华文细黑" w:cs="华文细黑" w:eastAsia="华文细黑" w:hint="default"/>
                            <w:sz w:val="18"/>
                            <w:szCs w:val="18"/>
                          </w:rPr>
                        </w:pPr>
                        <w:r>
                          <w:rPr>
                            <w:rFonts w:ascii="华文细黑"/>
                            <w:sz w:val="18"/>
                          </w:rPr>
                          <w:t>1,902,232,806.42</w:t>
                        </w:r>
                      </w:p>
                    </w:tc>
                  </w:tr>
                  <w:tr>
                    <w:trPr>
                      <w:trHeight w:val="490" w:hRule="exact"/>
                    </w:trPr>
                    <w:tc>
                      <w:tcPr>
                        <w:tcW w:w="46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调整年初未分配利润合计数（调增</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，调减</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228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6"/>
                          <w:jc w:val="right"/>
                          <w:rPr>
                            <w:rFonts w:ascii="华文细黑" w:hAnsi="华文细黑" w:cs="华文细黑" w:eastAsia="华文细黑" w:hint="default"/>
                            <w:sz w:val="18"/>
                            <w:szCs w:val="18"/>
                          </w:rPr>
                        </w:pPr>
                        <w:r>
                          <w:rPr>
                            <w:rFonts w:ascii="华文细黑"/>
                            <w:sz w:val="18"/>
                          </w:rPr>
                          <w:t>---</w:t>
                        </w:r>
                      </w:p>
                    </w:tc>
                    <w:tc>
                      <w:tcPr>
                        <w:tcW w:w="226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7"/>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46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调整后年初未分配利润</w:t>
                        </w:r>
                      </w:p>
                    </w:tc>
                    <w:tc>
                      <w:tcPr>
                        <w:tcW w:w="228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5"/>
                          <w:jc w:val="right"/>
                          <w:rPr>
                            <w:rFonts w:ascii="华文细黑" w:hAnsi="华文细黑" w:cs="华文细黑" w:eastAsia="华文细黑" w:hint="default"/>
                            <w:sz w:val="18"/>
                            <w:szCs w:val="18"/>
                          </w:rPr>
                        </w:pPr>
                        <w:r>
                          <w:rPr>
                            <w:rFonts w:ascii="华文细黑"/>
                            <w:sz w:val="18"/>
                          </w:rPr>
                          <w:t>2,095,944,239.39</w:t>
                        </w:r>
                      </w:p>
                    </w:tc>
                    <w:tc>
                      <w:tcPr>
                        <w:tcW w:w="226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5"/>
                          <w:jc w:val="right"/>
                          <w:rPr>
                            <w:rFonts w:ascii="华文细黑" w:hAnsi="华文细黑" w:cs="华文细黑" w:eastAsia="华文细黑" w:hint="default"/>
                            <w:sz w:val="18"/>
                            <w:szCs w:val="18"/>
                          </w:rPr>
                        </w:pPr>
                        <w:r>
                          <w:rPr>
                            <w:rFonts w:ascii="华文细黑"/>
                            <w:sz w:val="18"/>
                          </w:rPr>
                          <w:t>1,902,232,806.42</w:t>
                        </w:r>
                      </w:p>
                    </w:tc>
                  </w:tr>
                  <w:tr>
                    <w:trPr>
                      <w:trHeight w:val="490" w:hRule="exact"/>
                    </w:trPr>
                    <w:tc>
                      <w:tcPr>
                        <w:tcW w:w="46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加：本年归属于母公司股东的净利润</w:t>
                        </w:r>
                      </w:p>
                    </w:tc>
                    <w:tc>
                      <w:tcPr>
                        <w:tcW w:w="228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5"/>
                          <w:jc w:val="right"/>
                          <w:rPr>
                            <w:rFonts w:ascii="华文细黑" w:hAnsi="华文细黑" w:cs="华文细黑" w:eastAsia="华文细黑" w:hint="default"/>
                            <w:sz w:val="18"/>
                            <w:szCs w:val="18"/>
                          </w:rPr>
                        </w:pPr>
                        <w:r>
                          <w:rPr>
                            <w:rFonts w:ascii="华文细黑"/>
                            <w:sz w:val="18"/>
                          </w:rPr>
                          <w:t>-92,720,082.99</w:t>
                        </w:r>
                      </w:p>
                    </w:tc>
                    <w:tc>
                      <w:tcPr>
                        <w:tcW w:w="226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5"/>
                          <w:jc w:val="right"/>
                          <w:rPr>
                            <w:rFonts w:ascii="华文细黑" w:hAnsi="华文细黑" w:cs="华文细黑" w:eastAsia="华文细黑" w:hint="default"/>
                            <w:sz w:val="18"/>
                            <w:szCs w:val="18"/>
                          </w:rPr>
                        </w:pPr>
                        <w:r>
                          <w:rPr>
                            <w:rFonts w:ascii="华文细黑"/>
                            <w:sz w:val="18"/>
                          </w:rPr>
                          <w:t>378,967,619.06</w:t>
                        </w:r>
                      </w:p>
                    </w:tc>
                  </w:tr>
                  <w:tr>
                    <w:trPr>
                      <w:trHeight w:val="490" w:hRule="exact"/>
                    </w:trPr>
                    <w:tc>
                      <w:tcPr>
                        <w:tcW w:w="46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减：提取法定盈余公积</w:t>
                        </w:r>
                      </w:p>
                    </w:tc>
                    <w:tc>
                      <w:tcPr>
                        <w:tcW w:w="228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5"/>
                          <w:jc w:val="right"/>
                          <w:rPr>
                            <w:rFonts w:ascii="华文细黑" w:hAnsi="华文细黑" w:cs="华文细黑" w:eastAsia="华文细黑" w:hint="default"/>
                            <w:sz w:val="18"/>
                            <w:szCs w:val="18"/>
                          </w:rPr>
                        </w:pPr>
                        <w:r>
                          <w:rPr>
                            <w:rFonts w:ascii="华文细黑"/>
                            <w:sz w:val="18"/>
                          </w:rPr>
                          <w:t>17,881,062.23</w:t>
                        </w:r>
                      </w:p>
                    </w:tc>
                    <w:tc>
                      <w:tcPr>
                        <w:tcW w:w="226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5"/>
                          <w:jc w:val="right"/>
                          <w:rPr>
                            <w:rFonts w:ascii="华文细黑" w:hAnsi="华文细黑" w:cs="华文细黑" w:eastAsia="华文细黑" w:hint="default"/>
                            <w:sz w:val="18"/>
                            <w:szCs w:val="18"/>
                          </w:rPr>
                        </w:pPr>
                        <w:r>
                          <w:rPr>
                            <w:rFonts w:ascii="华文细黑"/>
                            <w:sz w:val="18"/>
                          </w:rPr>
                          <w:t>15,613,082.63</w:t>
                        </w:r>
                      </w:p>
                    </w:tc>
                  </w:tr>
                  <w:tr>
                    <w:trPr>
                      <w:trHeight w:val="490" w:hRule="exact"/>
                    </w:trPr>
                    <w:tc>
                      <w:tcPr>
                        <w:tcW w:w="46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6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提取任意盈余公积</w:t>
                        </w:r>
                      </w:p>
                    </w:tc>
                    <w:tc>
                      <w:tcPr>
                        <w:tcW w:w="228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6"/>
                          <w:jc w:val="right"/>
                          <w:rPr>
                            <w:rFonts w:ascii="华文细黑" w:hAnsi="华文细黑" w:cs="华文细黑" w:eastAsia="华文细黑" w:hint="default"/>
                            <w:sz w:val="18"/>
                            <w:szCs w:val="18"/>
                          </w:rPr>
                        </w:pPr>
                        <w:r>
                          <w:rPr>
                            <w:rFonts w:ascii="华文细黑"/>
                            <w:sz w:val="18"/>
                          </w:rPr>
                          <w:t>---</w:t>
                        </w:r>
                      </w:p>
                    </w:tc>
                    <w:tc>
                      <w:tcPr>
                        <w:tcW w:w="226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7"/>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46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6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提取一般风险准备</w:t>
                        </w:r>
                      </w:p>
                    </w:tc>
                    <w:tc>
                      <w:tcPr>
                        <w:tcW w:w="228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5"/>
                          <w:jc w:val="right"/>
                          <w:rPr>
                            <w:rFonts w:ascii="华文细黑" w:hAnsi="华文细黑" w:cs="华文细黑" w:eastAsia="华文细黑" w:hint="default"/>
                            <w:sz w:val="18"/>
                            <w:szCs w:val="18"/>
                          </w:rPr>
                        </w:pPr>
                        <w:r>
                          <w:rPr>
                            <w:rFonts w:ascii="华文细黑"/>
                            <w:sz w:val="18"/>
                          </w:rPr>
                          <w:t>2,049,266.35</w:t>
                        </w:r>
                      </w:p>
                    </w:tc>
                    <w:tc>
                      <w:tcPr>
                        <w:tcW w:w="226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5"/>
                          <w:jc w:val="right"/>
                          <w:rPr>
                            <w:rFonts w:ascii="华文细黑" w:hAnsi="华文细黑" w:cs="华文细黑" w:eastAsia="华文细黑" w:hint="default"/>
                            <w:sz w:val="18"/>
                            <w:szCs w:val="18"/>
                          </w:rPr>
                        </w:pPr>
                        <w:r>
                          <w:rPr>
                            <w:rFonts w:ascii="华文细黑"/>
                            <w:sz w:val="18"/>
                          </w:rPr>
                          <w:t>14,732,877.61</w:t>
                        </w:r>
                      </w:p>
                    </w:tc>
                  </w:tr>
                  <w:tr>
                    <w:trPr>
                      <w:trHeight w:val="490" w:hRule="exact"/>
                    </w:trPr>
                    <w:tc>
                      <w:tcPr>
                        <w:tcW w:w="46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46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应付普通股股利</w:t>
                        </w:r>
                      </w:p>
                    </w:tc>
                    <w:tc>
                      <w:tcPr>
                        <w:tcW w:w="228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5"/>
                          <w:jc w:val="right"/>
                          <w:rPr>
                            <w:rFonts w:ascii="华文细黑" w:hAnsi="华文细黑" w:cs="华文细黑" w:eastAsia="华文细黑" w:hint="default"/>
                            <w:sz w:val="18"/>
                            <w:szCs w:val="18"/>
                          </w:rPr>
                        </w:pPr>
                        <w:r>
                          <w:rPr>
                            <w:rFonts w:ascii="华文细黑"/>
                            <w:sz w:val="18"/>
                          </w:rPr>
                          <w:t>206,546,967.80</w:t>
                        </w:r>
                      </w:p>
                    </w:tc>
                    <w:tc>
                      <w:tcPr>
                        <w:tcW w:w="226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5"/>
                          <w:jc w:val="right"/>
                          <w:rPr>
                            <w:rFonts w:ascii="华文细黑" w:hAnsi="华文细黑" w:cs="华文细黑" w:eastAsia="华文细黑" w:hint="default"/>
                            <w:sz w:val="18"/>
                            <w:szCs w:val="18"/>
                          </w:rPr>
                        </w:pPr>
                        <w:r>
                          <w:rPr>
                            <w:rFonts w:ascii="华文细黑"/>
                            <w:sz w:val="18"/>
                          </w:rPr>
                          <w:t>154,910,225.85</w:t>
                        </w:r>
                      </w:p>
                    </w:tc>
                  </w:tr>
                  <w:tr>
                    <w:trPr>
                      <w:trHeight w:val="490" w:hRule="exact"/>
                    </w:trPr>
                    <w:tc>
                      <w:tcPr>
                        <w:tcW w:w="46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6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转作股本的普通股股利</w:t>
                        </w:r>
                      </w:p>
                    </w:tc>
                    <w:tc>
                      <w:tcPr>
                        <w:tcW w:w="228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6"/>
                          <w:jc w:val="right"/>
                          <w:rPr>
                            <w:rFonts w:ascii="华文细黑" w:hAnsi="华文细黑" w:cs="华文细黑" w:eastAsia="华文细黑" w:hint="default"/>
                            <w:sz w:val="18"/>
                            <w:szCs w:val="18"/>
                          </w:rPr>
                        </w:pPr>
                        <w:r>
                          <w:rPr>
                            <w:rFonts w:ascii="华文细黑"/>
                            <w:sz w:val="18"/>
                          </w:rPr>
                          <w:t>---</w:t>
                        </w:r>
                      </w:p>
                    </w:tc>
                    <w:tc>
                      <w:tcPr>
                        <w:tcW w:w="226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7"/>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46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年末未分配利润</w:t>
                        </w:r>
                      </w:p>
                    </w:tc>
                    <w:tc>
                      <w:tcPr>
                        <w:tcW w:w="228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3"/>
                          <w:jc w:val="right"/>
                          <w:rPr>
                            <w:rFonts w:ascii="华文细黑" w:hAnsi="华文细黑" w:cs="华文细黑" w:eastAsia="华文细黑" w:hint="default"/>
                            <w:sz w:val="18"/>
                            <w:szCs w:val="18"/>
                          </w:rPr>
                        </w:pPr>
                        <w:r>
                          <w:rPr>
                            <w:rFonts w:ascii="华文细黑"/>
                            <w:b/>
                            <w:w w:val="95"/>
                            <w:sz w:val="18"/>
                          </w:rPr>
                          <w:t>1,776,746,860.02</w:t>
                        </w:r>
                        <w:r>
                          <w:rPr>
                            <w:rFonts w:ascii="华文细黑"/>
                            <w:sz w:val="18"/>
                          </w:rPr>
                        </w:r>
                      </w:p>
                    </w:tc>
                    <w:tc>
                      <w:tcPr>
                        <w:tcW w:w="226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4"/>
                          <w:jc w:val="right"/>
                          <w:rPr>
                            <w:rFonts w:ascii="华文细黑" w:hAnsi="华文细黑" w:cs="华文细黑" w:eastAsia="华文细黑" w:hint="default"/>
                            <w:sz w:val="18"/>
                            <w:szCs w:val="18"/>
                          </w:rPr>
                        </w:pPr>
                        <w:r>
                          <w:rPr>
                            <w:rFonts w:ascii="华文细黑"/>
                            <w:b/>
                            <w:w w:val="95"/>
                            <w:sz w:val="18"/>
                          </w:rPr>
                          <w:t>2,095,944,239.39</w:t>
                        </w:r>
                        <w:r>
                          <w:rPr>
                            <w:rFonts w:ascii="华文细黑"/>
                            <w:sz w:val="18"/>
                          </w:rPr>
                        </w:r>
                      </w:p>
                    </w:tc>
                  </w:tr>
                </w:tbl>
                <w:p>
                  <w:pPr/>
                </w:p>
              </w:txbxContent>
            </v:textbox>
            <w10:wrap type="none"/>
          </v:shape>
        </w:pict>
      </w:r>
      <w:r>
        <w:rPr/>
        <w:t>注：一般风险准备金本年增加系根据公司会计政策不低于风险资产期末余额的</w:t>
      </w:r>
      <w:r>
        <w:rPr>
          <w:spacing w:val="1"/>
        </w:rPr>
        <w:t> </w:t>
      </w:r>
      <w:r>
        <w:rPr>
          <w:rFonts w:ascii="华文细黑" w:hAnsi="华文细黑" w:cs="华文细黑" w:eastAsia="华文细黑" w:hint="default"/>
        </w:rPr>
        <w:t>1.5%</w:t>
      </w:r>
      <w:r>
        <w:rPr/>
        <w:t>计提。 </w:t>
      </w:r>
      <w:bookmarkStart w:name="33、未分配利润" w:id="298"/>
      <w:bookmarkEnd w:id="298"/>
      <w:r>
        <w:rPr/>
      </w:r>
      <w:r>
        <w:rPr>
          <w:rFonts w:ascii="华文细黑" w:hAnsi="华文细黑" w:cs="华文细黑" w:eastAsia="华文细黑" w:hint="default"/>
          <w:b/>
          <w:bCs/>
        </w:rPr>
        <w:t>33</w:t>
      </w:r>
      <w:r>
        <w:rPr>
          <w:rFonts w:ascii="华文细黑" w:hAnsi="华文细黑" w:cs="华文细黑" w:eastAsia="华文细黑" w:hint="default"/>
          <w:b/>
          <w:bCs/>
        </w:rPr>
        <w:t>、未分配利润</w:t>
      </w:r>
      <w:r>
        <w:rPr>
          <w:rFonts w:ascii="华文细黑" w:hAnsi="华文细黑" w:cs="华文细黑" w:eastAsia="华文细黑" w:hint="default"/>
        </w:rPr>
      </w: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2"/>
        <w:rPr>
          <w:rFonts w:ascii="华文细黑" w:hAnsi="华文细黑" w:cs="华文细黑" w:eastAsia="华文细黑" w:hint="default"/>
          <w:b/>
          <w:bCs/>
          <w:sz w:val="27"/>
          <w:szCs w:val="27"/>
        </w:rPr>
      </w:pPr>
    </w:p>
    <w:p>
      <w:pPr>
        <w:pStyle w:val="Heading5"/>
        <w:spacing w:line="240" w:lineRule="auto"/>
        <w:ind w:left="660" w:right="1246"/>
        <w:jc w:val="left"/>
        <w:rPr>
          <w:b w:val="0"/>
          <w:bCs w:val="0"/>
        </w:rPr>
      </w:pPr>
      <w:bookmarkStart w:name="34、营业收入和营业成本" w:id="299"/>
      <w:bookmarkEnd w:id="299"/>
      <w:r>
        <w:rPr>
          <w:b w:val="0"/>
          <w:bCs w:val="0"/>
        </w:rPr>
      </w:r>
      <w:r>
        <w:rPr>
          <w:rFonts w:ascii="华文细黑" w:hAnsi="华文细黑" w:cs="华文细黑" w:eastAsia="华文细黑" w:hint="default"/>
        </w:rPr>
        <w:t>34</w:t>
      </w:r>
      <w:r>
        <w:rPr/>
        <w:t>、营业收入和营业成本</w:t>
      </w:r>
      <w:r>
        <w:rPr>
          <w:b w:val="0"/>
          <w:bCs w:val="0"/>
        </w:rPr>
      </w:r>
    </w:p>
    <w:p>
      <w:pPr>
        <w:spacing w:line="240" w:lineRule="auto" w:before="5"/>
        <w:rPr>
          <w:rFonts w:ascii="华文细黑" w:hAnsi="华文细黑" w:cs="华文细黑" w:eastAsia="华文细黑" w:hint="default"/>
          <w:b/>
          <w:bCs/>
          <w:sz w:val="5"/>
          <w:szCs w:val="5"/>
        </w:rPr>
      </w:pPr>
    </w:p>
    <w:tbl>
      <w:tblPr>
        <w:tblW w:w="0" w:type="auto"/>
        <w:jc w:val="left"/>
        <w:tblInd w:w="163" w:type="dxa"/>
        <w:tblLayout w:type="fixed"/>
        <w:tblCellMar>
          <w:top w:w="0" w:type="dxa"/>
          <w:left w:w="0" w:type="dxa"/>
          <w:bottom w:w="0" w:type="dxa"/>
          <w:right w:w="0" w:type="dxa"/>
        </w:tblCellMar>
        <w:tblLook w:val="01E0"/>
      </w:tblPr>
      <w:tblGrid>
        <w:gridCol w:w="1271"/>
        <w:gridCol w:w="1999"/>
        <w:gridCol w:w="1970"/>
        <w:gridCol w:w="1971"/>
        <w:gridCol w:w="1972"/>
      </w:tblGrid>
      <w:tr>
        <w:trPr>
          <w:trHeight w:val="517" w:hRule="exact"/>
        </w:trPr>
        <w:tc>
          <w:tcPr>
            <w:tcW w:w="127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365"/>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3969"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3942"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462" w:hRule="exact"/>
        </w:trPr>
        <w:tc>
          <w:tcPr>
            <w:tcW w:w="1271"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9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7"/>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收入</w:t>
            </w:r>
          </w:p>
        </w:tc>
        <w:tc>
          <w:tcPr>
            <w:tcW w:w="19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7"/>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成本</w:t>
            </w:r>
          </w:p>
        </w:tc>
        <w:tc>
          <w:tcPr>
            <w:tcW w:w="197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7"/>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收入</w:t>
            </w:r>
          </w:p>
        </w:tc>
        <w:tc>
          <w:tcPr>
            <w:tcW w:w="197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7"/>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成本</w:t>
            </w:r>
          </w:p>
        </w:tc>
      </w:tr>
      <w:tr>
        <w:trPr>
          <w:trHeight w:val="491" w:hRule="exact"/>
        </w:trPr>
        <w:tc>
          <w:tcPr>
            <w:tcW w:w="127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主营业务</w:t>
            </w:r>
          </w:p>
        </w:tc>
        <w:tc>
          <w:tcPr>
            <w:tcW w:w="1999"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56,739,675,708.73</w:t>
            </w:r>
          </w:p>
        </w:tc>
        <w:tc>
          <w:tcPr>
            <w:tcW w:w="19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55,300,165,369.21</w:t>
            </w:r>
          </w:p>
        </w:tc>
        <w:tc>
          <w:tcPr>
            <w:tcW w:w="19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56,599,632,627.08</w:t>
            </w:r>
          </w:p>
        </w:tc>
        <w:tc>
          <w:tcPr>
            <w:tcW w:w="197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55,042,717,324.28</w:t>
            </w:r>
          </w:p>
        </w:tc>
      </w:tr>
      <w:tr>
        <w:trPr>
          <w:trHeight w:val="490" w:hRule="exact"/>
        </w:trPr>
        <w:tc>
          <w:tcPr>
            <w:tcW w:w="127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其他业务</w:t>
            </w:r>
          </w:p>
        </w:tc>
        <w:tc>
          <w:tcPr>
            <w:tcW w:w="1999"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67,831,357.86</w:t>
            </w:r>
          </w:p>
        </w:tc>
        <w:tc>
          <w:tcPr>
            <w:tcW w:w="19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16,431,669.97</w:t>
            </w:r>
          </w:p>
        </w:tc>
        <w:tc>
          <w:tcPr>
            <w:tcW w:w="19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60,273,632.13</w:t>
            </w:r>
          </w:p>
        </w:tc>
        <w:tc>
          <w:tcPr>
            <w:tcW w:w="197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18,911,811.42</w:t>
            </w:r>
          </w:p>
        </w:tc>
      </w:tr>
      <w:tr>
        <w:trPr>
          <w:trHeight w:val="491" w:hRule="exact"/>
        </w:trPr>
        <w:tc>
          <w:tcPr>
            <w:tcW w:w="127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365"/>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1999"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56,807,507,066.59</w:t>
            </w:r>
            <w:r>
              <w:rPr>
                <w:rFonts w:ascii="华文细黑"/>
                <w:sz w:val="18"/>
              </w:rPr>
            </w:r>
          </w:p>
        </w:tc>
        <w:tc>
          <w:tcPr>
            <w:tcW w:w="197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55,316,597,039.18</w:t>
            </w:r>
            <w:r>
              <w:rPr>
                <w:rFonts w:ascii="华文细黑"/>
                <w:sz w:val="18"/>
              </w:rPr>
            </w:r>
          </w:p>
        </w:tc>
        <w:tc>
          <w:tcPr>
            <w:tcW w:w="19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56,659,906,259.21</w:t>
            </w:r>
            <w:r>
              <w:rPr>
                <w:rFonts w:ascii="华文细黑"/>
                <w:sz w:val="18"/>
              </w:rPr>
            </w:r>
          </w:p>
        </w:tc>
        <w:tc>
          <w:tcPr>
            <w:tcW w:w="197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55,061,629,135.70</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spacing w:before="10"/>
        <w:ind w:left="660" w:right="1246" w:firstLine="0"/>
        <w:jc w:val="left"/>
        <w:rPr>
          <w:rFonts w:ascii="华文细黑" w:hAnsi="华文细黑" w:cs="华文细黑" w:eastAsia="华文细黑" w:hint="default"/>
          <w:sz w:val="21"/>
          <w:szCs w:val="21"/>
        </w:rPr>
      </w:pPr>
      <w:bookmarkStart w:name="35、利息收入" w:id="300"/>
      <w:bookmarkEnd w:id="300"/>
      <w:r>
        <w:rPr/>
      </w:r>
      <w:r>
        <w:rPr>
          <w:rFonts w:ascii="华文细黑" w:hAnsi="华文细黑" w:cs="华文细黑" w:eastAsia="华文细黑" w:hint="default"/>
          <w:b/>
          <w:bCs/>
          <w:sz w:val="21"/>
          <w:szCs w:val="21"/>
        </w:rPr>
        <w:t>35</w:t>
      </w:r>
      <w:r>
        <w:rPr>
          <w:rFonts w:ascii="华文细黑" w:hAnsi="华文细黑" w:cs="华文细黑" w:eastAsia="华文细黑" w:hint="default"/>
          <w:b/>
          <w:bCs/>
          <w:sz w:val="21"/>
          <w:szCs w:val="21"/>
        </w:rPr>
        <w:t>、利息收入</w:t>
      </w:r>
      <w:r>
        <w:rPr>
          <w:rFonts w:ascii="华文细黑" w:hAnsi="华文细黑" w:cs="华文细黑" w:eastAsia="华文细黑" w:hint="default"/>
          <w:sz w:val="21"/>
          <w:szCs w:val="21"/>
        </w:rPr>
      </w:r>
    </w:p>
    <w:p>
      <w:pPr>
        <w:spacing w:line="240" w:lineRule="auto" w:before="5"/>
        <w:rPr>
          <w:rFonts w:ascii="华文细黑" w:hAnsi="华文细黑" w:cs="华文细黑" w:eastAsia="华文细黑" w:hint="default"/>
          <w:b/>
          <w:bCs/>
          <w:sz w:val="5"/>
          <w:szCs w:val="5"/>
        </w:rPr>
      </w:pPr>
    </w:p>
    <w:tbl>
      <w:tblPr>
        <w:tblW w:w="0" w:type="auto"/>
        <w:jc w:val="left"/>
        <w:tblInd w:w="154" w:type="dxa"/>
        <w:tblLayout w:type="fixed"/>
        <w:tblCellMar>
          <w:top w:w="0" w:type="dxa"/>
          <w:left w:w="0" w:type="dxa"/>
          <w:bottom w:w="0" w:type="dxa"/>
          <w:right w:w="0" w:type="dxa"/>
        </w:tblCellMar>
        <w:tblLook w:val="01E0"/>
      </w:tblPr>
      <w:tblGrid>
        <w:gridCol w:w="4039"/>
        <w:gridCol w:w="2563"/>
        <w:gridCol w:w="2597"/>
      </w:tblGrid>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69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5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83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259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84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利息收入</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176,284,909.23</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75,455,770.86</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其中：发放贷款利息收入</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175,995,165.59</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74,913,436.10</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其他收入</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w w:val="95"/>
                <w:sz w:val="18"/>
              </w:rPr>
              <w:t>508,476.47</w:t>
            </w:r>
          </w:p>
        </w:tc>
      </w:tr>
      <w:tr>
        <w:trPr>
          <w:trHeight w:val="491"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743"/>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176,284,909.23</w:t>
            </w:r>
            <w:r>
              <w:rPr>
                <w:rFonts w:ascii="华文细黑"/>
                <w:sz w:val="18"/>
              </w:rPr>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b/>
                <w:w w:val="95"/>
                <w:sz w:val="18"/>
              </w:rPr>
              <w:t>75,964,247.33</w:t>
            </w:r>
            <w:r>
              <w:rPr>
                <w:rFonts w:ascii="华文细黑"/>
                <w:sz w:val="18"/>
              </w:rPr>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200" w:right="0"/>
        </w:sectPr>
      </w:pPr>
    </w:p>
    <w:p>
      <w:pPr>
        <w:spacing w:line="240" w:lineRule="auto" w:before="9"/>
        <w:rPr>
          <w:rFonts w:ascii="华文细黑" w:hAnsi="华文细黑" w:cs="华文细黑" w:eastAsia="华文细黑" w:hint="default"/>
          <w:b/>
          <w:bCs/>
          <w:sz w:val="27"/>
          <w:szCs w:val="27"/>
        </w:rPr>
      </w:pPr>
    </w:p>
    <w:p>
      <w:pPr>
        <w:spacing w:before="10"/>
        <w:ind w:left="620" w:right="1289" w:firstLine="0"/>
        <w:jc w:val="left"/>
        <w:rPr>
          <w:rFonts w:ascii="华文细黑" w:hAnsi="华文细黑" w:cs="华文细黑" w:eastAsia="华文细黑" w:hint="default"/>
          <w:sz w:val="21"/>
          <w:szCs w:val="21"/>
        </w:rPr>
      </w:pPr>
      <w:bookmarkStart w:name="36、税金及附加" w:id="301"/>
      <w:bookmarkEnd w:id="301"/>
      <w:r>
        <w:rPr/>
      </w:r>
      <w:r>
        <w:rPr>
          <w:rFonts w:ascii="华文细黑" w:hAnsi="华文细黑" w:cs="华文细黑" w:eastAsia="华文细黑" w:hint="default"/>
          <w:b/>
          <w:bCs/>
          <w:sz w:val="21"/>
          <w:szCs w:val="21"/>
        </w:rPr>
        <w:t>36</w:t>
      </w:r>
      <w:r>
        <w:rPr>
          <w:rFonts w:ascii="华文细黑" w:hAnsi="华文细黑" w:cs="华文细黑" w:eastAsia="华文细黑" w:hint="default"/>
          <w:b/>
          <w:bCs/>
          <w:sz w:val="21"/>
          <w:szCs w:val="21"/>
        </w:rPr>
        <w:t>、税金及附加</w:t>
      </w:r>
      <w:r>
        <w:rPr>
          <w:rFonts w:ascii="华文细黑" w:hAnsi="华文细黑" w:cs="华文细黑" w:eastAsia="华文细黑" w:hint="default"/>
          <w:sz w:val="21"/>
          <w:szCs w:val="21"/>
        </w:rPr>
      </w:r>
    </w:p>
    <w:p>
      <w:pPr>
        <w:spacing w:line="240" w:lineRule="auto" w:before="6"/>
        <w:rPr>
          <w:rFonts w:ascii="华文细黑" w:hAnsi="华文细黑" w:cs="华文细黑" w:eastAsia="华文细黑" w:hint="default"/>
          <w:b/>
          <w:bCs/>
          <w:sz w:val="5"/>
          <w:szCs w:val="5"/>
        </w:rPr>
      </w:pPr>
    </w:p>
    <w:tbl>
      <w:tblPr>
        <w:tblW w:w="0" w:type="auto"/>
        <w:jc w:val="left"/>
        <w:tblInd w:w="114" w:type="dxa"/>
        <w:tblLayout w:type="fixed"/>
        <w:tblCellMar>
          <w:top w:w="0" w:type="dxa"/>
          <w:left w:w="0" w:type="dxa"/>
          <w:bottom w:w="0" w:type="dxa"/>
          <w:right w:w="0" w:type="dxa"/>
        </w:tblCellMar>
        <w:tblLook w:val="01E0"/>
      </w:tblPr>
      <w:tblGrid>
        <w:gridCol w:w="4039"/>
        <w:gridCol w:w="2563"/>
        <w:gridCol w:w="2597"/>
      </w:tblGrid>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69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5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83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259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84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491"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城市维护建设税</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14,074,950.11</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11,600,410.03</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教育费附加</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10,109,724.74</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8,349,596.60</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房产税</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126,651.43</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w w:val="95"/>
                <w:sz w:val="18"/>
              </w:rPr>
              <w:t>105,933.27</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印花税</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17,664,582.87</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29,414,988.67</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w w:val="95"/>
                <w:sz w:val="18"/>
              </w:rPr>
              <w:t>143,602.16</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55,680.86</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743"/>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42,119,511.31</w:t>
            </w:r>
            <w:r>
              <w:rPr>
                <w:rFonts w:ascii="华文细黑"/>
                <w:sz w:val="18"/>
              </w:rPr>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49,526,609.43</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spacing w:line="355" w:lineRule="auto" w:before="10"/>
        <w:ind w:left="620" w:right="5196" w:firstLine="0"/>
        <w:jc w:val="left"/>
        <w:rPr>
          <w:rFonts w:ascii="华文细黑" w:hAnsi="华文细黑" w:cs="华文细黑" w:eastAsia="华文细黑" w:hint="default"/>
          <w:sz w:val="21"/>
          <w:szCs w:val="21"/>
        </w:rPr>
      </w:pPr>
      <w:r>
        <w:rPr/>
        <w:pict>
          <v:shape style="position:absolute;margin-left:67.739998pt;margin-top:41.101688pt;width:460.7pt;height:294.5pt;mso-position-horizontal-relative:page;mso-position-vertical-relative:paragraph;z-index:15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039"/>
                    <w:gridCol w:w="2563"/>
                    <w:gridCol w:w="2597"/>
                  </w:tblGrid>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5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83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259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84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人力成本费</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pacing w:val="-1"/>
                            <w:sz w:val="18"/>
                          </w:rPr>
                          <w:t>229,830,605.04</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243,107,047.68</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劳务佣金</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141,188,704.59</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60,472,282.82</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物料消耗费</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68,853,551.16</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60,752,627.54</w:t>
                        </w:r>
                      </w:p>
                    </w:tc>
                  </w:tr>
                  <w:tr>
                    <w:trPr>
                      <w:trHeight w:val="491"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商品物流费</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66,826,795.69</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85,168,442.25</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物业租赁费</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37,533,157.51</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42,282,851.76</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业务拓展费</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30,451,542.58</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32,328,158.61</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业务招待费</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26,683,528.16</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19,978,046.42</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业务宣传费</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pacing w:val="-1"/>
                            <w:sz w:val="18"/>
                          </w:rPr>
                          <w:t>21,969,300.36</w:t>
                        </w:r>
                        <w:r>
                          <w:rPr>
                            <w:rFonts w:ascii="华文细黑"/>
                            <w:sz w:val="18"/>
                          </w:rPr>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41,705,366.91</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业务差旅费</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16,822,530.40</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17,235,948.56</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89,178,341.76</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70,102,351.68</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b/>
                            <w:w w:val="95"/>
                            <w:sz w:val="18"/>
                          </w:rPr>
                          <w:t>729,338,057.25</w:t>
                        </w:r>
                        <w:r>
                          <w:rPr>
                            <w:rFonts w:ascii="华文细黑"/>
                            <w:sz w:val="18"/>
                          </w:rPr>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b/>
                            <w:w w:val="95"/>
                            <w:sz w:val="18"/>
                          </w:rPr>
                          <w:t>673,133,124.23</w:t>
                        </w:r>
                        <w:r>
                          <w:rPr>
                            <w:rFonts w:ascii="华文细黑"/>
                            <w:sz w:val="18"/>
                          </w:rPr>
                        </w:r>
                      </w:p>
                    </w:tc>
                  </w:tr>
                </w:tbl>
                <w:p>
                  <w:pPr/>
                </w:p>
              </w:txbxContent>
            </v:textbox>
            <w10:wrap type="none"/>
          </v:shape>
        </w:pict>
      </w:r>
      <w:r>
        <w:rPr>
          <w:rFonts w:ascii="华文细黑" w:hAnsi="华文细黑" w:cs="华文细黑" w:eastAsia="华文细黑" w:hint="default"/>
          <w:sz w:val="21"/>
          <w:szCs w:val="21"/>
        </w:rPr>
        <w:t>注：各项税金及附加的计缴标准详见附注五、税项。 </w:t>
      </w:r>
      <w:bookmarkStart w:name="37、销售费用" w:id="302"/>
      <w:bookmarkEnd w:id="302"/>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37</w:t>
      </w:r>
      <w:r>
        <w:rPr>
          <w:rFonts w:ascii="华文细黑" w:hAnsi="华文细黑" w:cs="华文细黑" w:eastAsia="华文细黑" w:hint="default"/>
          <w:b/>
          <w:bCs/>
          <w:sz w:val="21"/>
          <w:szCs w:val="21"/>
        </w:rPr>
        <w:t>、销售费用</w:t>
      </w:r>
      <w:r>
        <w:rPr>
          <w:rFonts w:ascii="华文细黑" w:hAnsi="华文细黑" w:cs="华文细黑" w:eastAsia="华文细黑" w:hint="default"/>
          <w:sz w:val="21"/>
          <w:szCs w:val="21"/>
        </w:rPr>
      </w: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11"/>
        <w:rPr>
          <w:rFonts w:ascii="华文细黑" w:hAnsi="华文细黑" w:cs="华文细黑" w:eastAsia="华文细黑" w:hint="default"/>
          <w:b/>
          <w:bCs/>
          <w:sz w:val="21"/>
          <w:szCs w:val="21"/>
        </w:rPr>
      </w:pPr>
    </w:p>
    <w:p>
      <w:pPr>
        <w:pStyle w:val="Heading5"/>
        <w:spacing w:line="240" w:lineRule="auto"/>
        <w:ind w:left="620" w:right="1289"/>
        <w:jc w:val="left"/>
        <w:rPr>
          <w:b w:val="0"/>
          <w:bCs w:val="0"/>
        </w:rPr>
      </w:pPr>
      <w:bookmarkStart w:name="38、管理费用" w:id="303"/>
      <w:bookmarkEnd w:id="303"/>
      <w:r>
        <w:rPr>
          <w:b w:val="0"/>
          <w:bCs w:val="0"/>
        </w:rPr>
      </w:r>
      <w:r>
        <w:rPr>
          <w:rFonts w:ascii="华文细黑" w:hAnsi="华文细黑" w:cs="华文细黑" w:eastAsia="华文细黑" w:hint="default"/>
        </w:rPr>
        <w:t>38</w:t>
      </w:r>
      <w:r>
        <w:rPr/>
        <w:t>、管理费用</w:t>
      </w:r>
      <w:r>
        <w:rPr>
          <w:b w:val="0"/>
          <w:bCs w:val="0"/>
        </w:rPr>
      </w:r>
    </w:p>
    <w:p>
      <w:pPr>
        <w:spacing w:line="240" w:lineRule="auto" w:before="5"/>
        <w:rPr>
          <w:rFonts w:ascii="华文细黑" w:hAnsi="华文细黑" w:cs="华文细黑" w:eastAsia="华文细黑" w:hint="default"/>
          <w:b/>
          <w:bCs/>
          <w:sz w:val="5"/>
          <w:szCs w:val="5"/>
        </w:rPr>
      </w:pPr>
    </w:p>
    <w:tbl>
      <w:tblPr>
        <w:tblW w:w="0" w:type="auto"/>
        <w:jc w:val="left"/>
        <w:tblInd w:w="119" w:type="dxa"/>
        <w:tblLayout w:type="fixed"/>
        <w:tblCellMar>
          <w:top w:w="0" w:type="dxa"/>
          <w:left w:w="0" w:type="dxa"/>
          <w:bottom w:w="0" w:type="dxa"/>
          <w:right w:w="0" w:type="dxa"/>
        </w:tblCellMar>
        <w:tblLook w:val="01E0"/>
      </w:tblPr>
      <w:tblGrid>
        <w:gridCol w:w="4034"/>
        <w:gridCol w:w="2563"/>
        <w:gridCol w:w="2597"/>
      </w:tblGrid>
      <w:tr>
        <w:trPr>
          <w:trHeight w:val="491" w:hRule="exact"/>
        </w:trPr>
        <w:tc>
          <w:tcPr>
            <w:tcW w:w="40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5"/>
              <w:ind w:right="5"/>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5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83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259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84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490" w:hRule="exact"/>
        </w:trPr>
        <w:tc>
          <w:tcPr>
            <w:tcW w:w="40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人力成本费</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140,105,916.01</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130,731,810.87</w:t>
            </w:r>
          </w:p>
        </w:tc>
      </w:tr>
      <w:tr>
        <w:trPr>
          <w:trHeight w:val="491" w:hRule="exact"/>
        </w:trPr>
        <w:tc>
          <w:tcPr>
            <w:tcW w:w="40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物业租赁费</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16,968,811.40</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10,988,167.50</w:t>
            </w:r>
          </w:p>
        </w:tc>
      </w:tr>
      <w:tr>
        <w:trPr>
          <w:trHeight w:val="490" w:hRule="exact"/>
        </w:trPr>
        <w:tc>
          <w:tcPr>
            <w:tcW w:w="40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业务招待费</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14,781,328.57</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6,166,806.63</w:t>
            </w:r>
          </w:p>
        </w:tc>
      </w:tr>
      <w:tr>
        <w:trPr>
          <w:trHeight w:val="490" w:hRule="exact"/>
        </w:trPr>
        <w:tc>
          <w:tcPr>
            <w:tcW w:w="40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网络信息费</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11,051,123.93</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11,992,154.14</w:t>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240" w:right="0"/>
        </w:sectPr>
      </w:pPr>
    </w:p>
    <w:p>
      <w:pPr>
        <w:spacing w:line="240" w:lineRule="auto" w:before="8"/>
        <w:rPr>
          <w:rFonts w:ascii="华文细黑" w:hAnsi="华文细黑" w:cs="华文细黑" w:eastAsia="华文细黑" w:hint="default"/>
          <w:b/>
          <w:bCs/>
          <w:sz w:val="23"/>
          <w:szCs w:val="23"/>
        </w:rPr>
      </w:pPr>
    </w:p>
    <w:tbl>
      <w:tblPr>
        <w:tblW w:w="0" w:type="auto"/>
        <w:jc w:val="left"/>
        <w:tblInd w:w="114" w:type="dxa"/>
        <w:tblLayout w:type="fixed"/>
        <w:tblCellMar>
          <w:top w:w="0" w:type="dxa"/>
          <w:left w:w="0" w:type="dxa"/>
          <w:bottom w:w="0" w:type="dxa"/>
          <w:right w:w="0" w:type="dxa"/>
        </w:tblCellMar>
        <w:tblLook w:val="01E0"/>
      </w:tblPr>
      <w:tblGrid>
        <w:gridCol w:w="4039"/>
        <w:gridCol w:w="2563"/>
        <w:gridCol w:w="2597"/>
      </w:tblGrid>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69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5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83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259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84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摊销计提费用</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10,942,155.30</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9,269,813.05</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业务差旅费</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5,629,457.32</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4,061,403.05</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财产保险费</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2,428,531.05</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3,133,997.14</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税费及政府规费</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1,351,670.06</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w w:val="95"/>
                <w:sz w:val="18"/>
              </w:rPr>
              <w:t>771,211.87</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17,518,643.99</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23,578,203.77</w:t>
            </w:r>
          </w:p>
        </w:tc>
      </w:tr>
      <w:tr>
        <w:trPr>
          <w:trHeight w:val="491"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743"/>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b/>
                <w:w w:val="95"/>
                <w:sz w:val="18"/>
              </w:rPr>
              <w:t>220,777,637.63</w:t>
            </w:r>
            <w:r>
              <w:rPr>
                <w:rFonts w:ascii="华文细黑"/>
                <w:sz w:val="18"/>
              </w:rPr>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b/>
                <w:w w:val="95"/>
                <w:sz w:val="18"/>
              </w:rPr>
              <w:t>200,693,568.02</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spacing w:before="10"/>
        <w:ind w:left="620" w:right="1289" w:firstLine="0"/>
        <w:jc w:val="left"/>
        <w:rPr>
          <w:rFonts w:ascii="华文细黑" w:hAnsi="华文细黑" w:cs="华文细黑" w:eastAsia="华文细黑" w:hint="default"/>
          <w:sz w:val="21"/>
          <w:szCs w:val="21"/>
        </w:rPr>
      </w:pPr>
      <w:bookmarkStart w:name="39、研发费用" w:id="304"/>
      <w:bookmarkEnd w:id="304"/>
      <w:r>
        <w:rPr/>
      </w:r>
      <w:r>
        <w:rPr>
          <w:rFonts w:ascii="华文细黑" w:hAnsi="华文细黑" w:cs="华文细黑" w:eastAsia="华文细黑" w:hint="default"/>
          <w:b/>
          <w:bCs/>
          <w:sz w:val="21"/>
          <w:szCs w:val="21"/>
        </w:rPr>
        <w:t>39</w:t>
      </w:r>
      <w:r>
        <w:rPr>
          <w:rFonts w:ascii="华文细黑" w:hAnsi="华文细黑" w:cs="华文细黑" w:eastAsia="华文细黑" w:hint="default"/>
          <w:b/>
          <w:bCs/>
          <w:sz w:val="21"/>
          <w:szCs w:val="21"/>
        </w:rPr>
        <w:t>、研发费用</w:t>
      </w:r>
      <w:r>
        <w:rPr>
          <w:rFonts w:ascii="华文细黑" w:hAnsi="华文细黑" w:cs="华文细黑" w:eastAsia="华文细黑" w:hint="default"/>
          <w:sz w:val="21"/>
          <w:szCs w:val="21"/>
        </w:rPr>
      </w:r>
    </w:p>
    <w:p>
      <w:pPr>
        <w:spacing w:line="240" w:lineRule="auto" w:before="5"/>
        <w:rPr>
          <w:rFonts w:ascii="华文细黑" w:hAnsi="华文细黑" w:cs="华文细黑" w:eastAsia="华文细黑" w:hint="default"/>
          <w:b/>
          <w:bCs/>
          <w:sz w:val="5"/>
          <w:szCs w:val="5"/>
        </w:rPr>
      </w:pPr>
    </w:p>
    <w:tbl>
      <w:tblPr>
        <w:tblW w:w="0" w:type="auto"/>
        <w:jc w:val="left"/>
        <w:tblInd w:w="114" w:type="dxa"/>
        <w:tblLayout w:type="fixed"/>
        <w:tblCellMar>
          <w:top w:w="0" w:type="dxa"/>
          <w:left w:w="0" w:type="dxa"/>
          <w:bottom w:w="0" w:type="dxa"/>
          <w:right w:w="0" w:type="dxa"/>
        </w:tblCellMar>
        <w:tblLook w:val="01E0"/>
      </w:tblPr>
      <w:tblGrid>
        <w:gridCol w:w="4039"/>
        <w:gridCol w:w="2563"/>
        <w:gridCol w:w="2597"/>
      </w:tblGrid>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69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5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83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259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84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人力成本费</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10,880,707.31</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8,418,639.46</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摊销计提费用</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1,367,795.85</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1,067,064.01</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68,916.34</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80,090.61</w:t>
            </w:r>
          </w:p>
        </w:tc>
      </w:tr>
      <w:tr>
        <w:trPr>
          <w:trHeight w:val="491"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743"/>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b/>
                <w:w w:val="95"/>
                <w:sz w:val="18"/>
              </w:rPr>
              <w:t>12,317,419.50</w:t>
            </w:r>
            <w:r>
              <w:rPr>
                <w:rFonts w:ascii="华文细黑"/>
                <w:sz w:val="18"/>
              </w:rPr>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b/>
                <w:w w:val="95"/>
                <w:sz w:val="18"/>
              </w:rPr>
              <w:t>9,565,794.08</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spacing w:before="10"/>
        <w:ind w:left="620" w:right="1289" w:firstLine="0"/>
        <w:jc w:val="left"/>
        <w:rPr>
          <w:rFonts w:ascii="华文细黑" w:hAnsi="华文细黑" w:cs="华文细黑" w:eastAsia="华文细黑" w:hint="default"/>
          <w:sz w:val="21"/>
          <w:szCs w:val="21"/>
        </w:rPr>
      </w:pPr>
      <w:bookmarkStart w:name="40、财务费用" w:id="305"/>
      <w:bookmarkEnd w:id="305"/>
      <w:r>
        <w:rPr/>
      </w:r>
      <w:r>
        <w:rPr>
          <w:rFonts w:ascii="华文细黑" w:hAnsi="华文细黑" w:cs="华文细黑" w:eastAsia="华文细黑" w:hint="default"/>
          <w:b/>
          <w:bCs/>
          <w:sz w:val="21"/>
          <w:szCs w:val="21"/>
        </w:rPr>
        <w:t>40</w:t>
      </w:r>
      <w:r>
        <w:rPr>
          <w:rFonts w:ascii="华文细黑" w:hAnsi="华文细黑" w:cs="华文细黑" w:eastAsia="华文细黑" w:hint="default"/>
          <w:b/>
          <w:bCs/>
          <w:sz w:val="21"/>
          <w:szCs w:val="21"/>
        </w:rPr>
        <w:t>、财务费用</w:t>
      </w:r>
      <w:r>
        <w:rPr>
          <w:rFonts w:ascii="华文细黑" w:hAnsi="华文细黑" w:cs="华文细黑" w:eastAsia="华文细黑" w:hint="default"/>
          <w:sz w:val="21"/>
          <w:szCs w:val="21"/>
        </w:rPr>
      </w:r>
    </w:p>
    <w:p>
      <w:pPr>
        <w:spacing w:line="240" w:lineRule="auto" w:before="5"/>
        <w:rPr>
          <w:rFonts w:ascii="华文细黑" w:hAnsi="华文细黑" w:cs="华文细黑" w:eastAsia="华文细黑" w:hint="default"/>
          <w:b/>
          <w:bCs/>
          <w:sz w:val="5"/>
          <w:szCs w:val="5"/>
        </w:rPr>
      </w:pPr>
    </w:p>
    <w:tbl>
      <w:tblPr>
        <w:tblW w:w="0" w:type="auto"/>
        <w:jc w:val="left"/>
        <w:tblInd w:w="102" w:type="dxa"/>
        <w:tblLayout w:type="fixed"/>
        <w:tblCellMar>
          <w:top w:w="0" w:type="dxa"/>
          <w:left w:w="0" w:type="dxa"/>
          <w:bottom w:w="0" w:type="dxa"/>
          <w:right w:w="0" w:type="dxa"/>
        </w:tblCellMar>
        <w:tblLook w:val="01E0"/>
      </w:tblPr>
      <w:tblGrid>
        <w:gridCol w:w="4063"/>
        <w:gridCol w:w="2551"/>
        <w:gridCol w:w="2597"/>
      </w:tblGrid>
      <w:tr>
        <w:trPr>
          <w:trHeight w:val="518" w:hRule="exact"/>
        </w:trPr>
        <w:tc>
          <w:tcPr>
            <w:tcW w:w="40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5"/>
              <w:ind w:right="171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5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82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259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84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463" w:hRule="exact"/>
        </w:trPr>
        <w:tc>
          <w:tcPr>
            <w:tcW w:w="40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7"/>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利息支出</w:t>
            </w:r>
          </w:p>
        </w:tc>
        <w:tc>
          <w:tcPr>
            <w:tcW w:w="255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17"/>
              <w:ind w:right="21"/>
              <w:jc w:val="right"/>
              <w:rPr>
                <w:rFonts w:ascii="华文细黑" w:hAnsi="华文细黑" w:cs="华文细黑" w:eastAsia="华文细黑" w:hint="default"/>
                <w:sz w:val="18"/>
                <w:szCs w:val="18"/>
              </w:rPr>
            </w:pPr>
            <w:r>
              <w:rPr>
                <w:rFonts w:ascii="华文细黑"/>
                <w:sz w:val="18"/>
              </w:rPr>
              <w:t>260,021,275.22</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17"/>
              <w:ind w:right="20"/>
              <w:jc w:val="right"/>
              <w:rPr>
                <w:rFonts w:ascii="华文细黑" w:hAnsi="华文细黑" w:cs="华文细黑" w:eastAsia="华文细黑" w:hint="default"/>
                <w:sz w:val="18"/>
                <w:szCs w:val="18"/>
              </w:rPr>
            </w:pPr>
            <w:r>
              <w:rPr>
                <w:rFonts w:ascii="华文细黑"/>
                <w:sz w:val="18"/>
              </w:rPr>
              <w:t>216,237,009.06</w:t>
            </w:r>
          </w:p>
        </w:tc>
      </w:tr>
      <w:tr>
        <w:trPr>
          <w:trHeight w:val="490" w:hRule="exact"/>
        </w:trPr>
        <w:tc>
          <w:tcPr>
            <w:tcW w:w="40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减：利息收入</w:t>
            </w:r>
          </w:p>
        </w:tc>
        <w:tc>
          <w:tcPr>
            <w:tcW w:w="255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pacing w:val="-1"/>
                <w:sz w:val="18"/>
              </w:rPr>
              <w:t>51,677,810.32</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50,379,955.23</w:t>
            </w:r>
          </w:p>
        </w:tc>
      </w:tr>
      <w:tr>
        <w:trPr>
          <w:trHeight w:val="490" w:hRule="exact"/>
        </w:trPr>
        <w:tc>
          <w:tcPr>
            <w:tcW w:w="40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汇兑损益</w:t>
            </w:r>
          </w:p>
        </w:tc>
        <w:tc>
          <w:tcPr>
            <w:tcW w:w="255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74,256.34</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w w:val="95"/>
                <w:sz w:val="18"/>
              </w:rPr>
              <w:t>155,851.08</w:t>
            </w:r>
          </w:p>
        </w:tc>
      </w:tr>
      <w:tr>
        <w:trPr>
          <w:trHeight w:val="463" w:hRule="exact"/>
        </w:trPr>
        <w:tc>
          <w:tcPr>
            <w:tcW w:w="40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255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32,464,252.11</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24,227,396.80</w:t>
            </w:r>
          </w:p>
        </w:tc>
      </w:tr>
      <w:tr>
        <w:trPr>
          <w:trHeight w:val="517" w:hRule="exact"/>
        </w:trPr>
        <w:tc>
          <w:tcPr>
            <w:tcW w:w="40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
              <w:ind w:right="0"/>
              <w:jc w:val="left"/>
              <w:rPr>
                <w:rFonts w:ascii="华文细黑" w:hAnsi="华文细黑" w:cs="华文细黑" w:eastAsia="华文细黑" w:hint="default"/>
                <w:b/>
                <w:bCs/>
                <w:sz w:val="12"/>
                <w:szCs w:val="12"/>
              </w:rPr>
            </w:pPr>
          </w:p>
          <w:p>
            <w:pPr>
              <w:pStyle w:val="TableParagraph"/>
              <w:spacing w:line="240" w:lineRule="auto"/>
              <w:ind w:right="1755"/>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55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3"/>
              <w:ind w:right="0"/>
              <w:jc w:val="left"/>
              <w:rPr>
                <w:rFonts w:ascii="华文细黑" w:hAnsi="华文细黑" w:cs="华文细黑" w:eastAsia="华文细黑" w:hint="default"/>
                <w:b/>
                <w:bCs/>
                <w:sz w:val="12"/>
                <w:szCs w:val="12"/>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b/>
                <w:w w:val="95"/>
                <w:sz w:val="18"/>
              </w:rPr>
              <w:t>240,881,973.35</w:t>
            </w:r>
            <w:r>
              <w:rPr>
                <w:rFonts w:ascii="华文细黑"/>
                <w:sz w:val="18"/>
              </w:rPr>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3"/>
              <w:ind w:right="0"/>
              <w:jc w:val="left"/>
              <w:rPr>
                <w:rFonts w:ascii="华文细黑" w:hAnsi="华文细黑" w:cs="华文细黑" w:eastAsia="华文细黑" w:hint="default"/>
                <w:b/>
                <w:bCs/>
                <w:sz w:val="12"/>
                <w:szCs w:val="12"/>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b/>
                <w:w w:val="95"/>
                <w:sz w:val="18"/>
              </w:rPr>
              <w:t>190,240,301.71</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spacing w:before="10"/>
        <w:ind w:left="620" w:right="1289" w:firstLine="0"/>
        <w:jc w:val="left"/>
        <w:rPr>
          <w:rFonts w:ascii="华文细黑" w:hAnsi="华文细黑" w:cs="华文细黑" w:eastAsia="华文细黑" w:hint="default"/>
          <w:sz w:val="21"/>
          <w:szCs w:val="21"/>
        </w:rPr>
      </w:pPr>
      <w:bookmarkStart w:name="41、资产减值损失" w:id="306"/>
      <w:bookmarkEnd w:id="306"/>
      <w:r>
        <w:rPr/>
      </w:r>
      <w:r>
        <w:rPr>
          <w:rFonts w:ascii="华文细黑" w:hAnsi="华文细黑" w:cs="华文细黑" w:eastAsia="华文细黑" w:hint="default"/>
          <w:b/>
          <w:bCs/>
          <w:sz w:val="21"/>
          <w:szCs w:val="21"/>
        </w:rPr>
        <w:t>41</w:t>
      </w:r>
      <w:r>
        <w:rPr>
          <w:rFonts w:ascii="华文细黑" w:hAnsi="华文细黑" w:cs="华文细黑" w:eastAsia="华文细黑" w:hint="default"/>
          <w:b/>
          <w:bCs/>
          <w:sz w:val="21"/>
          <w:szCs w:val="21"/>
        </w:rPr>
        <w:t>、资产减值损失</w:t>
      </w:r>
      <w:r>
        <w:rPr>
          <w:rFonts w:ascii="华文细黑" w:hAnsi="华文细黑" w:cs="华文细黑" w:eastAsia="华文细黑" w:hint="default"/>
          <w:sz w:val="21"/>
          <w:szCs w:val="21"/>
        </w:rPr>
      </w:r>
    </w:p>
    <w:p>
      <w:pPr>
        <w:spacing w:line="240" w:lineRule="auto" w:before="5"/>
        <w:rPr>
          <w:rFonts w:ascii="华文细黑" w:hAnsi="华文细黑" w:cs="华文细黑" w:eastAsia="华文细黑" w:hint="default"/>
          <w:b/>
          <w:bCs/>
          <w:sz w:val="5"/>
          <w:szCs w:val="5"/>
        </w:rPr>
      </w:pPr>
    </w:p>
    <w:tbl>
      <w:tblPr>
        <w:tblW w:w="0" w:type="auto"/>
        <w:jc w:val="left"/>
        <w:tblInd w:w="114" w:type="dxa"/>
        <w:tblLayout w:type="fixed"/>
        <w:tblCellMar>
          <w:top w:w="0" w:type="dxa"/>
          <w:left w:w="0" w:type="dxa"/>
          <w:bottom w:w="0" w:type="dxa"/>
          <w:right w:w="0" w:type="dxa"/>
        </w:tblCellMar>
        <w:tblLook w:val="01E0"/>
      </w:tblPr>
      <w:tblGrid>
        <w:gridCol w:w="4039"/>
        <w:gridCol w:w="2563"/>
        <w:gridCol w:w="2597"/>
      </w:tblGrid>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538" w:val="left" w:leader="none"/>
              </w:tabs>
              <w:spacing w:line="240" w:lineRule="auto" w:before="144"/>
              <w:ind w:right="1653"/>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5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83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259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84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坏账损失</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16,825,896.57</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65,718,669.91</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存货跌价损失</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94,708,333.17</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133,532,414.67</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可供出售金融资产减值损失</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413,408,644.20</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贷款减值损失</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10,182,939.26</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18,424,277.70</w:t>
            </w:r>
          </w:p>
        </w:tc>
      </w:tr>
      <w:tr>
        <w:trPr>
          <w:trHeight w:val="490"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商誉减值损失</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9,001,497.85</w:t>
            </w:r>
          </w:p>
        </w:tc>
      </w:tr>
      <w:tr>
        <w:trPr>
          <w:trHeight w:val="491" w:hRule="exact"/>
        </w:trPr>
        <w:tc>
          <w:tcPr>
            <w:tcW w:w="403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69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256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535,125,813.20</w:t>
            </w:r>
            <w:r>
              <w:rPr>
                <w:rFonts w:ascii="华文细黑"/>
                <w:sz w:val="18"/>
              </w:rPr>
            </w:r>
          </w:p>
        </w:tc>
        <w:tc>
          <w:tcPr>
            <w:tcW w:w="25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226,676,860.13</w:t>
            </w:r>
            <w:r>
              <w:rPr>
                <w:rFonts w:ascii="华文细黑"/>
                <w:sz w:val="18"/>
              </w:rPr>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240" w:right="0"/>
        </w:sectPr>
      </w:pPr>
    </w:p>
    <w:p>
      <w:pPr>
        <w:spacing w:line="240" w:lineRule="auto" w:before="10"/>
        <w:rPr>
          <w:rFonts w:ascii="华文细黑" w:hAnsi="华文细黑" w:cs="华文细黑" w:eastAsia="华文细黑" w:hint="default"/>
          <w:b/>
          <w:bCs/>
          <w:sz w:val="27"/>
          <w:szCs w:val="27"/>
        </w:rPr>
      </w:pPr>
    </w:p>
    <w:p>
      <w:pPr>
        <w:spacing w:before="10"/>
        <w:ind w:left="560" w:right="1246" w:firstLine="0"/>
        <w:jc w:val="left"/>
        <w:rPr>
          <w:rFonts w:ascii="华文细黑" w:hAnsi="华文细黑" w:cs="华文细黑" w:eastAsia="华文细黑" w:hint="default"/>
          <w:sz w:val="21"/>
          <w:szCs w:val="21"/>
        </w:rPr>
      </w:pPr>
      <w:bookmarkStart w:name="42、其他收益" w:id="307"/>
      <w:bookmarkEnd w:id="307"/>
      <w:r>
        <w:rPr/>
      </w:r>
      <w:r>
        <w:rPr>
          <w:rFonts w:ascii="华文细黑" w:hAnsi="华文细黑" w:cs="华文细黑" w:eastAsia="华文细黑" w:hint="default"/>
          <w:b/>
          <w:bCs/>
          <w:sz w:val="21"/>
          <w:szCs w:val="21"/>
        </w:rPr>
        <w:t>42</w:t>
      </w:r>
      <w:r>
        <w:rPr>
          <w:rFonts w:ascii="华文细黑" w:hAnsi="华文细黑" w:cs="华文细黑" w:eastAsia="华文细黑" w:hint="default"/>
          <w:b/>
          <w:bCs/>
          <w:sz w:val="21"/>
          <w:szCs w:val="21"/>
        </w:rPr>
        <w:t>、其他收益</w:t>
      </w:r>
      <w:r>
        <w:rPr>
          <w:rFonts w:ascii="华文细黑" w:hAnsi="华文细黑" w:cs="华文细黑" w:eastAsia="华文细黑" w:hint="default"/>
          <w:sz w:val="21"/>
          <w:szCs w:val="21"/>
        </w:rPr>
      </w:r>
    </w:p>
    <w:p>
      <w:pPr>
        <w:spacing w:line="240" w:lineRule="auto" w:before="5"/>
        <w:rPr>
          <w:rFonts w:ascii="华文细黑" w:hAnsi="华文细黑" w:cs="华文细黑" w:eastAsia="华文细黑" w:hint="default"/>
          <w:b/>
          <w:bCs/>
          <w:sz w:val="5"/>
          <w:szCs w:val="5"/>
        </w:rPr>
      </w:pPr>
    </w:p>
    <w:tbl>
      <w:tblPr>
        <w:tblW w:w="0" w:type="auto"/>
        <w:jc w:val="left"/>
        <w:tblInd w:w="135" w:type="dxa"/>
        <w:tblLayout w:type="fixed"/>
        <w:tblCellMar>
          <w:top w:w="0" w:type="dxa"/>
          <w:left w:w="0" w:type="dxa"/>
          <w:bottom w:w="0" w:type="dxa"/>
          <w:right w:w="0" w:type="dxa"/>
        </w:tblCellMar>
        <w:tblLook w:val="01E0"/>
      </w:tblPr>
      <w:tblGrid>
        <w:gridCol w:w="3970"/>
        <w:gridCol w:w="1702"/>
        <w:gridCol w:w="1702"/>
        <w:gridCol w:w="1703"/>
      </w:tblGrid>
      <w:tr>
        <w:trPr>
          <w:trHeight w:val="890" w:hRule="exact"/>
        </w:trPr>
        <w:tc>
          <w:tcPr>
            <w:tcW w:w="39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
              <w:ind w:right="0"/>
              <w:jc w:val="left"/>
              <w:rPr>
                <w:rFonts w:ascii="华文细黑" w:hAnsi="华文细黑" w:cs="华文细黑" w:eastAsia="华文细黑" w:hint="default"/>
                <w:b/>
                <w:bCs/>
                <w:sz w:val="24"/>
                <w:szCs w:val="24"/>
              </w:rPr>
            </w:pPr>
          </w:p>
          <w:p>
            <w:pPr>
              <w:pStyle w:val="TableParagraph"/>
              <w:tabs>
                <w:tab w:pos="538" w:val="left" w:leader="none"/>
              </w:tabs>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17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
              <w:ind w:right="0"/>
              <w:jc w:val="left"/>
              <w:rPr>
                <w:rFonts w:ascii="华文细黑" w:hAnsi="华文细黑" w:cs="华文细黑" w:eastAsia="华文细黑" w:hint="default"/>
                <w:b/>
                <w:bCs/>
                <w:sz w:val="24"/>
                <w:szCs w:val="24"/>
              </w:rPr>
            </w:pPr>
          </w:p>
          <w:p>
            <w:pPr>
              <w:pStyle w:val="TableParagraph"/>
              <w:spacing w:line="240" w:lineRule="auto"/>
              <w:ind w:left="39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17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
              <w:ind w:right="0"/>
              <w:jc w:val="left"/>
              <w:rPr>
                <w:rFonts w:ascii="华文细黑" w:hAnsi="华文细黑" w:cs="华文细黑" w:eastAsia="华文细黑" w:hint="default"/>
                <w:b/>
                <w:bCs/>
                <w:sz w:val="24"/>
                <w:szCs w:val="24"/>
              </w:rPr>
            </w:pPr>
          </w:p>
          <w:p>
            <w:pPr>
              <w:pStyle w:val="TableParagraph"/>
              <w:spacing w:line="240" w:lineRule="auto"/>
              <w:ind w:left="39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c>
          <w:tcPr>
            <w:tcW w:w="170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395" w:right="125" w:hanging="27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计入本年非经常性 损益的金额</w:t>
            </w:r>
          </w:p>
        </w:tc>
      </w:tr>
      <w:tr>
        <w:trPr>
          <w:trHeight w:val="491" w:hRule="exact"/>
        </w:trPr>
        <w:tc>
          <w:tcPr>
            <w:tcW w:w="39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高新区第三批企业研究开发补助</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2,278,000.00</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c>
          <w:tcPr>
            <w:tcW w:w="17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2,278,000.00</w:t>
            </w:r>
          </w:p>
        </w:tc>
      </w:tr>
      <w:tr>
        <w:trPr>
          <w:trHeight w:val="890" w:hRule="exact"/>
        </w:trPr>
        <w:tc>
          <w:tcPr>
            <w:tcW w:w="39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03" w:right="125"/>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福田区统计局 </w:t>
            </w:r>
            <w:r>
              <w:rPr>
                <w:rFonts w:ascii="华文细黑" w:hAnsi="华文细黑" w:cs="华文细黑" w:eastAsia="华文细黑" w:hint="default"/>
                <w:sz w:val="18"/>
                <w:szCs w:val="18"/>
              </w:rPr>
              <w:t>2017</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年第四季度重点零售季度增 长补贴</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b/>
                <w:bCs/>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1,000,000.00</w:t>
            </w:r>
          </w:p>
        </w:tc>
        <w:tc>
          <w:tcPr>
            <w:tcW w:w="1702" w:type="dxa"/>
            <w:tcBorders>
              <w:top w:val="single" w:sz="4" w:space="0" w:color="FFC000"/>
              <w:left w:val="single" w:sz="4" w:space="0" w:color="FFC000"/>
              <w:bottom w:val="single" w:sz="4" w:space="0" w:color="FFC000"/>
              <w:right w:val="single" w:sz="4" w:space="0" w:color="FFC000"/>
            </w:tcBorders>
          </w:tcPr>
          <w:p>
            <w:pPr/>
          </w:p>
        </w:tc>
        <w:tc>
          <w:tcPr>
            <w:tcW w:w="17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b/>
                <w:bCs/>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1,000,000.00</w:t>
            </w:r>
          </w:p>
        </w:tc>
      </w:tr>
      <w:tr>
        <w:trPr>
          <w:trHeight w:val="490" w:hRule="exact"/>
        </w:trPr>
        <w:tc>
          <w:tcPr>
            <w:tcW w:w="39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现代服务业季度增长支持</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1,000,000.00</w:t>
            </w:r>
          </w:p>
        </w:tc>
        <w:tc>
          <w:tcPr>
            <w:tcW w:w="1702" w:type="dxa"/>
            <w:tcBorders>
              <w:top w:val="single" w:sz="4" w:space="0" w:color="FFC000"/>
              <w:left w:val="single" w:sz="4" w:space="0" w:color="FFC000"/>
              <w:bottom w:val="single" w:sz="4" w:space="0" w:color="FFC000"/>
              <w:right w:val="single" w:sz="4" w:space="0" w:color="FFC000"/>
            </w:tcBorders>
          </w:tcPr>
          <w:p>
            <w:pPr/>
          </w:p>
        </w:tc>
        <w:tc>
          <w:tcPr>
            <w:tcW w:w="17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1,000,000.00</w:t>
            </w:r>
          </w:p>
        </w:tc>
      </w:tr>
      <w:tr>
        <w:trPr>
          <w:trHeight w:val="490" w:hRule="exact"/>
        </w:trPr>
        <w:tc>
          <w:tcPr>
            <w:tcW w:w="39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年第三批电子商务发展专项资金</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w w:val="95"/>
                <w:sz w:val="18"/>
              </w:rPr>
              <w:t>500,000.00</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c>
          <w:tcPr>
            <w:tcW w:w="17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w w:val="95"/>
                <w:sz w:val="18"/>
              </w:rPr>
              <w:t>500,000.00</w:t>
            </w:r>
          </w:p>
        </w:tc>
      </w:tr>
      <w:tr>
        <w:trPr>
          <w:trHeight w:val="490" w:hRule="exact"/>
        </w:trPr>
        <w:tc>
          <w:tcPr>
            <w:tcW w:w="39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2017</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年研究开发第二批资助</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w w:val="95"/>
                <w:sz w:val="18"/>
              </w:rPr>
              <w:t>105,000.00</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c>
          <w:tcPr>
            <w:tcW w:w="17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w w:val="95"/>
                <w:sz w:val="18"/>
              </w:rPr>
              <w:t>105,000.00</w:t>
            </w:r>
          </w:p>
        </w:tc>
      </w:tr>
      <w:tr>
        <w:trPr>
          <w:trHeight w:val="490" w:hRule="exact"/>
        </w:trPr>
        <w:tc>
          <w:tcPr>
            <w:tcW w:w="39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社保稳岗补贴</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sz w:val="18"/>
              </w:rPr>
              <w:t>98,886.59</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w w:val="95"/>
                <w:sz w:val="18"/>
              </w:rPr>
              <w:t>142,976.50</w:t>
            </w:r>
          </w:p>
        </w:tc>
        <w:tc>
          <w:tcPr>
            <w:tcW w:w="17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sz w:val="18"/>
              </w:rPr>
              <w:t>98,886.59</w:t>
            </w:r>
          </w:p>
        </w:tc>
      </w:tr>
      <w:tr>
        <w:trPr>
          <w:trHeight w:val="490" w:hRule="exact"/>
        </w:trPr>
        <w:tc>
          <w:tcPr>
            <w:tcW w:w="39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个税手续费返还</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sz w:val="18"/>
              </w:rPr>
              <w:t>57,588.29</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c>
          <w:tcPr>
            <w:tcW w:w="17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sz w:val="18"/>
              </w:rPr>
              <w:t>57,588.29</w:t>
            </w:r>
          </w:p>
        </w:tc>
      </w:tr>
      <w:tr>
        <w:trPr>
          <w:trHeight w:val="490" w:hRule="exact"/>
        </w:trPr>
        <w:tc>
          <w:tcPr>
            <w:tcW w:w="39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2016</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年国家高新补贴</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sz w:val="18"/>
              </w:rPr>
              <w:t>30,000.00</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c>
          <w:tcPr>
            <w:tcW w:w="17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sz w:val="18"/>
              </w:rPr>
              <w:t>30,000.00</w:t>
            </w:r>
          </w:p>
        </w:tc>
      </w:tr>
      <w:tr>
        <w:trPr>
          <w:trHeight w:val="490" w:hRule="exact"/>
        </w:trPr>
        <w:tc>
          <w:tcPr>
            <w:tcW w:w="39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由你购云商平台建设项目</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0"/>
              <w:jc w:val="right"/>
              <w:rPr>
                <w:rFonts w:ascii="华文细黑" w:hAnsi="华文细黑" w:cs="华文细黑" w:eastAsia="华文细黑" w:hint="default"/>
                <w:sz w:val="18"/>
                <w:szCs w:val="18"/>
              </w:rPr>
            </w:pPr>
            <w:r>
              <w:rPr>
                <w:rFonts w:ascii="华文细黑"/>
                <w:sz w:val="18"/>
              </w:rPr>
              <w:t>1,560,000.00</w:t>
            </w:r>
          </w:p>
        </w:tc>
        <w:tc>
          <w:tcPr>
            <w:tcW w:w="17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39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2017</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年爱施德品牌提升项目</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w w:val="95"/>
                <w:sz w:val="18"/>
              </w:rPr>
              <w:t>860,000.00</w:t>
            </w:r>
          </w:p>
        </w:tc>
        <w:tc>
          <w:tcPr>
            <w:tcW w:w="17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39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房租补贴</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w w:val="95"/>
                <w:sz w:val="18"/>
              </w:rPr>
              <w:t>209,300.00</w:t>
            </w:r>
          </w:p>
        </w:tc>
        <w:tc>
          <w:tcPr>
            <w:tcW w:w="17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39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2017</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年专项资金企业信息化项目资助</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w w:val="95"/>
                <w:sz w:val="18"/>
              </w:rPr>
              <w:t>190,000.00</w:t>
            </w:r>
          </w:p>
        </w:tc>
        <w:tc>
          <w:tcPr>
            <w:tcW w:w="17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39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sz w:val="18"/>
              </w:rPr>
              <w:t>25,000.00</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21,071.49</w:t>
            </w:r>
          </w:p>
        </w:tc>
        <w:tc>
          <w:tcPr>
            <w:tcW w:w="17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sz w:val="18"/>
              </w:rPr>
              <w:t>25,000.00</w:t>
            </w:r>
          </w:p>
        </w:tc>
      </w:tr>
      <w:tr>
        <w:trPr>
          <w:trHeight w:val="491" w:hRule="exact"/>
        </w:trPr>
        <w:tc>
          <w:tcPr>
            <w:tcW w:w="397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538" w:val="left" w:leader="none"/>
              </w:tabs>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b/>
                <w:w w:val="95"/>
                <w:sz w:val="18"/>
              </w:rPr>
              <w:t>5,094,474.88</w:t>
            </w:r>
            <w:r>
              <w:rPr>
                <w:rFonts w:ascii="华文细黑"/>
                <w:sz w:val="18"/>
              </w:rPr>
            </w:r>
          </w:p>
        </w:tc>
        <w:tc>
          <w:tcPr>
            <w:tcW w:w="17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b/>
                <w:w w:val="95"/>
                <w:sz w:val="18"/>
              </w:rPr>
              <w:t>2,983,347.99</w:t>
            </w:r>
            <w:r>
              <w:rPr>
                <w:rFonts w:ascii="华文细黑"/>
                <w:sz w:val="18"/>
              </w:rPr>
            </w:r>
          </w:p>
        </w:tc>
        <w:tc>
          <w:tcPr>
            <w:tcW w:w="17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b/>
                <w:w w:val="95"/>
                <w:sz w:val="18"/>
              </w:rPr>
              <w:t>5,094,474.88</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spacing w:before="10"/>
        <w:ind w:left="560" w:right="1246" w:firstLine="0"/>
        <w:jc w:val="left"/>
        <w:rPr>
          <w:rFonts w:ascii="华文细黑" w:hAnsi="华文细黑" w:cs="华文细黑" w:eastAsia="华文细黑" w:hint="default"/>
          <w:sz w:val="21"/>
          <w:szCs w:val="21"/>
        </w:rPr>
      </w:pPr>
      <w:bookmarkStart w:name="43、投资收益" w:id="308"/>
      <w:bookmarkEnd w:id="308"/>
      <w:r>
        <w:rPr/>
      </w:r>
      <w:r>
        <w:rPr>
          <w:rFonts w:ascii="华文细黑" w:hAnsi="华文细黑" w:cs="华文细黑" w:eastAsia="华文细黑" w:hint="default"/>
          <w:b/>
          <w:bCs/>
          <w:sz w:val="21"/>
          <w:szCs w:val="21"/>
        </w:rPr>
        <w:t>43</w:t>
      </w:r>
      <w:r>
        <w:rPr>
          <w:rFonts w:ascii="华文细黑" w:hAnsi="华文细黑" w:cs="华文细黑" w:eastAsia="华文细黑" w:hint="default"/>
          <w:b/>
          <w:bCs/>
          <w:sz w:val="21"/>
          <w:szCs w:val="21"/>
        </w:rPr>
        <w:t>、投资收益</w:t>
      </w:r>
      <w:r>
        <w:rPr>
          <w:rFonts w:ascii="华文细黑" w:hAnsi="华文细黑" w:cs="华文细黑" w:eastAsia="华文细黑" w:hint="default"/>
          <w:sz w:val="21"/>
          <w:szCs w:val="21"/>
        </w:rPr>
      </w:r>
    </w:p>
    <w:p>
      <w:pPr>
        <w:spacing w:line="240" w:lineRule="auto" w:before="5"/>
        <w:rPr>
          <w:rFonts w:ascii="华文细黑" w:hAnsi="华文细黑" w:cs="华文细黑" w:eastAsia="华文细黑" w:hint="default"/>
          <w:b/>
          <w:bCs/>
          <w:sz w:val="5"/>
          <w:szCs w:val="5"/>
        </w:rPr>
      </w:pPr>
    </w:p>
    <w:tbl>
      <w:tblPr>
        <w:tblW w:w="0" w:type="auto"/>
        <w:jc w:val="left"/>
        <w:tblInd w:w="101" w:type="dxa"/>
        <w:tblLayout w:type="fixed"/>
        <w:tblCellMar>
          <w:top w:w="0" w:type="dxa"/>
          <w:left w:w="0" w:type="dxa"/>
          <w:bottom w:w="0" w:type="dxa"/>
          <w:right w:w="0" w:type="dxa"/>
        </w:tblCellMar>
        <w:tblLook w:val="01E0"/>
      </w:tblPr>
      <w:tblGrid>
        <w:gridCol w:w="5095"/>
        <w:gridCol w:w="2138"/>
        <w:gridCol w:w="1874"/>
      </w:tblGrid>
      <w:tr>
        <w:trPr>
          <w:trHeight w:val="490" w:hRule="exact"/>
        </w:trPr>
        <w:tc>
          <w:tcPr>
            <w:tcW w:w="50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1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61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187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8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490" w:hRule="exact"/>
        </w:trPr>
        <w:tc>
          <w:tcPr>
            <w:tcW w:w="50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权益法核算的长期股权投资收益</w:t>
            </w:r>
          </w:p>
        </w:tc>
        <w:tc>
          <w:tcPr>
            <w:tcW w:w="213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-214,258.50</w:t>
            </w:r>
          </w:p>
        </w:tc>
        <w:tc>
          <w:tcPr>
            <w:tcW w:w="18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-10,686,966.24</w:t>
            </w:r>
          </w:p>
        </w:tc>
      </w:tr>
      <w:tr>
        <w:trPr>
          <w:trHeight w:val="490" w:hRule="exact"/>
        </w:trPr>
        <w:tc>
          <w:tcPr>
            <w:tcW w:w="50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处置长期股权投资产生的投资收益</w:t>
            </w:r>
          </w:p>
        </w:tc>
        <w:tc>
          <w:tcPr>
            <w:tcW w:w="213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18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12,827,699.54</w:t>
            </w:r>
          </w:p>
        </w:tc>
      </w:tr>
      <w:tr>
        <w:trPr>
          <w:trHeight w:val="890" w:hRule="exact"/>
        </w:trPr>
        <w:tc>
          <w:tcPr>
            <w:tcW w:w="50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3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以公允价值计量且其变动计入当期损益的金融资产在持有期间的 投资收益</w:t>
            </w:r>
          </w:p>
        </w:tc>
        <w:tc>
          <w:tcPr>
            <w:tcW w:w="213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b/>
                <w:bCs/>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41,556.34</w:t>
            </w:r>
          </w:p>
        </w:tc>
        <w:tc>
          <w:tcPr>
            <w:tcW w:w="18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b/>
                <w:bCs/>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r>
      <w:tr>
        <w:trPr>
          <w:trHeight w:val="890" w:hRule="exact"/>
        </w:trPr>
        <w:tc>
          <w:tcPr>
            <w:tcW w:w="50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4"/>
              <w:ind w:left="11" w:right="3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处置以公允价值计量且其变动计入当期损益的金融资产取得的投 资收益</w:t>
            </w:r>
          </w:p>
        </w:tc>
        <w:tc>
          <w:tcPr>
            <w:tcW w:w="213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5"/>
              <w:ind w:right="0"/>
              <w:jc w:val="left"/>
              <w:rPr>
                <w:rFonts w:ascii="华文细黑" w:hAnsi="华文细黑" w:cs="华文细黑" w:eastAsia="华文细黑" w:hint="default"/>
                <w:b/>
                <w:bCs/>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29,602,400.84</w:t>
            </w:r>
          </w:p>
        </w:tc>
        <w:tc>
          <w:tcPr>
            <w:tcW w:w="18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
              <w:ind w:right="0"/>
              <w:jc w:val="left"/>
              <w:rPr>
                <w:rFonts w:ascii="华文细黑" w:hAnsi="华文细黑" w:cs="华文细黑" w:eastAsia="华文细黑" w:hint="default"/>
                <w:b/>
                <w:bCs/>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50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可供出售金融资产在持有期间的投资收益</w:t>
            </w:r>
          </w:p>
        </w:tc>
        <w:tc>
          <w:tcPr>
            <w:tcW w:w="213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7,536,236.50</w:t>
            </w:r>
          </w:p>
        </w:tc>
        <w:tc>
          <w:tcPr>
            <w:tcW w:w="18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15,595,200.00</w:t>
            </w:r>
          </w:p>
        </w:tc>
      </w:tr>
      <w:tr>
        <w:trPr>
          <w:trHeight w:val="490" w:hRule="exact"/>
        </w:trPr>
        <w:tc>
          <w:tcPr>
            <w:tcW w:w="50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处置可供出售金融资产取得的投资收益</w:t>
            </w:r>
          </w:p>
        </w:tc>
        <w:tc>
          <w:tcPr>
            <w:tcW w:w="213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1,490,841.04</w:t>
            </w:r>
          </w:p>
        </w:tc>
        <w:tc>
          <w:tcPr>
            <w:tcW w:w="18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98,770,746.73</w:t>
            </w:r>
          </w:p>
        </w:tc>
      </w:tr>
      <w:tr>
        <w:trPr>
          <w:trHeight w:val="490" w:hRule="exact"/>
        </w:trPr>
        <w:tc>
          <w:tcPr>
            <w:tcW w:w="50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银行理财产品</w:t>
            </w:r>
          </w:p>
        </w:tc>
        <w:tc>
          <w:tcPr>
            <w:tcW w:w="213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pacing w:val="-1"/>
                <w:sz w:val="18"/>
              </w:rPr>
              <w:t>18,108,710.19</w:t>
            </w:r>
          </w:p>
        </w:tc>
        <w:tc>
          <w:tcPr>
            <w:tcW w:w="18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6,977,880.53</w:t>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300" w:right="0"/>
        </w:sectPr>
      </w:pPr>
    </w:p>
    <w:p>
      <w:pPr>
        <w:spacing w:line="240" w:lineRule="auto" w:before="8"/>
        <w:rPr>
          <w:rFonts w:ascii="华文细黑" w:hAnsi="华文细黑" w:cs="华文细黑" w:eastAsia="华文细黑" w:hint="default"/>
          <w:b/>
          <w:bCs/>
          <w:sz w:val="23"/>
          <w:szCs w:val="23"/>
        </w:rPr>
      </w:pPr>
    </w:p>
    <w:tbl>
      <w:tblPr>
        <w:tblW w:w="0" w:type="auto"/>
        <w:jc w:val="left"/>
        <w:tblInd w:w="101" w:type="dxa"/>
        <w:tblLayout w:type="fixed"/>
        <w:tblCellMar>
          <w:top w:w="0" w:type="dxa"/>
          <w:left w:w="0" w:type="dxa"/>
          <w:bottom w:w="0" w:type="dxa"/>
          <w:right w:w="0" w:type="dxa"/>
        </w:tblCellMar>
        <w:tblLook w:val="01E0"/>
      </w:tblPr>
      <w:tblGrid>
        <w:gridCol w:w="5095"/>
        <w:gridCol w:w="2138"/>
        <w:gridCol w:w="1874"/>
      </w:tblGrid>
      <w:tr>
        <w:trPr>
          <w:trHeight w:val="490" w:hRule="exact"/>
        </w:trPr>
        <w:tc>
          <w:tcPr>
            <w:tcW w:w="50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2675" w:val="left" w:leader="none"/>
              </w:tabs>
              <w:spacing w:line="240" w:lineRule="auto" w:before="144"/>
              <w:ind w:left="222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1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61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187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8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490" w:hRule="exact"/>
        </w:trPr>
        <w:tc>
          <w:tcPr>
            <w:tcW w:w="50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2675" w:val="left" w:leader="none"/>
              </w:tabs>
              <w:spacing w:line="240" w:lineRule="auto" w:before="145"/>
              <w:ind w:left="222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213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943" w:right="0"/>
              <w:jc w:val="left"/>
              <w:rPr>
                <w:rFonts w:ascii="华文细黑" w:hAnsi="华文细黑" w:cs="华文细黑" w:eastAsia="华文细黑" w:hint="default"/>
                <w:sz w:val="18"/>
                <w:szCs w:val="18"/>
              </w:rPr>
            </w:pPr>
            <w:r>
              <w:rPr>
                <w:rFonts w:ascii="华文细黑"/>
                <w:b/>
                <w:sz w:val="18"/>
              </w:rPr>
              <w:t>56,565,486.41</w:t>
            </w:r>
            <w:r>
              <w:rPr>
                <w:rFonts w:ascii="华文细黑"/>
                <w:sz w:val="18"/>
              </w:rPr>
            </w:r>
          </w:p>
        </w:tc>
        <w:tc>
          <w:tcPr>
            <w:tcW w:w="18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592" w:right="0"/>
              <w:jc w:val="left"/>
              <w:rPr>
                <w:rFonts w:ascii="华文细黑" w:hAnsi="华文细黑" w:cs="华文细黑" w:eastAsia="华文细黑" w:hint="default"/>
                <w:sz w:val="18"/>
                <w:szCs w:val="18"/>
              </w:rPr>
            </w:pPr>
            <w:r>
              <w:rPr>
                <w:rFonts w:ascii="华文细黑"/>
                <w:b/>
                <w:sz w:val="18"/>
              </w:rPr>
              <w:t>123,484,560.56</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spacing w:before="10"/>
        <w:ind w:left="560" w:right="1246" w:firstLine="0"/>
        <w:jc w:val="left"/>
        <w:rPr>
          <w:rFonts w:ascii="华文细黑" w:hAnsi="华文细黑" w:cs="华文细黑" w:eastAsia="华文细黑" w:hint="default"/>
          <w:sz w:val="21"/>
          <w:szCs w:val="21"/>
        </w:rPr>
      </w:pPr>
      <w:bookmarkStart w:name="44、公允价值变动收益" w:id="309"/>
      <w:bookmarkEnd w:id="309"/>
      <w:r>
        <w:rPr/>
      </w:r>
      <w:r>
        <w:rPr>
          <w:rFonts w:ascii="华文细黑" w:hAnsi="华文细黑" w:cs="华文细黑" w:eastAsia="华文细黑" w:hint="default"/>
          <w:b/>
          <w:bCs/>
          <w:sz w:val="21"/>
          <w:szCs w:val="21"/>
        </w:rPr>
        <w:t>44</w:t>
      </w:r>
      <w:r>
        <w:rPr>
          <w:rFonts w:ascii="华文细黑" w:hAnsi="华文细黑" w:cs="华文细黑" w:eastAsia="华文细黑" w:hint="default"/>
          <w:b/>
          <w:bCs/>
          <w:sz w:val="21"/>
          <w:szCs w:val="21"/>
        </w:rPr>
        <w:t>、公允价值变动收益</w:t>
      </w:r>
      <w:r>
        <w:rPr>
          <w:rFonts w:ascii="华文细黑" w:hAnsi="华文细黑" w:cs="华文细黑" w:eastAsia="华文细黑" w:hint="default"/>
          <w:sz w:val="21"/>
          <w:szCs w:val="21"/>
        </w:rPr>
      </w:r>
    </w:p>
    <w:p>
      <w:pPr>
        <w:spacing w:line="240" w:lineRule="auto" w:before="5"/>
        <w:rPr>
          <w:rFonts w:ascii="华文细黑" w:hAnsi="华文细黑" w:cs="华文细黑" w:eastAsia="华文细黑" w:hint="default"/>
          <w:b/>
          <w:bCs/>
          <w:sz w:val="5"/>
          <w:szCs w:val="5"/>
        </w:rPr>
      </w:pPr>
    </w:p>
    <w:tbl>
      <w:tblPr>
        <w:tblW w:w="0" w:type="auto"/>
        <w:jc w:val="left"/>
        <w:tblInd w:w="101" w:type="dxa"/>
        <w:tblLayout w:type="fixed"/>
        <w:tblCellMar>
          <w:top w:w="0" w:type="dxa"/>
          <w:left w:w="0" w:type="dxa"/>
          <w:bottom w:w="0" w:type="dxa"/>
          <w:right w:w="0" w:type="dxa"/>
        </w:tblCellMar>
        <w:tblLook w:val="01E0"/>
      </w:tblPr>
      <w:tblGrid>
        <w:gridCol w:w="5095"/>
        <w:gridCol w:w="1996"/>
        <w:gridCol w:w="2016"/>
      </w:tblGrid>
      <w:tr>
        <w:trPr>
          <w:trHeight w:val="490" w:hRule="exact"/>
        </w:trPr>
        <w:tc>
          <w:tcPr>
            <w:tcW w:w="50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37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产生公允价值变动收益的来源</w:t>
            </w:r>
          </w:p>
        </w:tc>
        <w:tc>
          <w:tcPr>
            <w:tcW w:w="19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4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20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5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490" w:hRule="exact"/>
        </w:trPr>
        <w:tc>
          <w:tcPr>
            <w:tcW w:w="50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以公允价值计量且其变动计入当期损益的金融资产</w:t>
            </w:r>
          </w:p>
        </w:tc>
        <w:tc>
          <w:tcPr>
            <w:tcW w:w="1996"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w w:val="95"/>
                <w:sz w:val="18"/>
              </w:rPr>
              <w:t>-6,204,660.75</w:t>
            </w:r>
          </w:p>
        </w:tc>
        <w:tc>
          <w:tcPr>
            <w:tcW w:w="20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-787,383.36</w:t>
            </w:r>
          </w:p>
        </w:tc>
      </w:tr>
      <w:tr>
        <w:trPr>
          <w:trHeight w:val="490" w:hRule="exact"/>
        </w:trPr>
        <w:tc>
          <w:tcPr>
            <w:tcW w:w="50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996"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b/>
                <w:w w:val="95"/>
                <w:sz w:val="18"/>
              </w:rPr>
              <w:t>-6,204,660.75</w:t>
            </w:r>
            <w:r>
              <w:rPr>
                <w:rFonts w:ascii="华文细黑"/>
                <w:sz w:val="18"/>
              </w:rPr>
            </w:r>
          </w:p>
        </w:tc>
        <w:tc>
          <w:tcPr>
            <w:tcW w:w="20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-787,383.36</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spacing w:before="10"/>
        <w:ind w:left="560" w:right="1246" w:firstLine="0"/>
        <w:jc w:val="left"/>
        <w:rPr>
          <w:rFonts w:ascii="华文细黑" w:hAnsi="华文细黑" w:cs="华文细黑" w:eastAsia="华文细黑" w:hint="default"/>
          <w:sz w:val="21"/>
          <w:szCs w:val="21"/>
        </w:rPr>
      </w:pPr>
      <w:bookmarkStart w:name="45、资产处置收益" w:id="310"/>
      <w:bookmarkEnd w:id="310"/>
      <w:r>
        <w:rPr/>
      </w:r>
      <w:r>
        <w:rPr>
          <w:rFonts w:ascii="华文细黑" w:hAnsi="华文细黑" w:cs="华文细黑" w:eastAsia="华文细黑" w:hint="default"/>
          <w:b/>
          <w:bCs/>
          <w:sz w:val="21"/>
          <w:szCs w:val="21"/>
        </w:rPr>
        <w:t>45</w:t>
      </w:r>
      <w:r>
        <w:rPr>
          <w:rFonts w:ascii="华文细黑" w:hAnsi="华文细黑" w:cs="华文细黑" w:eastAsia="华文细黑" w:hint="default"/>
          <w:b/>
          <w:bCs/>
          <w:sz w:val="21"/>
          <w:szCs w:val="21"/>
        </w:rPr>
        <w:t>、资产处置收益</w:t>
      </w:r>
      <w:r>
        <w:rPr>
          <w:rFonts w:ascii="华文细黑" w:hAnsi="华文细黑" w:cs="华文细黑" w:eastAsia="华文细黑" w:hint="default"/>
          <w:sz w:val="21"/>
          <w:szCs w:val="21"/>
        </w:rPr>
      </w:r>
    </w:p>
    <w:p>
      <w:pPr>
        <w:spacing w:line="240" w:lineRule="auto" w:before="5"/>
        <w:rPr>
          <w:rFonts w:ascii="华文细黑" w:hAnsi="华文细黑" w:cs="华文细黑" w:eastAsia="华文细黑" w:hint="default"/>
          <w:b/>
          <w:bCs/>
          <w:sz w:val="5"/>
          <w:szCs w:val="5"/>
        </w:rPr>
      </w:pPr>
    </w:p>
    <w:tbl>
      <w:tblPr>
        <w:tblW w:w="0" w:type="auto"/>
        <w:jc w:val="left"/>
        <w:tblInd w:w="135" w:type="dxa"/>
        <w:tblLayout w:type="fixed"/>
        <w:tblCellMar>
          <w:top w:w="0" w:type="dxa"/>
          <w:left w:w="0" w:type="dxa"/>
          <w:bottom w:w="0" w:type="dxa"/>
          <w:right w:w="0" w:type="dxa"/>
        </w:tblCellMar>
        <w:tblLook w:val="01E0"/>
      </w:tblPr>
      <w:tblGrid>
        <w:gridCol w:w="3687"/>
        <w:gridCol w:w="1843"/>
        <w:gridCol w:w="1844"/>
        <w:gridCol w:w="1703"/>
      </w:tblGrid>
      <w:tr>
        <w:trPr>
          <w:trHeight w:val="885" w:hRule="exact"/>
        </w:trPr>
        <w:tc>
          <w:tcPr>
            <w:tcW w:w="368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
              <w:ind w:right="0"/>
              <w:jc w:val="left"/>
              <w:rPr>
                <w:rFonts w:ascii="华文细黑" w:hAnsi="华文细黑" w:cs="华文细黑" w:eastAsia="华文细黑" w:hint="default"/>
                <w:b/>
                <w:bCs/>
                <w:sz w:val="24"/>
                <w:szCs w:val="24"/>
              </w:rPr>
            </w:pPr>
          </w:p>
          <w:p>
            <w:pPr>
              <w:pStyle w:val="TableParagraph"/>
              <w:tabs>
                <w:tab w:pos="538" w:val="left" w:leader="none"/>
              </w:tabs>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184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
              <w:ind w:right="0"/>
              <w:jc w:val="left"/>
              <w:rPr>
                <w:rFonts w:ascii="华文细黑" w:hAnsi="华文细黑" w:cs="华文细黑" w:eastAsia="华文细黑" w:hint="default"/>
                <w:b/>
                <w:bCs/>
                <w:sz w:val="24"/>
                <w:szCs w:val="24"/>
              </w:rPr>
            </w:pPr>
          </w:p>
          <w:p>
            <w:pPr>
              <w:pStyle w:val="TableParagraph"/>
              <w:spacing w:line="240" w:lineRule="auto"/>
              <w:ind w:left="46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18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5"/>
              <w:ind w:right="0"/>
              <w:jc w:val="left"/>
              <w:rPr>
                <w:rFonts w:ascii="华文细黑" w:hAnsi="华文细黑" w:cs="华文细黑" w:eastAsia="华文细黑" w:hint="default"/>
                <w:b/>
                <w:bCs/>
                <w:sz w:val="24"/>
                <w:szCs w:val="24"/>
              </w:rPr>
            </w:pPr>
          </w:p>
          <w:p>
            <w:pPr>
              <w:pStyle w:val="TableParagraph"/>
              <w:spacing w:line="240" w:lineRule="auto"/>
              <w:ind w:left="46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c>
          <w:tcPr>
            <w:tcW w:w="170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4"/>
              <w:ind w:left="395" w:right="125" w:hanging="27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计入本年非经常性 损益的金额</w:t>
            </w:r>
          </w:p>
        </w:tc>
      </w:tr>
      <w:tr>
        <w:trPr>
          <w:trHeight w:val="495" w:hRule="exact"/>
        </w:trPr>
        <w:tc>
          <w:tcPr>
            <w:tcW w:w="368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固定资产处置利得（损失以“</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”填列）</w:t>
            </w:r>
          </w:p>
        </w:tc>
        <w:tc>
          <w:tcPr>
            <w:tcW w:w="18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99"/>
              <w:jc w:val="right"/>
              <w:rPr>
                <w:rFonts w:ascii="华文细黑" w:hAnsi="华文细黑" w:cs="华文细黑" w:eastAsia="华文细黑" w:hint="default"/>
                <w:sz w:val="18"/>
                <w:szCs w:val="18"/>
              </w:rPr>
            </w:pPr>
            <w:r>
              <w:rPr>
                <w:rFonts w:ascii="华文细黑"/>
                <w:sz w:val="18"/>
              </w:rPr>
              <w:t>-58,916.32</w:t>
            </w:r>
          </w:p>
        </w:tc>
        <w:tc>
          <w:tcPr>
            <w:tcW w:w="18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101"/>
              <w:jc w:val="right"/>
              <w:rPr>
                <w:rFonts w:ascii="华文细黑" w:hAnsi="华文细黑" w:cs="华文细黑" w:eastAsia="华文细黑" w:hint="default"/>
                <w:sz w:val="18"/>
                <w:szCs w:val="18"/>
              </w:rPr>
            </w:pPr>
            <w:r>
              <w:rPr>
                <w:rFonts w:ascii="华文细黑"/>
                <w:sz w:val="18"/>
              </w:rPr>
              <w:t>---</w:t>
            </w:r>
          </w:p>
        </w:tc>
        <w:tc>
          <w:tcPr>
            <w:tcW w:w="17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102"/>
              <w:jc w:val="right"/>
              <w:rPr>
                <w:rFonts w:ascii="华文细黑" w:hAnsi="华文细黑" w:cs="华文细黑" w:eastAsia="华文细黑" w:hint="default"/>
                <w:sz w:val="18"/>
                <w:szCs w:val="18"/>
              </w:rPr>
            </w:pPr>
            <w:r>
              <w:rPr>
                <w:rFonts w:ascii="华文细黑"/>
                <w:sz w:val="18"/>
              </w:rPr>
              <w:t>-58,916.32</w:t>
            </w:r>
          </w:p>
        </w:tc>
      </w:tr>
      <w:tr>
        <w:trPr>
          <w:trHeight w:val="490" w:hRule="exact"/>
        </w:trPr>
        <w:tc>
          <w:tcPr>
            <w:tcW w:w="368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538" w:val="left" w:leader="none"/>
              </w:tabs>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8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0"/>
              <w:jc w:val="right"/>
              <w:rPr>
                <w:rFonts w:ascii="华文细黑" w:hAnsi="华文细黑" w:cs="华文细黑" w:eastAsia="华文细黑" w:hint="default"/>
                <w:sz w:val="18"/>
                <w:szCs w:val="18"/>
              </w:rPr>
            </w:pPr>
            <w:r>
              <w:rPr>
                <w:rFonts w:ascii="华文细黑"/>
                <w:b/>
                <w:w w:val="95"/>
                <w:sz w:val="18"/>
              </w:rPr>
              <w:t>-58,916.32</w:t>
            </w:r>
            <w:r>
              <w:rPr>
                <w:rFonts w:ascii="华文细黑"/>
                <w:sz w:val="18"/>
              </w:rPr>
            </w:r>
          </w:p>
        </w:tc>
        <w:tc>
          <w:tcPr>
            <w:tcW w:w="18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7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b/>
                <w:w w:val="95"/>
                <w:sz w:val="18"/>
              </w:rPr>
              <w:t>-58,916.32</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spacing w:before="10"/>
        <w:ind w:left="560" w:right="1246" w:firstLine="0"/>
        <w:jc w:val="left"/>
        <w:rPr>
          <w:rFonts w:ascii="华文细黑" w:hAnsi="华文细黑" w:cs="华文细黑" w:eastAsia="华文细黑" w:hint="default"/>
          <w:sz w:val="21"/>
          <w:szCs w:val="21"/>
        </w:rPr>
      </w:pPr>
      <w:bookmarkStart w:name="46、营业外收入" w:id="311"/>
      <w:bookmarkEnd w:id="311"/>
      <w:r>
        <w:rPr/>
      </w:r>
      <w:r>
        <w:rPr>
          <w:rFonts w:ascii="华文细黑" w:hAnsi="华文细黑" w:cs="华文细黑" w:eastAsia="华文细黑" w:hint="default"/>
          <w:b/>
          <w:bCs/>
          <w:sz w:val="21"/>
          <w:szCs w:val="21"/>
        </w:rPr>
        <w:t>46</w:t>
      </w:r>
      <w:r>
        <w:rPr>
          <w:rFonts w:ascii="华文细黑" w:hAnsi="华文细黑" w:cs="华文细黑" w:eastAsia="华文细黑" w:hint="default"/>
          <w:b/>
          <w:bCs/>
          <w:sz w:val="21"/>
          <w:szCs w:val="21"/>
        </w:rPr>
        <w:t>、营业外收入</w:t>
      </w:r>
      <w:r>
        <w:rPr>
          <w:rFonts w:ascii="华文细黑" w:hAnsi="华文细黑" w:cs="华文细黑" w:eastAsia="华文细黑" w:hint="default"/>
          <w:sz w:val="21"/>
          <w:szCs w:val="21"/>
        </w:rPr>
      </w:r>
    </w:p>
    <w:p>
      <w:pPr>
        <w:spacing w:line="240" w:lineRule="auto" w:before="5"/>
        <w:rPr>
          <w:rFonts w:ascii="华文细黑" w:hAnsi="华文细黑" w:cs="华文细黑" w:eastAsia="华文细黑" w:hint="default"/>
          <w:b/>
          <w:bCs/>
          <w:sz w:val="5"/>
          <w:szCs w:val="5"/>
        </w:rPr>
      </w:pPr>
    </w:p>
    <w:tbl>
      <w:tblPr>
        <w:tblW w:w="0" w:type="auto"/>
        <w:jc w:val="left"/>
        <w:tblInd w:w="151" w:type="dxa"/>
        <w:tblLayout w:type="fixed"/>
        <w:tblCellMar>
          <w:top w:w="0" w:type="dxa"/>
          <w:left w:w="0" w:type="dxa"/>
          <w:bottom w:w="0" w:type="dxa"/>
          <w:right w:w="0" w:type="dxa"/>
        </w:tblCellMar>
        <w:tblLook w:val="01E0"/>
      </w:tblPr>
      <w:tblGrid>
        <w:gridCol w:w="3123"/>
        <w:gridCol w:w="1995"/>
        <w:gridCol w:w="2127"/>
        <w:gridCol w:w="1955"/>
      </w:tblGrid>
      <w:tr>
        <w:trPr>
          <w:trHeight w:val="205" w:hRule="exact"/>
        </w:trPr>
        <w:tc>
          <w:tcPr>
            <w:tcW w:w="3123" w:type="dxa"/>
            <w:tcBorders>
              <w:top w:val="single" w:sz="4" w:space="0" w:color="FFC000"/>
              <w:left w:val="single" w:sz="4" w:space="0" w:color="FFC000"/>
              <w:bottom w:val="nil" w:sz="6" w:space="0" w:color="auto"/>
              <w:right w:val="single" w:sz="4" w:space="0" w:color="FFC000"/>
            </w:tcBorders>
            <w:shd w:val="clear" w:color="auto" w:fill="FFF8E6"/>
          </w:tcPr>
          <w:p>
            <w:pPr/>
          </w:p>
        </w:tc>
        <w:tc>
          <w:tcPr>
            <w:tcW w:w="1995" w:type="dxa"/>
            <w:tcBorders>
              <w:top w:val="single" w:sz="4" w:space="0" w:color="FFC000"/>
              <w:left w:val="single" w:sz="4" w:space="0" w:color="FFC000"/>
              <w:bottom w:val="nil" w:sz="6" w:space="0" w:color="auto"/>
              <w:right w:val="single" w:sz="4" w:space="0" w:color="FFC000"/>
            </w:tcBorders>
            <w:shd w:val="clear" w:color="auto" w:fill="FFF8E6"/>
          </w:tcPr>
          <w:p>
            <w:pPr/>
          </w:p>
        </w:tc>
        <w:tc>
          <w:tcPr>
            <w:tcW w:w="2127" w:type="dxa"/>
            <w:tcBorders>
              <w:top w:val="single" w:sz="4" w:space="0" w:color="FFC000"/>
              <w:left w:val="single" w:sz="4" w:space="0" w:color="FFC000"/>
              <w:bottom w:val="nil" w:sz="6" w:space="0" w:color="auto"/>
              <w:right w:val="single" w:sz="4" w:space="0" w:color="FFC000"/>
            </w:tcBorders>
            <w:shd w:val="clear" w:color="auto" w:fill="FFF8E6"/>
          </w:tcPr>
          <w:p>
            <w:pPr/>
          </w:p>
        </w:tc>
        <w:tc>
          <w:tcPr>
            <w:tcW w:w="1955"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3"/>
              <w:ind w:left="701" w:right="71" w:hanging="63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计入本年非经常性损益 的金额</w:t>
            </w:r>
          </w:p>
        </w:tc>
      </w:tr>
      <w:tr>
        <w:trPr>
          <w:trHeight w:val="480" w:hRule="exact"/>
        </w:trPr>
        <w:tc>
          <w:tcPr>
            <w:tcW w:w="3123" w:type="dxa"/>
            <w:tcBorders>
              <w:top w:val="nil" w:sz="6" w:space="0" w:color="auto"/>
              <w:left w:val="single" w:sz="4" w:space="0" w:color="FFC000"/>
              <w:bottom w:val="nil" w:sz="6" w:space="0" w:color="auto"/>
              <w:right w:val="single" w:sz="4" w:space="0" w:color="FFC000"/>
            </w:tcBorders>
            <w:shd w:val="clear" w:color="auto" w:fill="FFF8E6"/>
          </w:tcPr>
          <w:p>
            <w:pPr>
              <w:pStyle w:val="TableParagraph"/>
              <w:tabs>
                <w:tab w:pos="538" w:val="left" w:leader="none"/>
              </w:tabs>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1995"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54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2127"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60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c>
          <w:tcPr>
            <w:tcW w:w="1955" w:type="dxa"/>
            <w:vMerge/>
            <w:tcBorders>
              <w:left w:val="single" w:sz="4" w:space="0" w:color="FFC000"/>
              <w:right w:val="single" w:sz="4" w:space="0" w:color="FFC000"/>
            </w:tcBorders>
            <w:shd w:val="clear" w:color="auto" w:fill="FFF8E6"/>
          </w:tcPr>
          <w:p>
            <w:pPr/>
          </w:p>
        </w:tc>
      </w:tr>
      <w:tr>
        <w:trPr>
          <w:trHeight w:val="205" w:hRule="exact"/>
        </w:trPr>
        <w:tc>
          <w:tcPr>
            <w:tcW w:w="3123" w:type="dxa"/>
            <w:tcBorders>
              <w:top w:val="nil" w:sz="6" w:space="0" w:color="auto"/>
              <w:left w:val="single" w:sz="4" w:space="0" w:color="FFC000"/>
              <w:bottom w:val="single" w:sz="4" w:space="0" w:color="FFC000"/>
              <w:right w:val="single" w:sz="4" w:space="0" w:color="FFC000"/>
            </w:tcBorders>
            <w:shd w:val="clear" w:color="auto" w:fill="FFF8E6"/>
          </w:tcPr>
          <w:p>
            <w:pPr/>
          </w:p>
        </w:tc>
        <w:tc>
          <w:tcPr>
            <w:tcW w:w="1995" w:type="dxa"/>
            <w:tcBorders>
              <w:top w:val="nil" w:sz="6" w:space="0" w:color="auto"/>
              <w:left w:val="single" w:sz="4" w:space="0" w:color="FFC000"/>
              <w:bottom w:val="single" w:sz="4" w:space="0" w:color="FFC000"/>
              <w:right w:val="single" w:sz="4" w:space="0" w:color="FFC000"/>
            </w:tcBorders>
            <w:shd w:val="clear" w:color="auto" w:fill="FFF8E6"/>
          </w:tcPr>
          <w:p>
            <w:pPr/>
          </w:p>
        </w:tc>
        <w:tc>
          <w:tcPr>
            <w:tcW w:w="2127" w:type="dxa"/>
            <w:tcBorders>
              <w:top w:val="nil" w:sz="6" w:space="0" w:color="auto"/>
              <w:left w:val="single" w:sz="4" w:space="0" w:color="FFC000"/>
              <w:bottom w:val="single" w:sz="4" w:space="0" w:color="FFC000"/>
              <w:right w:val="single" w:sz="4" w:space="0" w:color="FFC000"/>
            </w:tcBorders>
            <w:shd w:val="clear" w:color="auto" w:fill="FFF8E6"/>
          </w:tcPr>
          <w:p>
            <w:pPr/>
          </w:p>
        </w:tc>
        <w:tc>
          <w:tcPr>
            <w:tcW w:w="1955"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312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非流动资产毁损报废利得</w:t>
            </w:r>
          </w:p>
        </w:tc>
        <w:tc>
          <w:tcPr>
            <w:tcW w:w="199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51,031.51</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63,115.05</w:t>
            </w:r>
          </w:p>
        </w:tc>
        <w:tc>
          <w:tcPr>
            <w:tcW w:w="19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51,031.51</w:t>
            </w:r>
          </w:p>
        </w:tc>
      </w:tr>
      <w:tr>
        <w:trPr>
          <w:trHeight w:val="490" w:hRule="exact"/>
        </w:trPr>
        <w:tc>
          <w:tcPr>
            <w:tcW w:w="312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与企业日常活动无关的政府补助</w:t>
            </w:r>
          </w:p>
        </w:tc>
        <w:tc>
          <w:tcPr>
            <w:tcW w:w="199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26,427,909.69</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16,497,135.12</w:t>
            </w:r>
          </w:p>
        </w:tc>
        <w:tc>
          <w:tcPr>
            <w:tcW w:w="19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26,427,909.69</w:t>
            </w:r>
          </w:p>
        </w:tc>
      </w:tr>
      <w:tr>
        <w:trPr>
          <w:trHeight w:val="491" w:hRule="exact"/>
        </w:trPr>
        <w:tc>
          <w:tcPr>
            <w:tcW w:w="312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违约金收入</w:t>
            </w:r>
          </w:p>
        </w:tc>
        <w:tc>
          <w:tcPr>
            <w:tcW w:w="199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1,543,178.24</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w w:val="95"/>
                <w:sz w:val="18"/>
              </w:rPr>
              <w:t>246,206.99</w:t>
            </w:r>
          </w:p>
        </w:tc>
        <w:tc>
          <w:tcPr>
            <w:tcW w:w="19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1,543,178.24</w:t>
            </w:r>
          </w:p>
        </w:tc>
      </w:tr>
      <w:tr>
        <w:trPr>
          <w:trHeight w:val="490" w:hRule="exact"/>
        </w:trPr>
        <w:tc>
          <w:tcPr>
            <w:tcW w:w="312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赔偿款收入</w:t>
            </w:r>
          </w:p>
        </w:tc>
        <w:tc>
          <w:tcPr>
            <w:tcW w:w="199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pacing w:val="-1"/>
                <w:sz w:val="18"/>
              </w:rPr>
              <w:t>700,000.00</w:t>
            </w:r>
            <w:r>
              <w:rPr>
                <w:rFonts w:ascii="华文细黑"/>
                <w:sz w:val="18"/>
              </w:rPr>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9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700,000.00</w:t>
            </w:r>
          </w:p>
        </w:tc>
      </w:tr>
      <w:tr>
        <w:trPr>
          <w:trHeight w:val="490" w:hRule="exact"/>
        </w:trPr>
        <w:tc>
          <w:tcPr>
            <w:tcW w:w="312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199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4,195,950.05</w:t>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4,838,467.35</w:t>
            </w:r>
          </w:p>
        </w:tc>
        <w:tc>
          <w:tcPr>
            <w:tcW w:w="19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4,195,950.05</w:t>
            </w:r>
          </w:p>
        </w:tc>
      </w:tr>
      <w:tr>
        <w:trPr>
          <w:trHeight w:val="491" w:hRule="exact"/>
        </w:trPr>
        <w:tc>
          <w:tcPr>
            <w:tcW w:w="312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538" w:val="left" w:leader="none"/>
              </w:tabs>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99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b/>
                <w:w w:val="95"/>
                <w:sz w:val="18"/>
              </w:rPr>
              <w:t>32,918,069.49</w:t>
            </w:r>
            <w:r>
              <w:rPr>
                <w:rFonts w:ascii="华文细黑"/>
                <w:sz w:val="18"/>
              </w:rPr>
            </w:r>
          </w:p>
        </w:tc>
        <w:tc>
          <w:tcPr>
            <w:tcW w:w="212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b/>
                <w:w w:val="95"/>
                <w:sz w:val="18"/>
              </w:rPr>
              <w:t>21,644,924.51</w:t>
            </w:r>
            <w:r>
              <w:rPr>
                <w:rFonts w:ascii="华文细黑"/>
                <w:sz w:val="18"/>
              </w:rPr>
            </w:r>
          </w:p>
        </w:tc>
        <w:tc>
          <w:tcPr>
            <w:tcW w:w="195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32,918,069.49</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pStyle w:val="BodyText"/>
        <w:spacing w:line="240" w:lineRule="auto" w:before="10"/>
        <w:ind w:left="560" w:right="1246"/>
        <w:jc w:val="left"/>
      </w:pPr>
      <w:r>
        <w:rPr/>
        <w:t>计入当期损益的政府补助：</w:t>
      </w:r>
    </w:p>
    <w:p>
      <w:pPr>
        <w:spacing w:line="240" w:lineRule="auto" w:before="5"/>
        <w:rPr>
          <w:rFonts w:ascii="华文细黑" w:hAnsi="华文细黑" w:cs="华文细黑" w:eastAsia="华文细黑" w:hint="default"/>
          <w:sz w:val="5"/>
          <w:szCs w:val="5"/>
        </w:rPr>
      </w:pPr>
    </w:p>
    <w:tbl>
      <w:tblPr>
        <w:tblW w:w="0" w:type="auto"/>
        <w:jc w:val="left"/>
        <w:tblInd w:w="140" w:type="dxa"/>
        <w:tblLayout w:type="fixed"/>
        <w:tblCellMar>
          <w:top w:w="0" w:type="dxa"/>
          <w:left w:w="0" w:type="dxa"/>
          <w:bottom w:w="0" w:type="dxa"/>
          <w:right w:w="0" w:type="dxa"/>
        </w:tblCellMar>
        <w:tblLook w:val="01E0"/>
      </w:tblPr>
      <w:tblGrid>
        <w:gridCol w:w="2015"/>
        <w:gridCol w:w="1420"/>
        <w:gridCol w:w="851"/>
        <w:gridCol w:w="850"/>
        <w:gridCol w:w="1418"/>
        <w:gridCol w:w="850"/>
        <w:gridCol w:w="851"/>
        <w:gridCol w:w="1105"/>
      </w:tblGrid>
      <w:tr>
        <w:trPr>
          <w:trHeight w:val="205" w:hRule="exact"/>
        </w:trPr>
        <w:tc>
          <w:tcPr>
            <w:tcW w:w="2015" w:type="dxa"/>
            <w:vMerge w:val="restart"/>
            <w:tcBorders>
              <w:top w:val="single" w:sz="4" w:space="0" w:color="FFC000"/>
              <w:left w:val="single" w:sz="4" w:space="0" w:color="FFC000"/>
              <w:right w:val="single" w:sz="4" w:space="0" w:color="FFC000"/>
            </w:tcBorders>
            <w:shd w:val="clear" w:color="auto" w:fill="FFF8E6"/>
          </w:tcPr>
          <w:p>
            <w:pPr/>
          </w:p>
        </w:tc>
        <w:tc>
          <w:tcPr>
            <w:tcW w:w="3120" w:type="dxa"/>
            <w:gridSpan w:val="3"/>
            <w:tcBorders>
              <w:top w:val="single" w:sz="4" w:space="0" w:color="FFC000"/>
              <w:left w:val="single" w:sz="4" w:space="0" w:color="FFC000"/>
              <w:bottom w:val="nil" w:sz="6" w:space="0" w:color="auto"/>
              <w:right w:val="single" w:sz="4" w:space="0" w:color="FFC000"/>
            </w:tcBorders>
            <w:shd w:val="clear" w:color="auto" w:fill="FFF8E6"/>
          </w:tcPr>
          <w:p>
            <w:pPr/>
          </w:p>
        </w:tc>
        <w:tc>
          <w:tcPr>
            <w:tcW w:w="3119" w:type="dxa"/>
            <w:gridSpan w:val="3"/>
            <w:tcBorders>
              <w:top w:val="single" w:sz="4" w:space="0" w:color="FFC000"/>
              <w:left w:val="single" w:sz="4" w:space="0" w:color="FFC000"/>
              <w:bottom w:val="nil" w:sz="6" w:space="0" w:color="auto"/>
              <w:right w:val="single" w:sz="4" w:space="0" w:color="FFC000"/>
            </w:tcBorders>
            <w:shd w:val="clear" w:color="auto" w:fill="FFF8E6"/>
          </w:tcPr>
          <w:p>
            <w:pPr/>
          </w:p>
        </w:tc>
        <w:tc>
          <w:tcPr>
            <w:tcW w:w="1105"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3"/>
              <w:ind w:left="382" w:right="41" w:hanging="31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与资产</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收益 相关</w:t>
            </w:r>
          </w:p>
        </w:tc>
      </w:tr>
      <w:tr>
        <w:trPr>
          <w:trHeight w:val="480" w:hRule="exact"/>
        </w:trPr>
        <w:tc>
          <w:tcPr>
            <w:tcW w:w="2015" w:type="dxa"/>
            <w:vMerge/>
            <w:tcBorders>
              <w:left w:val="single" w:sz="4" w:space="0" w:color="FFC000"/>
              <w:bottom w:val="nil" w:sz="6" w:space="0" w:color="auto"/>
              <w:right w:val="single" w:sz="4" w:space="0" w:color="FFC000"/>
            </w:tcBorders>
            <w:shd w:val="clear" w:color="auto" w:fill="FFF8E6"/>
          </w:tcPr>
          <w:p>
            <w:pPr/>
          </w:p>
        </w:tc>
        <w:tc>
          <w:tcPr>
            <w:tcW w:w="3120" w:type="dxa"/>
            <w:gridSpan w:val="3"/>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3119" w:type="dxa"/>
            <w:gridSpan w:val="3"/>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5"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c>
          <w:tcPr>
            <w:tcW w:w="1105" w:type="dxa"/>
            <w:vMerge/>
            <w:tcBorders>
              <w:left w:val="single" w:sz="4" w:space="0" w:color="FFC000"/>
              <w:right w:val="single" w:sz="4" w:space="0" w:color="FFC000"/>
            </w:tcBorders>
            <w:shd w:val="clear" w:color="auto" w:fill="FFF8E6"/>
          </w:tcPr>
          <w:p>
            <w:pPr/>
          </w:p>
        </w:tc>
      </w:tr>
      <w:tr>
        <w:trPr>
          <w:trHeight w:val="200" w:hRule="exact"/>
        </w:trPr>
        <w:tc>
          <w:tcPr>
            <w:tcW w:w="2015"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09"/>
              <w:ind w:left="64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补助项目</w:t>
            </w:r>
          </w:p>
        </w:tc>
        <w:tc>
          <w:tcPr>
            <w:tcW w:w="3120" w:type="dxa"/>
            <w:gridSpan w:val="3"/>
            <w:tcBorders>
              <w:top w:val="nil" w:sz="6" w:space="0" w:color="auto"/>
              <w:left w:val="single" w:sz="4" w:space="0" w:color="FFC000"/>
              <w:bottom w:val="single" w:sz="4" w:space="0" w:color="FFC000"/>
              <w:right w:val="single" w:sz="4" w:space="0" w:color="FFC000"/>
            </w:tcBorders>
            <w:shd w:val="clear" w:color="auto" w:fill="FFF8E6"/>
          </w:tcPr>
          <w:p>
            <w:pPr/>
          </w:p>
        </w:tc>
        <w:tc>
          <w:tcPr>
            <w:tcW w:w="3119" w:type="dxa"/>
            <w:gridSpan w:val="3"/>
            <w:tcBorders>
              <w:top w:val="nil" w:sz="6" w:space="0" w:color="auto"/>
              <w:left w:val="single" w:sz="4" w:space="0" w:color="FFC000"/>
              <w:bottom w:val="single" w:sz="4" w:space="0" w:color="FFC000"/>
              <w:right w:val="single" w:sz="4" w:space="0" w:color="FFC000"/>
            </w:tcBorders>
            <w:shd w:val="clear" w:color="auto" w:fill="FFF8E6"/>
          </w:tcPr>
          <w:p>
            <w:pPr/>
          </w:p>
        </w:tc>
        <w:tc>
          <w:tcPr>
            <w:tcW w:w="1105" w:type="dxa"/>
            <w:vMerge/>
            <w:tcBorders>
              <w:left w:val="single" w:sz="4" w:space="0" w:color="FFC000"/>
              <w:bottom w:val="single" w:sz="4" w:space="0" w:color="FFC000"/>
              <w:right w:val="single" w:sz="4" w:space="0" w:color="FFC000"/>
            </w:tcBorders>
            <w:shd w:val="clear" w:color="auto" w:fill="FFF8E6"/>
          </w:tcPr>
          <w:p>
            <w:pPr/>
          </w:p>
        </w:tc>
      </w:tr>
      <w:tr>
        <w:trPr>
          <w:trHeight w:val="219" w:hRule="exact"/>
        </w:trPr>
        <w:tc>
          <w:tcPr>
            <w:tcW w:w="2015" w:type="dxa"/>
            <w:vMerge/>
            <w:tcBorders>
              <w:left w:val="single" w:sz="4" w:space="0" w:color="FFC000"/>
              <w:bottom w:val="single" w:sz="14" w:space="0" w:color="FFFFFF"/>
              <w:right w:val="single" w:sz="4" w:space="0" w:color="FFC000"/>
            </w:tcBorders>
            <w:shd w:val="clear" w:color="auto" w:fill="FFF8E6"/>
          </w:tcPr>
          <w:p>
            <w:pPr/>
          </w:p>
        </w:tc>
        <w:tc>
          <w:tcPr>
            <w:tcW w:w="1420" w:type="dxa"/>
            <w:tcBorders>
              <w:top w:val="single" w:sz="4" w:space="0" w:color="FFC000"/>
              <w:left w:val="single" w:sz="4" w:space="0" w:color="FFC000"/>
              <w:bottom w:val="single" w:sz="14" w:space="0" w:color="FFFFFF"/>
              <w:right w:val="single" w:sz="4" w:space="0" w:color="FFC000"/>
            </w:tcBorders>
            <w:shd w:val="clear" w:color="auto" w:fill="FFF8E6"/>
          </w:tcPr>
          <w:p>
            <w:pPr/>
          </w:p>
        </w:tc>
        <w:tc>
          <w:tcPr>
            <w:tcW w:w="851"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8"/>
              <w:ind w:left="240" w:right="59"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计入其他 收益</w:t>
            </w:r>
          </w:p>
        </w:tc>
        <w:tc>
          <w:tcPr>
            <w:tcW w:w="850"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8"/>
              <w:ind w:left="239" w:right="59"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冲减成本 费用</w:t>
            </w:r>
          </w:p>
        </w:tc>
        <w:tc>
          <w:tcPr>
            <w:tcW w:w="1418" w:type="dxa"/>
            <w:tcBorders>
              <w:top w:val="single" w:sz="4" w:space="0" w:color="FFC000"/>
              <w:left w:val="single" w:sz="4" w:space="0" w:color="FFC000"/>
              <w:bottom w:val="nil" w:sz="6" w:space="0" w:color="auto"/>
              <w:right w:val="single" w:sz="4" w:space="0" w:color="FFC000"/>
            </w:tcBorders>
            <w:shd w:val="clear" w:color="auto" w:fill="FFF8E6"/>
          </w:tcPr>
          <w:p>
            <w:pPr/>
          </w:p>
        </w:tc>
        <w:tc>
          <w:tcPr>
            <w:tcW w:w="850"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8"/>
              <w:ind w:left="240" w:right="58" w:hanging="18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计入其他 收益</w:t>
            </w:r>
          </w:p>
        </w:tc>
        <w:tc>
          <w:tcPr>
            <w:tcW w:w="851"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8"/>
              <w:ind w:left="241" w:right="59"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冲减成本 费用</w:t>
            </w:r>
          </w:p>
        </w:tc>
        <w:tc>
          <w:tcPr>
            <w:tcW w:w="1105" w:type="dxa"/>
            <w:tcBorders>
              <w:top w:val="single" w:sz="4" w:space="0" w:color="FFC000"/>
              <w:left w:val="single" w:sz="4" w:space="0" w:color="FFC000"/>
              <w:bottom w:val="nil" w:sz="6" w:space="0" w:color="auto"/>
              <w:right w:val="single" w:sz="4" w:space="0" w:color="FFC000"/>
            </w:tcBorders>
            <w:shd w:val="clear" w:color="auto" w:fill="FFF8E6"/>
          </w:tcPr>
          <w:p>
            <w:pPr/>
          </w:p>
        </w:tc>
      </w:tr>
      <w:tr>
        <w:trPr>
          <w:trHeight w:val="476" w:hRule="exact"/>
        </w:trPr>
        <w:tc>
          <w:tcPr>
            <w:tcW w:w="2015" w:type="dxa"/>
            <w:vMerge w:val="restart"/>
            <w:tcBorders>
              <w:top w:val="single" w:sz="14" w:space="0" w:color="FFFFFF"/>
              <w:left w:val="single" w:sz="4" w:space="0" w:color="FFC000"/>
              <w:right w:val="single" w:sz="4" w:space="0" w:color="FFC000"/>
            </w:tcBorders>
            <w:shd w:val="clear" w:color="auto" w:fill="FFF8E6"/>
          </w:tcPr>
          <w:p>
            <w:pPr/>
          </w:p>
        </w:tc>
        <w:tc>
          <w:tcPr>
            <w:tcW w:w="1420" w:type="dxa"/>
            <w:tcBorders>
              <w:top w:val="single" w:sz="14" w:space="0" w:color="FFFFFF"/>
              <w:left w:val="single" w:sz="4" w:space="0" w:color="FFC000"/>
              <w:bottom w:val="nil" w:sz="6" w:space="0" w:color="auto"/>
              <w:right w:val="single" w:sz="4" w:space="0" w:color="FFC000"/>
            </w:tcBorders>
            <w:shd w:val="clear" w:color="auto" w:fill="FFF8E6"/>
          </w:tcPr>
          <w:p>
            <w:pPr>
              <w:pStyle w:val="TableParagraph"/>
              <w:spacing w:line="240" w:lineRule="auto" w:before="118"/>
              <w:ind w:right="7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计入营业外收入</w:t>
            </w:r>
          </w:p>
        </w:tc>
        <w:tc>
          <w:tcPr>
            <w:tcW w:w="851" w:type="dxa"/>
            <w:vMerge/>
            <w:tcBorders>
              <w:left w:val="single" w:sz="4" w:space="0" w:color="FFC000"/>
              <w:right w:val="single" w:sz="4" w:space="0" w:color="FFC000"/>
            </w:tcBorders>
            <w:shd w:val="clear" w:color="auto" w:fill="FFF8E6"/>
          </w:tcPr>
          <w:p>
            <w:pPr/>
          </w:p>
        </w:tc>
        <w:tc>
          <w:tcPr>
            <w:tcW w:w="850" w:type="dxa"/>
            <w:vMerge/>
            <w:tcBorders>
              <w:left w:val="single" w:sz="4" w:space="0" w:color="FFC000"/>
              <w:right w:val="single" w:sz="4" w:space="0" w:color="FFC000"/>
            </w:tcBorders>
            <w:shd w:val="clear" w:color="auto" w:fill="FFF8E6"/>
          </w:tcPr>
          <w:p>
            <w:pPr/>
          </w:p>
        </w:tc>
        <w:tc>
          <w:tcPr>
            <w:tcW w:w="1418"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0"/>
              <w:ind w:left="7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计入营业外收入</w:t>
            </w:r>
          </w:p>
        </w:tc>
        <w:tc>
          <w:tcPr>
            <w:tcW w:w="850" w:type="dxa"/>
            <w:vMerge/>
            <w:tcBorders>
              <w:left w:val="single" w:sz="4" w:space="0" w:color="FFC000"/>
              <w:right w:val="single" w:sz="4" w:space="0" w:color="FFC000"/>
            </w:tcBorders>
            <w:shd w:val="clear" w:color="auto" w:fill="FFF8E6"/>
          </w:tcPr>
          <w:p>
            <w:pPr/>
          </w:p>
        </w:tc>
        <w:tc>
          <w:tcPr>
            <w:tcW w:w="851" w:type="dxa"/>
            <w:vMerge/>
            <w:tcBorders>
              <w:left w:val="single" w:sz="4" w:space="0" w:color="FFC000"/>
              <w:right w:val="single" w:sz="4" w:space="0" w:color="FFC000"/>
            </w:tcBorders>
            <w:shd w:val="clear" w:color="auto" w:fill="FFF8E6"/>
          </w:tcPr>
          <w:p>
            <w:pPr/>
          </w:p>
        </w:tc>
        <w:tc>
          <w:tcPr>
            <w:tcW w:w="1105" w:type="dxa"/>
            <w:tcBorders>
              <w:top w:val="nil" w:sz="6" w:space="0" w:color="auto"/>
              <w:left w:val="single" w:sz="4" w:space="0" w:color="FFC000"/>
              <w:bottom w:val="nil" w:sz="6" w:space="0" w:color="auto"/>
              <w:right w:val="single" w:sz="4" w:space="0" w:color="FFC000"/>
            </w:tcBorders>
            <w:shd w:val="clear" w:color="auto" w:fill="FFF8E6"/>
          </w:tcPr>
          <w:p>
            <w:pPr/>
          </w:p>
        </w:tc>
      </w:tr>
      <w:tr>
        <w:trPr>
          <w:trHeight w:val="204" w:hRule="exact"/>
        </w:trPr>
        <w:tc>
          <w:tcPr>
            <w:tcW w:w="2015" w:type="dxa"/>
            <w:vMerge/>
            <w:tcBorders>
              <w:left w:val="single" w:sz="4" w:space="0" w:color="FFC000"/>
              <w:bottom w:val="single" w:sz="4" w:space="0" w:color="FFC000"/>
              <w:right w:val="single" w:sz="4" w:space="0" w:color="FFC000"/>
            </w:tcBorders>
            <w:shd w:val="clear" w:color="auto" w:fill="FFF8E6"/>
          </w:tcPr>
          <w:p>
            <w:pPr/>
          </w:p>
        </w:tc>
        <w:tc>
          <w:tcPr>
            <w:tcW w:w="1420" w:type="dxa"/>
            <w:tcBorders>
              <w:top w:val="nil" w:sz="6" w:space="0" w:color="auto"/>
              <w:left w:val="single" w:sz="4" w:space="0" w:color="FFC000"/>
              <w:bottom w:val="single" w:sz="4" w:space="0" w:color="FFC000"/>
              <w:right w:val="single" w:sz="4" w:space="0" w:color="FFC000"/>
            </w:tcBorders>
            <w:shd w:val="clear" w:color="auto" w:fill="FFF8E6"/>
          </w:tcPr>
          <w:p>
            <w:pPr/>
          </w:p>
        </w:tc>
        <w:tc>
          <w:tcPr>
            <w:tcW w:w="851" w:type="dxa"/>
            <w:vMerge/>
            <w:tcBorders>
              <w:left w:val="single" w:sz="4" w:space="0" w:color="FFC000"/>
              <w:bottom w:val="single" w:sz="4" w:space="0" w:color="FFC000"/>
              <w:right w:val="single" w:sz="4" w:space="0" w:color="FFC000"/>
            </w:tcBorders>
            <w:shd w:val="clear" w:color="auto" w:fill="FFF8E6"/>
          </w:tcPr>
          <w:p>
            <w:pPr/>
          </w:p>
        </w:tc>
        <w:tc>
          <w:tcPr>
            <w:tcW w:w="850" w:type="dxa"/>
            <w:vMerge/>
            <w:tcBorders>
              <w:left w:val="single" w:sz="4" w:space="0" w:color="FFC000"/>
              <w:bottom w:val="single" w:sz="4" w:space="0" w:color="FFC000"/>
              <w:right w:val="single" w:sz="4" w:space="0" w:color="FFC000"/>
            </w:tcBorders>
            <w:shd w:val="clear" w:color="auto" w:fill="FFF8E6"/>
          </w:tcPr>
          <w:p>
            <w:pPr/>
          </w:p>
        </w:tc>
        <w:tc>
          <w:tcPr>
            <w:tcW w:w="1418" w:type="dxa"/>
            <w:tcBorders>
              <w:top w:val="nil" w:sz="6" w:space="0" w:color="auto"/>
              <w:left w:val="single" w:sz="4" w:space="0" w:color="FFC000"/>
              <w:bottom w:val="single" w:sz="4" w:space="0" w:color="FFC000"/>
              <w:right w:val="single" w:sz="4" w:space="0" w:color="FFC000"/>
            </w:tcBorders>
            <w:shd w:val="clear" w:color="auto" w:fill="FFF8E6"/>
          </w:tcPr>
          <w:p>
            <w:pPr/>
          </w:p>
        </w:tc>
        <w:tc>
          <w:tcPr>
            <w:tcW w:w="850" w:type="dxa"/>
            <w:vMerge/>
            <w:tcBorders>
              <w:left w:val="single" w:sz="4" w:space="0" w:color="FFC000"/>
              <w:bottom w:val="single" w:sz="4" w:space="0" w:color="FFC000"/>
              <w:right w:val="single" w:sz="4" w:space="0" w:color="FFC000"/>
            </w:tcBorders>
            <w:shd w:val="clear" w:color="auto" w:fill="FFF8E6"/>
          </w:tcPr>
          <w:p>
            <w:pPr/>
          </w:p>
        </w:tc>
        <w:tc>
          <w:tcPr>
            <w:tcW w:w="851" w:type="dxa"/>
            <w:vMerge/>
            <w:tcBorders>
              <w:left w:val="single" w:sz="4" w:space="0" w:color="FFC000"/>
              <w:bottom w:val="single" w:sz="4" w:space="0" w:color="FFC000"/>
              <w:right w:val="single" w:sz="4" w:space="0" w:color="FFC000"/>
            </w:tcBorders>
            <w:shd w:val="clear" w:color="auto" w:fill="FFF8E6"/>
          </w:tcPr>
          <w:p>
            <w:pPr/>
          </w:p>
        </w:tc>
        <w:tc>
          <w:tcPr>
            <w:tcW w:w="1105" w:type="dxa"/>
            <w:tcBorders>
              <w:top w:val="nil" w:sz="6" w:space="0" w:color="auto"/>
              <w:left w:val="single" w:sz="4" w:space="0" w:color="FFC000"/>
              <w:bottom w:val="single" w:sz="4" w:space="0" w:color="FFC000"/>
              <w:right w:val="single" w:sz="4" w:space="0" w:color="FFC000"/>
            </w:tcBorders>
            <w:shd w:val="clear" w:color="auto" w:fill="FFF8E6"/>
          </w:tcPr>
          <w:p>
            <w:pPr/>
          </w:p>
        </w:tc>
      </w:tr>
      <w:tr>
        <w:trPr>
          <w:trHeight w:val="491" w:hRule="exact"/>
        </w:trPr>
        <w:tc>
          <w:tcPr>
            <w:tcW w:w="201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企业奖励资金</w:t>
            </w:r>
          </w:p>
        </w:tc>
        <w:tc>
          <w:tcPr>
            <w:tcW w:w="142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22,870,671.74</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14,637,261.15</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1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与收益相关</w:t>
            </w:r>
          </w:p>
        </w:tc>
      </w:tr>
      <w:tr>
        <w:trPr>
          <w:trHeight w:val="890" w:hRule="exact"/>
        </w:trPr>
        <w:tc>
          <w:tcPr>
            <w:tcW w:w="201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22" w:right="22"/>
              <w:jc w:val="left"/>
              <w:rPr>
                <w:rFonts w:ascii="华文细黑" w:hAnsi="华文细黑" w:cs="华文细黑" w:eastAsia="华文细黑" w:hint="default"/>
                <w:sz w:val="18"/>
                <w:szCs w:val="18"/>
              </w:rPr>
            </w:pPr>
            <w:r>
              <w:rPr>
                <w:rFonts w:ascii="华文细黑" w:hAnsi="华文细黑" w:cs="华文细黑" w:eastAsia="华文细黑" w:hint="default"/>
                <w:spacing w:val="15"/>
                <w:sz w:val="18"/>
                <w:szCs w:val="18"/>
              </w:rPr>
              <w:t>深圳市福田区现代服务</w:t>
            </w:r>
            <w:r>
              <w:rPr>
                <w:rFonts w:ascii="华文细黑" w:hAnsi="华文细黑" w:cs="华文细黑" w:eastAsia="华文细黑" w:hint="default"/>
                <w:sz w:val="18"/>
                <w:szCs w:val="18"/>
              </w:rPr>
              <w:t> 业发展支持奖励</w:t>
            </w:r>
          </w:p>
        </w:tc>
        <w:tc>
          <w:tcPr>
            <w:tcW w:w="142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2,800,000.00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1,095,600.00</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与收益相关</w:t>
            </w:r>
          </w:p>
        </w:tc>
      </w:tr>
      <w:tr>
        <w:trPr>
          <w:trHeight w:val="491" w:hRule="exact"/>
        </w:trPr>
        <w:tc>
          <w:tcPr>
            <w:tcW w:w="201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pacing w:val="15"/>
                <w:sz w:val="18"/>
                <w:szCs w:val="18"/>
              </w:rPr>
              <w:t>深圳市福田区企业发展</w:t>
            </w:r>
          </w:p>
        </w:tc>
        <w:tc>
          <w:tcPr>
            <w:tcW w:w="142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200,000.00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1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与收益相关</w:t>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300" w:right="0"/>
        </w:sectPr>
      </w:pPr>
    </w:p>
    <w:p>
      <w:pPr>
        <w:spacing w:line="240" w:lineRule="auto" w:before="8"/>
        <w:rPr>
          <w:rFonts w:ascii="华文细黑" w:hAnsi="华文细黑" w:cs="华文细黑" w:eastAsia="华文细黑" w:hint="default"/>
          <w:sz w:val="23"/>
          <w:szCs w:val="23"/>
        </w:rPr>
      </w:pPr>
    </w:p>
    <w:tbl>
      <w:tblPr>
        <w:tblW w:w="0" w:type="auto"/>
        <w:jc w:val="left"/>
        <w:tblInd w:w="211" w:type="dxa"/>
        <w:tblLayout w:type="fixed"/>
        <w:tblCellMar>
          <w:top w:w="0" w:type="dxa"/>
          <w:left w:w="0" w:type="dxa"/>
          <w:bottom w:w="0" w:type="dxa"/>
          <w:right w:w="0" w:type="dxa"/>
        </w:tblCellMar>
        <w:tblLook w:val="01E0"/>
      </w:tblPr>
      <w:tblGrid>
        <w:gridCol w:w="1992"/>
        <w:gridCol w:w="1431"/>
        <w:gridCol w:w="851"/>
        <w:gridCol w:w="850"/>
        <w:gridCol w:w="1418"/>
        <w:gridCol w:w="850"/>
        <w:gridCol w:w="851"/>
        <w:gridCol w:w="1105"/>
      </w:tblGrid>
      <w:tr>
        <w:trPr>
          <w:trHeight w:val="205" w:hRule="exact"/>
        </w:trPr>
        <w:tc>
          <w:tcPr>
            <w:tcW w:w="1992" w:type="dxa"/>
            <w:vMerge w:val="restart"/>
            <w:tcBorders>
              <w:top w:val="single" w:sz="4" w:space="0" w:color="FFC000"/>
              <w:left w:val="single" w:sz="4" w:space="0" w:color="FFC000"/>
              <w:right w:val="single" w:sz="4" w:space="0" w:color="FFC000"/>
            </w:tcBorders>
            <w:shd w:val="clear" w:color="auto" w:fill="FFF8E6"/>
          </w:tcPr>
          <w:p>
            <w:pPr/>
          </w:p>
        </w:tc>
        <w:tc>
          <w:tcPr>
            <w:tcW w:w="3132" w:type="dxa"/>
            <w:gridSpan w:val="3"/>
            <w:tcBorders>
              <w:top w:val="single" w:sz="4" w:space="0" w:color="FFC000"/>
              <w:left w:val="single" w:sz="4" w:space="0" w:color="FFC000"/>
              <w:bottom w:val="nil" w:sz="6" w:space="0" w:color="auto"/>
              <w:right w:val="single" w:sz="4" w:space="0" w:color="FFC000"/>
            </w:tcBorders>
            <w:shd w:val="clear" w:color="auto" w:fill="FFF8E6"/>
          </w:tcPr>
          <w:p>
            <w:pPr/>
          </w:p>
        </w:tc>
        <w:tc>
          <w:tcPr>
            <w:tcW w:w="3119" w:type="dxa"/>
            <w:gridSpan w:val="3"/>
            <w:tcBorders>
              <w:top w:val="single" w:sz="4" w:space="0" w:color="FFC000"/>
              <w:left w:val="single" w:sz="4" w:space="0" w:color="FFC000"/>
              <w:bottom w:val="nil" w:sz="6" w:space="0" w:color="auto"/>
              <w:right w:val="single" w:sz="4" w:space="0" w:color="FFC000"/>
            </w:tcBorders>
            <w:shd w:val="clear" w:color="auto" w:fill="FFF8E6"/>
          </w:tcPr>
          <w:p>
            <w:pPr/>
          </w:p>
        </w:tc>
        <w:tc>
          <w:tcPr>
            <w:tcW w:w="1105"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3"/>
              <w:ind w:left="382" w:right="41" w:hanging="31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与资产</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收益 相关</w:t>
            </w:r>
          </w:p>
        </w:tc>
      </w:tr>
      <w:tr>
        <w:trPr>
          <w:trHeight w:val="480" w:hRule="exact"/>
        </w:trPr>
        <w:tc>
          <w:tcPr>
            <w:tcW w:w="1992" w:type="dxa"/>
            <w:vMerge/>
            <w:tcBorders>
              <w:left w:val="single" w:sz="4" w:space="0" w:color="FFC000"/>
              <w:bottom w:val="nil" w:sz="6" w:space="0" w:color="auto"/>
              <w:right w:val="single" w:sz="4" w:space="0" w:color="FFC000"/>
            </w:tcBorders>
            <w:shd w:val="clear" w:color="auto" w:fill="FFF8E6"/>
          </w:tcPr>
          <w:p>
            <w:pPr/>
          </w:p>
        </w:tc>
        <w:tc>
          <w:tcPr>
            <w:tcW w:w="3132" w:type="dxa"/>
            <w:gridSpan w:val="3"/>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3119" w:type="dxa"/>
            <w:gridSpan w:val="3"/>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5"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c>
          <w:tcPr>
            <w:tcW w:w="1105" w:type="dxa"/>
            <w:vMerge/>
            <w:tcBorders>
              <w:left w:val="single" w:sz="4" w:space="0" w:color="FFC000"/>
              <w:right w:val="single" w:sz="4" w:space="0" w:color="FFC000"/>
            </w:tcBorders>
            <w:shd w:val="clear" w:color="auto" w:fill="FFF8E6"/>
          </w:tcPr>
          <w:p>
            <w:pPr/>
          </w:p>
        </w:tc>
      </w:tr>
      <w:tr>
        <w:trPr>
          <w:trHeight w:val="200" w:hRule="exact"/>
        </w:trPr>
        <w:tc>
          <w:tcPr>
            <w:tcW w:w="1992"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09"/>
              <w:ind w:left="63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补助项目</w:t>
            </w:r>
          </w:p>
        </w:tc>
        <w:tc>
          <w:tcPr>
            <w:tcW w:w="3132" w:type="dxa"/>
            <w:gridSpan w:val="3"/>
            <w:tcBorders>
              <w:top w:val="nil" w:sz="6" w:space="0" w:color="auto"/>
              <w:left w:val="single" w:sz="4" w:space="0" w:color="FFC000"/>
              <w:bottom w:val="single" w:sz="4" w:space="0" w:color="FFC000"/>
              <w:right w:val="single" w:sz="4" w:space="0" w:color="FFC000"/>
            </w:tcBorders>
            <w:shd w:val="clear" w:color="auto" w:fill="FFF8E6"/>
          </w:tcPr>
          <w:p>
            <w:pPr/>
          </w:p>
        </w:tc>
        <w:tc>
          <w:tcPr>
            <w:tcW w:w="3119" w:type="dxa"/>
            <w:gridSpan w:val="3"/>
            <w:tcBorders>
              <w:top w:val="nil" w:sz="6" w:space="0" w:color="auto"/>
              <w:left w:val="single" w:sz="4" w:space="0" w:color="FFC000"/>
              <w:bottom w:val="single" w:sz="4" w:space="0" w:color="FFC000"/>
              <w:right w:val="single" w:sz="4" w:space="0" w:color="FFC000"/>
            </w:tcBorders>
            <w:shd w:val="clear" w:color="auto" w:fill="FFF8E6"/>
          </w:tcPr>
          <w:p>
            <w:pPr/>
          </w:p>
        </w:tc>
        <w:tc>
          <w:tcPr>
            <w:tcW w:w="1105" w:type="dxa"/>
            <w:vMerge/>
            <w:tcBorders>
              <w:left w:val="single" w:sz="4" w:space="0" w:color="FFC000"/>
              <w:bottom w:val="single" w:sz="4" w:space="0" w:color="FFC000"/>
              <w:right w:val="single" w:sz="4" w:space="0" w:color="FFC000"/>
            </w:tcBorders>
            <w:shd w:val="clear" w:color="auto" w:fill="FFF8E6"/>
          </w:tcPr>
          <w:p>
            <w:pPr/>
          </w:p>
        </w:tc>
      </w:tr>
      <w:tr>
        <w:trPr>
          <w:trHeight w:val="219" w:hRule="exact"/>
        </w:trPr>
        <w:tc>
          <w:tcPr>
            <w:tcW w:w="1992" w:type="dxa"/>
            <w:vMerge/>
            <w:tcBorders>
              <w:left w:val="single" w:sz="4" w:space="0" w:color="FFC000"/>
              <w:bottom w:val="single" w:sz="14" w:space="0" w:color="FFFFFF"/>
              <w:right w:val="single" w:sz="4" w:space="0" w:color="FFC000"/>
            </w:tcBorders>
            <w:shd w:val="clear" w:color="auto" w:fill="FFF8E6"/>
          </w:tcPr>
          <w:p>
            <w:pPr/>
          </w:p>
        </w:tc>
        <w:tc>
          <w:tcPr>
            <w:tcW w:w="1431" w:type="dxa"/>
            <w:tcBorders>
              <w:top w:val="single" w:sz="4" w:space="0" w:color="FFC000"/>
              <w:left w:val="single" w:sz="4" w:space="0" w:color="FFC000"/>
              <w:bottom w:val="single" w:sz="14" w:space="0" w:color="FFFFFF"/>
              <w:right w:val="single" w:sz="4" w:space="0" w:color="FFC000"/>
            </w:tcBorders>
            <w:shd w:val="clear" w:color="auto" w:fill="FFF8E6"/>
          </w:tcPr>
          <w:p>
            <w:pPr/>
          </w:p>
        </w:tc>
        <w:tc>
          <w:tcPr>
            <w:tcW w:w="851"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8"/>
              <w:ind w:left="240" w:right="59"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计入其他 收益</w:t>
            </w:r>
          </w:p>
        </w:tc>
        <w:tc>
          <w:tcPr>
            <w:tcW w:w="850"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8"/>
              <w:ind w:left="239" w:right="59"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冲减成本 费用</w:t>
            </w:r>
          </w:p>
        </w:tc>
        <w:tc>
          <w:tcPr>
            <w:tcW w:w="1418" w:type="dxa"/>
            <w:tcBorders>
              <w:top w:val="single" w:sz="4" w:space="0" w:color="FFC000"/>
              <w:left w:val="single" w:sz="4" w:space="0" w:color="FFC000"/>
              <w:bottom w:val="nil" w:sz="6" w:space="0" w:color="auto"/>
              <w:right w:val="single" w:sz="4" w:space="0" w:color="FFC000"/>
            </w:tcBorders>
            <w:shd w:val="clear" w:color="auto" w:fill="FFF8E6"/>
          </w:tcPr>
          <w:p>
            <w:pPr/>
          </w:p>
        </w:tc>
        <w:tc>
          <w:tcPr>
            <w:tcW w:w="850"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8"/>
              <w:ind w:left="240" w:right="58" w:hanging="18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计入其他 收益</w:t>
            </w:r>
          </w:p>
        </w:tc>
        <w:tc>
          <w:tcPr>
            <w:tcW w:w="851"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8"/>
              <w:ind w:left="241" w:right="59"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冲减成本 费用</w:t>
            </w:r>
          </w:p>
        </w:tc>
        <w:tc>
          <w:tcPr>
            <w:tcW w:w="1105" w:type="dxa"/>
            <w:tcBorders>
              <w:top w:val="single" w:sz="4" w:space="0" w:color="FFC000"/>
              <w:left w:val="single" w:sz="4" w:space="0" w:color="FFC000"/>
              <w:bottom w:val="nil" w:sz="6" w:space="0" w:color="auto"/>
              <w:right w:val="single" w:sz="4" w:space="0" w:color="FFC000"/>
            </w:tcBorders>
            <w:shd w:val="clear" w:color="auto" w:fill="FFF8E6"/>
          </w:tcPr>
          <w:p>
            <w:pPr/>
          </w:p>
        </w:tc>
      </w:tr>
      <w:tr>
        <w:trPr>
          <w:trHeight w:val="476" w:hRule="exact"/>
        </w:trPr>
        <w:tc>
          <w:tcPr>
            <w:tcW w:w="1992" w:type="dxa"/>
            <w:vMerge w:val="restart"/>
            <w:tcBorders>
              <w:top w:val="single" w:sz="14" w:space="0" w:color="FFFFFF"/>
              <w:left w:val="single" w:sz="4" w:space="0" w:color="FFC000"/>
              <w:right w:val="single" w:sz="4" w:space="0" w:color="FFC000"/>
            </w:tcBorders>
            <w:shd w:val="clear" w:color="auto" w:fill="FFF8E6"/>
          </w:tcPr>
          <w:p>
            <w:pPr/>
          </w:p>
        </w:tc>
        <w:tc>
          <w:tcPr>
            <w:tcW w:w="1431" w:type="dxa"/>
            <w:tcBorders>
              <w:top w:val="single" w:sz="14" w:space="0" w:color="FFFFFF"/>
              <w:left w:val="single" w:sz="4" w:space="0" w:color="FFC000"/>
              <w:bottom w:val="nil" w:sz="6" w:space="0" w:color="auto"/>
              <w:right w:val="single" w:sz="4" w:space="0" w:color="FFC000"/>
            </w:tcBorders>
            <w:shd w:val="clear" w:color="auto" w:fill="FFF8E6"/>
          </w:tcPr>
          <w:p>
            <w:pPr>
              <w:pStyle w:val="TableParagraph"/>
              <w:spacing w:line="240" w:lineRule="auto" w:before="118"/>
              <w:ind w:right="7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计入营业外收入</w:t>
            </w:r>
          </w:p>
        </w:tc>
        <w:tc>
          <w:tcPr>
            <w:tcW w:w="851" w:type="dxa"/>
            <w:vMerge/>
            <w:tcBorders>
              <w:left w:val="single" w:sz="4" w:space="0" w:color="FFC000"/>
              <w:right w:val="single" w:sz="4" w:space="0" w:color="FFC000"/>
            </w:tcBorders>
            <w:shd w:val="clear" w:color="auto" w:fill="FFF8E6"/>
          </w:tcPr>
          <w:p>
            <w:pPr/>
          </w:p>
        </w:tc>
        <w:tc>
          <w:tcPr>
            <w:tcW w:w="850" w:type="dxa"/>
            <w:vMerge/>
            <w:tcBorders>
              <w:left w:val="single" w:sz="4" w:space="0" w:color="FFC000"/>
              <w:right w:val="single" w:sz="4" w:space="0" w:color="FFC000"/>
            </w:tcBorders>
            <w:shd w:val="clear" w:color="auto" w:fill="FFF8E6"/>
          </w:tcPr>
          <w:p>
            <w:pPr/>
          </w:p>
        </w:tc>
        <w:tc>
          <w:tcPr>
            <w:tcW w:w="1418"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0"/>
              <w:ind w:left="7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计入营业外收入</w:t>
            </w:r>
          </w:p>
        </w:tc>
        <w:tc>
          <w:tcPr>
            <w:tcW w:w="850" w:type="dxa"/>
            <w:vMerge/>
            <w:tcBorders>
              <w:left w:val="single" w:sz="4" w:space="0" w:color="FFC000"/>
              <w:right w:val="single" w:sz="4" w:space="0" w:color="FFC000"/>
            </w:tcBorders>
            <w:shd w:val="clear" w:color="auto" w:fill="FFF8E6"/>
          </w:tcPr>
          <w:p>
            <w:pPr/>
          </w:p>
        </w:tc>
        <w:tc>
          <w:tcPr>
            <w:tcW w:w="851" w:type="dxa"/>
            <w:vMerge/>
            <w:tcBorders>
              <w:left w:val="single" w:sz="4" w:space="0" w:color="FFC000"/>
              <w:right w:val="single" w:sz="4" w:space="0" w:color="FFC000"/>
            </w:tcBorders>
            <w:shd w:val="clear" w:color="auto" w:fill="FFF8E6"/>
          </w:tcPr>
          <w:p>
            <w:pPr/>
          </w:p>
        </w:tc>
        <w:tc>
          <w:tcPr>
            <w:tcW w:w="1105" w:type="dxa"/>
            <w:tcBorders>
              <w:top w:val="nil" w:sz="6" w:space="0" w:color="auto"/>
              <w:left w:val="single" w:sz="4" w:space="0" w:color="FFC000"/>
              <w:bottom w:val="nil" w:sz="6" w:space="0" w:color="auto"/>
              <w:right w:val="single" w:sz="4" w:space="0" w:color="FFC000"/>
            </w:tcBorders>
            <w:shd w:val="clear" w:color="auto" w:fill="FFF8E6"/>
          </w:tcPr>
          <w:p>
            <w:pPr/>
          </w:p>
        </w:tc>
      </w:tr>
      <w:tr>
        <w:trPr>
          <w:trHeight w:val="204" w:hRule="exact"/>
        </w:trPr>
        <w:tc>
          <w:tcPr>
            <w:tcW w:w="1992" w:type="dxa"/>
            <w:vMerge/>
            <w:tcBorders>
              <w:left w:val="single" w:sz="4" w:space="0" w:color="FFC000"/>
              <w:bottom w:val="single" w:sz="4" w:space="0" w:color="FFC000"/>
              <w:right w:val="single" w:sz="4" w:space="0" w:color="FFC000"/>
            </w:tcBorders>
            <w:shd w:val="clear" w:color="auto" w:fill="FFF8E6"/>
          </w:tcPr>
          <w:p>
            <w:pPr/>
          </w:p>
        </w:tc>
        <w:tc>
          <w:tcPr>
            <w:tcW w:w="1431" w:type="dxa"/>
            <w:tcBorders>
              <w:top w:val="nil" w:sz="6" w:space="0" w:color="auto"/>
              <w:left w:val="single" w:sz="4" w:space="0" w:color="FFC000"/>
              <w:bottom w:val="single" w:sz="4" w:space="0" w:color="FFC000"/>
              <w:right w:val="single" w:sz="4" w:space="0" w:color="FFC000"/>
            </w:tcBorders>
            <w:shd w:val="clear" w:color="auto" w:fill="FFF8E6"/>
          </w:tcPr>
          <w:p>
            <w:pPr/>
          </w:p>
        </w:tc>
        <w:tc>
          <w:tcPr>
            <w:tcW w:w="851" w:type="dxa"/>
            <w:vMerge/>
            <w:tcBorders>
              <w:left w:val="single" w:sz="4" w:space="0" w:color="FFC000"/>
              <w:bottom w:val="single" w:sz="4" w:space="0" w:color="FFC000"/>
              <w:right w:val="single" w:sz="4" w:space="0" w:color="FFC000"/>
            </w:tcBorders>
            <w:shd w:val="clear" w:color="auto" w:fill="FFF8E6"/>
          </w:tcPr>
          <w:p>
            <w:pPr/>
          </w:p>
        </w:tc>
        <w:tc>
          <w:tcPr>
            <w:tcW w:w="850" w:type="dxa"/>
            <w:vMerge/>
            <w:tcBorders>
              <w:left w:val="single" w:sz="4" w:space="0" w:color="FFC000"/>
              <w:bottom w:val="single" w:sz="4" w:space="0" w:color="FFC000"/>
              <w:right w:val="single" w:sz="4" w:space="0" w:color="FFC000"/>
            </w:tcBorders>
            <w:shd w:val="clear" w:color="auto" w:fill="FFF8E6"/>
          </w:tcPr>
          <w:p>
            <w:pPr/>
          </w:p>
        </w:tc>
        <w:tc>
          <w:tcPr>
            <w:tcW w:w="1418" w:type="dxa"/>
            <w:tcBorders>
              <w:top w:val="nil" w:sz="6" w:space="0" w:color="auto"/>
              <w:left w:val="single" w:sz="4" w:space="0" w:color="FFC000"/>
              <w:bottom w:val="single" w:sz="4" w:space="0" w:color="FFC000"/>
              <w:right w:val="single" w:sz="4" w:space="0" w:color="FFC000"/>
            </w:tcBorders>
            <w:shd w:val="clear" w:color="auto" w:fill="FFF8E6"/>
          </w:tcPr>
          <w:p>
            <w:pPr/>
          </w:p>
        </w:tc>
        <w:tc>
          <w:tcPr>
            <w:tcW w:w="850" w:type="dxa"/>
            <w:vMerge/>
            <w:tcBorders>
              <w:left w:val="single" w:sz="4" w:space="0" w:color="FFC000"/>
              <w:bottom w:val="single" w:sz="4" w:space="0" w:color="FFC000"/>
              <w:right w:val="single" w:sz="4" w:space="0" w:color="FFC000"/>
            </w:tcBorders>
            <w:shd w:val="clear" w:color="auto" w:fill="FFF8E6"/>
          </w:tcPr>
          <w:p>
            <w:pPr/>
          </w:p>
        </w:tc>
        <w:tc>
          <w:tcPr>
            <w:tcW w:w="851" w:type="dxa"/>
            <w:vMerge/>
            <w:tcBorders>
              <w:left w:val="single" w:sz="4" w:space="0" w:color="FFC000"/>
              <w:bottom w:val="single" w:sz="4" w:space="0" w:color="FFC000"/>
              <w:right w:val="single" w:sz="4" w:space="0" w:color="FFC000"/>
            </w:tcBorders>
            <w:shd w:val="clear" w:color="auto" w:fill="FFF8E6"/>
          </w:tcPr>
          <w:p>
            <w:pPr/>
          </w:p>
        </w:tc>
        <w:tc>
          <w:tcPr>
            <w:tcW w:w="1105" w:type="dxa"/>
            <w:tcBorders>
              <w:top w:val="nil" w:sz="6" w:space="0" w:color="auto"/>
              <w:left w:val="single" w:sz="4" w:space="0" w:color="FFC000"/>
              <w:bottom w:val="single" w:sz="4" w:space="0" w:color="FFC000"/>
              <w:right w:val="single" w:sz="4" w:space="0" w:color="FFC000"/>
            </w:tcBorders>
            <w:shd w:val="clear" w:color="auto" w:fill="FFF8E6"/>
          </w:tcPr>
          <w:p>
            <w:pPr/>
          </w:p>
        </w:tc>
      </w:tr>
      <w:tr>
        <w:trPr>
          <w:trHeight w:val="450" w:hRule="exact"/>
        </w:trPr>
        <w:tc>
          <w:tcPr>
            <w:tcW w:w="19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0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服务中心补贴</w:t>
            </w:r>
          </w:p>
        </w:tc>
        <w:tc>
          <w:tcPr>
            <w:tcW w:w="1431" w:type="dxa"/>
            <w:tcBorders>
              <w:top w:val="single" w:sz="4" w:space="0" w:color="FFC000"/>
              <w:left w:val="single" w:sz="13" w:space="0" w:color="FFF8E6"/>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1418"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851" w:type="dxa"/>
            <w:tcBorders>
              <w:top w:val="single" w:sz="4" w:space="0" w:color="FFC000"/>
              <w:left w:val="single" w:sz="4" w:space="0" w:color="FFC000"/>
              <w:bottom w:val="single" w:sz="4" w:space="0" w:color="FFC000"/>
              <w:right w:val="single" w:sz="4" w:space="0" w:color="FFC000"/>
            </w:tcBorders>
          </w:tcPr>
          <w:p>
            <w:pPr/>
          </w:p>
        </w:tc>
        <w:tc>
          <w:tcPr>
            <w:tcW w:w="1105" w:type="dxa"/>
            <w:tcBorders>
              <w:top w:val="single" w:sz="4" w:space="0" w:color="FFC000"/>
              <w:left w:val="single" w:sz="4" w:space="0" w:color="FFC000"/>
              <w:bottom w:val="single" w:sz="4" w:space="0" w:color="FFC000"/>
              <w:right w:val="single" w:sz="4" w:space="0" w:color="FFC000"/>
            </w:tcBorders>
          </w:tcPr>
          <w:p>
            <w:pPr/>
          </w:p>
        </w:tc>
      </w:tr>
      <w:tr>
        <w:trPr>
          <w:trHeight w:val="890" w:hRule="exact"/>
        </w:trPr>
        <w:tc>
          <w:tcPr>
            <w:tcW w:w="19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4"/>
              <w:ind w:left="11" w:right="11"/>
              <w:jc w:val="left"/>
              <w:rPr>
                <w:rFonts w:ascii="华文细黑" w:hAnsi="华文细黑" w:cs="华文细黑" w:eastAsia="华文细黑" w:hint="default"/>
                <w:sz w:val="18"/>
                <w:szCs w:val="18"/>
              </w:rPr>
            </w:pPr>
            <w:r>
              <w:rPr>
                <w:rFonts w:ascii="华文细黑" w:hAnsi="华文细黑" w:cs="华文细黑" w:eastAsia="华文细黑" w:hint="default"/>
                <w:spacing w:val="15"/>
                <w:sz w:val="18"/>
                <w:szCs w:val="18"/>
              </w:rPr>
              <w:t>福田区国库连锁商业企</w:t>
            </w:r>
            <w:r>
              <w:rPr>
                <w:rFonts w:ascii="华文细黑" w:hAnsi="华文细黑" w:cs="华文细黑" w:eastAsia="华文细黑" w:hint="default"/>
                <w:sz w:val="18"/>
                <w:szCs w:val="18"/>
              </w:rPr>
              <w:t> 业支持款</w:t>
            </w:r>
          </w:p>
        </w:tc>
        <w:tc>
          <w:tcPr>
            <w:tcW w:w="143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w w:val="95"/>
                <w:sz w:val="18"/>
              </w:rPr>
              <w:t>200,000.00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2"/>
              <w:ind w:right="0"/>
              <w:jc w:val="left"/>
              <w:rPr>
                <w:rFonts w:ascii="华文细黑" w:hAnsi="华文细黑" w:cs="华文细黑" w:eastAsia="华文细黑" w:hint="default"/>
                <w:sz w:val="20"/>
                <w:szCs w:val="20"/>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与收益相关</w:t>
            </w:r>
          </w:p>
        </w:tc>
      </w:tr>
      <w:tr>
        <w:trPr>
          <w:trHeight w:val="890" w:hRule="exact"/>
        </w:trPr>
        <w:tc>
          <w:tcPr>
            <w:tcW w:w="19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11"/>
              <w:jc w:val="left"/>
              <w:rPr>
                <w:rFonts w:ascii="华文细黑" w:hAnsi="华文细黑" w:cs="华文细黑" w:eastAsia="华文细黑" w:hint="default"/>
                <w:sz w:val="18"/>
                <w:szCs w:val="18"/>
              </w:rPr>
            </w:pPr>
            <w:r>
              <w:rPr>
                <w:rFonts w:ascii="华文细黑" w:hAnsi="华文细黑" w:cs="华文细黑" w:eastAsia="华文细黑" w:hint="default"/>
                <w:spacing w:val="15"/>
                <w:sz w:val="18"/>
                <w:szCs w:val="18"/>
              </w:rPr>
              <w:t>现代服务业连锁商业企</w:t>
            </w:r>
            <w:r>
              <w:rPr>
                <w:rFonts w:ascii="华文细黑" w:hAnsi="华文细黑" w:cs="华文细黑" w:eastAsia="华文细黑" w:hint="default"/>
                <w:sz w:val="18"/>
                <w:szCs w:val="18"/>
              </w:rPr>
              <w:t> 业认定支持</w:t>
            </w:r>
          </w:p>
        </w:tc>
        <w:tc>
          <w:tcPr>
            <w:tcW w:w="143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w w:val="95"/>
                <w:sz w:val="18"/>
              </w:rPr>
              <w:t>200,000.00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2"/>
              <w:ind w:right="0"/>
              <w:jc w:val="left"/>
              <w:rPr>
                <w:rFonts w:ascii="华文细黑" w:hAnsi="华文细黑" w:cs="华文细黑" w:eastAsia="华文细黑" w:hint="default"/>
                <w:sz w:val="20"/>
                <w:szCs w:val="20"/>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与收益相关</w:t>
            </w:r>
          </w:p>
        </w:tc>
      </w:tr>
      <w:tr>
        <w:trPr>
          <w:trHeight w:val="889" w:hRule="exact"/>
        </w:trPr>
        <w:tc>
          <w:tcPr>
            <w:tcW w:w="19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11"/>
              <w:jc w:val="left"/>
              <w:rPr>
                <w:rFonts w:ascii="华文细黑" w:hAnsi="华文细黑" w:cs="华文细黑" w:eastAsia="华文细黑" w:hint="default"/>
                <w:sz w:val="18"/>
                <w:szCs w:val="18"/>
              </w:rPr>
            </w:pPr>
            <w:r>
              <w:rPr>
                <w:rFonts w:ascii="华文细黑" w:hAnsi="华文细黑" w:cs="华文细黑" w:eastAsia="华文细黑" w:hint="default"/>
                <w:spacing w:val="15"/>
                <w:sz w:val="18"/>
                <w:szCs w:val="18"/>
              </w:rPr>
              <w:t>国家高新技术企业倍增</w:t>
            </w:r>
            <w:r>
              <w:rPr>
                <w:rFonts w:ascii="华文细黑" w:hAnsi="华文细黑" w:cs="华文细黑" w:eastAsia="华文细黑" w:hint="default"/>
                <w:sz w:val="18"/>
                <w:szCs w:val="18"/>
              </w:rPr>
              <w:t> 计划补贴款</w:t>
            </w:r>
          </w:p>
        </w:tc>
        <w:tc>
          <w:tcPr>
            <w:tcW w:w="143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w w:val="95"/>
                <w:sz w:val="18"/>
              </w:rPr>
              <w:t>100,000.00</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与收益相关</w:t>
            </w:r>
          </w:p>
        </w:tc>
      </w:tr>
      <w:tr>
        <w:trPr>
          <w:trHeight w:val="491" w:hRule="exact"/>
        </w:trPr>
        <w:tc>
          <w:tcPr>
            <w:tcW w:w="19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143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w w:val="95"/>
                <w:sz w:val="18"/>
              </w:rPr>
              <w:t>157,237.95</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w w:val="95"/>
                <w:sz w:val="18"/>
              </w:rPr>
              <w:t>664,273.97</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110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与收益相关</w:t>
            </w:r>
          </w:p>
        </w:tc>
      </w:tr>
      <w:tr>
        <w:trPr>
          <w:trHeight w:val="490" w:hRule="exact"/>
        </w:trPr>
        <w:tc>
          <w:tcPr>
            <w:tcW w:w="19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43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b/>
                <w:w w:val="95"/>
                <w:sz w:val="18"/>
              </w:rPr>
              <w:t>26,427,909.69</w:t>
            </w:r>
            <w:r>
              <w:rPr>
                <w:rFonts w:ascii="华文细黑"/>
                <w:sz w:val="18"/>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b/>
                <w:w w:val="95"/>
                <w:sz w:val="18"/>
              </w:rPr>
              <w:t>16,497,135.12</w:t>
            </w:r>
            <w:r>
              <w:rPr>
                <w:rFonts w:ascii="华文细黑"/>
                <w:sz w:val="18"/>
              </w:rPr>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105" w:type="dxa"/>
            <w:tcBorders>
              <w:top w:val="single" w:sz="4" w:space="0" w:color="FFC000"/>
              <w:left w:val="single" w:sz="4" w:space="0" w:color="FFC000"/>
              <w:bottom w:val="single" w:sz="4" w:space="0" w:color="FFC000"/>
              <w:right w:val="single" w:sz="4" w:space="0" w:color="FFC000"/>
            </w:tcBorders>
          </w:tcPr>
          <w:p>
            <w:pPr/>
          </w:p>
        </w:tc>
      </w:tr>
    </w:tbl>
    <w:p>
      <w:pPr>
        <w:spacing w:line="240" w:lineRule="auto" w:before="13"/>
        <w:rPr>
          <w:rFonts w:ascii="华文细黑" w:hAnsi="华文细黑" w:cs="华文细黑" w:eastAsia="华文细黑" w:hint="default"/>
          <w:sz w:val="6"/>
          <w:szCs w:val="6"/>
        </w:rPr>
      </w:pPr>
    </w:p>
    <w:p>
      <w:pPr>
        <w:pStyle w:val="Heading5"/>
        <w:spacing w:line="240" w:lineRule="auto"/>
        <w:ind w:left="620" w:right="1289"/>
        <w:jc w:val="left"/>
        <w:rPr>
          <w:b w:val="0"/>
          <w:bCs w:val="0"/>
        </w:rPr>
      </w:pPr>
      <w:bookmarkStart w:name="47、营业外支出" w:id="312"/>
      <w:bookmarkEnd w:id="312"/>
      <w:r>
        <w:rPr>
          <w:b w:val="0"/>
          <w:bCs w:val="0"/>
        </w:rPr>
      </w:r>
      <w:r>
        <w:rPr>
          <w:rFonts w:ascii="华文细黑" w:hAnsi="华文细黑" w:cs="华文细黑" w:eastAsia="华文细黑" w:hint="default"/>
        </w:rPr>
        <w:t>47</w:t>
      </w:r>
      <w:r>
        <w:rPr/>
        <w:t>、营业外支出</w:t>
      </w:r>
      <w:r>
        <w:rPr>
          <w:b w:val="0"/>
          <w:bCs w:val="0"/>
        </w:rPr>
      </w:r>
    </w:p>
    <w:p>
      <w:pPr>
        <w:spacing w:line="240" w:lineRule="auto" w:before="5"/>
        <w:rPr>
          <w:rFonts w:ascii="华文细黑" w:hAnsi="华文细黑" w:cs="华文细黑" w:eastAsia="华文细黑" w:hint="default"/>
          <w:b/>
          <w:bCs/>
          <w:sz w:val="5"/>
          <w:szCs w:val="5"/>
        </w:rPr>
      </w:pPr>
    </w:p>
    <w:tbl>
      <w:tblPr>
        <w:tblW w:w="0" w:type="auto"/>
        <w:jc w:val="left"/>
        <w:tblInd w:w="211" w:type="dxa"/>
        <w:tblLayout w:type="fixed"/>
        <w:tblCellMar>
          <w:top w:w="0" w:type="dxa"/>
          <w:left w:w="0" w:type="dxa"/>
          <w:bottom w:w="0" w:type="dxa"/>
          <w:right w:w="0" w:type="dxa"/>
        </w:tblCellMar>
        <w:tblLook w:val="01E0"/>
      </w:tblPr>
      <w:tblGrid>
        <w:gridCol w:w="3080"/>
        <w:gridCol w:w="1998"/>
        <w:gridCol w:w="2136"/>
        <w:gridCol w:w="1986"/>
      </w:tblGrid>
      <w:tr>
        <w:trPr>
          <w:trHeight w:val="205" w:hRule="exact"/>
        </w:trPr>
        <w:tc>
          <w:tcPr>
            <w:tcW w:w="3080" w:type="dxa"/>
            <w:tcBorders>
              <w:top w:val="single" w:sz="4" w:space="0" w:color="FFC000"/>
              <w:left w:val="single" w:sz="4" w:space="0" w:color="FFC000"/>
              <w:bottom w:val="nil" w:sz="6" w:space="0" w:color="auto"/>
              <w:right w:val="single" w:sz="4" w:space="0" w:color="FFC000"/>
            </w:tcBorders>
            <w:shd w:val="clear" w:color="auto" w:fill="FFF8E6"/>
          </w:tcPr>
          <w:p>
            <w:pPr/>
          </w:p>
        </w:tc>
        <w:tc>
          <w:tcPr>
            <w:tcW w:w="1998" w:type="dxa"/>
            <w:tcBorders>
              <w:top w:val="single" w:sz="4" w:space="0" w:color="FFC000"/>
              <w:left w:val="single" w:sz="4" w:space="0" w:color="FFC000"/>
              <w:bottom w:val="nil" w:sz="6" w:space="0" w:color="auto"/>
              <w:right w:val="single" w:sz="4" w:space="0" w:color="FFC000"/>
            </w:tcBorders>
            <w:shd w:val="clear" w:color="auto" w:fill="FFF8E6"/>
          </w:tcPr>
          <w:p>
            <w:pPr/>
          </w:p>
        </w:tc>
        <w:tc>
          <w:tcPr>
            <w:tcW w:w="2136" w:type="dxa"/>
            <w:tcBorders>
              <w:top w:val="single" w:sz="4" w:space="0" w:color="FFC000"/>
              <w:left w:val="single" w:sz="4" w:space="0" w:color="FFC000"/>
              <w:bottom w:val="nil" w:sz="6" w:space="0" w:color="auto"/>
              <w:right w:val="single" w:sz="4" w:space="0" w:color="FFC000"/>
            </w:tcBorders>
            <w:shd w:val="clear" w:color="auto" w:fill="FFF8E6"/>
          </w:tcPr>
          <w:p>
            <w:pPr/>
          </w:p>
        </w:tc>
        <w:tc>
          <w:tcPr>
            <w:tcW w:w="1986" w:type="dxa"/>
            <w:vMerge w:val="restart"/>
            <w:tcBorders>
              <w:top w:val="single" w:sz="4" w:space="0" w:color="FFC000"/>
              <w:left w:val="single" w:sz="4" w:space="0" w:color="FFC000"/>
              <w:right w:val="single" w:sz="4" w:space="0" w:color="FFC000"/>
            </w:tcBorders>
            <w:shd w:val="clear" w:color="auto" w:fill="FFF8E6"/>
          </w:tcPr>
          <w:p>
            <w:pPr>
              <w:pStyle w:val="TableParagraph"/>
              <w:spacing w:line="376" w:lineRule="auto" w:before="144"/>
              <w:ind w:left="717" w:right="86" w:hanging="63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计入本年非经常性损益 的金额</w:t>
            </w:r>
          </w:p>
        </w:tc>
      </w:tr>
      <w:tr>
        <w:trPr>
          <w:trHeight w:val="480" w:hRule="exact"/>
        </w:trPr>
        <w:tc>
          <w:tcPr>
            <w:tcW w:w="3080" w:type="dxa"/>
            <w:tcBorders>
              <w:top w:val="nil" w:sz="6" w:space="0" w:color="auto"/>
              <w:left w:val="single" w:sz="4" w:space="0" w:color="FFC000"/>
              <w:bottom w:val="nil" w:sz="6" w:space="0" w:color="auto"/>
              <w:right w:val="single" w:sz="4" w:space="0" w:color="FFC000"/>
            </w:tcBorders>
            <w:shd w:val="clear" w:color="auto" w:fill="FFF8E6"/>
          </w:tcPr>
          <w:p>
            <w:pPr>
              <w:pStyle w:val="TableParagraph"/>
              <w:tabs>
                <w:tab w:pos="538" w:val="left" w:leader="none"/>
              </w:tabs>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1998"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55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2136"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6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c>
          <w:tcPr>
            <w:tcW w:w="1986" w:type="dxa"/>
            <w:vMerge/>
            <w:tcBorders>
              <w:left w:val="single" w:sz="4" w:space="0" w:color="FFC000"/>
              <w:right w:val="single" w:sz="4" w:space="0" w:color="FFC000"/>
            </w:tcBorders>
            <w:shd w:val="clear" w:color="auto" w:fill="FFF8E6"/>
          </w:tcPr>
          <w:p>
            <w:pPr/>
          </w:p>
        </w:tc>
      </w:tr>
      <w:tr>
        <w:trPr>
          <w:trHeight w:val="205" w:hRule="exact"/>
        </w:trPr>
        <w:tc>
          <w:tcPr>
            <w:tcW w:w="3080" w:type="dxa"/>
            <w:tcBorders>
              <w:top w:val="nil" w:sz="6" w:space="0" w:color="auto"/>
              <w:left w:val="single" w:sz="4" w:space="0" w:color="FFC000"/>
              <w:bottom w:val="single" w:sz="4" w:space="0" w:color="FFC000"/>
              <w:right w:val="single" w:sz="4" w:space="0" w:color="FFC000"/>
            </w:tcBorders>
            <w:shd w:val="clear" w:color="auto" w:fill="FFF8E6"/>
          </w:tcPr>
          <w:p>
            <w:pPr/>
          </w:p>
        </w:tc>
        <w:tc>
          <w:tcPr>
            <w:tcW w:w="1998" w:type="dxa"/>
            <w:tcBorders>
              <w:top w:val="nil" w:sz="6" w:space="0" w:color="auto"/>
              <w:left w:val="single" w:sz="4" w:space="0" w:color="FFC000"/>
              <w:bottom w:val="single" w:sz="4" w:space="0" w:color="FFC000"/>
              <w:right w:val="single" w:sz="4" w:space="0" w:color="FFC000"/>
            </w:tcBorders>
            <w:shd w:val="clear" w:color="auto" w:fill="FFF8E6"/>
          </w:tcPr>
          <w:p>
            <w:pPr/>
          </w:p>
        </w:tc>
        <w:tc>
          <w:tcPr>
            <w:tcW w:w="2136" w:type="dxa"/>
            <w:tcBorders>
              <w:top w:val="nil" w:sz="6" w:space="0" w:color="auto"/>
              <w:left w:val="single" w:sz="4" w:space="0" w:color="FFC000"/>
              <w:bottom w:val="single" w:sz="4" w:space="0" w:color="FFC000"/>
              <w:right w:val="single" w:sz="4" w:space="0" w:color="FFC000"/>
            </w:tcBorders>
            <w:shd w:val="clear" w:color="auto" w:fill="FFF8E6"/>
          </w:tcPr>
          <w:p>
            <w:pPr/>
          </w:p>
        </w:tc>
        <w:tc>
          <w:tcPr>
            <w:tcW w:w="1986"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3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非流动资产毁损报废损失</w:t>
            </w:r>
          </w:p>
        </w:tc>
        <w:tc>
          <w:tcPr>
            <w:tcW w:w="199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40,962.82</w:t>
            </w:r>
          </w:p>
        </w:tc>
        <w:tc>
          <w:tcPr>
            <w:tcW w:w="21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108,592.25</w:t>
            </w:r>
          </w:p>
        </w:tc>
        <w:tc>
          <w:tcPr>
            <w:tcW w:w="198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40,962.82</w:t>
            </w:r>
          </w:p>
        </w:tc>
      </w:tr>
      <w:tr>
        <w:trPr>
          <w:trHeight w:val="491" w:hRule="exact"/>
        </w:trPr>
        <w:tc>
          <w:tcPr>
            <w:tcW w:w="3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对外捐赠支出</w:t>
            </w:r>
          </w:p>
        </w:tc>
        <w:tc>
          <w:tcPr>
            <w:tcW w:w="199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50,000.00</w:t>
            </w:r>
          </w:p>
        </w:tc>
        <w:tc>
          <w:tcPr>
            <w:tcW w:w="21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20,000.00</w:t>
            </w:r>
          </w:p>
        </w:tc>
        <w:tc>
          <w:tcPr>
            <w:tcW w:w="198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50,000.00</w:t>
            </w:r>
          </w:p>
        </w:tc>
      </w:tr>
      <w:tr>
        <w:trPr>
          <w:trHeight w:val="490" w:hRule="exact"/>
        </w:trPr>
        <w:tc>
          <w:tcPr>
            <w:tcW w:w="3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罚款支出</w:t>
            </w:r>
          </w:p>
        </w:tc>
        <w:tc>
          <w:tcPr>
            <w:tcW w:w="199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84,454.02</w:t>
            </w:r>
          </w:p>
        </w:tc>
        <w:tc>
          <w:tcPr>
            <w:tcW w:w="21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739,586.09</w:t>
            </w:r>
          </w:p>
        </w:tc>
        <w:tc>
          <w:tcPr>
            <w:tcW w:w="198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84,454.02</w:t>
            </w:r>
          </w:p>
        </w:tc>
      </w:tr>
      <w:tr>
        <w:trPr>
          <w:trHeight w:val="490" w:hRule="exact"/>
        </w:trPr>
        <w:tc>
          <w:tcPr>
            <w:tcW w:w="3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赔偿金支出</w:t>
            </w:r>
          </w:p>
        </w:tc>
        <w:tc>
          <w:tcPr>
            <w:tcW w:w="199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10,827.72</w:t>
            </w:r>
          </w:p>
        </w:tc>
        <w:tc>
          <w:tcPr>
            <w:tcW w:w="21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658,246.28</w:t>
            </w:r>
          </w:p>
        </w:tc>
        <w:tc>
          <w:tcPr>
            <w:tcW w:w="198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10,827.72</w:t>
            </w:r>
          </w:p>
        </w:tc>
      </w:tr>
      <w:tr>
        <w:trPr>
          <w:trHeight w:val="491" w:hRule="exact"/>
        </w:trPr>
        <w:tc>
          <w:tcPr>
            <w:tcW w:w="3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违约金支出</w:t>
            </w:r>
          </w:p>
        </w:tc>
        <w:tc>
          <w:tcPr>
            <w:tcW w:w="199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w w:val="95"/>
                <w:sz w:val="18"/>
              </w:rPr>
              <w:t>155,225.00</w:t>
            </w:r>
          </w:p>
        </w:tc>
        <w:tc>
          <w:tcPr>
            <w:tcW w:w="21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98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155,225.00</w:t>
            </w:r>
          </w:p>
        </w:tc>
      </w:tr>
      <w:tr>
        <w:trPr>
          <w:trHeight w:val="490" w:hRule="exact"/>
        </w:trPr>
        <w:tc>
          <w:tcPr>
            <w:tcW w:w="3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其他支出</w:t>
            </w:r>
          </w:p>
        </w:tc>
        <w:tc>
          <w:tcPr>
            <w:tcW w:w="199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w w:val="95"/>
                <w:sz w:val="18"/>
              </w:rPr>
              <w:t>397,224.84</w:t>
            </w:r>
          </w:p>
        </w:tc>
        <w:tc>
          <w:tcPr>
            <w:tcW w:w="21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463,293.27</w:t>
            </w:r>
          </w:p>
        </w:tc>
        <w:tc>
          <w:tcPr>
            <w:tcW w:w="198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397,224.84</w:t>
            </w:r>
          </w:p>
        </w:tc>
      </w:tr>
      <w:tr>
        <w:trPr>
          <w:trHeight w:val="491" w:hRule="exact"/>
        </w:trPr>
        <w:tc>
          <w:tcPr>
            <w:tcW w:w="30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99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b/>
                <w:w w:val="95"/>
                <w:sz w:val="18"/>
              </w:rPr>
              <w:t>738,694.40</w:t>
            </w:r>
            <w:r>
              <w:rPr>
                <w:rFonts w:ascii="华文细黑"/>
                <w:sz w:val="18"/>
              </w:rPr>
            </w:r>
          </w:p>
        </w:tc>
        <w:tc>
          <w:tcPr>
            <w:tcW w:w="21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1,989,717.89</w:t>
            </w:r>
            <w:r>
              <w:rPr>
                <w:rFonts w:ascii="华文细黑"/>
                <w:sz w:val="18"/>
              </w:rPr>
            </w:r>
          </w:p>
        </w:tc>
        <w:tc>
          <w:tcPr>
            <w:tcW w:w="198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738,694.40</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spacing w:before="10"/>
        <w:ind w:left="620" w:right="1289" w:firstLine="0"/>
        <w:jc w:val="left"/>
        <w:rPr>
          <w:rFonts w:ascii="华文细黑" w:hAnsi="华文细黑" w:cs="华文细黑" w:eastAsia="华文细黑" w:hint="default"/>
          <w:sz w:val="21"/>
          <w:szCs w:val="21"/>
        </w:rPr>
      </w:pPr>
      <w:bookmarkStart w:name="48、所得税费用" w:id="313"/>
      <w:bookmarkEnd w:id="313"/>
      <w:r>
        <w:rPr/>
      </w:r>
      <w:r>
        <w:rPr>
          <w:rFonts w:ascii="华文细黑" w:hAnsi="华文细黑" w:cs="华文细黑" w:eastAsia="华文细黑" w:hint="default"/>
          <w:b/>
          <w:bCs/>
          <w:sz w:val="21"/>
          <w:szCs w:val="21"/>
        </w:rPr>
        <w:t>48</w:t>
      </w:r>
      <w:r>
        <w:rPr>
          <w:rFonts w:ascii="华文细黑" w:hAnsi="华文细黑" w:cs="华文细黑" w:eastAsia="华文细黑" w:hint="default"/>
          <w:b/>
          <w:bCs/>
          <w:sz w:val="21"/>
          <w:szCs w:val="21"/>
        </w:rPr>
        <w:t>、所得税费用</w:t>
      </w:r>
      <w:r>
        <w:rPr>
          <w:rFonts w:ascii="华文细黑" w:hAnsi="华文细黑" w:cs="华文细黑" w:eastAsia="华文细黑" w:hint="default"/>
          <w:sz w:val="21"/>
          <w:szCs w:val="21"/>
        </w:rPr>
      </w:r>
    </w:p>
    <w:p>
      <w:pPr>
        <w:pStyle w:val="BodyText"/>
        <w:spacing w:line="240" w:lineRule="auto" w:before="142"/>
        <w:ind w:left="620" w:right="1289"/>
        <w:jc w:val="left"/>
      </w:pPr>
      <w:r>
        <w:rPr/>
        <w:t>（</w:t>
      </w:r>
      <w:r>
        <w:rPr>
          <w:rFonts w:ascii="华文细黑" w:hAnsi="华文细黑" w:cs="华文细黑" w:eastAsia="华文细黑" w:hint="default"/>
        </w:rPr>
        <w:t>1</w:t>
      </w:r>
      <w:r>
        <w:rPr/>
        <w:t>）所得税费用表</w:t>
      </w:r>
    </w:p>
    <w:p>
      <w:pPr>
        <w:spacing w:line="240" w:lineRule="auto" w:before="5"/>
        <w:rPr>
          <w:rFonts w:ascii="华文细黑" w:hAnsi="华文细黑" w:cs="华文细黑" w:eastAsia="华文细黑"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5008"/>
        <w:gridCol w:w="2081"/>
        <w:gridCol w:w="2111"/>
      </w:tblGrid>
      <w:tr>
        <w:trPr>
          <w:trHeight w:val="491" w:hRule="exact"/>
        </w:trPr>
        <w:tc>
          <w:tcPr>
            <w:tcW w:w="50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5"/>
              <w:ind w:right="2184"/>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08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58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21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6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490" w:hRule="exact"/>
        </w:trPr>
        <w:tc>
          <w:tcPr>
            <w:tcW w:w="50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当期所得税费用</w:t>
            </w:r>
          </w:p>
        </w:tc>
        <w:tc>
          <w:tcPr>
            <w:tcW w:w="208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71,525,299.75</w:t>
            </w:r>
          </w:p>
        </w:tc>
        <w:tc>
          <w:tcPr>
            <w:tcW w:w="21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pacing w:val="-1"/>
                <w:sz w:val="18"/>
              </w:rPr>
              <w:t>69,457,234.23</w:t>
            </w:r>
          </w:p>
        </w:tc>
      </w:tr>
      <w:tr>
        <w:trPr>
          <w:trHeight w:val="490" w:hRule="exact"/>
        </w:trPr>
        <w:tc>
          <w:tcPr>
            <w:tcW w:w="50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递延所得税费用</w:t>
            </w:r>
          </w:p>
        </w:tc>
        <w:tc>
          <w:tcPr>
            <w:tcW w:w="208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-27,420,360.19</w:t>
            </w:r>
          </w:p>
        </w:tc>
        <w:tc>
          <w:tcPr>
            <w:tcW w:w="21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8"/>
              <w:jc w:val="right"/>
              <w:rPr>
                <w:rFonts w:ascii="华文细黑" w:hAnsi="华文细黑" w:cs="华文细黑" w:eastAsia="华文细黑" w:hint="default"/>
                <w:sz w:val="18"/>
                <w:szCs w:val="18"/>
              </w:rPr>
            </w:pPr>
            <w:r>
              <w:rPr>
                <w:rFonts w:ascii="华文细黑"/>
                <w:sz w:val="18"/>
              </w:rPr>
              <w:t>1,755,765.60</w:t>
            </w:r>
          </w:p>
        </w:tc>
      </w:tr>
      <w:tr>
        <w:trPr>
          <w:trHeight w:val="490" w:hRule="exact"/>
        </w:trPr>
        <w:tc>
          <w:tcPr>
            <w:tcW w:w="50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5"/>
              <w:ind w:right="2184"/>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208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w w:val="95"/>
                <w:sz w:val="18"/>
              </w:rPr>
              <w:t>44,104,939.56</w:t>
            </w:r>
            <w:r>
              <w:rPr>
                <w:rFonts w:ascii="华文细黑"/>
                <w:sz w:val="18"/>
              </w:rPr>
            </w:r>
          </w:p>
        </w:tc>
        <w:tc>
          <w:tcPr>
            <w:tcW w:w="21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b/>
                <w:w w:val="95"/>
                <w:sz w:val="18"/>
              </w:rPr>
              <w:t>71,212,999.83</w:t>
            </w:r>
            <w:r>
              <w:rPr>
                <w:rFonts w:ascii="华文细黑"/>
                <w:sz w:val="18"/>
              </w:rPr>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240" w:right="0"/>
        </w:sectPr>
      </w:pPr>
    </w:p>
    <w:p>
      <w:pPr>
        <w:spacing w:line="240" w:lineRule="auto" w:before="10"/>
        <w:rPr>
          <w:rFonts w:ascii="华文细黑" w:hAnsi="华文细黑" w:cs="华文细黑" w:eastAsia="华文细黑" w:hint="default"/>
          <w:sz w:val="27"/>
          <w:szCs w:val="27"/>
        </w:rPr>
      </w:pPr>
    </w:p>
    <w:p>
      <w:pPr>
        <w:pStyle w:val="BodyText"/>
        <w:spacing w:line="240" w:lineRule="auto" w:before="10"/>
        <w:ind w:left="660" w:right="1246"/>
        <w:jc w:val="left"/>
      </w:pPr>
      <w:r>
        <w:rPr/>
        <w:t>（</w:t>
      </w:r>
      <w:r>
        <w:rPr>
          <w:rFonts w:ascii="华文细黑" w:hAnsi="华文细黑" w:cs="华文细黑" w:eastAsia="华文细黑" w:hint="default"/>
        </w:rPr>
        <w:t>2</w:t>
      </w:r>
      <w:r>
        <w:rPr/>
        <w:t>）会计利润与所得税费用调整过程</w:t>
      </w:r>
    </w:p>
    <w:p>
      <w:pPr>
        <w:spacing w:line="240" w:lineRule="auto" w:before="5"/>
        <w:rPr>
          <w:rFonts w:ascii="华文细黑" w:hAnsi="华文细黑" w:cs="华文细黑" w:eastAsia="华文细黑" w:hint="default"/>
          <w:sz w:val="5"/>
          <w:szCs w:val="5"/>
        </w:rPr>
      </w:pPr>
    </w:p>
    <w:tbl>
      <w:tblPr>
        <w:tblW w:w="0" w:type="auto"/>
        <w:jc w:val="left"/>
        <w:tblInd w:w="106" w:type="dxa"/>
        <w:tblLayout w:type="fixed"/>
        <w:tblCellMar>
          <w:top w:w="0" w:type="dxa"/>
          <w:left w:w="0" w:type="dxa"/>
          <w:bottom w:w="0" w:type="dxa"/>
          <w:right w:w="0" w:type="dxa"/>
        </w:tblCellMar>
        <w:tblLook w:val="01E0"/>
      </w:tblPr>
      <w:tblGrid>
        <w:gridCol w:w="6493"/>
        <w:gridCol w:w="2706"/>
      </w:tblGrid>
      <w:tr>
        <w:trPr>
          <w:trHeight w:val="490" w:hRule="exact"/>
        </w:trPr>
        <w:tc>
          <w:tcPr>
            <w:tcW w:w="64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270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90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r>
      <w:tr>
        <w:trPr>
          <w:trHeight w:val="491" w:hRule="exact"/>
        </w:trPr>
        <w:tc>
          <w:tcPr>
            <w:tcW w:w="64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利润总额</w:t>
            </w:r>
          </w:p>
        </w:tc>
        <w:tc>
          <w:tcPr>
            <w:tcW w:w="2706" w:type="dxa"/>
            <w:tcBorders>
              <w:top w:val="single" w:sz="4" w:space="0" w:color="FFC000"/>
              <w:left w:val="single" w:sz="14" w:space="0" w:color="FFF8E6"/>
              <w:bottom w:val="single" w:sz="4" w:space="0" w:color="FFC000"/>
              <w:right w:val="single" w:sz="4" w:space="0" w:color="FFC000"/>
            </w:tcBorders>
          </w:tcPr>
          <w:p>
            <w:pPr>
              <w:pStyle w:val="TableParagraph"/>
              <w:spacing w:line="240" w:lineRule="auto" w:before="144"/>
              <w:ind w:right="25"/>
              <w:jc w:val="right"/>
              <w:rPr>
                <w:rFonts w:ascii="华文细黑" w:hAnsi="华文细黑" w:cs="华文细黑" w:eastAsia="华文细黑" w:hint="default"/>
                <w:sz w:val="18"/>
                <w:szCs w:val="18"/>
              </w:rPr>
            </w:pPr>
            <w:r>
              <w:rPr>
                <w:rFonts w:ascii="华文细黑"/>
                <w:b/>
                <w:w w:val="95"/>
                <w:sz w:val="18"/>
              </w:rPr>
              <w:t>-25,789,716.29</w:t>
            </w:r>
            <w:r>
              <w:rPr>
                <w:rFonts w:ascii="华文细黑"/>
                <w:sz w:val="18"/>
              </w:rPr>
            </w:r>
          </w:p>
        </w:tc>
      </w:tr>
      <w:tr>
        <w:trPr>
          <w:trHeight w:val="490" w:hRule="exact"/>
        </w:trPr>
        <w:tc>
          <w:tcPr>
            <w:tcW w:w="64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按法定</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适用税率计算的所得税费用</w:t>
            </w:r>
          </w:p>
        </w:tc>
        <w:tc>
          <w:tcPr>
            <w:tcW w:w="2706" w:type="dxa"/>
            <w:tcBorders>
              <w:top w:val="single" w:sz="4" w:space="0" w:color="FFC000"/>
              <w:left w:val="single" w:sz="14" w:space="0" w:color="FFF8E6"/>
              <w:bottom w:val="single" w:sz="4" w:space="0" w:color="FFC000"/>
              <w:right w:val="single" w:sz="4" w:space="0" w:color="FFC000"/>
            </w:tcBorders>
          </w:tcPr>
          <w:p>
            <w:pPr>
              <w:pStyle w:val="TableParagraph"/>
              <w:spacing w:line="240" w:lineRule="auto" w:before="145"/>
              <w:ind w:right="24"/>
              <w:jc w:val="right"/>
              <w:rPr>
                <w:rFonts w:ascii="华文细黑" w:hAnsi="华文细黑" w:cs="华文细黑" w:eastAsia="华文细黑" w:hint="default"/>
                <w:sz w:val="18"/>
                <w:szCs w:val="18"/>
              </w:rPr>
            </w:pPr>
            <w:r>
              <w:rPr>
                <w:rFonts w:ascii="华文细黑"/>
                <w:w w:val="95"/>
                <w:sz w:val="18"/>
              </w:rPr>
              <w:t>-6,447,429.07</w:t>
            </w:r>
          </w:p>
        </w:tc>
      </w:tr>
      <w:tr>
        <w:trPr>
          <w:trHeight w:val="490" w:hRule="exact"/>
        </w:trPr>
        <w:tc>
          <w:tcPr>
            <w:tcW w:w="64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子公司适用不同税率的影响</w:t>
            </w:r>
          </w:p>
        </w:tc>
        <w:tc>
          <w:tcPr>
            <w:tcW w:w="2706" w:type="dxa"/>
            <w:tcBorders>
              <w:top w:val="single" w:sz="4" w:space="0" w:color="FFC000"/>
              <w:left w:val="single" w:sz="14" w:space="0" w:color="FFF8E6"/>
              <w:bottom w:val="single" w:sz="4" w:space="0" w:color="FFC000"/>
              <w:right w:val="single" w:sz="4" w:space="0" w:color="FFC000"/>
            </w:tcBorders>
          </w:tcPr>
          <w:p>
            <w:pPr>
              <w:pStyle w:val="TableParagraph"/>
              <w:spacing w:line="240" w:lineRule="auto" w:before="144"/>
              <w:ind w:right="24"/>
              <w:jc w:val="right"/>
              <w:rPr>
                <w:rFonts w:ascii="华文细黑" w:hAnsi="华文细黑" w:cs="华文细黑" w:eastAsia="华文细黑" w:hint="default"/>
                <w:sz w:val="18"/>
                <w:szCs w:val="18"/>
              </w:rPr>
            </w:pPr>
            <w:r>
              <w:rPr>
                <w:rFonts w:ascii="华文细黑"/>
                <w:sz w:val="18"/>
              </w:rPr>
              <w:t>26,491,429.36</w:t>
            </w:r>
          </w:p>
        </w:tc>
      </w:tr>
      <w:tr>
        <w:trPr>
          <w:trHeight w:val="490" w:hRule="exact"/>
        </w:trPr>
        <w:tc>
          <w:tcPr>
            <w:tcW w:w="64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调整以前期间所得税的影响</w:t>
            </w:r>
          </w:p>
        </w:tc>
        <w:tc>
          <w:tcPr>
            <w:tcW w:w="2706" w:type="dxa"/>
            <w:tcBorders>
              <w:top w:val="single" w:sz="4" w:space="0" w:color="FFC000"/>
              <w:left w:val="single" w:sz="14" w:space="0" w:color="FFF8E6"/>
              <w:bottom w:val="single" w:sz="4" w:space="0" w:color="FFC000"/>
              <w:right w:val="single" w:sz="4" w:space="0" w:color="FFC000"/>
            </w:tcBorders>
          </w:tcPr>
          <w:p>
            <w:pPr>
              <w:pStyle w:val="TableParagraph"/>
              <w:spacing w:line="240" w:lineRule="auto" w:before="144"/>
              <w:ind w:right="25"/>
              <w:jc w:val="right"/>
              <w:rPr>
                <w:rFonts w:ascii="华文细黑" w:hAnsi="华文细黑" w:cs="华文细黑" w:eastAsia="华文细黑" w:hint="default"/>
                <w:sz w:val="18"/>
                <w:szCs w:val="18"/>
              </w:rPr>
            </w:pPr>
            <w:r>
              <w:rPr>
                <w:rFonts w:ascii="华文细黑"/>
                <w:w w:val="95"/>
                <w:sz w:val="18"/>
              </w:rPr>
              <w:t>928,935.42</w:t>
            </w:r>
          </w:p>
        </w:tc>
      </w:tr>
      <w:tr>
        <w:trPr>
          <w:trHeight w:val="490" w:hRule="exact"/>
        </w:trPr>
        <w:tc>
          <w:tcPr>
            <w:tcW w:w="64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非应税收入的影响</w:t>
            </w:r>
          </w:p>
        </w:tc>
        <w:tc>
          <w:tcPr>
            <w:tcW w:w="2706" w:type="dxa"/>
            <w:tcBorders>
              <w:top w:val="single" w:sz="4" w:space="0" w:color="FFC000"/>
              <w:left w:val="single" w:sz="14" w:space="0" w:color="FFF8E6"/>
              <w:bottom w:val="single" w:sz="4" w:space="0" w:color="FFC000"/>
              <w:right w:val="single" w:sz="4" w:space="0" w:color="FFC000"/>
            </w:tcBorders>
          </w:tcPr>
          <w:p>
            <w:pPr>
              <w:pStyle w:val="TableParagraph"/>
              <w:spacing w:line="240" w:lineRule="auto" w:before="145"/>
              <w:ind w:right="25"/>
              <w:jc w:val="right"/>
              <w:rPr>
                <w:rFonts w:ascii="华文细黑" w:hAnsi="华文细黑" w:cs="华文细黑" w:eastAsia="华文细黑" w:hint="default"/>
                <w:sz w:val="18"/>
                <w:szCs w:val="18"/>
              </w:rPr>
            </w:pPr>
            <w:r>
              <w:rPr>
                <w:rFonts w:ascii="华文细黑"/>
                <w:sz w:val="18"/>
              </w:rPr>
              <w:t>-72,950.25</w:t>
            </w:r>
          </w:p>
        </w:tc>
      </w:tr>
      <w:tr>
        <w:trPr>
          <w:trHeight w:val="490" w:hRule="exact"/>
        </w:trPr>
        <w:tc>
          <w:tcPr>
            <w:tcW w:w="64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不可抵扣的成本、费用和损失的影响</w:t>
            </w:r>
          </w:p>
        </w:tc>
        <w:tc>
          <w:tcPr>
            <w:tcW w:w="2706" w:type="dxa"/>
            <w:tcBorders>
              <w:top w:val="single" w:sz="4" w:space="0" w:color="FFC000"/>
              <w:left w:val="single" w:sz="14" w:space="0" w:color="FFF8E6"/>
              <w:bottom w:val="single" w:sz="4" w:space="0" w:color="FFC000"/>
              <w:right w:val="single" w:sz="4" w:space="0" w:color="FFC000"/>
            </w:tcBorders>
          </w:tcPr>
          <w:p>
            <w:pPr>
              <w:pStyle w:val="TableParagraph"/>
              <w:spacing w:line="240" w:lineRule="auto" w:before="144"/>
              <w:ind w:right="24"/>
              <w:jc w:val="right"/>
              <w:rPr>
                <w:rFonts w:ascii="华文细黑" w:hAnsi="华文细黑" w:cs="华文细黑" w:eastAsia="华文细黑" w:hint="default"/>
                <w:sz w:val="18"/>
                <w:szCs w:val="18"/>
              </w:rPr>
            </w:pPr>
            <w:r>
              <w:rPr>
                <w:rFonts w:ascii="华文细黑"/>
                <w:sz w:val="18"/>
              </w:rPr>
              <w:t>9,446,609.06</w:t>
            </w:r>
          </w:p>
        </w:tc>
      </w:tr>
      <w:tr>
        <w:trPr>
          <w:trHeight w:val="490" w:hRule="exact"/>
        </w:trPr>
        <w:tc>
          <w:tcPr>
            <w:tcW w:w="64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使用前期未确认递延所得税资产的可抵扣亏损的影响</w:t>
            </w:r>
          </w:p>
        </w:tc>
        <w:tc>
          <w:tcPr>
            <w:tcW w:w="2706" w:type="dxa"/>
            <w:tcBorders>
              <w:top w:val="single" w:sz="4" w:space="0" w:color="FFC000"/>
              <w:left w:val="single" w:sz="14" w:space="0" w:color="FFF8E6"/>
              <w:bottom w:val="single" w:sz="4" w:space="0" w:color="FFC000"/>
              <w:right w:val="single" w:sz="4" w:space="0" w:color="FFC000"/>
            </w:tcBorders>
          </w:tcPr>
          <w:p>
            <w:pPr>
              <w:pStyle w:val="TableParagraph"/>
              <w:spacing w:line="240" w:lineRule="auto" w:before="144"/>
              <w:ind w:right="25"/>
              <w:jc w:val="right"/>
              <w:rPr>
                <w:rFonts w:ascii="华文细黑" w:hAnsi="华文细黑" w:cs="华文细黑" w:eastAsia="华文细黑" w:hint="default"/>
                <w:sz w:val="18"/>
                <w:szCs w:val="18"/>
              </w:rPr>
            </w:pPr>
            <w:r>
              <w:rPr>
                <w:rFonts w:ascii="华文细黑"/>
                <w:sz w:val="18"/>
              </w:rPr>
              <w:t>-172,989.91</w:t>
            </w:r>
          </w:p>
        </w:tc>
      </w:tr>
      <w:tr>
        <w:trPr>
          <w:trHeight w:val="490" w:hRule="exact"/>
        </w:trPr>
        <w:tc>
          <w:tcPr>
            <w:tcW w:w="64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本年未确认递延所得税资产的可抵扣暂时性差异或可抵扣亏损的影响</w:t>
            </w:r>
          </w:p>
        </w:tc>
        <w:tc>
          <w:tcPr>
            <w:tcW w:w="2706" w:type="dxa"/>
            <w:tcBorders>
              <w:top w:val="single" w:sz="4" w:space="0" w:color="FFC000"/>
              <w:left w:val="single" w:sz="14" w:space="0" w:color="FFF8E6"/>
              <w:bottom w:val="single" w:sz="4" w:space="0" w:color="FFC000"/>
              <w:right w:val="single" w:sz="4" w:space="0" w:color="FFC000"/>
            </w:tcBorders>
          </w:tcPr>
          <w:p>
            <w:pPr>
              <w:pStyle w:val="TableParagraph"/>
              <w:spacing w:line="240" w:lineRule="auto" w:before="145"/>
              <w:ind w:right="24"/>
              <w:jc w:val="right"/>
              <w:rPr>
                <w:rFonts w:ascii="华文细黑" w:hAnsi="华文细黑" w:cs="华文细黑" w:eastAsia="华文细黑" w:hint="default"/>
                <w:sz w:val="18"/>
                <w:szCs w:val="18"/>
              </w:rPr>
            </w:pPr>
            <w:r>
              <w:rPr>
                <w:rFonts w:ascii="华文细黑"/>
                <w:sz w:val="18"/>
              </w:rPr>
              <w:t>19,736,903.43</w:t>
            </w:r>
          </w:p>
        </w:tc>
      </w:tr>
      <w:tr>
        <w:trPr>
          <w:trHeight w:val="490" w:hRule="exact"/>
        </w:trPr>
        <w:tc>
          <w:tcPr>
            <w:tcW w:w="64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税率调整导致年初递延所得税资产</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负债余额的变化</w:t>
            </w:r>
          </w:p>
        </w:tc>
        <w:tc>
          <w:tcPr>
            <w:tcW w:w="2706" w:type="dxa"/>
            <w:tcBorders>
              <w:top w:val="single" w:sz="4" w:space="0" w:color="FFC000"/>
              <w:left w:val="single" w:sz="14" w:space="0" w:color="FFF8E6"/>
              <w:bottom w:val="single" w:sz="4" w:space="0" w:color="FFC000"/>
              <w:right w:val="single" w:sz="4" w:space="0" w:color="FFC000"/>
            </w:tcBorders>
          </w:tcPr>
          <w:p>
            <w:pPr>
              <w:pStyle w:val="TableParagraph"/>
              <w:spacing w:line="240" w:lineRule="auto" w:before="144"/>
              <w:ind w:right="24"/>
              <w:jc w:val="right"/>
              <w:rPr>
                <w:rFonts w:ascii="华文细黑" w:hAnsi="华文细黑" w:cs="华文细黑" w:eastAsia="华文细黑" w:hint="default"/>
                <w:sz w:val="18"/>
                <w:szCs w:val="18"/>
              </w:rPr>
            </w:pPr>
            <w:r>
              <w:rPr>
                <w:rFonts w:ascii="华文细黑"/>
                <w:w w:val="95"/>
                <w:sz w:val="18"/>
              </w:rPr>
              <w:t>-4,434,111.13</w:t>
            </w:r>
          </w:p>
        </w:tc>
      </w:tr>
      <w:tr>
        <w:trPr>
          <w:trHeight w:val="490" w:hRule="exact"/>
        </w:trPr>
        <w:tc>
          <w:tcPr>
            <w:tcW w:w="64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其他（注）</w:t>
            </w:r>
          </w:p>
        </w:tc>
        <w:tc>
          <w:tcPr>
            <w:tcW w:w="2706" w:type="dxa"/>
            <w:tcBorders>
              <w:top w:val="single" w:sz="4" w:space="0" w:color="FFC000"/>
              <w:left w:val="single" w:sz="14" w:space="0" w:color="FFF8E6"/>
              <w:bottom w:val="single" w:sz="4" w:space="0" w:color="FFC000"/>
              <w:right w:val="single" w:sz="4" w:space="0" w:color="FFC000"/>
            </w:tcBorders>
          </w:tcPr>
          <w:p>
            <w:pPr>
              <w:pStyle w:val="TableParagraph"/>
              <w:spacing w:line="240" w:lineRule="auto" w:before="144"/>
              <w:ind w:right="24"/>
              <w:jc w:val="right"/>
              <w:rPr>
                <w:rFonts w:ascii="华文细黑" w:hAnsi="华文细黑" w:cs="华文细黑" w:eastAsia="华文细黑" w:hint="default"/>
                <w:sz w:val="18"/>
                <w:szCs w:val="18"/>
              </w:rPr>
            </w:pPr>
            <w:r>
              <w:rPr>
                <w:rFonts w:ascii="华文细黑"/>
                <w:w w:val="95"/>
                <w:sz w:val="18"/>
              </w:rPr>
              <w:t>-1,371,457.35</w:t>
            </w:r>
          </w:p>
        </w:tc>
      </w:tr>
      <w:tr>
        <w:trPr>
          <w:trHeight w:val="490" w:hRule="exact"/>
        </w:trPr>
        <w:tc>
          <w:tcPr>
            <w:tcW w:w="649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所得税费用</w:t>
            </w:r>
          </w:p>
        </w:tc>
        <w:tc>
          <w:tcPr>
            <w:tcW w:w="2706" w:type="dxa"/>
            <w:tcBorders>
              <w:top w:val="single" w:sz="4" w:space="0" w:color="FFC000"/>
              <w:left w:val="single" w:sz="14" w:space="0" w:color="FFF8E6"/>
              <w:bottom w:val="single" w:sz="4" w:space="0" w:color="FFC000"/>
              <w:right w:val="single" w:sz="4" w:space="0" w:color="FFC000"/>
            </w:tcBorders>
          </w:tcPr>
          <w:p>
            <w:pPr>
              <w:pStyle w:val="TableParagraph"/>
              <w:spacing w:line="240" w:lineRule="auto" w:before="145"/>
              <w:ind w:right="25"/>
              <w:jc w:val="right"/>
              <w:rPr>
                <w:rFonts w:ascii="华文细黑" w:hAnsi="华文细黑" w:cs="华文细黑" w:eastAsia="华文细黑" w:hint="default"/>
                <w:sz w:val="18"/>
                <w:szCs w:val="18"/>
              </w:rPr>
            </w:pPr>
            <w:r>
              <w:rPr>
                <w:rFonts w:ascii="华文细黑"/>
                <w:b/>
                <w:w w:val="95"/>
                <w:sz w:val="18"/>
              </w:rPr>
              <w:t>44,104,939.56</w:t>
            </w:r>
            <w:r>
              <w:rPr>
                <w:rFonts w:ascii="华文细黑"/>
                <w:sz w:val="18"/>
              </w:rPr>
            </w:r>
          </w:p>
        </w:tc>
      </w:tr>
    </w:tbl>
    <w:p>
      <w:pPr>
        <w:spacing w:line="240" w:lineRule="auto" w:before="12"/>
        <w:rPr>
          <w:rFonts w:ascii="华文细黑" w:hAnsi="华文细黑" w:cs="华文细黑" w:eastAsia="华文细黑" w:hint="default"/>
          <w:sz w:val="6"/>
          <w:szCs w:val="6"/>
        </w:rPr>
      </w:pPr>
    </w:p>
    <w:p>
      <w:pPr>
        <w:pStyle w:val="BodyText"/>
        <w:spacing w:line="324" w:lineRule="auto" w:before="10"/>
        <w:ind w:left="240" w:right="1246" w:firstLine="420"/>
        <w:jc w:val="left"/>
      </w:pPr>
      <w:r>
        <w:rPr/>
        <w:t>注：其他调整事项包括研发费加计扣除和注销子公司形成的投资亏损用于抵扣应纳税所得额的 影响。</w:t>
      </w:r>
    </w:p>
    <w:p>
      <w:pPr>
        <w:spacing w:line="357" w:lineRule="auto" w:before="63"/>
        <w:ind w:left="660" w:right="8111" w:firstLine="0"/>
        <w:jc w:val="left"/>
        <w:rPr>
          <w:rFonts w:ascii="华文细黑" w:hAnsi="华文细黑" w:cs="华文细黑" w:eastAsia="华文细黑" w:hint="default"/>
          <w:sz w:val="21"/>
          <w:szCs w:val="21"/>
        </w:rPr>
      </w:pPr>
      <w:bookmarkStart w:name="49、其他综合收益" w:id="314"/>
      <w:bookmarkEnd w:id="314"/>
      <w:r>
        <w:rPr/>
      </w:r>
      <w:r>
        <w:rPr>
          <w:rFonts w:ascii="华文细黑" w:hAnsi="华文细黑" w:cs="华文细黑" w:eastAsia="华文细黑" w:hint="default"/>
          <w:b/>
          <w:bCs/>
          <w:sz w:val="21"/>
          <w:szCs w:val="21"/>
        </w:rPr>
        <w:t>49</w:t>
      </w:r>
      <w:r>
        <w:rPr>
          <w:rFonts w:ascii="华文细黑" w:hAnsi="华文细黑" w:cs="华文细黑" w:eastAsia="华文细黑" w:hint="default"/>
          <w:b/>
          <w:bCs/>
          <w:sz w:val="21"/>
          <w:szCs w:val="21"/>
        </w:rPr>
        <w:t>、其他综合收益</w:t>
      </w:r>
      <w:r>
        <w:rPr>
          <w:rFonts w:ascii="华文细黑" w:hAnsi="华文细黑" w:cs="华文细黑" w:eastAsia="华文细黑" w:hint="default"/>
          <w:b/>
          <w:bCs/>
          <w:w w:val="99"/>
          <w:sz w:val="21"/>
          <w:szCs w:val="21"/>
        </w:rPr>
        <w:t> </w:t>
      </w:r>
      <w:r>
        <w:rPr>
          <w:rFonts w:ascii="华文细黑" w:hAnsi="华文细黑" w:cs="华文细黑" w:eastAsia="华文细黑" w:hint="default"/>
          <w:sz w:val="21"/>
          <w:szCs w:val="21"/>
        </w:rPr>
        <w:t>详见附注六、</w:t>
      </w:r>
      <w:r>
        <w:rPr>
          <w:rFonts w:ascii="华文细黑" w:hAnsi="华文细黑" w:cs="华文细黑" w:eastAsia="华文细黑" w:hint="default"/>
          <w:sz w:val="21"/>
          <w:szCs w:val="21"/>
        </w:rPr>
        <w:t>30</w:t>
      </w:r>
      <w:r>
        <w:rPr>
          <w:rFonts w:ascii="华文细黑" w:hAnsi="华文细黑" w:cs="华文细黑" w:eastAsia="华文细黑" w:hint="default"/>
          <w:sz w:val="21"/>
          <w:szCs w:val="21"/>
        </w:rPr>
        <w:t>。 </w:t>
      </w:r>
      <w:bookmarkStart w:name="50、现金流量表项目" w:id="315"/>
      <w:bookmarkEnd w:id="315"/>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50</w:t>
      </w:r>
      <w:r>
        <w:rPr>
          <w:rFonts w:ascii="华文细黑" w:hAnsi="华文细黑" w:cs="华文细黑" w:eastAsia="华文细黑" w:hint="default"/>
          <w:b/>
          <w:bCs/>
          <w:sz w:val="21"/>
          <w:szCs w:val="21"/>
        </w:rPr>
        <w:t>、现金流量表项目</w:t>
      </w:r>
      <w:r>
        <w:rPr>
          <w:rFonts w:ascii="华文细黑" w:hAnsi="华文细黑" w:cs="华文细黑" w:eastAsia="华文细黑" w:hint="default"/>
          <w:sz w:val="21"/>
          <w:szCs w:val="21"/>
        </w:rPr>
      </w:r>
    </w:p>
    <w:p>
      <w:pPr>
        <w:pStyle w:val="BodyText"/>
        <w:spacing w:line="240" w:lineRule="auto" w:before="31"/>
        <w:ind w:left="660" w:right="1246"/>
        <w:jc w:val="left"/>
      </w:pPr>
      <w:r>
        <w:rPr/>
        <w:t>（</w:t>
      </w:r>
      <w:r>
        <w:rPr>
          <w:rFonts w:ascii="华文细黑" w:hAnsi="华文细黑" w:cs="华文细黑" w:eastAsia="华文细黑" w:hint="default"/>
        </w:rPr>
        <w:t>1</w:t>
      </w:r>
      <w:r>
        <w:rPr/>
        <w:t>）收到其他与经营活动有关的现金</w:t>
      </w:r>
    </w:p>
    <w:p>
      <w:pPr>
        <w:spacing w:line="240" w:lineRule="auto" w:before="6"/>
        <w:rPr>
          <w:rFonts w:ascii="华文细黑" w:hAnsi="华文细黑" w:cs="华文细黑" w:eastAsia="华文细黑" w:hint="default"/>
          <w:sz w:val="5"/>
          <w:szCs w:val="5"/>
        </w:rPr>
      </w:pPr>
    </w:p>
    <w:tbl>
      <w:tblPr>
        <w:tblW w:w="0" w:type="auto"/>
        <w:jc w:val="left"/>
        <w:tblInd w:w="154" w:type="dxa"/>
        <w:tblLayout w:type="fixed"/>
        <w:tblCellMar>
          <w:top w:w="0" w:type="dxa"/>
          <w:left w:w="0" w:type="dxa"/>
          <w:bottom w:w="0" w:type="dxa"/>
          <w:right w:w="0" w:type="dxa"/>
        </w:tblCellMar>
        <w:tblLook w:val="01E0"/>
      </w:tblPr>
      <w:tblGrid>
        <w:gridCol w:w="5086"/>
        <w:gridCol w:w="2042"/>
        <w:gridCol w:w="2071"/>
      </w:tblGrid>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222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0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7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207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8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保证金、押金</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15,699,813.01</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63,293,091.25</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财务费用</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利息收入</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33,786,946.66</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50,379,955.23</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除税费返还外的其他政府补助收入</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32,722,384.57</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19,480,483.11</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收到代垫款</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180,720,586.11</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139,905,782.79</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收到的员工还款</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2,828,529.10</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1,588,514.55</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收到的其他款项</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163,620,933.06</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88,011,602.27</w:t>
            </w:r>
          </w:p>
        </w:tc>
      </w:tr>
      <w:tr>
        <w:trPr>
          <w:trHeight w:val="491"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5"/>
              <w:ind w:right="222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4"/>
              <w:jc w:val="right"/>
              <w:rPr>
                <w:rFonts w:ascii="华文细黑" w:hAnsi="华文细黑" w:cs="华文细黑" w:eastAsia="华文细黑" w:hint="default"/>
                <w:sz w:val="18"/>
                <w:szCs w:val="18"/>
              </w:rPr>
            </w:pPr>
            <w:r>
              <w:rPr>
                <w:rFonts w:ascii="华文细黑"/>
                <w:b/>
                <w:w w:val="95"/>
                <w:sz w:val="18"/>
              </w:rPr>
              <w:t>429,379,192.51</w:t>
            </w:r>
            <w:r>
              <w:rPr>
                <w:rFonts w:ascii="华文细黑"/>
                <w:sz w:val="18"/>
              </w:rPr>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362,659,429.20</w:t>
            </w:r>
            <w:r>
              <w:rPr>
                <w:rFonts w:ascii="华文细黑"/>
                <w:sz w:val="18"/>
              </w:rPr>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200" w:right="0"/>
        </w:sectPr>
      </w:pPr>
    </w:p>
    <w:p>
      <w:pPr>
        <w:spacing w:line="240" w:lineRule="auto" w:before="9"/>
        <w:rPr>
          <w:rFonts w:ascii="华文细黑" w:hAnsi="华文细黑" w:cs="华文细黑" w:eastAsia="华文细黑" w:hint="default"/>
          <w:sz w:val="27"/>
          <w:szCs w:val="27"/>
        </w:rPr>
      </w:pPr>
    </w:p>
    <w:p>
      <w:pPr>
        <w:pStyle w:val="BodyText"/>
        <w:spacing w:line="240" w:lineRule="auto" w:before="10"/>
        <w:ind w:left="620" w:right="1289"/>
        <w:jc w:val="left"/>
      </w:pPr>
      <w:r>
        <w:rPr/>
        <w:t>（</w:t>
      </w:r>
      <w:r>
        <w:rPr>
          <w:rFonts w:ascii="华文细黑" w:hAnsi="华文细黑" w:cs="华文细黑" w:eastAsia="华文细黑" w:hint="default"/>
        </w:rPr>
        <w:t>2</w:t>
      </w:r>
      <w:r>
        <w:rPr/>
        <w:t>）支付其他与经营活动有关的现金</w:t>
      </w:r>
    </w:p>
    <w:p>
      <w:pPr>
        <w:spacing w:line="240" w:lineRule="auto" w:before="6"/>
        <w:rPr>
          <w:rFonts w:ascii="华文细黑" w:hAnsi="华文细黑" w:cs="华文细黑" w:eastAsia="华文细黑"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5086"/>
        <w:gridCol w:w="2042"/>
        <w:gridCol w:w="2071"/>
      </w:tblGrid>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222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0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7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207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8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491"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代垫款项</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8"/>
              <w:jc w:val="right"/>
              <w:rPr>
                <w:rFonts w:ascii="华文细黑" w:hAnsi="华文细黑" w:cs="华文细黑" w:eastAsia="华文细黑" w:hint="default"/>
                <w:sz w:val="18"/>
                <w:szCs w:val="18"/>
              </w:rPr>
            </w:pPr>
            <w:r>
              <w:rPr>
                <w:rFonts w:ascii="华文细黑"/>
                <w:sz w:val="18"/>
              </w:rPr>
              <w:t>177,677,586.38</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6"/>
              <w:jc w:val="right"/>
              <w:rPr>
                <w:rFonts w:ascii="华文细黑" w:hAnsi="华文细黑" w:cs="华文细黑" w:eastAsia="华文细黑" w:hint="default"/>
                <w:sz w:val="18"/>
                <w:szCs w:val="18"/>
              </w:rPr>
            </w:pPr>
            <w:r>
              <w:rPr>
                <w:rFonts w:ascii="华文细黑"/>
                <w:sz w:val="18"/>
              </w:rPr>
              <w:t>132,734,840.32</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劳务佣金</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8"/>
              <w:jc w:val="right"/>
              <w:rPr>
                <w:rFonts w:ascii="华文细黑" w:hAnsi="华文细黑" w:cs="华文细黑" w:eastAsia="华文细黑" w:hint="default"/>
                <w:sz w:val="18"/>
                <w:szCs w:val="18"/>
              </w:rPr>
            </w:pPr>
            <w:r>
              <w:rPr>
                <w:rFonts w:ascii="华文细黑"/>
                <w:sz w:val="18"/>
              </w:rPr>
              <w:t>140,959,072.73</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6"/>
              <w:jc w:val="right"/>
              <w:rPr>
                <w:rFonts w:ascii="华文细黑" w:hAnsi="华文细黑" w:cs="华文细黑" w:eastAsia="华文细黑" w:hint="default"/>
                <w:sz w:val="18"/>
                <w:szCs w:val="18"/>
              </w:rPr>
            </w:pPr>
            <w:r>
              <w:rPr>
                <w:rFonts w:ascii="华文细黑"/>
                <w:sz w:val="18"/>
              </w:rPr>
              <w:t>60,472,282.82</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商品物流费</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8"/>
              <w:jc w:val="right"/>
              <w:rPr>
                <w:rFonts w:ascii="华文细黑" w:hAnsi="华文细黑" w:cs="华文细黑" w:eastAsia="华文细黑" w:hint="default"/>
                <w:sz w:val="18"/>
                <w:szCs w:val="18"/>
              </w:rPr>
            </w:pPr>
            <w:r>
              <w:rPr>
                <w:rFonts w:ascii="华文细黑"/>
                <w:sz w:val="18"/>
              </w:rPr>
              <w:t>73,351,290.66</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6"/>
              <w:jc w:val="right"/>
              <w:rPr>
                <w:rFonts w:ascii="华文细黑" w:hAnsi="华文细黑" w:cs="华文细黑" w:eastAsia="华文细黑" w:hint="default"/>
                <w:sz w:val="18"/>
                <w:szCs w:val="18"/>
              </w:rPr>
            </w:pPr>
            <w:r>
              <w:rPr>
                <w:rFonts w:ascii="华文细黑"/>
                <w:sz w:val="18"/>
              </w:rPr>
              <w:t>81,147,336.19</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物业租赁费</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8"/>
              <w:jc w:val="right"/>
              <w:rPr>
                <w:rFonts w:ascii="华文细黑" w:hAnsi="华文细黑" w:cs="华文细黑" w:eastAsia="华文细黑" w:hint="default"/>
                <w:sz w:val="18"/>
                <w:szCs w:val="18"/>
              </w:rPr>
            </w:pPr>
            <w:r>
              <w:rPr>
                <w:rFonts w:ascii="华文细黑"/>
                <w:sz w:val="18"/>
              </w:rPr>
              <w:t>54,501,968.91</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6"/>
              <w:jc w:val="right"/>
              <w:rPr>
                <w:rFonts w:ascii="华文细黑" w:hAnsi="华文细黑" w:cs="华文细黑" w:eastAsia="华文细黑" w:hint="default"/>
                <w:sz w:val="18"/>
                <w:szCs w:val="18"/>
              </w:rPr>
            </w:pPr>
            <w:r>
              <w:rPr>
                <w:rFonts w:ascii="华文细黑"/>
                <w:sz w:val="18"/>
              </w:rPr>
              <w:t>53,086,212.26</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业务招待费</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8"/>
              <w:jc w:val="right"/>
              <w:rPr>
                <w:rFonts w:ascii="华文细黑" w:hAnsi="华文细黑" w:cs="华文细黑" w:eastAsia="华文细黑" w:hint="default"/>
                <w:sz w:val="18"/>
                <w:szCs w:val="18"/>
              </w:rPr>
            </w:pPr>
            <w:r>
              <w:rPr>
                <w:rFonts w:ascii="华文细黑"/>
                <w:sz w:val="18"/>
              </w:rPr>
              <w:t>41,464,856.73</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6"/>
              <w:jc w:val="right"/>
              <w:rPr>
                <w:rFonts w:ascii="华文细黑" w:hAnsi="华文细黑" w:cs="华文细黑" w:eastAsia="华文细黑" w:hint="default"/>
                <w:sz w:val="18"/>
                <w:szCs w:val="18"/>
              </w:rPr>
            </w:pPr>
            <w:r>
              <w:rPr>
                <w:rFonts w:ascii="华文细黑"/>
                <w:sz w:val="18"/>
              </w:rPr>
              <w:t>26,067,839.55</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中介服务费</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8"/>
              <w:jc w:val="right"/>
              <w:rPr>
                <w:rFonts w:ascii="华文细黑" w:hAnsi="华文细黑" w:cs="华文细黑" w:eastAsia="华文细黑" w:hint="default"/>
                <w:sz w:val="18"/>
                <w:szCs w:val="18"/>
              </w:rPr>
            </w:pPr>
            <w:r>
              <w:rPr>
                <w:rFonts w:ascii="华文细黑"/>
                <w:sz w:val="18"/>
              </w:rPr>
              <w:t>40,262,716.95</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6"/>
              <w:jc w:val="right"/>
              <w:rPr>
                <w:rFonts w:ascii="华文细黑" w:hAnsi="华文细黑" w:cs="华文细黑" w:eastAsia="华文细黑" w:hint="default"/>
                <w:sz w:val="18"/>
                <w:szCs w:val="18"/>
              </w:rPr>
            </w:pPr>
            <w:r>
              <w:rPr>
                <w:rFonts w:ascii="华文细黑"/>
                <w:sz w:val="18"/>
              </w:rPr>
              <w:t>17,898,968.44</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银行手续费</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8"/>
              <w:jc w:val="right"/>
              <w:rPr>
                <w:rFonts w:ascii="华文细黑" w:hAnsi="华文细黑" w:cs="华文细黑" w:eastAsia="华文细黑" w:hint="default"/>
                <w:sz w:val="18"/>
                <w:szCs w:val="18"/>
              </w:rPr>
            </w:pPr>
            <w:r>
              <w:rPr>
                <w:rFonts w:ascii="华文细黑"/>
                <w:sz w:val="18"/>
              </w:rPr>
              <w:t>32,396,629.25</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6"/>
              <w:jc w:val="right"/>
              <w:rPr>
                <w:rFonts w:ascii="华文细黑" w:hAnsi="华文细黑" w:cs="华文细黑" w:eastAsia="华文细黑" w:hint="default"/>
                <w:sz w:val="18"/>
                <w:szCs w:val="18"/>
              </w:rPr>
            </w:pPr>
            <w:r>
              <w:rPr>
                <w:rFonts w:ascii="华文细黑"/>
                <w:sz w:val="18"/>
              </w:rPr>
              <w:t>19,505,480.45</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业务拓展费</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8"/>
              <w:jc w:val="right"/>
              <w:rPr>
                <w:rFonts w:ascii="华文细黑" w:hAnsi="华文细黑" w:cs="华文细黑" w:eastAsia="华文细黑" w:hint="default"/>
                <w:sz w:val="18"/>
                <w:szCs w:val="18"/>
              </w:rPr>
            </w:pPr>
            <w:r>
              <w:rPr>
                <w:rFonts w:ascii="华文细黑"/>
                <w:sz w:val="18"/>
              </w:rPr>
              <w:t>30,451,542.58</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6"/>
              <w:jc w:val="right"/>
              <w:rPr>
                <w:rFonts w:ascii="华文细黑" w:hAnsi="华文细黑" w:cs="华文细黑" w:eastAsia="华文细黑" w:hint="default"/>
                <w:sz w:val="18"/>
                <w:szCs w:val="18"/>
              </w:rPr>
            </w:pPr>
            <w:r>
              <w:rPr>
                <w:rFonts w:ascii="华文细黑"/>
                <w:sz w:val="18"/>
              </w:rPr>
              <w:t>32,328,158.61</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业务差旅费</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8"/>
              <w:jc w:val="right"/>
              <w:rPr>
                <w:rFonts w:ascii="华文细黑" w:hAnsi="华文细黑" w:cs="华文细黑" w:eastAsia="华文细黑" w:hint="default"/>
                <w:sz w:val="18"/>
                <w:szCs w:val="18"/>
              </w:rPr>
            </w:pPr>
            <w:r>
              <w:rPr>
                <w:rFonts w:ascii="华文细黑"/>
                <w:sz w:val="18"/>
              </w:rPr>
              <w:t>22,451,987.72</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6"/>
              <w:jc w:val="right"/>
              <w:rPr>
                <w:rFonts w:ascii="华文细黑" w:hAnsi="华文细黑" w:cs="华文细黑" w:eastAsia="华文细黑" w:hint="default"/>
                <w:sz w:val="18"/>
                <w:szCs w:val="18"/>
              </w:rPr>
            </w:pPr>
            <w:r>
              <w:rPr>
                <w:rFonts w:ascii="华文细黑"/>
                <w:sz w:val="18"/>
              </w:rPr>
              <w:t>17,270,966.23</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业务宣传费</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8"/>
              <w:jc w:val="right"/>
              <w:rPr>
                <w:rFonts w:ascii="华文细黑" w:hAnsi="华文细黑" w:cs="华文细黑" w:eastAsia="华文细黑" w:hint="default"/>
                <w:sz w:val="18"/>
                <w:szCs w:val="18"/>
              </w:rPr>
            </w:pPr>
            <w:r>
              <w:rPr>
                <w:rFonts w:ascii="华文细黑"/>
                <w:sz w:val="18"/>
              </w:rPr>
              <w:t>21,969,300.36</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6"/>
              <w:jc w:val="right"/>
              <w:rPr>
                <w:rFonts w:ascii="华文细黑" w:hAnsi="华文细黑" w:cs="华文细黑" w:eastAsia="华文细黑" w:hint="default"/>
                <w:sz w:val="18"/>
                <w:szCs w:val="18"/>
              </w:rPr>
            </w:pPr>
            <w:r>
              <w:rPr>
                <w:rFonts w:ascii="华文细黑"/>
                <w:sz w:val="18"/>
              </w:rPr>
              <w:t>41,761,444.60</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网络信息费</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8"/>
              <w:jc w:val="right"/>
              <w:rPr>
                <w:rFonts w:ascii="华文细黑" w:hAnsi="华文细黑" w:cs="华文细黑" w:eastAsia="华文细黑" w:hint="default"/>
                <w:sz w:val="18"/>
                <w:szCs w:val="18"/>
              </w:rPr>
            </w:pPr>
            <w:r>
              <w:rPr>
                <w:rFonts w:ascii="华文细黑"/>
                <w:sz w:val="18"/>
              </w:rPr>
              <w:t>18,470,957.05</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6"/>
              <w:jc w:val="right"/>
              <w:rPr>
                <w:rFonts w:ascii="华文细黑" w:hAnsi="华文细黑" w:cs="华文细黑" w:eastAsia="华文细黑" w:hint="default"/>
                <w:sz w:val="18"/>
                <w:szCs w:val="18"/>
              </w:rPr>
            </w:pPr>
            <w:r>
              <w:rPr>
                <w:rFonts w:ascii="华文细黑"/>
                <w:sz w:val="18"/>
              </w:rPr>
              <w:t>17,299,406.12</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其他费用</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8"/>
              <w:jc w:val="right"/>
              <w:rPr>
                <w:rFonts w:ascii="华文细黑" w:hAnsi="华文细黑" w:cs="华文细黑" w:eastAsia="华文细黑" w:hint="default"/>
                <w:sz w:val="18"/>
                <w:szCs w:val="18"/>
              </w:rPr>
            </w:pPr>
            <w:r>
              <w:rPr>
                <w:rFonts w:ascii="华文细黑"/>
                <w:sz w:val="18"/>
              </w:rPr>
              <w:t>131,174,788.38</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6"/>
              <w:jc w:val="right"/>
              <w:rPr>
                <w:rFonts w:ascii="华文细黑" w:hAnsi="华文细黑" w:cs="华文细黑" w:eastAsia="华文细黑" w:hint="default"/>
                <w:sz w:val="18"/>
                <w:szCs w:val="18"/>
              </w:rPr>
            </w:pPr>
            <w:r>
              <w:rPr>
                <w:rFonts w:ascii="华文细黑"/>
                <w:sz w:val="18"/>
              </w:rPr>
              <w:t>304,603,838.12</w:t>
            </w:r>
          </w:p>
        </w:tc>
      </w:tr>
      <w:tr>
        <w:trPr>
          <w:trHeight w:val="491"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支付的押金保证金</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8"/>
              <w:jc w:val="right"/>
              <w:rPr>
                <w:rFonts w:ascii="华文细黑" w:hAnsi="华文细黑" w:cs="华文细黑" w:eastAsia="华文细黑" w:hint="default"/>
                <w:sz w:val="18"/>
                <w:szCs w:val="18"/>
              </w:rPr>
            </w:pPr>
            <w:r>
              <w:rPr>
                <w:rFonts w:ascii="华文细黑"/>
                <w:sz w:val="18"/>
              </w:rPr>
              <w:t>8,733,311.88</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6"/>
              <w:jc w:val="right"/>
              <w:rPr>
                <w:rFonts w:ascii="华文细黑" w:hAnsi="华文细黑" w:cs="华文细黑" w:eastAsia="华文细黑" w:hint="default"/>
                <w:sz w:val="18"/>
                <w:szCs w:val="18"/>
              </w:rPr>
            </w:pPr>
            <w:r>
              <w:rPr>
                <w:rFonts w:ascii="华文细黑"/>
                <w:sz w:val="18"/>
              </w:rPr>
              <w:t>52,378,522.75</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5"/>
              <w:ind w:right="222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4"/>
              <w:jc w:val="right"/>
              <w:rPr>
                <w:rFonts w:ascii="华文细黑" w:hAnsi="华文细黑" w:cs="华文细黑" w:eastAsia="华文细黑" w:hint="default"/>
                <w:sz w:val="18"/>
                <w:szCs w:val="18"/>
              </w:rPr>
            </w:pPr>
            <w:r>
              <w:rPr>
                <w:rFonts w:ascii="华文细黑"/>
                <w:b/>
                <w:w w:val="95"/>
                <w:sz w:val="18"/>
              </w:rPr>
              <w:t>793,866,009.58</w:t>
            </w:r>
            <w:r>
              <w:rPr>
                <w:rFonts w:ascii="华文细黑"/>
                <w:sz w:val="18"/>
              </w:rPr>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856,555,296.46</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20" w:right="1289"/>
        <w:jc w:val="left"/>
      </w:pPr>
      <w:r>
        <w:rPr/>
        <w:t>（</w:t>
      </w:r>
      <w:r>
        <w:rPr>
          <w:rFonts w:ascii="华文细黑" w:hAnsi="华文细黑" w:cs="华文细黑" w:eastAsia="华文细黑" w:hint="default"/>
        </w:rPr>
        <w:t>3</w:t>
      </w:r>
      <w:r>
        <w:rPr/>
        <w:t>）收到其他与筹资活动有关的现金</w:t>
      </w:r>
    </w:p>
    <w:p>
      <w:pPr>
        <w:spacing w:line="240" w:lineRule="auto" w:before="5"/>
        <w:rPr>
          <w:rFonts w:ascii="华文细黑" w:hAnsi="华文细黑" w:cs="华文细黑" w:eastAsia="华文细黑"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5086"/>
        <w:gridCol w:w="2042"/>
        <w:gridCol w:w="2071"/>
      </w:tblGrid>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222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0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7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207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8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保函保证金</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520,248,000.00</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1,051,040,000.00</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银行承兑汇票保证金</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82,000,000.00</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7"/>
              <w:jc w:val="right"/>
              <w:rPr>
                <w:rFonts w:ascii="华文细黑" w:hAnsi="华文细黑" w:cs="华文细黑" w:eastAsia="华文细黑" w:hint="default"/>
                <w:sz w:val="18"/>
                <w:szCs w:val="18"/>
              </w:rPr>
            </w:pPr>
            <w:r>
              <w:rPr>
                <w:rFonts w:ascii="华文细黑"/>
                <w:sz w:val="18"/>
              </w:rPr>
              <w:t>756,669,029.90</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保证金、结构性存款利息</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34,967,146.13</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5"/>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5"/>
              <w:ind w:right="222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4"/>
              <w:jc w:val="right"/>
              <w:rPr>
                <w:rFonts w:ascii="华文细黑" w:hAnsi="华文细黑" w:cs="华文细黑" w:eastAsia="华文细黑" w:hint="default"/>
                <w:sz w:val="18"/>
                <w:szCs w:val="18"/>
              </w:rPr>
            </w:pPr>
            <w:r>
              <w:rPr>
                <w:rFonts w:ascii="华文细黑"/>
                <w:b/>
                <w:w w:val="95"/>
                <w:sz w:val="18"/>
              </w:rPr>
              <w:t>637,215,146.13</w:t>
            </w:r>
            <w:r>
              <w:rPr>
                <w:rFonts w:ascii="华文细黑"/>
                <w:sz w:val="18"/>
              </w:rPr>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5"/>
              <w:ind w:right="22"/>
              <w:jc w:val="right"/>
              <w:rPr>
                <w:rFonts w:ascii="华文细黑" w:hAnsi="华文细黑" w:cs="华文细黑" w:eastAsia="华文细黑" w:hint="default"/>
                <w:sz w:val="18"/>
                <w:szCs w:val="18"/>
              </w:rPr>
            </w:pPr>
            <w:r>
              <w:rPr>
                <w:rFonts w:ascii="华文细黑"/>
                <w:b/>
                <w:w w:val="95"/>
                <w:sz w:val="18"/>
              </w:rPr>
              <w:t>1,807,709,029.90</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20" w:right="1289"/>
        <w:jc w:val="left"/>
      </w:pPr>
      <w:r>
        <w:rPr/>
        <w:t>（</w:t>
      </w:r>
      <w:r>
        <w:rPr>
          <w:rFonts w:ascii="华文细黑" w:hAnsi="华文细黑" w:cs="华文细黑" w:eastAsia="华文细黑" w:hint="default"/>
        </w:rPr>
        <w:t>4</w:t>
      </w:r>
      <w:r>
        <w:rPr/>
        <w:t>）支付其他与筹资活动有关的现金</w:t>
      </w:r>
    </w:p>
    <w:p>
      <w:pPr>
        <w:spacing w:line="240" w:lineRule="auto" w:before="5"/>
        <w:rPr>
          <w:rFonts w:ascii="华文细黑" w:hAnsi="华文细黑" w:cs="华文细黑" w:eastAsia="华文细黑"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5086"/>
        <w:gridCol w:w="2042"/>
        <w:gridCol w:w="2071"/>
      </w:tblGrid>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0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7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207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8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支付保函保证金</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8"/>
              <w:jc w:val="right"/>
              <w:rPr>
                <w:rFonts w:ascii="华文细黑" w:hAnsi="华文细黑" w:cs="华文细黑" w:eastAsia="华文细黑" w:hint="default"/>
                <w:sz w:val="18"/>
                <w:szCs w:val="18"/>
              </w:rPr>
            </w:pPr>
            <w:r>
              <w:rPr>
                <w:rFonts w:ascii="华文细黑"/>
                <w:sz w:val="18"/>
              </w:rPr>
              <w:t>522,030,000.00</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6"/>
              <w:jc w:val="right"/>
              <w:rPr>
                <w:rFonts w:ascii="华文细黑" w:hAnsi="华文细黑" w:cs="华文细黑" w:eastAsia="华文细黑" w:hint="default"/>
                <w:sz w:val="18"/>
                <w:szCs w:val="18"/>
              </w:rPr>
            </w:pPr>
            <w:r>
              <w:rPr>
                <w:rFonts w:ascii="华文细黑"/>
                <w:sz w:val="18"/>
              </w:rPr>
              <w:t>529,248,000.00</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支付银承保证金</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8"/>
              <w:jc w:val="right"/>
              <w:rPr>
                <w:rFonts w:ascii="华文细黑" w:hAnsi="华文细黑" w:cs="华文细黑" w:eastAsia="华文细黑" w:hint="default"/>
                <w:sz w:val="18"/>
                <w:szCs w:val="18"/>
              </w:rPr>
            </w:pPr>
            <w:r>
              <w:rPr>
                <w:rFonts w:ascii="华文细黑"/>
                <w:sz w:val="18"/>
              </w:rPr>
              <w:t>90,000,000.00</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6"/>
              <w:jc w:val="right"/>
              <w:rPr>
                <w:rFonts w:ascii="华文细黑" w:hAnsi="华文细黑" w:cs="华文细黑" w:eastAsia="华文细黑" w:hint="default"/>
                <w:sz w:val="18"/>
                <w:szCs w:val="18"/>
              </w:rPr>
            </w:pPr>
            <w:r>
              <w:rPr>
                <w:rFonts w:ascii="华文细黑"/>
                <w:spacing w:val="-1"/>
                <w:sz w:val="18"/>
              </w:rPr>
              <w:t>82,000,000.00</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支付信用证保证金</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8"/>
              <w:jc w:val="right"/>
              <w:rPr>
                <w:rFonts w:ascii="华文细黑" w:hAnsi="华文细黑" w:cs="华文细黑" w:eastAsia="华文细黑" w:hint="default"/>
                <w:sz w:val="18"/>
                <w:szCs w:val="18"/>
              </w:rPr>
            </w:pPr>
            <w:r>
              <w:rPr>
                <w:rFonts w:ascii="华文细黑"/>
                <w:sz w:val="18"/>
              </w:rPr>
              <w:t>312,850,000.00</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5"/>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协定存单、结构性存款</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8"/>
              <w:jc w:val="right"/>
              <w:rPr>
                <w:rFonts w:ascii="华文细黑" w:hAnsi="华文细黑" w:cs="华文细黑" w:eastAsia="华文细黑" w:hint="default"/>
                <w:sz w:val="18"/>
                <w:szCs w:val="18"/>
              </w:rPr>
            </w:pPr>
            <w:r>
              <w:rPr>
                <w:rFonts w:ascii="华文细黑"/>
                <w:sz w:val="18"/>
              </w:rPr>
              <w:t>901,510,000.00</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5"/>
              <w:jc w:val="right"/>
              <w:rPr>
                <w:rFonts w:ascii="华文细黑" w:hAnsi="华文细黑" w:cs="华文细黑" w:eastAsia="华文细黑" w:hint="default"/>
                <w:sz w:val="18"/>
                <w:szCs w:val="18"/>
              </w:rPr>
            </w:pPr>
            <w:r>
              <w:rPr>
                <w:rFonts w:ascii="华文细黑"/>
                <w:sz w:val="18"/>
              </w:rPr>
              <w:t>---</w:t>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240" w:right="0"/>
        </w:sectPr>
      </w:pPr>
    </w:p>
    <w:p>
      <w:pPr>
        <w:spacing w:line="240" w:lineRule="auto" w:before="8"/>
        <w:rPr>
          <w:rFonts w:ascii="华文细黑" w:hAnsi="华文细黑" w:cs="华文细黑" w:eastAsia="华文细黑" w:hint="default"/>
          <w:sz w:val="23"/>
          <w:szCs w:val="23"/>
        </w:rPr>
      </w:pPr>
    </w:p>
    <w:tbl>
      <w:tblPr>
        <w:tblW w:w="0" w:type="auto"/>
        <w:jc w:val="left"/>
        <w:tblInd w:w="114" w:type="dxa"/>
        <w:tblLayout w:type="fixed"/>
        <w:tblCellMar>
          <w:top w:w="0" w:type="dxa"/>
          <w:left w:w="0" w:type="dxa"/>
          <w:bottom w:w="0" w:type="dxa"/>
          <w:right w:w="0" w:type="dxa"/>
        </w:tblCellMar>
        <w:tblLook w:val="01E0"/>
      </w:tblPr>
      <w:tblGrid>
        <w:gridCol w:w="5086"/>
        <w:gridCol w:w="2042"/>
        <w:gridCol w:w="2071"/>
      </w:tblGrid>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222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04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7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207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8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8"/>
              <w:jc w:val="right"/>
              <w:rPr>
                <w:rFonts w:ascii="华文细黑" w:hAnsi="华文细黑" w:cs="华文细黑" w:eastAsia="华文细黑" w:hint="default"/>
                <w:sz w:val="18"/>
                <w:szCs w:val="18"/>
              </w:rPr>
            </w:pPr>
            <w:r>
              <w:rPr>
                <w:rFonts w:ascii="华文细黑"/>
                <w:w w:val="95"/>
                <w:sz w:val="18"/>
              </w:rPr>
              <w:t>533,378.70</w:t>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5"/>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508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222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204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30"/>
              <w:jc w:val="right"/>
              <w:rPr>
                <w:rFonts w:ascii="华文细黑" w:hAnsi="华文细黑" w:cs="华文细黑" w:eastAsia="华文细黑" w:hint="default"/>
                <w:sz w:val="18"/>
                <w:szCs w:val="18"/>
              </w:rPr>
            </w:pPr>
            <w:r>
              <w:rPr>
                <w:rFonts w:ascii="华文细黑"/>
                <w:b/>
                <w:w w:val="95"/>
                <w:sz w:val="18"/>
              </w:rPr>
              <w:t>1,826,923,378.70</w:t>
            </w:r>
            <w:r>
              <w:rPr>
                <w:rFonts w:ascii="华文细黑"/>
                <w:sz w:val="18"/>
              </w:rPr>
            </w:r>
          </w:p>
        </w:tc>
        <w:tc>
          <w:tcPr>
            <w:tcW w:w="207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8"/>
              <w:jc w:val="right"/>
              <w:rPr>
                <w:rFonts w:ascii="华文细黑" w:hAnsi="华文细黑" w:cs="华文细黑" w:eastAsia="华文细黑" w:hint="default"/>
                <w:sz w:val="18"/>
                <w:szCs w:val="18"/>
              </w:rPr>
            </w:pPr>
            <w:r>
              <w:rPr>
                <w:rFonts w:ascii="华文细黑"/>
                <w:b/>
                <w:w w:val="95"/>
                <w:sz w:val="18"/>
              </w:rPr>
              <w:t>611,248,000.00</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Heading5"/>
        <w:spacing w:line="240" w:lineRule="auto"/>
        <w:ind w:left="620" w:right="1289"/>
        <w:jc w:val="left"/>
        <w:rPr>
          <w:b w:val="0"/>
          <w:bCs w:val="0"/>
        </w:rPr>
      </w:pPr>
      <w:bookmarkStart w:name="51、现金流量表补充资料" w:id="316"/>
      <w:bookmarkEnd w:id="316"/>
      <w:r>
        <w:rPr>
          <w:b w:val="0"/>
          <w:bCs w:val="0"/>
        </w:rPr>
      </w:r>
      <w:r>
        <w:rPr>
          <w:rFonts w:ascii="华文细黑" w:hAnsi="华文细黑" w:cs="华文细黑" w:eastAsia="华文细黑" w:hint="default"/>
        </w:rPr>
        <w:t>51</w:t>
      </w:r>
      <w:r>
        <w:rPr/>
        <w:t>、现金流量表补充资料</w:t>
      </w:r>
      <w:r>
        <w:rPr>
          <w:b w:val="0"/>
          <w:bCs w:val="0"/>
        </w:rPr>
      </w:r>
    </w:p>
    <w:p>
      <w:pPr>
        <w:pStyle w:val="BodyText"/>
        <w:spacing w:line="240" w:lineRule="auto" w:before="142"/>
        <w:ind w:left="620" w:right="1289"/>
        <w:jc w:val="left"/>
      </w:pPr>
      <w:r>
        <w:rPr/>
        <w:t>（</w:t>
      </w:r>
      <w:r>
        <w:rPr>
          <w:rFonts w:ascii="华文细黑" w:hAnsi="华文细黑" w:cs="华文细黑" w:eastAsia="华文细黑" w:hint="default"/>
        </w:rPr>
        <w:t>1</w:t>
      </w:r>
      <w:r>
        <w:rPr/>
        <w:t>）现金流量表补充资料</w:t>
      </w:r>
    </w:p>
    <w:p>
      <w:pPr>
        <w:spacing w:line="240" w:lineRule="auto" w:before="6"/>
        <w:rPr>
          <w:rFonts w:ascii="华文细黑" w:hAnsi="华文细黑" w:cs="华文细黑" w:eastAsia="华文细黑" w:hint="default"/>
          <w:sz w:val="5"/>
          <w:szCs w:val="5"/>
        </w:rPr>
      </w:pPr>
    </w:p>
    <w:tbl>
      <w:tblPr>
        <w:tblW w:w="0" w:type="auto"/>
        <w:jc w:val="left"/>
        <w:tblInd w:w="200" w:type="dxa"/>
        <w:tblLayout w:type="fixed"/>
        <w:tblCellMar>
          <w:top w:w="0" w:type="dxa"/>
          <w:left w:w="0" w:type="dxa"/>
          <w:bottom w:w="0" w:type="dxa"/>
          <w:right w:w="0" w:type="dxa"/>
        </w:tblCellMar>
        <w:tblLook w:val="01E0"/>
      </w:tblPr>
      <w:tblGrid>
        <w:gridCol w:w="4929"/>
        <w:gridCol w:w="2268"/>
        <w:gridCol w:w="1984"/>
      </w:tblGrid>
      <w:tr>
        <w:trPr>
          <w:trHeight w:val="490"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补充资料</w:t>
            </w:r>
          </w:p>
        </w:tc>
        <w:tc>
          <w:tcPr>
            <w:tcW w:w="22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本年金额</w:t>
            </w:r>
          </w:p>
        </w:tc>
        <w:tc>
          <w:tcPr>
            <w:tcW w:w="19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62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上年金额</w:t>
            </w:r>
          </w:p>
        </w:tc>
      </w:tr>
      <w:tr>
        <w:trPr>
          <w:trHeight w:val="485"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b/>
                <w:bCs/>
                <w:sz w:val="18"/>
                <w:szCs w:val="18"/>
              </w:rPr>
              <w:t>1</w:t>
            </w:r>
            <w:r>
              <w:rPr>
                <w:rFonts w:ascii="华文细黑" w:hAnsi="华文细黑" w:cs="华文细黑" w:eastAsia="华文细黑" w:hint="default"/>
                <w:b/>
                <w:bCs/>
                <w:sz w:val="18"/>
                <w:szCs w:val="18"/>
              </w:rPr>
              <w:t>、将净利润调节为经营活动现金流量：</w:t>
            </w:r>
            <w:r>
              <w:rPr>
                <w:rFonts w:ascii="华文细黑" w:hAnsi="华文细黑" w:cs="华文细黑" w:eastAsia="华文细黑" w:hint="default"/>
                <w:sz w:val="18"/>
                <w:szCs w:val="18"/>
              </w:rPr>
            </w:r>
          </w:p>
        </w:tc>
        <w:tc>
          <w:tcPr>
            <w:tcW w:w="2268"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984"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4"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净利润</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107"/>
              <w:jc w:val="right"/>
              <w:rPr>
                <w:rFonts w:ascii="华文细黑" w:hAnsi="华文细黑" w:cs="华文细黑" w:eastAsia="华文细黑" w:hint="default"/>
                <w:sz w:val="18"/>
                <w:szCs w:val="18"/>
              </w:rPr>
            </w:pPr>
            <w:r>
              <w:rPr>
                <w:rFonts w:ascii="华文细黑"/>
                <w:sz w:val="18"/>
              </w:rPr>
              <w:t>-69,894,655.85</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107"/>
              <w:jc w:val="right"/>
              <w:rPr>
                <w:rFonts w:ascii="华文细黑" w:hAnsi="华文细黑" w:cs="华文细黑" w:eastAsia="华文细黑" w:hint="default"/>
                <w:sz w:val="18"/>
                <w:szCs w:val="18"/>
              </w:rPr>
            </w:pPr>
            <w:r>
              <w:rPr>
                <w:rFonts w:ascii="华文细黑"/>
                <w:sz w:val="18"/>
              </w:rPr>
              <w:t>398,527,845.22</w:t>
            </w:r>
          </w:p>
        </w:tc>
      </w:tr>
      <w:tr>
        <w:trPr>
          <w:trHeight w:val="490"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加：资产减值准备</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7"/>
              <w:jc w:val="right"/>
              <w:rPr>
                <w:rFonts w:ascii="华文细黑" w:hAnsi="华文细黑" w:cs="华文细黑" w:eastAsia="华文细黑" w:hint="default"/>
                <w:sz w:val="18"/>
                <w:szCs w:val="18"/>
              </w:rPr>
            </w:pPr>
            <w:r>
              <w:rPr>
                <w:rFonts w:ascii="华文细黑"/>
                <w:sz w:val="18"/>
              </w:rPr>
              <w:t>535,125,813.20</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7"/>
              <w:jc w:val="right"/>
              <w:rPr>
                <w:rFonts w:ascii="华文细黑" w:hAnsi="华文细黑" w:cs="华文细黑" w:eastAsia="华文细黑" w:hint="default"/>
                <w:sz w:val="18"/>
                <w:szCs w:val="18"/>
              </w:rPr>
            </w:pPr>
            <w:r>
              <w:rPr>
                <w:rFonts w:ascii="华文细黑"/>
                <w:sz w:val="18"/>
              </w:rPr>
              <w:t>226,676,860.13</w:t>
            </w:r>
          </w:p>
        </w:tc>
      </w:tr>
      <w:tr>
        <w:trPr>
          <w:trHeight w:val="490"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4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固定资产折旧、油气资产折耗、生产性生物资产折旧</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7"/>
              <w:jc w:val="right"/>
              <w:rPr>
                <w:rFonts w:ascii="华文细黑" w:hAnsi="华文细黑" w:cs="华文细黑" w:eastAsia="华文细黑" w:hint="default"/>
                <w:sz w:val="18"/>
                <w:szCs w:val="18"/>
              </w:rPr>
            </w:pPr>
            <w:r>
              <w:rPr>
                <w:rFonts w:ascii="华文细黑"/>
                <w:sz w:val="18"/>
              </w:rPr>
              <w:t>4,814,475.35</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6"/>
              <w:jc w:val="right"/>
              <w:rPr>
                <w:rFonts w:ascii="华文细黑" w:hAnsi="华文细黑" w:cs="华文细黑" w:eastAsia="华文细黑" w:hint="default"/>
                <w:sz w:val="18"/>
                <w:szCs w:val="18"/>
              </w:rPr>
            </w:pPr>
            <w:r>
              <w:rPr>
                <w:rFonts w:ascii="华文细黑"/>
                <w:sz w:val="18"/>
              </w:rPr>
              <w:t>6,959,665.56</w:t>
            </w:r>
          </w:p>
        </w:tc>
      </w:tr>
      <w:tr>
        <w:trPr>
          <w:trHeight w:val="490"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无形资产摊销</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7"/>
              <w:jc w:val="right"/>
              <w:rPr>
                <w:rFonts w:ascii="华文细黑" w:hAnsi="华文细黑" w:cs="华文细黑" w:eastAsia="华文细黑" w:hint="default"/>
                <w:sz w:val="18"/>
                <w:szCs w:val="18"/>
              </w:rPr>
            </w:pPr>
            <w:r>
              <w:rPr>
                <w:rFonts w:ascii="华文细黑"/>
                <w:sz w:val="18"/>
              </w:rPr>
              <w:t>3,929,576.65</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6"/>
              <w:jc w:val="right"/>
              <w:rPr>
                <w:rFonts w:ascii="华文细黑" w:hAnsi="华文细黑" w:cs="华文细黑" w:eastAsia="华文细黑" w:hint="default"/>
                <w:sz w:val="18"/>
                <w:szCs w:val="18"/>
              </w:rPr>
            </w:pPr>
            <w:r>
              <w:rPr>
                <w:rFonts w:ascii="华文细黑"/>
                <w:sz w:val="18"/>
              </w:rPr>
              <w:t>4,689,356.43</w:t>
            </w:r>
          </w:p>
        </w:tc>
      </w:tr>
      <w:tr>
        <w:trPr>
          <w:trHeight w:val="490"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长期待摊费用摊销</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7"/>
              <w:jc w:val="right"/>
              <w:rPr>
                <w:rFonts w:ascii="华文细黑" w:hAnsi="华文细黑" w:cs="华文细黑" w:eastAsia="华文细黑" w:hint="default"/>
                <w:sz w:val="18"/>
                <w:szCs w:val="18"/>
              </w:rPr>
            </w:pPr>
            <w:r>
              <w:rPr>
                <w:rFonts w:ascii="华文细黑"/>
                <w:sz w:val="18"/>
              </w:rPr>
              <w:t>10,610,699.56</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6"/>
              <w:jc w:val="right"/>
              <w:rPr>
                <w:rFonts w:ascii="华文细黑" w:hAnsi="华文细黑" w:cs="华文细黑" w:eastAsia="华文细黑" w:hint="default"/>
                <w:sz w:val="18"/>
                <w:szCs w:val="18"/>
              </w:rPr>
            </w:pPr>
            <w:r>
              <w:rPr>
                <w:rFonts w:ascii="华文细黑"/>
                <w:sz w:val="18"/>
              </w:rPr>
              <w:t>5,616,873.40</w:t>
            </w:r>
          </w:p>
        </w:tc>
      </w:tr>
      <w:tr>
        <w:trPr>
          <w:trHeight w:val="890"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4"/>
              <w:ind w:left="103" w:right="105" w:firstLine="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处置固定资产、无形资产和其他长期资产的损失（收益 以“－”号填列）</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
              <w:ind w:right="0"/>
              <w:jc w:val="left"/>
              <w:rPr>
                <w:rFonts w:ascii="华文细黑" w:hAnsi="华文细黑" w:cs="华文细黑" w:eastAsia="华文细黑" w:hint="default"/>
                <w:sz w:val="24"/>
                <w:szCs w:val="24"/>
              </w:rPr>
            </w:pPr>
          </w:p>
          <w:p>
            <w:pPr>
              <w:pStyle w:val="TableParagraph"/>
              <w:spacing w:line="240" w:lineRule="auto"/>
              <w:ind w:right="109"/>
              <w:jc w:val="right"/>
              <w:rPr>
                <w:rFonts w:ascii="华文细黑" w:hAnsi="华文细黑" w:cs="华文细黑" w:eastAsia="华文细黑" w:hint="default"/>
                <w:sz w:val="18"/>
                <w:szCs w:val="18"/>
              </w:rPr>
            </w:pPr>
            <w:r>
              <w:rPr>
                <w:rFonts w:ascii="华文细黑"/>
                <w:sz w:val="18"/>
              </w:rPr>
              <w:t>58,916.32</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
              <w:ind w:right="0"/>
              <w:jc w:val="left"/>
              <w:rPr>
                <w:rFonts w:ascii="华文细黑" w:hAnsi="华文细黑" w:cs="华文细黑" w:eastAsia="华文细黑" w:hint="default"/>
                <w:sz w:val="24"/>
                <w:szCs w:val="24"/>
              </w:rPr>
            </w:pPr>
          </w:p>
          <w:p>
            <w:pPr>
              <w:pStyle w:val="TableParagraph"/>
              <w:spacing w:line="240" w:lineRule="auto"/>
              <w:ind w:right="107"/>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4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固定资产报废损失（收益以“－”号填列）</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9"/>
              <w:jc w:val="right"/>
              <w:rPr>
                <w:rFonts w:ascii="华文细黑" w:hAnsi="华文细黑" w:cs="华文细黑" w:eastAsia="华文细黑" w:hint="default"/>
                <w:sz w:val="18"/>
                <w:szCs w:val="18"/>
              </w:rPr>
            </w:pPr>
            <w:r>
              <w:rPr>
                <w:rFonts w:ascii="华文细黑"/>
                <w:sz w:val="18"/>
              </w:rPr>
              <w:t>-10,068.69</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7"/>
              <w:jc w:val="right"/>
              <w:rPr>
                <w:rFonts w:ascii="华文细黑" w:hAnsi="华文细黑" w:cs="华文细黑" w:eastAsia="华文细黑" w:hint="default"/>
                <w:sz w:val="18"/>
                <w:szCs w:val="18"/>
              </w:rPr>
            </w:pPr>
            <w:r>
              <w:rPr>
                <w:rFonts w:ascii="华文细黑"/>
                <w:spacing w:val="-1"/>
                <w:sz w:val="18"/>
              </w:rPr>
              <w:t>45,477.20</w:t>
            </w:r>
          </w:p>
        </w:tc>
      </w:tr>
      <w:tr>
        <w:trPr>
          <w:trHeight w:val="490"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4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公允价值变动损失（收益以“－”号填列）</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7"/>
              <w:jc w:val="right"/>
              <w:rPr>
                <w:rFonts w:ascii="华文细黑" w:hAnsi="华文细黑" w:cs="华文细黑" w:eastAsia="华文细黑" w:hint="default"/>
                <w:sz w:val="18"/>
                <w:szCs w:val="18"/>
              </w:rPr>
            </w:pPr>
            <w:r>
              <w:rPr>
                <w:rFonts w:ascii="华文细黑"/>
                <w:sz w:val="18"/>
              </w:rPr>
              <w:t>6,204,660.75</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7"/>
              <w:jc w:val="right"/>
              <w:rPr>
                <w:rFonts w:ascii="华文细黑" w:hAnsi="华文细黑" w:cs="华文细黑" w:eastAsia="华文细黑" w:hint="default"/>
                <w:sz w:val="18"/>
                <w:szCs w:val="18"/>
              </w:rPr>
            </w:pPr>
            <w:r>
              <w:rPr>
                <w:rFonts w:ascii="华文细黑"/>
                <w:w w:val="95"/>
                <w:sz w:val="18"/>
              </w:rPr>
              <w:t>787,383.36</w:t>
            </w:r>
          </w:p>
        </w:tc>
      </w:tr>
      <w:tr>
        <w:trPr>
          <w:trHeight w:val="490"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财务费用（收益以“－”号填列）</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7"/>
              <w:jc w:val="right"/>
              <w:rPr>
                <w:rFonts w:ascii="华文细黑" w:hAnsi="华文细黑" w:cs="华文细黑" w:eastAsia="华文细黑" w:hint="default"/>
                <w:sz w:val="18"/>
                <w:szCs w:val="18"/>
              </w:rPr>
            </w:pPr>
            <w:r>
              <w:rPr>
                <w:rFonts w:ascii="华文细黑"/>
                <w:sz w:val="18"/>
              </w:rPr>
              <w:t>242,272,290.76</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7"/>
              <w:jc w:val="right"/>
              <w:rPr>
                <w:rFonts w:ascii="华文细黑" w:hAnsi="华文细黑" w:cs="华文细黑" w:eastAsia="华文细黑" w:hint="default"/>
                <w:sz w:val="18"/>
                <w:szCs w:val="18"/>
              </w:rPr>
            </w:pPr>
            <w:r>
              <w:rPr>
                <w:rFonts w:ascii="华文细黑"/>
                <w:sz w:val="18"/>
              </w:rPr>
              <w:t>216,237,009.06</w:t>
            </w:r>
          </w:p>
        </w:tc>
      </w:tr>
      <w:tr>
        <w:trPr>
          <w:trHeight w:val="490"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投资损失（收益以“－”号填列）</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7"/>
              <w:jc w:val="right"/>
              <w:rPr>
                <w:rFonts w:ascii="华文细黑" w:hAnsi="华文细黑" w:cs="华文细黑" w:eastAsia="华文细黑" w:hint="default"/>
                <w:sz w:val="18"/>
                <w:szCs w:val="18"/>
              </w:rPr>
            </w:pPr>
            <w:r>
              <w:rPr>
                <w:rFonts w:ascii="华文细黑"/>
                <w:sz w:val="18"/>
              </w:rPr>
              <w:t>-56,565,486.41</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7"/>
              <w:jc w:val="right"/>
              <w:rPr>
                <w:rFonts w:ascii="华文细黑" w:hAnsi="华文细黑" w:cs="华文细黑" w:eastAsia="华文细黑" w:hint="default"/>
                <w:sz w:val="18"/>
                <w:szCs w:val="18"/>
              </w:rPr>
            </w:pPr>
            <w:r>
              <w:rPr>
                <w:rFonts w:ascii="华文细黑"/>
                <w:spacing w:val="-1"/>
                <w:sz w:val="18"/>
              </w:rPr>
              <w:t>-123,484,560.56</w:t>
            </w:r>
          </w:p>
        </w:tc>
      </w:tr>
      <w:tr>
        <w:trPr>
          <w:trHeight w:val="490"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4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递延所得税资产减少（增加以“－”号填列）</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7"/>
              <w:jc w:val="right"/>
              <w:rPr>
                <w:rFonts w:ascii="华文细黑" w:hAnsi="华文细黑" w:cs="华文细黑" w:eastAsia="华文细黑" w:hint="default"/>
                <w:sz w:val="18"/>
                <w:szCs w:val="18"/>
              </w:rPr>
            </w:pPr>
            <w:r>
              <w:rPr>
                <w:rFonts w:ascii="华文细黑"/>
                <w:sz w:val="18"/>
              </w:rPr>
              <w:t>-25,869,195.00</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6"/>
              <w:jc w:val="right"/>
              <w:rPr>
                <w:rFonts w:ascii="华文细黑" w:hAnsi="华文细黑" w:cs="华文细黑" w:eastAsia="华文细黑" w:hint="default"/>
                <w:sz w:val="18"/>
                <w:szCs w:val="18"/>
              </w:rPr>
            </w:pPr>
            <w:r>
              <w:rPr>
                <w:rFonts w:ascii="华文细黑"/>
                <w:sz w:val="18"/>
              </w:rPr>
              <w:t>1,952,618.05</w:t>
            </w:r>
          </w:p>
        </w:tc>
      </w:tr>
      <w:tr>
        <w:trPr>
          <w:trHeight w:val="490"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递延所得税负债增加（减少以“－”号填列）</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7"/>
              <w:jc w:val="right"/>
              <w:rPr>
                <w:rFonts w:ascii="华文细黑" w:hAnsi="华文细黑" w:cs="华文细黑" w:eastAsia="华文细黑" w:hint="default"/>
                <w:sz w:val="18"/>
                <w:szCs w:val="18"/>
              </w:rPr>
            </w:pPr>
            <w:r>
              <w:rPr>
                <w:rFonts w:ascii="华文细黑"/>
                <w:w w:val="95"/>
                <w:sz w:val="18"/>
              </w:rPr>
              <w:t>-1,551,165.19</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7"/>
              <w:jc w:val="right"/>
              <w:rPr>
                <w:rFonts w:ascii="华文细黑" w:hAnsi="华文细黑" w:cs="华文细黑" w:eastAsia="华文细黑" w:hint="default"/>
                <w:sz w:val="18"/>
                <w:szCs w:val="18"/>
              </w:rPr>
            </w:pPr>
            <w:r>
              <w:rPr>
                <w:rFonts w:ascii="华文细黑"/>
                <w:sz w:val="18"/>
              </w:rPr>
              <w:t>-196,845.84</w:t>
            </w:r>
          </w:p>
        </w:tc>
      </w:tr>
      <w:tr>
        <w:trPr>
          <w:trHeight w:val="490"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存货的减少（增加以“－”号填列）</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7"/>
              <w:jc w:val="right"/>
              <w:rPr>
                <w:rFonts w:ascii="华文细黑" w:hAnsi="华文细黑" w:cs="华文细黑" w:eastAsia="华文细黑" w:hint="default"/>
                <w:sz w:val="18"/>
                <w:szCs w:val="18"/>
              </w:rPr>
            </w:pPr>
            <w:r>
              <w:rPr>
                <w:rFonts w:ascii="华文细黑"/>
                <w:sz w:val="18"/>
              </w:rPr>
              <w:t>1,487,738,294.82</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7"/>
              <w:jc w:val="right"/>
              <w:rPr>
                <w:rFonts w:ascii="华文细黑" w:hAnsi="华文细黑" w:cs="华文细黑" w:eastAsia="华文细黑" w:hint="default"/>
                <w:sz w:val="18"/>
                <w:szCs w:val="18"/>
              </w:rPr>
            </w:pPr>
            <w:r>
              <w:rPr>
                <w:rFonts w:ascii="华文细黑"/>
                <w:spacing w:val="-1"/>
                <w:sz w:val="18"/>
              </w:rPr>
              <w:t>-1,387,338,584.82</w:t>
            </w:r>
          </w:p>
        </w:tc>
      </w:tr>
      <w:tr>
        <w:trPr>
          <w:trHeight w:val="490"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4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经营性应收项目的减少（增加以“－”号填列）</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7"/>
              <w:jc w:val="right"/>
              <w:rPr>
                <w:rFonts w:ascii="华文细黑" w:hAnsi="华文细黑" w:cs="华文细黑" w:eastAsia="华文细黑" w:hint="default"/>
                <w:sz w:val="18"/>
                <w:szCs w:val="18"/>
              </w:rPr>
            </w:pPr>
            <w:r>
              <w:rPr>
                <w:rFonts w:ascii="华文细黑"/>
                <w:sz w:val="18"/>
              </w:rPr>
              <w:t>1,204,298,619.07</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7"/>
              <w:jc w:val="right"/>
              <w:rPr>
                <w:rFonts w:ascii="华文细黑" w:hAnsi="华文细黑" w:cs="华文细黑" w:eastAsia="华文细黑" w:hint="default"/>
                <w:sz w:val="18"/>
                <w:szCs w:val="18"/>
              </w:rPr>
            </w:pPr>
            <w:r>
              <w:rPr>
                <w:rFonts w:ascii="华文细黑"/>
                <w:spacing w:val="-1"/>
                <w:sz w:val="18"/>
              </w:rPr>
              <w:t>-1,878,474,281.23</w:t>
            </w:r>
          </w:p>
        </w:tc>
      </w:tr>
      <w:tr>
        <w:trPr>
          <w:trHeight w:val="490"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经营性应付项目的增加（减少以“－”号填列）</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7"/>
              <w:jc w:val="right"/>
              <w:rPr>
                <w:rFonts w:ascii="华文细黑" w:hAnsi="华文细黑" w:cs="华文细黑" w:eastAsia="华文细黑" w:hint="default"/>
                <w:sz w:val="18"/>
                <w:szCs w:val="18"/>
              </w:rPr>
            </w:pPr>
            <w:r>
              <w:rPr>
                <w:rFonts w:ascii="华文细黑"/>
                <w:sz w:val="18"/>
              </w:rPr>
              <w:t>-2,848,914,035.43</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7"/>
              <w:jc w:val="right"/>
              <w:rPr>
                <w:rFonts w:ascii="华文细黑" w:hAnsi="华文细黑" w:cs="华文细黑" w:eastAsia="华文细黑" w:hint="default"/>
                <w:sz w:val="18"/>
                <w:szCs w:val="18"/>
              </w:rPr>
            </w:pPr>
            <w:r>
              <w:rPr>
                <w:rFonts w:ascii="华文细黑"/>
                <w:sz w:val="18"/>
              </w:rPr>
              <w:t>985,210,272.76</w:t>
            </w:r>
          </w:p>
        </w:tc>
      </w:tr>
      <w:tr>
        <w:trPr>
          <w:trHeight w:val="490"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7"/>
              <w:jc w:val="right"/>
              <w:rPr>
                <w:rFonts w:ascii="华文细黑" w:hAnsi="华文细黑" w:cs="华文细黑" w:eastAsia="华文细黑" w:hint="default"/>
                <w:sz w:val="18"/>
                <w:szCs w:val="18"/>
              </w:rPr>
            </w:pPr>
            <w:r>
              <w:rPr>
                <w:rFonts w:ascii="华文细黑"/>
                <w:sz w:val="18"/>
              </w:rPr>
              <w:t>---</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7"/>
              <w:jc w:val="right"/>
              <w:rPr>
                <w:rFonts w:ascii="华文细黑" w:hAnsi="华文细黑" w:cs="华文细黑" w:eastAsia="华文细黑" w:hint="default"/>
                <w:sz w:val="18"/>
                <w:szCs w:val="18"/>
              </w:rPr>
            </w:pPr>
            <w:r>
              <w:rPr>
                <w:rFonts w:ascii="华文细黑"/>
                <w:sz w:val="18"/>
              </w:rPr>
              <w:t>---</w:t>
            </w:r>
          </w:p>
        </w:tc>
      </w:tr>
      <w:tr>
        <w:trPr>
          <w:trHeight w:val="495"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经营活动产生的现金流量净额</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9"/>
              <w:jc w:val="right"/>
              <w:rPr>
                <w:rFonts w:ascii="华文细黑" w:hAnsi="华文细黑" w:cs="华文细黑" w:eastAsia="华文细黑" w:hint="default"/>
                <w:sz w:val="18"/>
                <w:szCs w:val="18"/>
              </w:rPr>
            </w:pPr>
            <w:r>
              <w:rPr>
                <w:rFonts w:ascii="华文细黑"/>
                <w:b/>
                <w:w w:val="95"/>
                <w:sz w:val="18"/>
              </w:rPr>
              <w:t>492,248,739.91</w:t>
            </w:r>
            <w:r>
              <w:rPr>
                <w:rFonts w:ascii="华文细黑"/>
                <w:sz w:val="18"/>
              </w:rPr>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7"/>
              <w:jc w:val="right"/>
              <w:rPr>
                <w:rFonts w:ascii="华文细黑" w:hAnsi="华文细黑" w:cs="华文细黑" w:eastAsia="华文细黑" w:hint="default"/>
                <w:sz w:val="18"/>
                <w:szCs w:val="18"/>
              </w:rPr>
            </w:pPr>
            <w:r>
              <w:rPr>
                <w:rFonts w:ascii="华文细黑"/>
                <w:b/>
                <w:w w:val="95"/>
                <w:sz w:val="18"/>
              </w:rPr>
              <w:t>-1,542,790,911.28</w:t>
            </w:r>
            <w:r>
              <w:rPr>
                <w:rFonts w:ascii="华文细黑"/>
                <w:sz w:val="18"/>
              </w:rPr>
            </w:r>
          </w:p>
        </w:tc>
      </w:tr>
      <w:tr>
        <w:trPr>
          <w:trHeight w:val="480"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9"/>
              <w:ind w:left="103" w:right="0"/>
              <w:jc w:val="left"/>
              <w:rPr>
                <w:rFonts w:ascii="华文细黑" w:hAnsi="华文细黑" w:cs="华文细黑" w:eastAsia="华文细黑" w:hint="default"/>
                <w:sz w:val="18"/>
                <w:szCs w:val="18"/>
              </w:rPr>
            </w:pPr>
            <w:r>
              <w:rPr>
                <w:rFonts w:ascii="华文细黑" w:hAnsi="华文细黑" w:cs="华文细黑" w:eastAsia="华文细黑" w:hint="default"/>
                <w:b/>
                <w:bCs/>
                <w:sz w:val="18"/>
                <w:szCs w:val="18"/>
              </w:rPr>
              <w:t>2</w:t>
            </w:r>
            <w:r>
              <w:rPr>
                <w:rFonts w:ascii="华文细黑" w:hAnsi="华文细黑" w:cs="华文细黑" w:eastAsia="华文细黑" w:hint="default"/>
                <w:b/>
                <w:bCs/>
                <w:sz w:val="18"/>
                <w:szCs w:val="18"/>
              </w:rPr>
              <w:t>、不涉及现金收支的重大投资和筹资活动：</w:t>
            </w:r>
            <w:r>
              <w:rPr>
                <w:rFonts w:ascii="华文细黑" w:hAnsi="华文细黑" w:cs="华文细黑" w:eastAsia="华文细黑" w:hint="default"/>
                <w:sz w:val="18"/>
                <w:szCs w:val="18"/>
              </w:rPr>
            </w:r>
          </w:p>
        </w:tc>
        <w:tc>
          <w:tcPr>
            <w:tcW w:w="2268"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984"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5"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债务转为资本</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107"/>
              <w:jc w:val="right"/>
              <w:rPr>
                <w:rFonts w:ascii="华文细黑" w:hAnsi="华文细黑" w:cs="华文细黑" w:eastAsia="华文细黑" w:hint="default"/>
                <w:sz w:val="18"/>
                <w:szCs w:val="18"/>
              </w:rPr>
            </w:pPr>
            <w:r>
              <w:rPr>
                <w:rFonts w:ascii="华文细黑"/>
                <w:sz w:val="18"/>
              </w:rPr>
              <w:t>---</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107"/>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一年内到期的可转换公司债券</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7"/>
              <w:jc w:val="right"/>
              <w:rPr>
                <w:rFonts w:ascii="华文细黑" w:hAnsi="华文细黑" w:cs="华文细黑" w:eastAsia="华文细黑" w:hint="default"/>
                <w:sz w:val="18"/>
                <w:szCs w:val="18"/>
              </w:rPr>
            </w:pPr>
            <w:r>
              <w:rPr>
                <w:rFonts w:ascii="华文细黑"/>
                <w:sz w:val="18"/>
              </w:rPr>
              <w:t>---</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7"/>
              <w:jc w:val="right"/>
              <w:rPr>
                <w:rFonts w:ascii="华文细黑" w:hAnsi="华文细黑" w:cs="华文细黑" w:eastAsia="华文细黑" w:hint="default"/>
                <w:sz w:val="18"/>
                <w:szCs w:val="18"/>
              </w:rPr>
            </w:pPr>
            <w:r>
              <w:rPr>
                <w:rFonts w:ascii="华文细黑"/>
                <w:sz w:val="18"/>
              </w:rPr>
              <w:t>---</w:t>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240" w:right="0"/>
        </w:sectPr>
      </w:pPr>
    </w:p>
    <w:p>
      <w:pPr>
        <w:spacing w:line="240" w:lineRule="auto" w:before="8"/>
        <w:rPr>
          <w:rFonts w:ascii="华文细黑" w:hAnsi="华文细黑" w:cs="华文细黑" w:eastAsia="华文细黑" w:hint="default"/>
          <w:sz w:val="23"/>
          <w:szCs w:val="23"/>
        </w:rPr>
      </w:pPr>
    </w:p>
    <w:tbl>
      <w:tblPr>
        <w:tblW w:w="0" w:type="auto"/>
        <w:jc w:val="left"/>
        <w:tblInd w:w="140" w:type="dxa"/>
        <w:tblLayout w:type="fixed"/>
        <w:tblCellMar>
          <w:top w:w="0" w:type="dxa"/>
          <w:left w:w="0" w:type="dxa"/>
          <w:bottom w:w="0" w:type="dxa"/>
          <w:right w:w="0" w:type="dxa"/>
        </w:tblCellMar>
        <w:tblLook w:val="01E0"/>
      </w:tblPr>
      <w:tblGrid>
        <w:gridCol w:w="4929"/>
        <w:gridCol w:w="2268"/>
        <w:gridCol w:w="1984"/>
      </w:tblGrid>
      <w:tr>
        <w:trPr>
          <w:trHeight w:val="490"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补充资料</w:t>
            </w:r>
          </w:p>
        </w:tc>
        <w:tc>
          <w:tcPr>
            <w:tcW w:w="22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本年金额</w:t>
            </w:r>
          </w:p>
        </w:tc>
        <w:tc>
          <w:tcPr>
            <w:tcW w:w="19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62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上年金额</w:t>
            </w:r>
          </w:p>
        </w:tc>
      </w:tr>
      <w:tr>
        <w:trPr>
          <w:trHeight w:val="495"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融资租入固定资产</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7"/>
              <w:jc w:val="right"/>
              <w:rPr>
                <w:rFonts w:ascii="华文细黑" w:hAnsi="华文细黑" w:cs="华文细黑" w:eastAsia="华文细黑" w:hint="default"/>
                <w:sz w:val="18"/>
                <w:szCs w:val="18"/>
              </w:rPr>
            </w:pPr>
            <w:r>
              <w:rPr>
                <w:rFonts w:ascii="华文细黑"/>
                <w:sz w:val="18"/>
              </w:rPr>
              <w:t>---</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7"/>
              <w:jc w:val="right"/>
              <w:rPr>
                <w:rFonts w:ascii="华文细黑" w:hAnsi="华文细黑" w:cs="华文细黑" w:eastAsia="华文细黑" w:hint="default"/>
                <w:sz w:val="18"/>
                <w:szCs w:val="18"/>
              </w:rPr>
            </w:pPr>
            <w:r>
              <w:rPr>
                <w:rFonts w:ascii="华文细黑"/>
                <w:sz w:val="18"/>
              </w:rPr>
              <w:t>---</w:t>
            </w:r>
          </w:p>
        </w:tc>
      </w:tr>
      <w:tr>
        <w:trPr>
          <w:trHeight w:val="480"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9"/>
              <w:ind w:left="103" w:right="0"/>
              <w:jc w:val="left"/>
              <w:rPr>
                <w:rFonts w:ascii="华文细黑" w:hAnsi="华文细黑" w:cs="华文细黑" w:eastAsia="华文细黑" w:hint="default"/>
                <w:sz w:val="18"/>
                <w:szCs w:val="18"/>
              </w:rPr>
            </w:pPr>
            <w:r>
              <w:rPr>
                <w:rFonts w:ascii="华文细黑" w:hAnsi="华文细黑" w:cs="华文细黑" w:eastAsia="华文细黑" w:hint="default"/>
                <w:b/>
                <w:bCs/>
                <w:sz w:val="18"/>
                <w:szCs w:val="18"/>
              </w:rPr>
              <w:t>3</w:t>
            </w:r>
            <w:r>
              <w:rPr>
                <w:rFonts w:ascii="华文细黑" w:hAnsi="华文细黑" w:cs="华文细黑" w:eastAsia="华文细黑" w:hint="default"/>
                <w:b/>
                <w:bCs/>
                <w:sz w:val="18"/>
                <w:szCs w:val="18"/>
              </w:rPr>
              <w:t>、现金及现金等价物净变动情况：</w:t>
            </w:r>
            <w:r>
              <w:rPr>
                <w:rFonts w:ascii="华文细黑" w:hAnsi="华文细黑" w:cs="华文细黑" w:eastAsia="华文细黑" w:hint="default"/>
                <w:sz w:val="18"/>
                <w:szCs w:val="18"/>
              </w:rPr>
            </w:r>
          </w:p>
        </w:tc>
        <w:tc>
          <w:tcPr>
            <w:tcW w:w="2268"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984"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5"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现金的年末余额</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107"/>
              <w:jc w:val="right"/>
              <w:rPr>
                <w:rFonts w:ascii="华文细黑" w:hAnsi="华文细黑" w:cs="华文细黑" w:eastAsia="华文细黑" w:hint="default"/>
                <w:sz w:val="18"/>
                <w:szCs w:val="18"/>
              </w:rPr>
            </w:pPr>
            <w:r>
              <w:rPr>
                <w:rFonts w:ascii="华文细黑"/>
                <w:sz w:val="18"/>
              </w:rPr>
              <w:t>1,611,222,550.30</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107"/>
              <w:jc w:val="right"/>
              <w:rPr>
                <w:rFonts w:ascii="华文细黑" w:hAnsi="华文细黑" w:cs="华文细黑" w:eastAsia="华文细黑" w:hint="default"/>
                <w:sz w:val="18"/>
                <w:szCs w:val="18"/>
              </w:rPr>
            </w:pPr>
            <w:r>
              <w:rPr>
                <w:rFonts w:ascii="华文细黑"/>
                <w:spacing w:val="-1"/>
                <w:sz w:val="18"/>
              </w:rPr>
              <w:t>1,497,244,671.89</w:t>
            </w:r>
          </w:p>
        </w:tc>
      </w:tr>
      <w:tr>
        <w:trPr>
          <w:trHeight w:val="490"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减：现金的年初余额</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7"/>
              <w:jc w:val="right"/>
              <w:rPr>
                <w:rFonts w:ascii="华文细黑" w:hAnsi="华文细黑" w:cs="华文细黑" w:eastAsia="华文细黑" w:hint="default"/>
                <w:sz w:val="18"/>
                <w:szCs w:val="18"/>
              </w:rPr>
            </w:pPr>
            <w:r>
              <w:rPr>
                <w:rFonts w:ascii="华文细黑"/>
                <w:sz w:val="18"/>
              </w:rPr>
              <w:t>1,497,244,671.89</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7"/>
              <w:jc w:val="right"/>
              <w:rPr>
                <w:rFonts w:ascii="华文细黑" w:hAnsi="华文细黑" w:cs="华文细黑" w:eastAsia="华文细黑" w:hint="default"/>
                <w:sz w:val="18"/>
                <w:szCs w:val="18"/>
              </w:rPr>
            </w:pPr>
            <w:r>
              <w:rPr>
                <w:rFonts w:ascii="华文细黑"/>
                <w:sz w:val="18"/>
              </w:rPr>
              <w:t>970,235,537.87</w:t>
            </w:r>
          </w:p>
        </w:tc>
      </w:tr>
      <w:tr>
        <w:trPr>
          <w:trHeight w:val="490"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加：现金等价物的年末余额</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7"/>
              <w:jc w:val="right"/>
              <w:rPr>
                <w:rFonts w:ascii="华文细黑" w:hAnsi="华文细黑" w:cs="华文细黑" w:eastAsia="华文细黑" w:hint="default"/>
                <w:sz w:val="18"/>
                <w:szCs w:val="18"/>
              </w:rPr>
            </w:pPr>
            <w:r>
              <w:rPr>
                <w:rFonts w:ascii="华文细黑"/>
                <w:sz w:val="18"/>
              </w:rPr>
              <w:t>---</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7"/>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减：现金等价物的年初余额</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7"/>
              <w:jc w:val="right"/>
              <w:rPr>
                <w:rFonts w:ascii="华文细黑" w:hAnsi="华文细黑" w:cs="华文细黑" w:eastAsia="华文细黑" w:hint="default"/>
                <w:sz w:val="18"/>
                <w:szCs w:val="18"/>
              </w:rPr>
            </w:pPr>
            <w:r>
              <w:rPr>
                <w:rFonts w:ascii="华文细黑"/>
                <w:sz w:val="18"/>
              </w:rPr>
              <w:t>---</w:t>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7"/>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49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现金及现金等价物净增加额</w:t>
            </w:r>
          </w:p>
        </w:tc>
        <w:tc>
          <w:tcPr>
            <w:tcW w:w="22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8"/>
              <w:jc w:val="right"/>
              <w:rPr>
                <w:rFonts w:ascii="华文细黑" w:hAnsi="华文细黑" w:cs="华文细黑" w:eastAsia="华文细黑" w:hint="default"/>
                <w:sz w:val="18"/>
                <w:szCs w:val="18"/>
              </w:rPr>
            </w:pPr>
            <w:r>
              <w:rPr>
                <w:rFonts w:ascii="华文细黑"/>
                <w:b/>
                <w:spacing w:val="-1"/>
                <w:sz w:val="18"/>
              </w:rPr>
              <w:t>113,977,878.41</w:t>
            </w:r>
            <w:r>
              <w:rPr>
                <w:rFonts w:ascii="华文细黑"/>
                <w:spacing w:val="-1"/>
                <w:sz w:val="18"/>
              </w:rPr>
            </w:r>
          </w:p>
        </w:tc>
        <w:tc>
          <w:tcPr>
            <w:tcW w:w="198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8"/>
              <w:jc w:val="right"/>
              <w:rPr>
                <w:rFonts w:ascii="华文细黑" w:hAnsi="华文细黑" w:cs="华文细黑" w:eastAsia="华文细黑" w:hint="default"/>
                <w:sz w:val="18"/>
                <w:szCs w:val="18"/>
              </w:rPr>
            </w:pPr>
            <w:r>
              <w:rPr>
                <w:rFonts w:ascii="华文细黑"/>
                <w:b/>
                <w:w w:val="95"/>
                <w:sz w:val="18"/>
              </w:rPr>
              <w:t>527,009,134.02</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560" w:right="1246"/>
        <w:jc w:val="left"/>
      </w:pPr>
      <w:r>
        <w:rPr/>
        <w:t>（</w:t>
      </w:r>
      <w:r>
        <w:rPr>
          <w:rFonts w:ascii="华文细黑" w:hAnsi="华文细黑" w:cs="华文细黑" w:eastAsia="华文细黑" w:hint="default"/>
        </w:rPr>
        <w:t>2</w:t>
      </w:r>
      <w:r>
        <w:rPr/>
        <w:t>）本年支付的取得子公司的现金净额</w:t>
      </w:r>
    </w:p>
    <w:p>
      <w:pPr>
        <w:spacing w:line="240" w:lineRule="auto" w:before="5"/>
        <w:rPr>
          <w:rFonts w:ascii="华文细黑" w:hAnsi="华文细黑" w:cs="华文细黑" w:eastAsia="华文细黑" w:hint="default"/>
          <w:sz w:val="5"/>
          <w:szCs w:val="5"/>
        </w:rPr>
      </w:pPr>
    </w:p>
    <w:tbl>
      <w:tblPr>
        <w:tblW w:w="0" w:type="auto"/>
        <w:jc w:val="left"/>
        <w:tblInd w:w="140" w:type="dxa"/>
        <w:tblLayout w:type="fixed"/>
        <w:tblCellMar>
          <w:top w:w="0" w:type="dxa"/>
          <w:left w:w="0" w:type="dxa"/>
          <w:bottom w:w="0" w:type="dxa"/>
          <w:right w:w="0" w:type="dxa"/>
        </w:tblCellMar>
        <w:tblLook w:val="01E0"/>
      </w:tblPr>
      <w:tblGrid>
        <w:gridCol w:w="7037"/>
        <w:gridCol w:w="2144"/>
      </w:tblGrid>
      <w:tr>
        <w:trPr>
          <w:trHeight w:val="490" w:hRule="exact"/>
        </w:trPr>
        <w:tc>
          <w:tcPr>
            <w:tcW w:w="703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9" w:val="left" w:leader="none"/>
              </w:tabs>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1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额</w:t>
            </w:r>
          </w:p>
        </w:tc>
      </w:tr>
      <w:tr>
        <w:trPr>
          <w:trHeight w:val="490" w:hRule="exact"/>
        </w:trPr>
        <w:tc>
          <w:tcPr>
            <w:tcW w:w="703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本年发生的企业合并于本年支付的现金或现金等价物</w:t>
            </w:r>
          </w:p>
        </w:tc>
        <w:tc>
          <w:tcPr>
            <w:tcW w:w="21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7"/>
              <w:jc w:val="right"/>
              <w:rPr>
                <w:rFonts w:ascii="华文细黑" w:hAnsi="华文细黑" w:cs="华文细黑" w:eastAsia="华文细黑" w:hint="default"/>
                <w:sz w:val="18"/>
                <w:szCs w:val="18"/>
              </w:rPr>
            </w:pPr>
            <w:r>
              <w:rPr>
                <w:rFonts w:ascii="华文细黑"/>
                <w:b/>
                <w:w w:val="95"/>
                <w:sz w:val="18"/>
              </w:rPr>
              <w:t>2,110,000.00</w:t>
            </w:r>
            <w:r>
              <w:rPr>
                <w:rFonts w:ascii="华文细黑"/>
                <w:sz w:val="18"/>
              </w:rPr>
            </w:r>
          </w:p>
        </w:tc>
      </w:tr>
      <w:tr>
        <w:trPr>
          <w:trHeight w:val="490" w:hRule="exact"/>
        </w:trPr>
        <w:tc>
          <w:tcPr>
            <w:tcW w:w="703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其中：深圳金石创新科技有限公司</w:t>
            </w:r>
          </w:p>
        </w:tc>
        <w:tc>
          <w:tcPr>
            <w:tcW w:w="21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7"/>
              <w:jc w:val="right"/>
              <w:rPr>
                <w:rFonts w:ascii="华文细黑" w:hAnsi="华文细黑" w:cs="华文细黑" w:eastAsia="华文细黑" w:hint="default"/>
                <w:sz w:val="18"/>
                <w:szCs w:val="18"/>
              </w:rPr>
            </w:pPr>
            <w:r>
              <w:rPr>
                <w:rFonts w:ascii="华文细黑"/>
                <w:sz w:val="18"/>
              </w:rPr>
              <w:t>1,800,000.00</w:t>
            </w:r>
          </w:p>
        </w:tc>
      </w:tr>
      <w:tr>
        <w:trPr>
          <w:trHeight w:val="490" w:hRule="exact"/>
        </w:trPr>
        <w:tc>
          <w:tcPr>
            <w:tcW w:w="703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64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北京威丰科技有限公司</w:t>
            </w:r>
          </w:p>
        </w:tc>
        <w:tc>
          <w:tcPr>
            <w:tcW w:w="21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8"/>
              <w:jc w:val="right"/>
              <w:rPr>
                <w:rFonts w:ascii="华文细黑" w:hAnsi="华文细黑" w:cs="华文细黑" w:eastAsia="华文细黑" w:hint="default"/>
                <w:sz w:val="18"/>
                <w:szCs w:val="18"/>
              </w:rPr>
            </w:pPr>
            <w:r>
              <w:rPr>
                <w:rFonts w:ascii="华文细黑"/>
                <w:w w:val="95"/>
                <w:sz w:val="18"/>
              </w:rPr>
              <w:t>310,000.00</w:t>
            </w:r>
          </w:p>
        </w:tc>
      </w:tr>
      <w:tr>
        <w:trPr>
          <w:trHeight w:val="490" w:hRule="exact"/>
        </w:trPr>
        <w:tc>
          <w:tcPr>
            <w:tcW w:w="703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减：购买日子公司持有的现金及现金等价物</w:t>
            </w:r>
          </w:p>
        </w:tc>
        <w:tc>
          <w:tcPr>
            <w:tcW w:w="21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7"/>
              <w:jc w:val="right"/>
              <w:rPr>
                <w:rFonts w:ascii="华文细黑" w:hAnsi="华文细黑" w:cs="华文细黑" w:eastAsia="华文细黑" w:hint="default"/>
                <w:sz w:val="18"/>
                <w:szCs w:val="18"/>
              </w:rPr>
            </w:pPr>
            <w:r>
              <w:rPr>
                <w:rFonts w:ascii="华文细黑"/>
                <w:b/>
                <w:w w:val="95"/>
                <w:sz w:val="18"/>
              </w:rPr>
              <w:t>1,181,849.25</w:t>
            </w:r>
            <w:r>
              <w:rPr>
                <w:rFonts w:ascii="华文细黑"/>
                <w:sz w:val="18"/>
              </w:rPr>
            </w:r>
          </w:p>
        </w:tc>
      </w:tr>
      <w:tr>
        <w:trPr>
          <w:trHeight w:val="490" w:hRule="exact"/>
        </w:trPr>
        <w:tc>
          <w:tcPr>
            <w:tcW w:w="703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其中：深圳金石创新科技有限公司</w:t>
            </w:r>
          </w:p>
        </w:tc>
        <w:tc>
          <w:tcPr>
            <w:tcW w:w="21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7"/>
              <w:jc w:val="right"/>
              <w:rPr>
                <w:rFonts w:ascii="华文细黑" w:hAnsi="华文细黑" w:cs="华文细黑" w:eastAsia="华文细黑" w:hint="default"/>
                <w:sz w:val="18"/>
                <w:szCs w:val="18"/>
              </w:rPr>
            </w:pPr>
            <w:r>
              <w:rPr>
                <w:rFonts w:ascii="华文细黑"/>
                <w:w w:val="95"/>
                <w:sz w:val="18"/>
              </w:rPr>
              <w:t>853,600.79</w:t>
            </w:r>
          </w:p>
        </w:tc>
      </w:tr>
      <w:tr>
        <w:trPr>
          <w:trHeight w:val="490" w:hRule="exact"/>
        </w:trPr>
        <w:tc>
          <w:tcPr>
            <w:tcW w:w="703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64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北京威丰科技有限公司</w:t>
            </w:r>
          </w:p>
        </w:tc>
        <w:tc>
          <w:tcPr>
            <w:tcW w:w="21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8"/>
              <w:jc w:val="right"/>
              <w:rPr>
                <w:rFonts w:ascii="华文细黑" w:hAnsi="华文细黑" w:cs="华文细黑" w:eastAsia="华文细黑" w:hint="default"/>
                <w:sz w:val="18"/>
                <w:szCs w:val="18"/>
              </w:rPr>
            </w:pPr>
            <w:r>
              <w:rPr>
                <w:rFonts w:ascii="华文细黑"/>
                <w:w w:val="95"/>
                <w:sz w:val="18"/>
              </w:rPr>
              <w:t>328,248.46</w:t>
            </w:r>
          </w:p>
        </w:tc>
      </w:tr>
      <w:tr>
        <w:trPr>
          <w:trHeight w:val="490" w:hRule="exact"/>
        </w:trPr>
        <w:tc>
          <w:tcPr>
            <w:tcW w:w="703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加：以前期间发生的企业合并于本年支付的现金或现金等价物</w:t>
            </w:r>
          </w:p>
        </w:tc>
        <w:tc>
          <w:tcPr>
            <w:tcW w:w="21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7"/>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703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其中：深圳金石创新科技有限公司</w:t>
            </w:r>
          </w:p>
        </w:tc>
        <w:tc>
          <w:tcPr>
            <w:tcW w:w="21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7"/>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703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64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北京威丰科技有限公司</w:t>
            </w:r>
          </w:p>
        </w:tc>
        <w:tc>
          <w:tcPr>
            <w:tcW w:w="21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7"/>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703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取得子公司支付的现金净额</w:t>
            </w:r>
          </w:p>
        </w:tc>
        <w:tc>
          <w:tcPr>
            <w:tcW w:w="21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7"/>
              <w:jc w:val="right"/>
              <w:rPr>
                <w:rFonts w:ascii="华文细黑" w:hAnsi="华文细黑" w:cs="华文细黑" w:eastAsia="华文细黑" w:hint="default"/>
                <w:sz w:val="18"/>
                <w:szCs w:val="18"/>
              </w:rPr>
            </w:pPr>
            <w:r>
              <w:rPr>
                <w:rFonts w:ascii="华文细黑"/>
                <w:b/>
                <w:w w:val="95"/>
                <w:sz w:val="18"/>
              </w:rPr>
              <w:t>928,150.75</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560" w:right="1246"/>
        <w:jc w:val="left"/>
      </w:pPr>
      <w:r>
        <w:rPr/>
        <w:t>（</w:t>
      </w:r>
      <w:r>
        <w:rPr>
          <w:rFonts w:ascii="华文细黑" w:hAnsi="华文细黑" w:cs="华文细黑" w:eastAsia="华文细黑" w:hint="default"/>
        </w:rPr>
        <w:t>3</w:t>
      </w:r>
      <w:r>
        <w:rPr/>
        <w:t>）现金及现金等价物的构成</w:t>
      </w:r>
    </w:p>
    <w:p>
      <w:pPr>
        <w:spacing w:line="240" w:lineRule="auto" w:before="5"/>
        <w:rPr>
          <w:rFonts w:ascii="华文细黑" w:hAnsi="华文细黑" w:cs="华文细黑" w:eastAsia="华文细黑" w:hint="default"/>
          <w:sz w:val="5"/>
          <w:szCs w:val="5"/>
        </w:rPr>
      </w:pPr>
    </w:p>
    <w:tbl>
      <w:tblPr>
        <w:tblW w:w="0" w:type="auto"/>
        <w:jc w:val="left"/>
        <w:tblInd w:w="101" w:type="dxa"/>
        <w:tblLayout w:type="fixed"/>
        <w:tblCellMar>
          <w:top w:w="0" w:type="dxa"/>
          <w:left w:w="0" w:type="dxa"/>
          <w:bottom w:w="0" w:type="dxa"/>
          <w:right w:w="0" w:type="dxa"/>
        </w:tblCellMar>
        <w:tblLook w:val="01E0"/>
      </w:tblPr>
      <w:tblGrid>
        <w:gridCol w:w="4896"/>
        <w:gridCol w:w="2073"/>
        <w:gridCol w:w="2138"/>
      </w:tblGrid>
      <w:tr>
        <w:trPr>
          <w:trHeight w:val="490" w:hRule="exact"/>
        </w:trPr>
        <w:tc>
          <w:tcPr>
            <w:tcW w:w="48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07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67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1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70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0" w:hRule="exact"/>
        </w:trPr>
        <w:tc>
          <w:tcPr>
            <w:tcW w:w="48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一、现金</w:t>
            </w:r>
          </w:p>
        </w:tc>
        <w:tc>
          <w:tcPr>
            <w:tcW w:w="2073"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5"/>
              <w:ind w:right="28"/>
              <w:jc w:val="right"/>
              <w:rPr>
                <w:rFonts w:ascii="华文细黑" w:hAnsi="华文细黑" w:cs="华文细黑" w:eastAsia="华文细黑" w:hint="default"/>
                <w:sz w:val="18"/>
                <w:szCs w:val="18"/>
              </w:rPr>
            </w:pPr>
            <w:r>
              <w:rPr>
                <w:rFonts w:ascii="华文细黑"/>
                <w:b/>
                <w:w w:val="95"/>
                <w:sz w:val="18"/>
              </w:rPr>
              <w:t>1,611,222,550.30</w:t>
            </w:r>
            <w:r>
              <w:rPr>
                <w:rFonts w:ascii="华文细黑"/>
                <w:sz w:val="18"/>
              </w:rPr>
            </w:r>
          </w:p>
        </w:tc>
        <w:tc>
          <w:tcPr>
            <w:tcW w:w="21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7"/>
              <w:jc w:val="right"/>
              <w:rPr>
                <w:rFonts w:ascii="华文细黑" w:hAnsi="华文细黑" w:cs="华文细黑" w:eastAsia="华文细黑" w:hint="default"/>
                <w:sz w:val="18"/>
                <w:szCs w:val="18"/>
              </w:rPr>
            </w:pPr>
            <w:r>
              <w:rPr>
                <w:rFonts w:ascii="华文细黑"/>
                <w:b/>
                <w:w w:val="95"/>
                <w:sz w:val="18"/>
              </w:rPr>
              <w:t>1,497,244,671.89</w:t>
            </w:r>
            <w:r>
              <w:rPr>
                <w:rFonts w:ascii="华文细黑"/>
                <w:sz w:val="18"/>
              </w:rPr>
            </w:r>
          </w:p>
        </w:tc>
      </w:tr>
      <w:tr>
        <w:trPr>
          <w:trHeight w:val="490" w:hRule="exact"/>
        </w:trPr>
        <w:tc>
          <w:tcPr>
            <w:tcW w:w="48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6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其中：库存现金</w:t>
            </w:r>
          </w:p>
        </w:tc>
        <w:tc>
          <w:tcPr>
            <w:tcW w:w="2073"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4"/>
              <w:ind w:right="28"/>
              <w:jc w:val="right"/>
              <w:rPr>
                <w:rFonts w:ascii="华文细黑" w:hAnsi="华文细黑" w:cs="华文细黑" w:eastAsia="华文细黑" w:hint="default"/>
                <w:sz w:val="18"/>
                <w:szCs w:val="18"/>
              </w:rPr>
            </w:pPr>
            <w:r>
              <w:rPr>
                <w:rFonts w:ascii="华文细黑"/>
                <w:w w:val="95"/>
                <w:sz w:val="18"/>
              </w:rPr>
              <w:t>276,329.89</w:t>
            </w:r>
          </w:p>
        </w:tc>
        <w:tc>
          <w:tcPr>
            <w:tcW w:w="21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8"/>
              <w:jc w:val="right"/>
              <w:rPr>
                <w:rFonts w:ascii="华文细黑" w:hAnsi="华文细黑" w:cs="华文细黑" w:eastAsia="华文细黑" w:hint="default"/>
                <w:sz w:val="18"/>
                <w:szCs w:val="18"/>
              </w:rPr>
            </w:pPr>
            <w:r>
              <w:rPr>
                <w:rFonts w:ascii="华文细黑"/>
                <w:w w:val="95"/>
                <w:sz w:val="18"/>
              </w:rPr>
              <w:t>445,390.38</w:t>
            </w:r>
          </w:p>
        </w:tc>
      </w:tr>
      <w:tr>
        <w:trPr>
          <w:trHeight w:val="490" w:hRule="exact"/>
        </w:trPr>
        <w:tc>
          <w:tcPr>
            <w:tcW w:w="48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0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可随时用于支付的银行存款</w:t>
            </w:r>
          </w:p>
        </w:tc>
        <w:tc>
          <w:tcPr>
            <w:tcW w:w="2073"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4"/>
              <w:ind w:right="27"/>
              <w:jc w:val="right"/>
              <w:rPr>
                <w:rFonts w:ascii="华文细黑" w:hAnsi="华文细黑" w:cs="华文细黑" w:eastAsia="华文细黑" w:hint="default"/>
                <w:sz w:val="18"/>
                <w:szCs w:val="18"/>
              </w:rPr>
            </w:pPr>
            <w:r>
              <w:rPr>
                <w:rFonts w:ascii="华文细黑"/>
                <w:sz w:val="18"/>
              </w:rPr>
              <w:t>1,604,379,317.32</w:t>
            </w:r>
          </w:p>
        </w:tc>
        <w:tc>
          <w:tcPr>
            <w:tcW w:w="21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6"/>
              <w:jc w:val="right"/>
              <w:rPr>
                <w:rFonts w:ascii="华文细黑" w:hAnsi="华文细黑" w:cs="华文细黑" w:eastAsia="华文细黑" w:hint="default"/>
                <w:sz w:val="18"/>
                <w:szCs w:val="18"/>
              </w:rPr>
            </w:pPr>
            <w:r>
              <w:rPr>
                <w:rFonts w:ascii="华文细黑"/>
                <w:sz w:val="18"/>
              </w:rPr>
              <w:t>1,488,016,854.93</w:t>
            </w:r>
          </w:p>
        </w:tc>
      </w:tr>
      <w:tr>
        <w:trPr>
          <w:trHeight w:val="491" w:hRule="exact"/>
        </w:trPr>
        <w:tc>
          <w:tcPr>
            <w:tcW w:w="48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0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可随时用于支付的其他货币资金</w:t>
            </w:r>
          </w:p>
        </w:tc>
        <w:tc>
          <w:tcPr>
            <w:tcW w:w="2073"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5"/>
              <w:ind w:right="27"/>
              <w:jc w:val="right"/>
              <w:rPr>
                <w:rFonts w:ascii="华文细黑" w:hAnsi="华文细黑" w:cs="华文细黑" w:eastAsia="华文细黑" w:hint="default"/>
                <w:sz w:val="18"/>
                <w:szCs w:val="18"/>
              </w:rPr>
            </w:pPr>
            <w:r>
              <w:rPr>
                <w:rFonts w:ascii="华文细黑"/>
                <w:sz w:val="18"/>
              </w:rPr>
              <w:t>6,566,903.09</w:t>
            </w:r>
          </w:p>
        </w:tc>
        <w:tc>
          <w:tcPr>
            <w:tcW w:w="21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6"/>
              <w:jc w:val="right"/>
              <w:rPr>
                <w:rFonts w:ascii="华文细黑" w:hAnsi="华文细黑" w:cs="华文细黑" w:eastAsia="华文细黑" w:hint="default"/>
                <w:sz w:val="18"/>
                <w:szCs w:val="18"/>
              </w:rPr>
            </w:pPr>
            <w:r>
              <w:rPr>
                <w:rFonts w:ascii="华文细黑"/>
                <w:sz w:val="18"/>
              </w:rPr>
              <w:t>8,782,426.58</w:t>
            </w:r>
          </w:p>
        </w:tc>
      </w:tr>
      <w:tr>
        <w:trPr>
          <w:trHeight w:val="490" w:hRule="exact"/>
        </w:trPr>
        <w:tc>
          <w:tcPr>
            <w:tcW w:w="48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二、现金等价物</w:t>
            </w:r>
          </w:p>
        </w:tc>
        <w:tc>
          <w:tcPr>
            <w:tcW w:w="2073"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4"/>
              <w:ind w:right="26"/>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21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6"/>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r>
      <w:tr>
        <w:trPr>
          <w:trHeight w:val="491" w:hRule="exact"/>
        </w:trPr>
        <w:tc>
          <w:tcPr>
            <w:tcW w:w="48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6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其中：三个月内到期的债券投资</w:t>
            </w:r>
          </w:p>
        </w:tc>
        <w:tc>
          <w:tcPr>
            <w:tcW w:w="2073"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4"/>
              <w:ind w:right="25"/>
              <w:jc w:val="right"/>
              <w:rPr>
                <w:rFonts w:ascii="华文细黑" w:hAnsi="华文细黑" w:cs="华文细黑" w:eastAsia="华文细黑" w:hint="default"/>
                <w:sz w:val="18"/>
                <w:szCs w:val="18"/>
              </w:rPr>
            </w:pPr>
            <w:r>
              <w:rPr>
                <w:rFonts w:ascii="华文细黑"/>
                <w:sz w:val="18"/>
              </w:rPr>
              <w:t>---</w:t>
            </w:r>
          </w:p>
        </w:tc>
        <w:tc>
          <w:tcPr>
            <w:tcW w:w="21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5"/>
              <w:jc w:val="right"/>
              <w:rPr>
                <w:rFonts w:ascii="华文细黑" w:hAnsi="华文细黑" w:cs="华文细黑" w:eastAsia="华文细黑" w:hint="default"/>
                <w:sz w:val="18"/>
                <w:szCs w:val="18"/>
              </w:rPr>
            </w:pPr>
            <w:r>
              <w:rPr>
                <w:rFonts w:ascii="华文细黑"/>
                <w:sz w:val="18"/>
              </w:rPr>
              <w:t>---</w:t>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300" w:right="0"/>
        </w:sectPr>
      </w:pPr>
    </w:p>
    <w:p>
      <w:pPr>
        <w:spacing w:line="240" w:lineRule="auto" w:before="8"/>
        <w:rPr>
          <w:rFonts w:ascii="华文细黑" w:hAnsi="华文细黑" w:cs="华文细黑" w:eastAsia="华文细黑" w:hint="default"/>
          <w:sz w:val="23"/>
          <w:szCs w:val="23"/>
        </w:rPr>
      </w:pPr>
    </w:p>
    <w:tbl>
      <w:tblPr>
        <w:tblW w:w="0" w:type="auto"/>
        <w:jc w:val="left"/>
        <w:tblInd w:w="101" w:type="dxa"/>
        <w:tblLayout w:type="fixed"/>
        <w:tblCellMar>
          <w:top w:w="0" w:type="dxa"/>
          <w:left w:w="0" w:type="dxa"/>
          <w:bottom w:w="0" w:type="dxa"/>
          <w:right w:w="0" w:type="dxa"/>
        </w:tblCellMar>
        <w:tblLook w:val="01E0"/>
      </w:tblPr>
      <w:tblGrid>
        <w:gridCol w:w="4896"/>
        <w:gridCol w:w="2073"/>
        <w:gridCol w:w="2138"/>
      </w:tblGrid>
      <w:tr>
        <w:trPr>
          <w:trHeight w:val="490" w:hRule="exact"/>
        </w:trPr>
        <w:tc>
          <w:tcPr>
            <w:tcW w:w="48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07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67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1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70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0" w:hRule="exact"/>
        </w:trPr>
        <w:tc>
          <w:tcPr>
            <w:tcW w:w="48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三</w:t>
            </w:r>
            <w:r>
              <w:rPr>
                <w:rFonts w:ascii="华文细黑" w:hAnsi="华文细黑" w:cs="华文细黑" w:eastAsia="华文细黑" w:hint="default"/>
                <w:b/>
                <w:bCs/>
                <w:sz w:val="18"/>
                <w:szCs w:val="18"/>
              </w:rPr>
              <w:t>、</w:t>
            </w:r>
            <w:r>
              <w:rPr>
                <w:rFonts w:ascii="华文细黑" w:hAnsi="华文细黑" w:cs="华文细黑" w:eastAsia="华文细黑" w:hint="default"/>
                <w:sz w:val="18"/>
                <w:szCs w:val="18"/>
              </w:rPr>
              <w:t>年末现金及现金等价物余额</w:t>
            </w:r>
          </w:p>
        </w:tc>
        <w:tc>
          <w:tcPr>
            <w:tcW w:w="2073"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5"/>
              <w:ind w:left="627" w:right="0"/>
              <w:jc w:val="left"/>
              <w:rPr>
                <w:rFonts w:ascii="华文细黑" w:hAnsi="华文细黑" w:cs="华文细黑" w:eastAsia="华文细黑" w:hint="default"/>
                <w:sz w:val="18"/>
                <w:szCs w:val="18"/>
              </w:rPr>
            </w:pPr>
            <w:r>
              <w:rPr>
                <w:rFonts w:ascii="华文细黑"/>
                <w:b/>
                <w:sz w:val="18"/>
              </w:rPr>
              <w:t>1,611,222,550.30</w:t>
            </w:r>
            <w:r>
              <w:rPr>
                <w:rFonts w:ascii="华文细黑"/>
                <w:sz w:val="18"/>
              </w:rPr>
            </w:r>
          </w:p>
        </w:tc>
        <w:tc>
          <w:tcPr>
            <w:tcW w:w="21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700" w:right="0"/>
              <w:jc w:val="left"/>
              <w:rPr>
                <w:rFonts w:ascii="华文细黑" w:hAnsi="华文细黑" w:cs="华文细黑" w:eastAsia="华文细黑" w:hint="default"/>
                <w:sz w:val="18"/>
                <w:szCs w:val="18"/>
              </w:rPr>
            </w:pPr>
            <w:r>
              <w:rPr>
                <w:rFonts w:ascii="华文细黑"/>
                <w:b/>
                <w:sz w:val="18"/>
              </w:rPr>
              <w:t>1,497,244,671.89</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Heading5"/>
        <w:spacing w:line="240" w:lineRule="auto"/>
        <w:ind w:left="620" w:right="1246"/>
        <w:jc w:val="left"/>
        <w:rPr>
          <w:b w:val="0"/>
          <w:bCs w:val="0"/>
        </w:rPr>
      </w:pPr>
      <w:bookmarkStart w:name="52、所有权或使用权受限制的资产" w:id="317"/>
      <w:bookmarkEnd w:id="317"/>
      <w:r>
        <w:rPr>
          <w:b w:val="0"/>
          <w:bCs w:val="0"/>
        </w:rPr>
      </w:r>
      <w:r>
        <w:rPr>
          <w:rFonts w:ascii="华文细黑" w:hAnsi="华文细黑" w:cs="华文细黑" w:eastAsia="华文细黑" w:hint="default"/>
        </w:rPr>
        <w:t>52</w:t>
      </w:r>
      <w:r>
        <w:rPr/>
        <w:t>、所有权或使用权受限制的资产</w:t>
      </w:r>
      <w:r>
        <w:rPr>
          <w:b w:val="0"/>
          <w:bCs w:val="0"/>
        </w:rPr>
      </w:r>
    </w:p>
    <w:p>
      <w:pPr>
        <w:spacing w:line="240" w:lineRule="auto" w:before="5"/>
        <w:rPr>
          <w:rFonts w:ascii="华文细黑" w:hAnsi="华文细黑" w:cs="华文细黑" w:eastAsia="华文细黑" w:hint="default"/>
          <w:b/>
          <w:bCs/>
          <w:sz w:val="5"/>
          <w:szCs w:val="5"/>
        </w:rPr>
      </w:pPr>
    </w:p>
    <w:tbl>
      <w:tblPr>
        <w:tblW w:w="0" w:type="auto"/>
        <w:jc w:val="left"/>
        <w:tblInd w:w="101" w:type="dxa"/>
        <w:tblLayout w:type="fixed"/>
        <w:tblCellMar>
          <w:top w:w="0" w:type="dxa"/>
          <w:left w:w="0" w:type="dxa"/>
          <w:bottom w:w="0" w:type="dxa"/>
          <w:right w:w="0" w:type="dxa"/>
        </w:tblCellMar>
        <w:tblLook w:val="01E0"/>
      </w:tblPr>
      <w:tblGrid>
        <w:gridCol w:w="4134"/>
        <w:gridCol w:w="1855"/>
        <w:gridCol w:w="3118"/>
      </w:tblGrid>
      <w:tr>
        <w:trPr>
          <w:trHeight w:val="490" w:hRule="exact"/>
        </w:trPr>
        <w:tc>
          <w:tcPr>
            <w:tcW w:w="41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185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38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年末账面价值</w:t>
            </w:r>
          </w:p>
        </w:tc>
        <w:tc>
          <w:tcPr>
            <w:tcW w:w="311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受限原因</w:t>
            </w:r>
          </w:p>
        </w:tc>
      </w:tr>
      <w:tr>
        <w:trPr>
          <w:trHeight w:val="490" w:hRule="exact"/>
        </w:trPr>
        <w:tc>
          <w:tcPr>
            <w:tcW w:w="41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c>
          <w:tcPr>
            <w:tcW w:w="185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8"/>
              <w:jc w:val="right"/>
              <w:rPr>
                <w:rFonts w:ascii="华文细黑" w:hAnsi="华文细黑" w:cs="华文细黑" w:eastAsia="华文细黑" w:hint="default"/>
                <w:sz w:val="18"/>
                <w:szCs w:val="18"/>
              </w:rPr>
            </w:pPr>
            <w:r>
              <w:rPr>
                <w:rFonts w:ascii="华文细黑"/>
                <w:spacing w:val="-1"/>
                <w:sz w:val="18"/>
              </w:rPr>
              <w:t>1,626,123,378.70</w:t>
            </w:r>
          </w:p>
        </w:tc>
        <w:tc>
          <w:tcPr>
            <w:tcW w:w="31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开具保函、银行承兑汇票、取得贷款</w:t>
            </w:r>
          </w:p>
        </w:tc>
      </w:tr>
      <w:tr>
        <w:trPr>
          <w:trHeight w:val="490" w:hRule="exact"/>
        </w:trPr>
        <w:tc>
          <w:tcPr>
            <w:tcW w:w="41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公允价值计量且其变动计入当期损益的金融资产</w:t>
            </w:r>
          </w:p>
        </w:tc>
        <w:tc>
          <w:tcPr>
            <w:tcW w:w="185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7"/>
              <w:jc w:val="right"/>
              <w:rPr>
                <w:rFonts w:ascii="华文细黑" w:hAnsi="华文细黑" w:cs="华文细黑" w:eastAsia="华文细黑" w:hint="default"/>
                <w:sz w:val="18"/>
                <w:szCs w:val="18"/>
              </w:rPr>
            </w:pPr>
            <w:r>
              <w:rPr>
                <w:rFonts w:ascii="华文细黑"/>
                <w:sz w:val="18"/>
              </w:rPr>
              <w:t>217,968,239.73</w:t>
            </w:r>
          </w:p>
        </w:tc>
        <w:tc>
          <w:tcPr>
            <w:tcW w:w="31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开具银行承兑汇票</w:t>
            </w:r>
          </w:p>
        </w:tc>
      </w:tr>
      <w:tr>
        <w:trPr>
          <w:trHeight w:val="490" w:hRule="exact"/>
        </w:trPr>
        <w:tc>
          <w:tcPr>
            <w:tcW w:w="41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应收票据</w:t>
            </w:r>
          </w:p>
        </w:tc>
        <w:tc>
          <w:tcPr>
            <w:tcW w:w="185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7"/>
              <w:jc w:val="right"/>
              <w:rPr>
                <w:rFonts w:ascii="华文细黑" w:hAnsi="华文细黑" w:cs="华文细黑" w:eastAsia="华文细黑" w:hint="default"/>
                <w:sz w:val="18"/>
                <w:szCs w:val="18"/>
              </w:rPr>
            </w:pPr>
            <w:r>
              <w:rPr>
                <w:rFonts w:ascii="华文细黑"/>
                <w:sz w:val="18"/>
              </w:rPr>
              <w:t>134,630,000.00</w:t>
            </w:r>
          </w:p>
        </w:tc>
        <w:tc>
          <w:tcPr>
            <w:tcW w:w="31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质押取得贷款</w:t>
            </w:r>
          </w:p>
        </w:tc>
      </w:tr>
      <w:tr>
        <w:trPr>
          <w:trHeight w:val="490" w:hRule="exact"/>
        </w:trPr>
        <w:tc>
          <w:tcPr>
            <w:tcW w:w="41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应收账款</w:t>
            </w:r>
          </w:p>
        </w:tc>
        <w:tc>
          <w:tcPr>
            <w:tcW w:w="185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7"/>
              <w:jc w:val="right"/>
              <w:rPr>
                <w:rFonts w:ascii="华文细黑" w:hAnsi="华文细黑" w:cs="华文细黑" w:eastAsia="华文细黑" w:hint="default"/>
                <w:sz w:val="18"/>
                <w:szCs w:val="18"/>
              </w:rPr>
            </w:pPr>
            <w:r>
              <w:rPr>
                <w:rFonts w:ascii="华文细黑"/>
                <w:sz w:val="18"/>
              </w:rPr>
              <w:t>20,649,193.84</w:t>
            </w:r>
          </w:p>
        </w:tc>
        <w:tc>
          <w:tcPr>
            <w:tcW w:w="31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应收账款保理融资</w:t>
            </w:r>
          </w:p>
        </w:tc>
      </w:tr>
      <w:tr>
        <w:trPr>
          <w:trHeight w:val="490" w:hRule="exact"/>
        </w:trPr>
        <w:tc>
          <w:tcPr>
            <w:tcW w:w="41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628" w:val="left" w:leader="none"/>
              </w:tabs>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85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8"/>
              <w:jc w:val="right"/>
              <w:rPr>
                <w:rFonts w:ascii="华文细黑" w:hAnsi="华文细黑" w:cs="华文细黑" w:eastAsia="华文细黑" w:hint="default"/>
                <w:sz w:val="18"/>
                <w:szCs w:val="18"/>
              </w:rPr>
            </w:pPr>
            <w:r>
              <w:rPr>
                <w:rFonts w:ascii="华文细黑"/>
                <w:b/>
                <w:w w:val="95"/>
                <w:sz w:val="18"/>
              </w:rPr>
              <w:t>1,999,370,812.27</w:t>
            </w:r>
            <w:r>
              <w:rPr>
                <w:rFonts w:ascii="华文细黑"/>
                <w:sz w:val="18"/>
              </w:rPr>
            </w:r>
          </w:p>
        </w:tc>
        <w:tc>
          <w:tcPr>
            <w:tcW w:w="3118" w:type="dxa"/>
            <w:tcBorders>
              <w:top w:val="single" w:sz="4" w:space="0" w:color="FFC000"/>
              <w:left w:val="single" w:sz="4" w:space="0" w:color="FFC000"/>
              <w:bottom w:val="single" w:sz="4" w:space="0" w:color="FFC000"/>
              <w:right w:val="single" w:sz="4" w:space="0" w:color="FFC000"/>
            </w:tcBorders>
          </w:tcPr>
          <w:p>
            <w:pPr/>
          </w:p>
        </w:tc>
      </w:tr>
    </w:tbl>
    <w:p>
      <w:pPr>
        <w:spacing w:line="240" w:lineRule="auto" w:before="13"/>
        <w:rPr>
          <w:rFonts w:ascii="华文细黑" w:hAnsi="华文细黑" w:cs="华文细黑" w:eastAsia="华文细黑" w:hint="default"/>
          <w:b/>
          <w:bCs/>
          <w:sz w:val="6"/>
          <w:szCs w:val="6"/>
        </w:rPr>
      </w:pPr>
    </w:p>
    <w:p>
      <w:pPr>
        <w:spacing w:before="10"/>
        <w:ind w:left="620" w:right="1246" w:firstLine="0"/>
        <w:jc w:val="left"/>
        <w:rPr>
          <w:rFonts w:ascii="华文细黑" w:hAnsi="华文细黑" w:cs="华文细黑" w:eastAsia="华文细黑" w:hint="default"/>
          <w:sz w:val="21"/>
          <w:szCs w:val="21"/>
        </w:rPr>
      </w:pPr>
      <w:bookmarkStart w:name="53、外币货币性项目" w:id="318"/>
      <w:bookmarkEnd w:id="318"/>
      <w:r>
        <w:rPr/>
      </w:r>
      <w:r>
        <w:rPr>
          <w:rFonts w:ascii="华文细黑" w:hAnsi="华文细黑" w:cs="华文细黑" w:eastAsia="华文细黑" w:hint="default"/>
          <w:b/>
          <w:bCs/>
          <w:sz w:val="21"/>
          <w:szCs w:val="21"/>
        </w:rPr>
        <w:t>53</w:t>
      </w:r>
      <w:r>
        <w:rPr>
          <w:rFonts w:ascii="华文细黑" w:hAnsi="华文细黑" w:cs="华文细黑" w:eastAsia="华文细黑" w:hint="default"/>
          <w:b/>
          <w:bCs/>
          <w:sz w:val="21"/>
          <w:szCs w:val="21"/>
        </w:rPr>
        <w:t>、外币货币性项目</w:t>
      </w:r>
      <w:r>
        <w:rPr>
          <w:rFonts w:ascii="华文细黑" w:hAnsi="华文细黑" w:cs="华文细黑" w:eastAsia="华文细黑" w:hint="default"/>
          <w:sz w:val="21"/>
          <w:szCs w:val="21"/>
        </w:rPr>
      </w:r>
    </w:p>
    <w:p>
      <w:pPr>
        <w:pStyle w:val="BodyText"/>
        <w:spacing w:line="240" w:lineRule="auto" w:before="142"/>
        <w:ind w:left="560" w:right="1246"/>
        <w:jc w:val="left"/>
      </w:pPr>
      <w:r>
        <w:rPr/>
        <w:t>（</w:t>
      </w:r>
      <w:r>
        <w:rPr>
          <w:rFonts w:ascii="华文细黑" w:hAnsi="华文细黑" w:cs="华文细黑" w:eastAsia="华文细黑" w:hint="default"/>
        </w:rPr>
        <w:t>1</w:t>
      </w:r>
      <w:r>
        <w:rPr/>
        <w:t>）外币货币性项目</w:t>
      </w:r>
    </w:p>
    <w:p>
      <w:pPr>
        <w:spacing w:line="240" w:lineRule="auto" w:before="6"/>
        <w:rPr>
          <w:rFonts w:ascii="华文细黑" w:hAnsi="华文细黑" w:cs="华文细黑" w:eastAsia="华文细黑" w:hint="default"/>
          <w:sz w:val="5"/>
          <w:szCs w:val="5"/>
        </w:rPr>
      </w:pPr>
    </w:p>
    <w:tbl>
      <w:tblPr>
        <w:tblW w:w="0" w:type="auto"/>
        <w:jc w:val="left"/>
        <w:tblInd w:w="146" w:type="dxa"/>
        <w:tblLayout w:type="fixed"/>
        <w:tblCellMar>
          <w:top w:w="0" w:type="dxa"/>
          <w:left w:w="0" w:type="dxa"/>
          <w:bottom w:w="0" w:type="dxa"/>
          <w:right w:w="0" w:type="dxa"/>
        </w:tblCellMar>
        <w:tblLook w:val="01E0"/>
      </w:tblPr>
      <w:tblGrid>
        <w:gridCol w:w="2954"/>
        <w:gridCol w:w="2422"/>
        <w:gridCol w:w="1415"/>
        <w:gridCol w:w="2267"/>
      </w:tblGrid>
      <w:tr>
        <w:trPr>
          <w:trHeight w:val="490" w:hRule="exact"/>
        </w:trPr>
        <w:tc>
          <w:tcPr>
            <w:tcW w:w="29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538" w:val="left" w:leader="none"/>
              </w:tabs>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4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67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年末外币余额</w:t>
            </w:r>
          </w:p>
        </w:tc>
        <w:tc>
          <w:tcPr>
            <w:tcW w:w="141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34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折算汇率</w:t>
            </w:r>
          </w:p>
        </w:tc>
        <w:tc>
          <w:tcPr>
            <w:tcW w:w="22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31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年末折算人民币余额</w:t>
            </w:r>
          </w:p>
        </w:tc>
      </w:tr>
      <w:tr>
        <w:trPr>
          <w:trHeight w:val="490" w:hRule="exact"/>
        </w:trPr>
        <w:tc>
          <w:tcPr>
            <w:tcW w:w="29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c>
          <w:tcPr>
            <w:tcW w:w="2422"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415"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267"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0" w:hRule="exact"/>
        </w:trPr>
        <w:tc>
          <w:tcPr>
            <w:tcW w:w="29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其中：美元</w:t>
            </w:r>
          </w:p>
        </w:tc>
        <w:tc>
          <w:tcPr>
            <w:tcW w:w="242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6"/>
              <w:jc w:val="right"/>
              <w:rPr>
                <w:rFonts w:ascii="华文细黑" w:hAnsi="华文细黑" w:cs="华文细黑" w:eastAsia="华文细黑" w:hint="default"/>
                <w:sz w:val="18"/>
                <w:szCs w:val="18"/>
              </w:rPr>
            </w:pPr>
            <w:r>
              <w:rPr>
                <w:rFonts w:ascii="华文细黑"/>
                <w:sz w:val="18"/>
              </w:rPr>
              <w:t>1,781,986.67</w:t>
            </w:r>
          </w:p>
        </w:tc>
        <w:tc>
          <w:tcPr>
            <w:tcW w:w="14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7"/>
              <w:jc w:val="right"/>
              <w:rPr>
                <w:rFonts w:ascii="华文细黑" w:hAnsi="华文细黑" w:cs="华文细黑" w:eastAsia="华文细黑" w:hint="default"/>
                <w:sz w:val="18"/>
                <w:szCs w:val="18"/>
              </w:rPr>
            </w:pPr>
            <w:r>
              <w:rPr>
                <w:rFonts w:ascii="华文细黑"/>
                <w:sz w:val="18"/>
              </w:rPr>
              <w:t>6.8632</w:t>
            </w:r>
          </w:p>
        </w:tc>
        <w:tc>
          <w:tcPr>
            <w:tcW w:w="22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6"/>
              <w:jc w:val="right"/>
              <w:rPr>
                <w:rFonts w:ascii="华文细黑" w:hAnsi="华文细黑" w:cs="华文细黑" w:eastAsia="华文细黑" w:hint="default"/>
                <w:sz w:val="18"/>
                <w:szCs w:val="18"/>
              </w:rPr>
            </w:pPr>
            <w:r>
              <w:rPr>
                <w:rFonts w:ascii="华文细黑"/>
                <w:sz w:val="18"/>
              </w:rPr>
              <w:t>12,230,130.91</w:t>
            </w:r>
          </w:p>
        </w:tc>
      </w:tr>
      <w:tr>
        <w:trPr>
          <w:trHeight w:val="490" w:hRule="exact"/>
        </w:trPr>
        <w:tc>
          <w:tcPr>
            <w:tcW w:w="29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55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港元</w:t>
            </w:r>
          </w:p>
        </w:tc>
        <w:tc>
          <w:tcPr>
            <w:tcW w:w="242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6"/>
              <w:jc w:val="right"/>
              <w:rPr>
                <w:rFonts w:ascii="华文细黑" w:hAnsi="华文细黑" w:cs="华文细黑" w:eastAsia="华文细黑" w:hint="default"/>
                <w:sz w:val="18"/>
                <w:szCs w:val="18"/>
              </w:rPr>
            </w:pPr>
            <w:r>
              <w:rPr>
                <w:rFonts w:ascii="华文细黑"/>
                <w:sz w:val="18"/>
              </w:rPr>
              <w:t>6,730,567.89</w:t>
            </w:r>
          </w:p>
        </w:tc>
        <w:tc>
          <w:tcPr>
            <w:tcW w:w="14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7"/>
              <w:jc w:val="right"/>
              <w:rPr>
                <w:rFonts w:ascii="华文细黑" w:hAnsi="华文细黑" w:cs="华文细黑" w:eastAsia="华文细黑" w:hint="default"/>
                <w:sz w:val="18"/>
                <w:szCs w:val="18"/>
              </w:rPr>
            </w:pPr>
            <w:r>
              <w:rPr>
                <w:rFonts w:ascii="华文细黑"/>
                <w:spacing w:val="-1"/>
                <w:sz w:val="18"/>
              </w:rPr>
              <w:t>0.8762</w:t>
            </w:r>
            <w:r>
              <w:rPr>
                <w:rFonts w:ascii="华文细黑"/>
                <w:sz w:val="18"/>
              </w:rPr>
            </w:r>
          </w:p>
        </w:tc>
        <w:tc>
          <w:tcPr>
            <w:tcW w:w="22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6"/>
              <w:jc w:val="right"/>
              <w:rPr>
                <w:rFonts w:ascii="华文细黑" w:hAnsi="华文细黑" w:cs="华文细黑" w:eastAsia="华文细黑" w:hint="default"/>
                <w:sz w:val="18"/>
                <w:szCs w:val="18"/>
              </w:rPr>
            </w:pPr>
            <w:r>
              <w:rPr>
                <w:rFonts w:ascii="华文细黑"/>
                <w:sz w:val="18"/>
              </w:rPr>
              <w:t>5,897,323.59</w:t>
            </w:r>
          </w:p>
        </w:tc>
      </w:tr>
      <w:tr>
        <w:trPr>
          <w:trHeight w:val="491" w:hRule="exact"/>
        </w:trPr>
        <w:tc>
          <w:tcPr>
            <w:tcW w:w="29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应收账款</w:t>
            </w:r>
          </w:p>
        </w:tc>
        <w:tc>
          <w:tcPr>
            <w:tcW w:w="2422"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415"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267"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0" w:hRule="exact"/>
        </w:trPr>
        <w:tc>
          <w:tcPr>
            <w:tcW w:w="29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其中：美元</w:t>
            </w:r>
          </w:p>
        </w:tc>
        <w:tc>
          <w:tcPr>
            <w:tcW w:w="242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6"/>
              <w:jc w:val="right"/>
              <w:rPr>
                <w:rFonts w:ascii="华文细黑" w:hAnsi="华文细黑" w:cs="华文细黑" w:eastAsia="华文细黑" w:hint="default"/>
                <w:sz w:val="18"/>
                <w:szCs w:val="18"/>
              </w:rPr>
            </w:pPr>
            <w:r>
              <w:rPr>
                <w:rFonts w:ascii="华文细黑"/>
                <w:sz w:val="18"/>
              </w:rPr>
              <w:t>11,094,942.15</w:t>
            </w:r>
          </w:p>
        </w:tc>
        <w:tc>
          <w:tcPr>
            <w:tcW w:w="14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7"/>
              <w:jc w:val="right"/>
              <w:rPr>
                <w:rFonts w:ascii="华文细黑" w:hAnsi="华文细黑" w:cs="华文细黑" w:eastAsia="华文细黑" w:hint="default"/>
                <w:sz w:val="18"/>
                <w:szCs w:val="18"/>
              </w:rPr>
            </w:pPr>
            <w:r>
              <w:rPr>
                <w:rFonts w:ascii="华文细黑"/>
                <w:sz w:val="18"/>
              </w:rPr>
              <w:t>6.8632</w:t>
            </w:r>
          </w:p>
        </w:tc>
        <w:tc>
          <w:tcPr>
            <w:tcW w:w="22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6"/>
              <w:jc w:val="right"/>
              <w:rPr>
                <w:rFonts w:ascii="华文细黑" w:hAnsi="华文细黑" w:cs="华文细黑" w:eastAsia="华文细黑" w:hint="default"/>
                <w:sz w:val="18"/>
                <w:szCs w:val="18"/>
              </w:rPr>
            </w:pPr>
            <w:r>
              <w:rPr>
                <w:rFonts w:ascii="华文细黑"/>
                <w:sz w:val="18"/>
              </w:rPr>
              <w:t>76,146,806.96</w:t>
            </w:r>
          </w:p>
        </w:tc>
      </w:tr>
      <w:tr>
        <w:trPr>
          <w:trHeight w:val="490" w:hRule="exact"/>
        </w:trPr>
        <w:tc>
          <w:tcPr>
            <w:tcW w:w="29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其他应收款</w:t>
            </w:r>
          </w:p>
        </w:tc>
        <w:tc>
          <w:tcPr>
            <w:tcW w:w="2422"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415"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267"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1" w:hRule="exact"/>
        </w:trPr>
        <w:tc>
          <w:tcPr>
            <w:tcW w:w="29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其中：港元</w:t>
            </w:r>
          </w:p>
        </w:tc>
        <w:tc>
          <w:tcPr>
            <w:tcW w:w="242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8"/>
              <w:jc w:val="right"/>
              <w:rPr>
                <w:rFonts w:ascii="华文细黑" w:hAnsi="华文细黑" w:cs="华文细黑" w:eastAsia="华文细黑" w:hint="default"/>
                <w:sz w:val="18"/>
                <w:szCs w:val="18"/>
              </w:rPr>
            </w:pPr>
            <w:r>
              <w:rPr>
                <w:rFonts w:ascii="华文细黑"/>
                <w:w w:val="95"/>
                <w:sz w:val="18"/>
              </w:rPr>
              <w:t>255,989.11</w:t>
            </w:r>
          </w:p>
        </w:tc>
        <w:tc>
          <w:tcPr>
            <w:tcW w:w="14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7"/>
              <w:jc w:val="right"/>
              <w:rPr>
                <w:rFonts w:ascii="华文细黑" w:hAnsi="华文细黑" w:cs="华文细黑" w:eastAsia="华文细黑" w:hint="default"/>
                <w:sz w:val="18"/>
                <w:szCs w:val="18"/>
              </w:rPr>
            </w:pPr>
            <w:r>
              <w:rPr>
                <w:rFonts w:ascii="华文细黑"/>
                <w:sz w:val="18"/>
              </w:rPr>
              <w:t>0.8762</w:t>
            </w:r>
          </w:p>
        </w:tc>
        <w:tc>
          <w:tcPr>
            <w:tcW w:w="22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8"/>
              <w:jc w:val="right"/>
              <w:rPr>
                <w:rFonts w:ascii="华文细黑" w:hAnsi="华文细黑" w:cs="华文细黑" w:eastAsia="华文细黑" w:hint="default"/>
                <w:sz w:val="18"/>
                <w:szCs w:val="18"/>
              </w:rPr>
            </w:pPr>
            <w:r>
              <w:rPr>
                <w:rFonts w:ascii="华文细黑"/>
                <w:w w:val="95"/>
                <w:sz w:val="18"/>
              </w:rPr>
              <w:t>224,297.66</w:t>
            </w:r>
          </w:p>
        </w:tc>
      </w:tr>
      <w:tr>
        <w:trPr>
          <w:trHeight w:val="490" w:hRule="exact"/>
        </w:trPr>
        <w:tc>
          <w:tcPr>
            <w:tcW w:w="29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其他应付款</w:t>
            </w:r>
          </w:p>
        </w:tc>
        <w:tc>
          <w:tcPr>
            <w:tcW w:w="2422"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415"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267"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0" w:hRule="exact"/>
        </w:trPr>
        <w:tc>
          <w:tcPr>
            <w:tcW w:w="29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其中：美元</w:t>
            </w:r>
          </w:p>
        </w:tc>
        <w:tc>
          <w:tcPr>
            <w:tcW w:w="242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8"/>
              <w:jc w:val="right"/>
              <w:rPr>
                <w:rFonts w:ascii="华文细黑" w:hAnsi="华文细黑" w:cs="华文细黑" w:eastAsia="华文细黑" w:hint="default"/>
                <w:sz w:val="18"/>
                <w:szCs w:val="18"/>
              </w:rPr>
            </w:pPr>
            <w:r>
              <w:rPr>
                <w:rFonts w:ascii="华文细黑"/>
                <w:w w:val="95"/>
                <w:sz w:val="18"/>
              </w:rPr>
              <w:t>243,260.57</w:t>
            </w:r>
          </w:p>
        </w:tc>
        <w:tc>
          <w:tcPr>
            <w:tcW w:w="14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7"/>
              <w:jc w:val="right"/>
              <w:rPr>
                <w:rFonts w:ascii="华文细黑" w:hAnsi="华文细黑" w:cs="华文细黑" w:eastAsia="华文细黑" w:hint="default"/>
                <w:sz w:val="18"/>
                <w:szCs w:val="18"/>
              </w:rPr>
            </w:pPr>
            <w:r>
              <w:rPr>
                <w:rFonts w:ascii="华文细黑"/>
                <w:sz w:val="18"/>
              </w:rPr>
              <w:t>6.8632</w:t>
            </w:r>
          </w:p>
        </w:tc>
        <w:tc>
          <w:tcPr>
            <w:tcW w:w="22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6"/>
              <w:jc w:val="right"/>
              <w:rPr>
                <w:rFonts w:ascii="华文细黑" w:hAnsi="华文细黑" w:cs="华文细黑" w:eastAsia="华文细黑" w:hint="default"/>
                <w:sz w:val="18"/>
                <w:szCs w:val="18"/>
              </w:rPr>
            </w:pPr>
            <w:r>
              <w:rPr>
                <w:rFonts w:ascii="华文细黑"/>
                <w:sz w:val="18"/>
              </w:rPr>
              <w:t>1,669,545.94</w:t>
            </w:r>
          </w:p>
        </w:tc>
      </w:tr>
      <w:tr>
        <w:trPr>
          <w:trHeight w:val="491" w:hRule="exact"/>
        </w:trPr>
        <w:tc>
          <w:tcPr>
            <w:tcW w:w="29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55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港元</w:t>
            </w:r>
          </w:p>
        </w:tc>
        <w:tc>
          <w:tcPr>
            <w:tcW w:w="242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6"/>
              <w:jc w:val="right"/>
              <w:rPr>
                <w:rFonts w:ascii="华文细黑" w:hAnsi="华文细黑" w:cs="华文细黑" w:eastAsia="华文细黑" w:hint="default"/>
                <w:sz w:val="18"/>
                <w:szCs w:val="18"/>
              </w:rPr>
            </w:pPr>
            <w:r>
              <w:rPr>
                <w:rFonts w:ascii="华文细黑"/>
                <w:sz w:val="18"/>
              </w:rPr>
              <w:t>1,158,060.00</w:t>
            </w:r>
          </w:p>
        </w:tc>
        <w:tc>
          <w:tcPr>
            <w:tcW w:w="14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7"/>
              <w:jc w:val="right"/>
              <w:rPr>
                <w:rFonts w:ascii="华文细黑" w:hAnsi="华文细黑" w:cs="华文细黑" w:eastAsia="华文细黑" w:hint="default"/>
                <w:sz w:val="18"/>
                <w:szCs w:val="18"/>
              </w:rPr>
            </w:pPr>
            <w:r>
              <w:rPr>
                <w:rFonts w:ascii="华文细黑"/>
                <w:sz w:val="18"/>
              </w:rPr>
              <w:t>0.8762</w:t>
            </w:r>
          </w:p>
        </w:tc>
        <w:tc>
          <w:tcPr>
            <w:tcW w:w="22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6"/>
              <w:jc w:val="right"/>
              <w:rPr>
                <w:rFonts w:ascii="华文细黑" w:hAnsi="华文细黑" w:cs="华文细黑" w:eastAsia="华文细黑" w:hint="default"/>
                <w:sz w:val="18"/>
                <w:szCs w:val="18"/>
              </w:rPr>
            </w:pPr>
            <w:r>
              <w:rPr>
                <w:rFonts w:ascii="华文细黑"/>
                <w:sz w:val="18"/>
              </w:rPr>
              <w:t>1,014,692.17</w:t>
            </w:r>
          </w:p>
        </w:tc>
      </w:tr>
      <w:tr>
        <w:trPr>
          <w:trHeight w:val="490" w:hRule="exact"/>
        </w:trPr>
        <w:tc>
          <w:tcPr>
            <w:tcW w:w="29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应付账款</w:t>
            </w:r>
          </w:p>
        </w:tc>
        <w:tc>
          <w:tcPr>
            <w:tcW w:w="2422"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415"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267"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0" w:hRule="exact"/>
        </w:trPr>
        <w:tc>
          <w:tcPr>
            <w:tcW w:w="29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其中：美元</w:t>
            </w:r>
          </w:p>
        </w:tc>
        <w:tc>
          <w:tcPr>
            <w:tcW w:w="242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6"/>
              <w:jc w:val="right"/>
              <w:rPr>
                <w:rFonts w:ascii="华文细黑" w:hAnsi="华文细黑" w:cs="华文细黑" w:eastAsia="华文细黑" w:hint="default"/>
                <w:sz w:val="18"/>
                <w:szCs w:val="18"/>
              </w:rPr>
            </w:pPr>
            <w:r>
              <w:rPr>
                <w:rFonts w:ascii="华文细黑"/>
                <w:sz w:val="18"/>
              </w:rPr>
              <w:t>1,475,344.12</w:t>
            </w:r>
          </w:p>
        </w:tc>
        <w:tc>
          <w:tcPr>
            <w:tcW w:w="14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7"/>
              <w:jc w:val="right"/>
              <w:rPr>
                <w:rFonts w:ascii="华文细黑" w:hAnsi="华文细黑" w:cs="华文细黑" w:eastAsia="华文细黑" w:hint="default"/>
                <w:sz w:val="18"/>
                <w:szCs w:val="18"/>
              </w:rPr>
            </w:pPr>
            <w:r>
              <w:rPr>
                <w:rFonts w:ascii="华文细黑"/>
                <w:spacing w:val="-1"/>
                <w:sz w:val="18"/>
              </w:rPr>
              <w:t>6.8632</w:t>
            </w:r>
          </w:p>
        </w:tc>
        <w:tc>
          <w:tcPr>
            <w:tcW w:w="22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6"/>
              <w:jc w:val="right"/>
              <w:rPr>
                <w:rFonts w:ascii="华文细黑" w:hAnsi="华文细黑" w:cs="华文细黑" w:eastAsia="华文细黑" w:hint="default"/>
                <w:sz w:val="18"/>
                <w:szCs w:val="18"/>
              </w:rPr>
            </w:pPr>
            <w:r>
              <w:rPr>
                <w:rFonts w:ascii="华文细黑"/>
                <w:sz w:val="18"/>
              </w:rPr>
              <w:t>10,125,581.76</w:t>
            </w:r>
          </w:p>
        </w:tc>
      </w:tr>
      <w:tr>
        <w:trPr>
          <w:trHeight w:val="491" w:hRule="exact"/>
        </w:trPr>
        <w:tc>
          <w:tcPr>
            <w:tcW w:w="29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短期借款</w:t>
            </w:r>
          </w:p>
        </w:tc>
        <w:tc>
          <w:tcPr>
            <w:tcW w:w="2422"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415"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267"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0" w:hRule="exact"/>
        </w:trPr>
        <w:tc>
          <w:tcPr>
            <w:tcW w:w="29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其中：港元</w:t>
            </w:r>
          </w:p>
        </w:tc>
        <w:tc>
          <w:tcPr>
            <w:tcW w:w="242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6"/>
              <w:jc w:val="right"/>
              <w:rPr>
                <w:rFonts w:ascii="华文细黑" w:hAnsi="华文细黑" w:cs="华文细黑" w:eastAsia="华文细黑" w:hint="default"/>
                <w:sz w:val="18"/>
                <w:szCs w:val="18"/>
              </w:rPr>
            </w:pPr>
            <w:r>
              <w:rPr>
                <w:rFonts w:ascii="华文细黑"/>
                <w:sz w:val="18"/>
              </w:rPr>
              <w:t>574,000,000.00</w:t>
            </w:r>
          </w:p>
        </w:tc>
        <w:tc>
          <w:tcPr>
            <w:tcW w:w="14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7"/>
              <w:jc w:val="right"/>
              <w:rPr>
                <w:rFonts w:ascii="华文细黑" w:hAnsi="华文细黑" w:cs="华文细黑" w:eastAsia="华文细黑" w:hint="default"/>
                <w:sz w:val="18"/>
                <w:szCs w:val="18"/>
              </w:rPr>
            </w:pPr>
            <w:r>
              <w:rPr>
                <w:rFonts w:ascii="华文细黑"/>
                <w:sz w:val="18"/>
              </w:rPr>
              <w:t>0.8762</w:t>
            </w:r>
          </w:p>
        </w:tc>
        <w:tc>
          <w:tcPr>
            <w:tcW w:w="22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6"/>
              <w:jc w:val="right"/>
              <w:rPr>
                <w:rFonts w:ascii="华文细黑" w:hAnsi="华文细黑" w:cs="华文细黑" w:eastAsia="华文细黑" w:hint="default"/>
                <w:sz w:val="18"/>
                <w:szCs w:val="18"/>
              </w:rPr>
            </w:pPr>
            <w:r>
              <w:rPr>
                <w:rFonts w:ascii="华文细黑"/>
                <w:sz w:val="18"/>
              </w:rPr>
              <w:t>502,938,800.00</w:t>
            </w:r>
          </w:p>
        </w:tc>
      </w:tr>
      <w:tr>
        <w:trPr>
          <w:trHeight w:val="490" w:hRule="exact"/>
        </w:trPr>
        <w:tc>
          <w:tcPr>
            <w:tcW w:w="29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应付利息</w:t>
            </w:r>
          </w:p>
        </w:tc>
        <w:tc>
          <w:tcPr>
            <w:tcW w:w="2422"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415"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267"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1" w:hRule="exact"/>
        </w:trPr>
        <w:tc>
          <w:tcPr>
            <w:tcW w:w="295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其中：港元</w:t>
            </w:r>
          </w:p>
        </w:tc>
        <w:tc>
          <w:tcPr>
            <w:tcW w:w="242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8"/>
              <w:jc w:val="right"/>
              <w:rPr>
                <w:rFonts w:ascii="华文细黑" w:hAnsi="华文细黑" w:cs="华文细黑" w:eastAsia="华文细黑" w:hint="default"/>
                <w:sz w:val="18"/>
                <w:szCs w:val="18"/>
              </w:rPr>
            </w:pPr>
            <w:r>
              <w:rPr>
                <w:rFonts w:ascii="华文细黑"/>
                <w:w w:val="95"/>
                <w:sz w:val="18"/>
              </w:rPr>
              <w:t>597,605.76</w:t>
            </w:r>
          </w:p>
        </w:tc>
        <w:tc>
          <w:tcPr>
            <w:tcW w:w="141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7"/>
              <w:jc w:val="right"/>
              <w:rPr>
                <w:rFonts w:ascii="华文细黑" w:hAnsi="华文细黑" w:cs="华文细黑" w:eastAsia="华文细黑" w:hint="default"/>
                <w:sz w:val="18"/>
                <w:szCs w:val="18"/>
              </w:rPr>
            </w:pPr>
            <w:r>
              <w:rPr>
                <w:rFonts w:ascii="华文细黑"/>
                <w:sz w:val="18"/>
              </w:rPr>
              <w:t>0.8762</w:t>
            </w:r>
          </w:p>
        </w:tc>
        <w:tc>
          <w:tcPr>
            <w:tcW w:w="22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8"/>
              <w:jc w:val="right"/>
              <w:rPr>
                <w:rFonts w:ascii="华文细黑" w:hAnsi="华文细黑" w:cs="华文细黑" w:eastAsia="华文细黑" w:hint="default"/>
                <w:sz w:val="18"/>
                <w:szCs w:val="18"/>
              </w:rPr>
            </w:pPr>
            <w:r>
              <w:rPr>
                <w:rFonts w:ascii="华文细黑"/>
                <w:w w:val="95"/>
                <w:sz w:val="18"/>
              </w:rPr>
              <w:t>523,622.17</w:t>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300" w:right="0"/>
        </w:sectPr>
      </w:pPr>
    </w:p>
    <w:p>
      <w:pPr>
        <w:spacing w:line="240" w:lineRule="auto" w:before="10"/>
        <w:rPr>
          <w:rFonts w:ascii="华文细黑" w:hAnsi="华文细黑" w:cs="华文细黑" w:eastAsia="华文细黑" w:hint="default"/>
          <w:sz w:val="27"/>
          <w:szCs w:val="27"/>
        </w:rPr>
      </w:pPr>
    </w:p>
    <w:p>
      <w:pPr>
        <w:pStyle w:val="BodyText"/>
        <w:spacing w:line="240" w:lineRule="auto" w:before="10"/>
        <w:ind w:left="680" w:right="826"/>
        <w:jc w:val="left"/>
      </w:pPr>
      <w:r>
        <w:rPr/>
        <w:t>（</w:t>
      </w:r>
      <w:r>
        <w:rPr>
          <w:rFonts w:ascii="华文细黑" w:hAnsi="华文细黑" w:cs="华文细黑" w:eastAsia="华文细黑" w:hint="default"/>
        </w:rPr>
        <w:t>2</w:t>
      </w:r>
      <w:r>
        <w:rPr/>
        <w:t>）境外经营实体说明</w:t>
      </w:r>
    </w:p>
    <w:p>
      <w:pPr>
        <w:pStyle w:val="BodyText"/>
        <w:spacing w:line="240" w:lineRule="auto" w:before="142"/>
        <w:ind w:left="680" w:right="826"/>
        <w:jc w:val="left"/>
      </w:pPr>
      <w:r>
        <w:rPr>
          <w:spacing w:val="-4"/>
        </w:rPr>
        <w:t>①爱施德（香港）有限公司于 </w:t>
      </w:r>
      <w:r>
        <w:rPr>
          <w:rFonts w:ascii="华文细黑" w:hAnsi="华文细黑" w:cs="华文细黑" w:eastAsia="华文细黑" w:hint="default"/>
        </w:rPr>
        <w:t>2013 </w:t>
      </w:r>
      <w:r>
        <w:rPr/>
        <w:t>年 </w:t>
      </w:r>
      <w:r>
        <w:rPr>
          <w:rFonts w:ascii="华文细黑" w:hAnsi="华文细黑" w:cs="华文细黑" w:eastAsia="华文细黑" w:hint="default"/>
        </w:rPr>
        <w:t>11 </w:t>
      </w:r>
      <w:r>
        <w:rPr/>
        <w:t>月 </w:t>
      </w:r>
      <w:r>
        <w:rPr>
          <w:rFonts w:ascii="华文细黑" w:hAnsi="华文细黑" w:cs="华文细黑" w:eastAsia="华文细黑" w:hint="default"/>
        </w:rPr>
        <w:t>6</w:t>
      </w:r>
      <w:r>
        <w:rPr>
          <w:rFonts w:ascii="华文细黑" w:hAnsi="华文细黑" w:cs="华文细黑" w:eastAsia="华文细黑" w:hint="default"/>
          <w:spacing w:val="32"/>
        </w:rPr>
        <w:t> </w:t>
      </w:r>
      <w:r>
        <w:rPr>
          <w:spacing w:val="-3"/>
        </w:rPr>
        <w:t>日在香港注册成立，为本公司的全资子公司，注</w:t>
      </w:r>
    </w:p>
    <w:p>
      <w:pPr>
        <w:pStyle w:val="BodyText"/>
        <w:spacing w:line="240" w:lineRule="auto" w:before="103"/>
        <w:ind w:left="260" w:right="826"/>
        <w:jc w:val="left"/>
      </w:pPr>
      <w:r>
        <w:rPr/>
        <w:t>册地址为香港湾仔轩尼诗道 </w:t>
      </w:r>
      <w:r>
        <w:rPr>
          <w:rFonts w:ascii="华文细黑" w:hAnsi="华文细黑" w:cs="华文细黑" w:eastAsia="华文细黑" w:hint="default"/>
        </w:rPr>
        <w:t>250 </w:t>
      </w:r>
      <w:r>
        <w:rPr/>
        <w:t>号卓能广场 </w:t>
      </w:r>
      <w:r>
        <w:rPr>
          <w:rFonts w:ascii="华文细黑" w:hAnsi="华文细黑" w:cs="华文细黑" w:eastAsia="华文细黑" w:hint="default"/>
        </w:rPr>
        <w:t>16 </w:t>
      </w:r>
      <w:r>
        <w:rPr/>
        <w:t>楼</w:t>
      </w:r>
      <w:r>
        <w:rPr>
          <w:spacing w:val="-4"/>
        </w:rPr>
        <w:t> </w:t>
      </w:r>
      <w:r>
        <w:rPr>
          <w:rFonts w:ascii="华文细黑" w:hAnsi="华文细黑" w:cs="华文细黑" w:eastAsia="华文细黑" w:hint="default"/>
        </w:rPr>
        <w:t>D</w:t>
      </w:r>
      <w:r>
        <w:rPr/>
        <w:t>，记账本位币为港币。</w:t>
      </w:r>
    </w:p>
    <w:p>
      <w:pPr>
        <w:pStyle w:val="BodyText"/>
        <w:spacing w:line="324" w:lineRule="auto" w:before="144"/>
        <w:ind w:left="260" w:right="1428" w:firstLine="420"/>
        <w:jc w:val="left"/>
      </w:pPr>
      <w:r>
        <w:rPr/>
        <w:t>②</w:t>
      </w:r>
      <w:r>
        <w:rPr>
          <w:rFonts w:ascii="华文细黑" w:hAnsi="华文细黑" w:cs="华文细黑" w:eastAsia="华文细黑" w:hint="default"/>
        </w:rPr>
        <w:t>Genesis (BVI) Holding Ltd </w:t>
      </w:r>
      <w:r>
        <w:rPr/>
        <w:t>于 </w:t>
      </w:r>
      <w:r>
        <w:rPr>
          <w:rFonts w:ascii="华文细黑" w:hAnsi="华文细黑" w:cs="华文细黑" w:eastAsia="华文细黑" w:hint="default"/>
        </w:rPr>
        <w:t>2016 </w:t>
      </w:r>
      <w:r>
        <w:rPr/>
        <w:t>年 </w:t>
      </w:r>
      <w:r>
        <w:rPr>
          <w:rFonts w:ascii="华文细黑" w:hAnsi="华文细黑" w:cs="华文细黑" w:eastAsia="华文细黑" w:hint="default"/>
        </w:rPr>
        <w:t>2</w:t>
      </w:r>
      <w:r>
        <w:rPr>
          <w:rFonts w:ascii="华文细黑" w:hAnsi="华文细黑" w:cs="华文细黑" w:eastAsia="华文细黑" w:hint="default"/>
          <w:spacing w:val="-4"/>
        </w:rPr>
        <w:t> </w:t>
      </w:r>
      <w:r>
        <w:rPr/>
        <w:t>月成立，注册地在英属维尔京群岛，为爱施德（香 港）有限公司的全资子公司。</w:t>
      </w:r>
    </w:p>
    <w:p>
      <w:pPr>
        <w:pStyle w:val="BodyText"/>
        <w:spacing w:line="324" w:lineRule="auto" w:before="64"/>
        <w:ind w:left="260" w:right="1427" w:firstLine="420"/>
        <w:jc w:val="left"/>
      </w:pPr>
      <w:r>
        <w:rPr/>
        <w:t>③</w:t>
      </w:r>
      <w:r>
        <w:rPr>
          <w:rFonts w:ascii="华文细黑" w:hAnsi="华文细黑" w:cs="华文细黑" w:eastAsia="华文细黑" w:hint="default"/>
        </w:rPr>
        <w:t>Genesis (Cayman) Ltd </w:t>
      </w:r>
      <w:r>
        <w:rPr/>
        <w:t>于 </w:t>
      </w:r>
      <w:r>
        <w:rPr>
          <w:rFonts w:ascii="华文细黑" w:hAnsi="华文细黑" w:cs="华文细黑" w:eastAsia="华文细黑" w:hint="default"/>
        </w:rPr>
        <w:t>2016 </w:t>
      </w:r>
      <w:r>
        <w:rPr/>
        <w:t>年 </w:t>
      </w:r>
      <w:r>
        <w:rPr>
          <w:rFonts w:ascii="华文细黑" w:hAnsi="华文细黑" w:cs="华文细黑" w:eastAsia="华文细黑" w:hint="default"/>
        </w:rPr>
        <w:t>2</w:t>
      </w:r>
      <w:r>
        <w:rPr>
          <w:rFonts w:ascii="华文细黑" w:hAnsi="华文细黑" w:cs="华文细黑" w:eastAsia="华文细黑" w:hint="default"/>
          <w:spacing w:val="38"/>
        </w:rPr>
        <w:t> </w:t>
      </w:r>
      <w:r>
        <w:rPr/>
        <w:t>月成立，注册地在开曼群岛，为爱施德（香港）有限 公司的全资子公司。</w:t>
      </w:r>
    </w:p>
    <w:p>
      <w:pPr>
        <w:pStyle w:val="BodyText"/>
        <w:spacing w:line="324" w:lineRule="auto" w:before="64"/>
        <w:ind w:left="260" w:right="1424" w:firstLine="420"/>
        <w:jc w:val="left"/>
      </w:pPr>
      <w:r>
        <w:rPr/>
        <w:t>④中国供应链金融服务有限公司于 </w:t>
      </w:r>
      <w:r>
        <w:rPr>
          <w:rFonts w:ascii="华文细黑" w:hAnsi="华文细黑" w:cs="华文细黑" w:eastAsia="华文细黑" w:hint="default"/>
        </w:rPr>
        <w:t>2016 </w:t>
      </w:r>
      <w:r>
        <w:rPr/>
        <w:t>年 </w:t>
      </w:r>
      <w:r>
        <w:rPr>
          <w:rFonts w:ascii="华文细黑" w:hAnsi="华文细黑" w:cs="华文细黑" w:eastAsia="华文细黑" w:hint="default"/>
        </w:rPr>
        <w:t>4 </w:t>
      </w:r>
      <w:r>
        <w:rPr/>
        <w:t>月 </w:t>
      </w:r>
      <w:r>
        <w:rPr>
          <w:rFonts w:ascii="华文细黑" w:hAnsi="华文细黑" w:cs="华文细黑" w:eastAsia="华文细黑" w:hint="default"/>
        </w:rPr>
        <w:t>19</w:t>
      </w:r>
      <w:r>
        <w:rPr>
          <w:rFonts w:ascii="华文细黑" w:hAnsi="华文细黑" w:cs="华文细黑" w:eastAsia="华文细黑" w:hint="default"/>
          <w:spacing w:val="8"/>
        </w:rPr>
        <w:t> </w:t>
      </w:r>
      <w:r>
        <w:rPr>
          <w:spacing w:val="-5"/>
        </w:rPr>
        <w:t>日成立，注册地香港，为深圳市优友金融服</w:t>
      </w:r>
      <w:r>
        <w:rPr/>
        <w:t> 务有限公司的全资子公司。</w:t>
      </w:r>
    </w:p>
    <w:p>
      <w:pPr>
        <w:pStyle w:val="Heading5"/>
        <w:spacing w:line="240" w:lineRule="auto" w:before="64"/>
        <w:ind w:left="680" w:right="826"/>
        <w:jc w:val="left"/>
        <w:rPr>
          <w:b w:val="0"/>
          <w:bCs w:val="0"/>
        </w:rPr>
      </w:pPr>
      <w:bookmarkStart w:name="54、政府补助" w:id="319"/>
      <w:bookmarkEnd w:id="319"/>
      <w:r>
        <w:rPr>
          <w:b w:val="0"/>
          <w:bCs w:val="0"/>
        </w:rPr>
      </w:r>
      <w:r>
        <w:rPr>
          <w:rFonts w:ascii="华文细黑" w:hAnsi="华文细黑" w:cs="华文细黑" w:eastAsia="华文细黑" w:hint="default"/>
        </w:rPr>
        <w:t>54</w:t>
      </w:r>
      <w:r>
        <w:rPr/>
        <w:t>、政府补助</w:t>
      </w:r>
      <w:r>
        <w:rPr>
          <w:b w:val="0"/>
          <w:bCs w:val="0"/>
        </w:rPr>
      </w:r>
    </w:p>
    <w:p>
      <w:pPr>
        <w:spacing w:line="240" w:lineRule="auto" w:before="5"/>
        <w:rPr>
          <w:rFonts w:ascii="华文细黑" w:hAnsi="华文细黑" w:cs="华文细黑" w:eastAsia="华文细黑" w:hint="default"/>
          <w:b/>
          <w:bCs/>
          <w:sz w:val="5"/>
          <w:szCs w:val="5"/>
        </w:rPr>
      </w:pPr>
    </w:p>
    <w:tbl>
      <w:tblPr>
        <w:tblW w:w="0" w:type="auto"/>
        <w:jc w:val="left"/>
        <w:tblInd w:w="113" w:type="dxa"/>
        <w:tblLayout w:type="fixed"/>
        <w:tblCellMar>
          <w:top w:w="0" w:type="dxa"/>
          <w:left w:w="0" w:type="dxa"/>
          <w:bottom w:w="0" w:type="dxa"/>
          <w:right w:w="0" w:type="dxa"/>
        </w:tblCellMar>
        <w:tblLook w:val="01E0"/>
      </w:tblPr>
      <w:tblGrid>
        <w:gridCol w:w="4538"/>
        <w:gridCol w:w="1416"/>
        <w:gridCol w:w="1419"/>
        <w:gridCol w:w="1838"/>
      </w:tblGrid>
      <w:tr>
        <w:trPr>
          <w:trHeight w:val="485" w:hRule="exact"/>
        </w:trPr>
        <w:tc>
          <w:tcPr>
            <w:tcW w:w="45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种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类</w:t>
            </w:r>
          </w:p>
        </w:tc>
        <w:tc>
          <w:tcPr>
            <w:tcW w:w="141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43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金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额</w:t>
            </w:r>
          </w:p>
        </w:tc>
        <w:tc>
          <w:tcPr>
            <w:tcW w:w="141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列报项目</w:t>
            </w:r>
          </w:p>
        </w:tc>
        <w:tc>
          <w:tcPr>
            <w:tcW w:w="18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计入当期损益的金额</w:t>
            </w:r>
          </w:p>
        </w:tc>
      </w:tr>
      <w:tr>
        <w:trPr>
          <w:trHeight w:val="494" w:hRule="exact"/>
        </w:trPr>
        <w:tc>
          <w:tcPr>
            <w:tcW w:w="45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高新区第三批企业研究开发补助</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100"/>
              <w:jc w:val="right"/>
              <w:rPr>
                <w:rFonts w:ascii="华文细黑" w:hAnsi="华文细黑" w:cs="华文细黑" w:eastAsia="华文细黑" w:hint="default"/>
                <w:sz w:val="18"/>
                <w:szCs w:val="18"/>
              </w:rPr>
            </w:pPr>
            <w:r>
              <w:rPr>
                <w:rFonts w:ascii="华文细黑"/>
                <w:sz w:val="18"/>
              </w:rPr>
              <w:t>2,278,000.00</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其他收益</w:t>
            </w:r>
          </w:p>
        </w:tc>
        <w:tc>
          <w:tcPr>
            <w:tcW w:w="18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100"/>
              <w:jc w:val="right"/>
              <w:rPr>
                <w:rFonts w:ascii="华文细黑" w:hAnsi="华文细黑" w:cs="华文细黑" w:eastAsia="华文细黑" w:hint="default"/>
                <w:sz w:val="18"/>
                <w:szCs w:val="18"/>
              </w:rPr>
            </w:pPr>
            <w:r>
              <w:rPr>
                <w:rFonts w:ascii="华文细黑"/>
                <w:sz w:val="18"/>
              </w:rPr>
              <w:t>2,278,000.00</w:t>
            </w:r>
          </w:p>
        </w:tc>
      </w:tr>
      <w:tr>
        <w:trPr>
          <w:trHeight w:val="490" w:hRule="exact"/>
        </w:trPr>
        <w:tc>
          <w:tcPr>
            <w:tcW w:w="45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福田区统计局 </w:t>
            </w:r>
            <w:r>
              <w:rPr>
                <w:rFonts w:ascii="华文细黑" w:hAnsi="华文细黑" w:cs="华文细黑" w:eastAsia="华文细黑" w:hint="default"/>
                <w:sz w:val="18"/>
                <w:szCs w:val="18"/>
              </w:rPr>
              <w:t>2017</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年第四季度重点零售季度增长补贴</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sz w:val="18"/>
              </w:rPr>
              <w:t>1,000,000.00</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其他收益</w:t>
            </w:r>
          </w:p>
        </w:tc>
        <w:tc>
          <w:tcPr>
            <w:tcW w:w="18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sz w:val="18"/>
              </w:rPr>
              <w:t>1,000,000.00</w:t>
            </w:r>
          </w:p>
        </w:tc>
      </w:tr>
      <w:tr>
        <w:trPr>
          <w:trHeight w:val="490" w:hRule="exact"/>
        </w:trPr>
        <w:tc>
          <w:tcPr>
            <w:tcW w:w="45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现代服务业季度增长支持</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0"/>
              <w:jc w:val="right"/>
              <w:rPr>
                <w:rFonts w:ascii="华文细黑" w:hAnsi="华文细黑" w:cs="华文细黑" w:eastAsia="华文细黑" w:hint="default"/>
                <w:sz w:val="18"/>
                <w:szCs w:val="18"/>
              </w:rPr>
            </w:pPr>
            <w:r>
              <w:rPr>
                <w:rFonts w:ascii="华文细黑"/>
                <w:sz w:val="18"/>
              </w:rPr>
              <w:t>1,000,000.00</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其他收益</w:t>
            </w:r>
          </w:p>
        </w:tc>
        <w:tc>
          <w:tcPr>
            <w:tcW w:w="18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0"/>
              <w:jc w:val="right"/>
              <w:rPr>
                <w:rFonts w:ascii="华文细黑" w:hAnsi="华文细黑" w:cs="华文细黑" w:eastAsia="华文细黑" w:hint="default"/>
                <w:sz w:val="18"/>
                <w:szCs w:val="18"/>
              </w:rPr>
            </w:pPr>
            <w:r>
              <w:rPr>
                <w:rFonts w:ascii="华文细黑"/>
                <w:sz w:val="18"/>
              </w:rPr>
              <w:t>1,000,000.00</w:t>
            </w:r>
          </w:p>
        </w:tc>
      </w:tr>
      <w:tr>
        <w:trPr>
          <w:trHeight w:val="490" w:hRule="exact"/>
        </w:trPr>
        <w:tc>
          <w:tcPr>
            <w:tcW w:w="45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2018</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年第三批电子商务发展专项资金</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w w:val="95"/>
                <w:sz w:val="18"/>
              </w:rPr>
              <w:t>500,000.00</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其他收益</w:t>
            </w:r>
          </w:p>
        </w:tc>
        <w:tc>
          <w:tcPr>
            <w:tcW w:w="18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w w:val="95"/>
                <w:sz w:val="18"/>
              </w:rPr>
              <w:t>500,000.00</w:t>
            </w:r>
          </w:p>
        </w:tc>
      </w:tr>
      <w:tr>
        <w:trPr>
          <w:trHeight w:val="491" w:hRule="exact"/>
        </w:trPr>
        <w:tc>
          <w:tcPr>
            <w:tcW w:w="45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2017</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年研究开发第二批资助</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w w:val="95"/>
                <w:sz w:val="18"/>
              </w:rPr>
              <w:t>105,000.00</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其他收益</w:t>
            </w:r>
          </w:p>
        </w:tc>
        <w:tc>
          <w:tcPr>
            <w:tcW w:w="18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w w:val="95"/>
                <w:sz w:val="18"/>
              </w:rPr>
              <w:t>105,000.00</w:t>
            </w:r>
          </w:p>
        </w:tc>
      </w:tr>
      <w:tr>
        <w:trPr>
          <w:trHeight w:val="490" w:hRule="exact"/>
        </w:trPr>
        <w:tc>
          <w:tcPr>
            <w:tcW w:w="45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社保稳岗补贴</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98,886.59</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其他收益</w:t>
            </w:r>
          </w:p>
        </w:tc>
        <w:tc>
          <w:tcPr>
            <w:tcW w:w="18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98,886.59</w:t>
            </w:r>
          </w:p>
        </w:tc>
      </w:tr>
      <w:tr>
        <w:trPr>
          <w:trHeight w:val="490" w:hRule="exact"/>
        </w:trPr>
        <w:tc>
          <w:tcPr>
            <w:tcW w:w="45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个税手续费返还</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57,588.29</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其他收益</w:t>
            </w:r>
          </w:p>
        </w:tc>
        <w:tc>
          <w:tcPr>
            <w:tcW w:w="18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57,588.29</w:t>
            </w:r>
          </w:p>
        </w:tc>
      </w:tr>
      <w:tr>
        <w:trPr>
          <w:trHeight w:val="490" w:hRule="exact"/>
        </w:trPr>
        <w:tc>
          <w:tcPr>
            <w:tcW w:w="45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2016</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年国家高新补贴</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30,000.00</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其他收益</w:t>
            </w:r>
          </w:p>
        </w:tc>
        <w:tc>
          <w:tcPr>
            <w:tcW w:w="18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30,000.00</w:t>
            </w:r>
          </w:p>
        </w:tc>
      </w:tr>
      <w:tr>
        <w:trPr>
          <w:trHeight w:val="490" w:hRule="exact"/>
        </w:trPr>
        <w:tc>
          <w:tcPr>
            <w:tcW w:w="45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sz w:val="18"/>
              </w:rPr>
              <w:t>25,000.00</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其他收益</w:t>
            </w:r>
          </w:p>
        </w:tc>
        <w:tc>
          <w:tcPr>
            <w:tcW w:w="18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25,000.00</w:t>
            </w:r>
          </w:p>
        </w:tc>
      </w:tr>
      <w:tr>
        <w:trPr>
          <w:trHeight w:val="490" w:hRule="exact"/>
        </w:trPr>
        <w:tc>
          <w:tcPr>
            <w:tcW w:w="45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企业奖励资金</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22,870,671.74</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营业外收入</w:t>
            </w:r>
          </w:p>
        </w:tc>
        <w:tc>
          <w:tcPr>
            <w:tcW w:w="18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22,870,671.74</w:t>
            </w:r>
          </w:p>
        </w:tc>
      </w:tr>
      <w:tr>
        <w:trPr>
          <w:trHeight w:val="490" w:hRule="exact"/>
        </w:trPr>
        <w:tc>
          <w:tcPr>
            <w:tcW w:w="45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深圳市福田区现代服务业发展支持奖励</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sz w:val="18"/>
              </w:rPr>
              <w:t>2,800,000.00</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营业外收入</w:t>
            </w:r>
          </w:p>
        </w:tc>
        <w:tc>
          <w:tcPr>
            <w:tcW w:w="18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sz w:val="18"/>
              </w:rPr>
              <w:t>2,800,000.00</w:t>
            </w:r>
          </w:p>
        </w:tc>
      </w:tr>
      <w:tr>
        <w:trPr>
          <w:trHeight w:val="490" w:hRule="exact"/>
        </w:trPr>
        <w:tc>
          <w:tcPr>
            <w:tcW w:w="45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深圳市福田区企业发展服务中心补贴</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w w:val="95"/>
                <w:sz w:val="18"/>
              </w:rPr>
              <w:t>200,000.00</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营业外收入</w:t>
            </w:r>
          </w:p>
        </w:tc>
        <w:tc>
          <w:tcPr>
            <w:tcW w:w="18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w w:val="95"/>
                <w:sz w:val="18"/>
              </w:rPr>
              <w:t>200,000.00</w:t>
            </w:r>
          </w:p>
        </w:tc>
      </w:tr>
      <w:tr>
        <w:trPr>
          <w:trHeight w:val="490" w:hRule="exact"/>
        </w:trPr>
        <w:tc>
          <w:tcPr>
            <w:tcW w:w="45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福田区国库连锁商业企业支持款</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w w:val="95"/>
                <w:sz w:val="18"/>
              </w:rPr>
              <w:t>200,000.00</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营业外收入</w:t>
            </w:r>
          </w:p>
        </w:tc>
        <w:tc>
          <w:tcPr>
            <w:tcW w:w="18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w w:val="95"/>
                <w:sz w:val="18"/>
              </w:rPr>
              <w:t>200,000.00</w:t>
            </w:r>
          </w:p>
        </w:tc>
      </w:tr>
      <w:tr>
        <w:trPr>
          <w:trHeight w:val="490" w:hRule="exact"/>
        </w:trPr>
        <w:tc>
          <w:tcPr>
            <w:tcW w:w="45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现代服务业连锁商业企业认定支持</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w w:val="95"/>
                <w:sz w:val="18"/>
              </w:rPr>
              <w:t>200,000.00</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营业外收入</w:t>
            </w:r>
          </w:p>
        </w:tc>
        <w:tc>
          <w:tcPr>
            <w:tcW w:w="18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w w:val="95"/>
                <w:sz w:val="18"/>
              </w:rPr>
              <w:t>200,000.00</w:t>
            </w:r>
          </w:p>
        </w:tc>
      </w:tr>
      <w:tr>
        <w:trPr>
          <w:trHeight w:val="490" w:hRule="exact"/>
        </w:trPr>
        <w:tc>
          <w:tcPr>
            <w:tcW w:w="45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w w:val="95"/>
                <w:sz w:val="18"/>
              </w:rPr>
              <w:t>157,237.95</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营业外收入</w:t>
            </w:r>
          </w:p>
        </w:tc>
        <w:tc>
          <w:tcPr>
            <w:tcW w:w="18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w w:val="95"/>
                <w:sz w:val="18"/>
              </w:rPr>
              <w:t>157,237.95</w:t>
            </w:r>
          </w:p>
        </w:tc>
      </w:tr>
      <w:tr>
        <w:trPr>
          <w:trHeight w:val="490" w:hRule="exact"/>
        </w:trPr>
        <w:tc>
          <w:tcPr>
            <w:tcW w:w="45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一号机项目贷款贴息支持</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sz w:val="18"/>
              </w:rPr>
              <w:t>6,670,000.00</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冲减财务费用</w:t>
            </w:r>
          </w:p>
        </w:tc>
        <w:tc>
          <w:tcPr>
            <w:tcW w:w="18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sz w:val="18"/>
              </w:rPr>
              <w:t>6,670,000.00</w:t>
            </w:r>
          </w:p>
        </w:tc>
      </w:tr>
      <w:tr>
        <w:trPr>
          <w:trHeight w:val="491" w:hRule="exact"/>
        </w:trPr>
        <w:tc>
          <w:tcPr>
            <w:tcW w:w="453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贷款贴息支持</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sz w:val="18"/>
              </w:rPr>
              <w:t>1,200,000.00</w:t>
            </w:r>
          </w:p>
        </w:tc>
        <w:tc>
          <w:tcPr>
            <w:tcW w:w="14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冲减财务费用</w:t>
            </w:r>
          </w:p>
        </w:tc>
        <w:tc>
          <w:tcPr>
            <w:tcW w:w="183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sz w:val="18"/>
              </w:rPr>
              <w:t>1,200,000.00</w:t>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180" w:right="0"/>
        </w:sectPr>
      </w:pPr>
    </w:p>
    <w:p>
      <w:pPr>
        <w:spacing w:line="240" w:lineRule="auto" w:before="0"/>
        <w:rPr>
          <w:rFonts w:ascii="华文细黑" w:hAnsi="华文细黑" w:cs="华文细黑" w:eastAsia="华文细黑" w:hint="default"/>
          <w:b/>
          <w:bCs/>
          <w:sz w:val="26"/>
          <w:szCs w:val="26"/>
        </w:rPr>
      </w:pPr>
    </w:p>
    <w:p>
      <w:pPr>
        <w:spacing w:line="336" w:lineRule="exact" w:before="0"/>
        <w:ind w:left="740" w:right="826" w:firstLine="0"/>
        <w:jc w:val="left"/>
        <w:rPr>
          <w:rFonts w:ascii="华文细黑" w:hAnsi="华文细黑" w:cs="华文细黑" w:eastAsia="华文细黑" w:hint="default"/>
          <w:sz w:val="24"/>
          <w:szCs w:val="24"/>
        </w:rPr>
      </w:pPr>
      <w:bookmarkStart w:name="七、合并范围的变更" w:id="320"/>
      <w:bookmarkEnd w:id="320"/>
      <w:r>
        <w:rPr/>
      </w:r>
      <w:r>
        <w:rPr>
          <w:rFonts w:ascii="华文细黑" w:hAnsi="华文细黑" w:cs="华文细黑" w:eastAsia="华文细黑" w:hint="default"/>
          <w:b/>
          <w:bCs/>
          <w:sz w:val="24"/>
          <w:szCs w:val="24"/>
        </w:rPr>
        <w:t>七、合并范围的变更</w:t>
      </w:r>
      <w:r>
        <w:rPr>
          <w:rFonts w:ascii="华文细黑" w:hAnsi="华文细黑" w:cs="华文细黑" w:eastAsia="华文细黑" w:hint="default"/>
          <w:sz w:val="24"/>
          <w:szCs w:val="24"/>
        </w:rPr>
      </w:r>
    </w:p>
    <w:p>
      <w:pPr>
        <w:spacing w:before="137"/>
        <w:ind w:left="680" w:right="826" w:firstLine="0"/>
        <w:jc w:val="left"/>
        <w:rPr>
          <w:rFonts w:ascii="华文细黑" w:hAnsi="华文细黑" w:cs="华文细黑" w:eastAsia="华文细黑" w:hint="default"/>
          <w:sz w:val="21"/>
          <w:szCs w:val="21"/>
        </w:rPr>
      </w:pPr>
      <w:bookmarkStart w:name="1、非同一控制下企业合并" w:id="321"/>
      <w:bookmarkEnd w:id="321"/>
      <w:r>
        <w:rPr/>
      </w:r>
      <w:r>
        <w:rPr>
          <w:rFonts w:ascii="华文细黑" w:hAnsi="华文细黑" w:cs="华文细黑" w:eastAsia="华文细黑" w:hint="default"/>
          <w:b/>
          <w:bCs/>
          <w:sz w:val="21"/>
          <w:szCs w:val="21"/>
        </w:rPr>
        <w:t>1</w:t>
      </w:r>
      <w:r>
        <w:rPr>
          <w:rFonts w:ascii="华文细黑" w:hAnsi="华文细黑" w:cs="华文细黑" w:eastAsia="华文细黑" w:hint="default"/>
          <w:b/>
          <w:bCs/>
          <w:sz w:val="21"/>
          <w:szCs w:val="21"/>
        </w:rPr>
        <w:t>、非同一控制下企业合并</w:t>
      </w:r>
      <w:r>
        <w:rPr>
          <w:rFonts w:ascii="华文细黑" w:hAnsi="华文细黑" w:cs="华文细黑" w:eastAsia="华文细黑" w:hint="default"/>
          <w:sz w:val="21"/>
          <w:szCs w:val="21"/>
        </w:rPr>
      </w:r>
    </w:p>
    <w:p>
      <w:pPr>
        <w:pStyle w:val="BodyText"/>
        <w:spacing w:line="240" w:lineRule="auto" w:before="142"/>
        <w:ind w:left="680" w:right="826"/>
        <w:jc w:val="left"/>
      </w:pPr>
      <w:r>
        <w:rPr/>
        <w:t>（</w:t>
      </w:r>
      <w:r>
        <w:rPr>
          <w:rFonts w:ascii="华文细黑" w:hAnsi="华文细黑" w:cs="华文细黑" w:eastAsia="华文细黑" w:hint="default"/>
        </w:rPr>
        <w:t>1</w:t>
      </w:r>
      <w:r>
        <w:rPr/>
        <w:t>）本年发生的非同一控制下企业合并</w:t>
      </w:r>
    </w:p>
    <w:p>
      <w:pPr>
        <w:spacing w:line="240" w:lineRule="auto" w:before="6"/>
        <w:rPr>
          <w:rFonts w:ascii="华文细黑" w:hAnsi="华文细黑" w:cs="华文细黑" w:eastAsia="华文细黑" w:hint="default"/>
          <w:sz w:val="5"/>
          <w:szCs w:val="5"/>
        </w:rPr>
      </w:pPr>
    </w:p>
    <w:tbl>
      <w:tblPr>
        <w:tblW w:w="0" w:type="auto"/>
        <w:jc w:val="left"/>
        <w:tblInd w:w="113" w:type="dxa"/>
        <w:tblLayout w:type="fixed"/>
        <w:tblCellMar>
          <w:top w:w="0" w:type="dxa"/>
          <w:left w:w="0" w:type="dxa"/>
          <w:bottom w:w="0" w:type="dxa"/>
          <w:right w:w="0" w:type="dxa"/>
        </w:tblCellMar>
        <w:tblLook w:val="01E0"/>
      </w:tblPr>
      <w:tblGrid>
        <w:gridCol w:w="1275"/>
        <w:gridCol w:w="992"/>
        <w:gridCol w:w="1133"/>
        <w:gridCol w:w="851"/>
        <w:gridCol w:w="851"/>
        <w:gridCol w:w="991"/>
        <w:gridCol w:w="1134"/>
        <w:gridCol w:w="1134"/>
        <w:gridCol w:w="1134"/>
      </w:tblGrid>
      <w:tr>
        <w:trPr>
          <w:trHeight w:val="150" w:hRule="exact"/>
        </w:trPr>
        <w:tc>
          <w:tcPr>
            <w:tcW w:w="1275" w:type="dxa"/>
            <w:vMerge w:val="restart"/>
            <w:tcBorders>
              <w:top w:val="single" w:sz="4" w:space="0" w:color="FFC000"/>
              <w:left w:val="single" w:sz="4" w:space="0" w:color="FFC000"/>
              <w:right w:val="single" w:sz="4" w:space="0" w:color="FFC000"/>
            </w:tcBorders>
            <w:shd w:val="clear" w:color="auto" w:fill="FFF8E6"/>
          </w:tcPr>
          <w:p>
            <w:pPr/>
          </w:p>
        </w:tc>
        <w:tc>
          <w:tcPr>
            <w:tcW w:w="992" w:type="dxa"/>
            <w:tcBorders>
              <w:top w:val="single" w:sz="4" w:space="0" w:color="FFC000"/>
              <w:left w:val="single" w:sz="4" w:space="0" w:color="FFC000"/>
              <w:bottom w:val="nil" w:sz="6" w:space="0" w:color="auto"/>
              <w:right w:val="single" w:sz="4" w:space="0" w:color="FFC000"/>
            </w:tcBorders>
            <w:shd w:val="clear" w:color="auto" w:fill="FFF8E6"/>
          </w:tcPr>
          <w:p>
            <w:pPr/>
          </w:p>
        </w:tc>
        <w:tc>
          <w:tcPr>
            <w:tcW w:w="1133" w:type="dxa"/>
            <w:tcBorders>
              <w:top w:val="single" w:sz="4" w:space="0" w:color="FFC000"/>
              <w:left w:val="single" w:sz="4" w:space="0" w:color="FFC000"/>
              <w:bottom w:val="nil" w:sz="6" w:space="0" w:color="auto"/>
              <w:right w:val="single" w:sz="4" w:space="0" w:color="FFC000"/>
            </w:tcBorders>
            <w:shd w:val="clear" w:color="auto" w:fill="FFF8E6"/>
          </w:tcPr>
          <w:p>
            <w:pPr/>
          </w:p>
        </w:tc>
        <w:tc>
          <w:tcPr>
            <w:tcW w:w="851" w:type="dxa"/>
            <w:tcBorders>
              <w:top w:val="single" w:sz="4" w:space="0" w:color="FFC000"/>
              <w:left w:val="single" w:sz="4" w:space="0" w:color="FFC000"/>
              <w:bottom w:val="nil" w:sz="6" w:space="0" w:color="auto"/>
              <w:right w:val="single" w:sz="4" w:space="0" w:color="FFC000"/>
            </w:tcBorders>
            <w:shd w:val="clear" w:color="auto" w:fill="FFF8E6"/>
          </w:tcPr>
          <w:p>
            <w:pPr/>
          </w:p>
        </w:tc>
        <w:tc>
          <w:tcPr>
            <w:tcW w:w="851" w:type="dxa"/>
            <w:tcBorders>
              <w:top w:val="single" w:sz="4" w:space="0" w:color="FFC000"/>
              <w:left w:val="single" w:sz="4" w:space="0" w:color="FFC000"/>
              <w:bottom w:val="nil" w:sz="6" w:space="0" w:color="auto"/>
              <w:right w:val="single" w:sz="4" w:space="0" w:color="FFC000"/>
            </w:tcBorders>
            <w:shd w:val="clear" w:color="auto" w:fill="FFF8E6"/>
          </w:tcPr>
          <w:p>
            <w:pPr/>
          </w:p>
        </w:tc>
        <w:tc>
          <w:tcPr>
            <w:tcW w:w="991" w:type="dxa"/>
            <w:vMerge w:val="restart"/>
            <w:tcBorders>
              <w:top w:val="single" w:sz="4" w:space="0" w:color="FFC000"/>
              <w:left w:val="single" w:sz="4" w:space="0" w:color="FFC000"/>
              <w:right w:val="single" w:sz="4" w:space="0" w:color="FFC000"/>
            </w:tcBorders>
            <w:shd w:val="clear" w:color="auto" w:fill="FFF8E6"/>
          </w:tcPr>
          <w:p>
            <w:pPr/>
          </w:p>
        </w:tc>
        <w:tc>
          <w:tcPr>
            <w:tcW w:w="1134" w:type="dxa"/>
            <w:tcBorders>
              <w:top w:val="single" w:sz="4" w:space="0" w:color="FFC000"/>
              <w:left w:val="single" w:sz="4" w:space="0" w:color="FFC000"/>
              <w:bottom w:val="nil" w:sz="6" w:space="0" w:color="auto"/>
              <w:right w:val="single" w:sz="4" w:space="0" w:color="FFC000"/>
            </w:tcBorders>
            <w:shd w:val="clear" w:color="auto" w:fill="FFF8E6"/>
          </w:tcPr>
          <w:p>
            <w:pPr/>
          </w:p>
        </w:tc>
        <w:tc>
          <w:tcPr>
            <w:tcW w:w="1134" w:type="dxa"/>
            <w:vMerge w:val="restart"/>
            <w:tcBorders>
              <w:top w:val="single" w:sz="4" w:space="0" w:color="FFC000"/>
              <w:left w:val="single" w:sz="4" w:space="0" w:color="FFC000"/>
              <w:right w:val="single" w:sz="4" w:space="0" w:color="FFC000"/>
            </w:tcBorders>
            <w:shd w:val="clear" w:color="auto" w:fill="FFF8E6"/>
          </w:tcPr>
          <w:p>
            <w:pPr>
              <w:pStyle w:val="TableParagraph"/>
              <w:spacing w:line="273" w:lineRule="auto" w:before="29"/>
              <w:ind w:left="111" w:right="11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购买日至年 末被购买方 的收入</w:t>
            </w:r>
          </w:p>
        </w:tc>
        <w:tc>
          <w:tcPr>
            <w:tcW w:w="1134" w:type="dxa"/>
            <w:vMerge w:val="restart"/>
            <w:tcBorders>
              <w:top w:val="single" w:sz="4" w:space="0" w:color="FFC000"/>
              <w:left w:val="single" w:sz="4" w:space="0" w:color="FFC000"/>
              <w:right w:val="single" w:sz="4" w:space="0" w:color="FFC000"/>
            </w:tcBorders>
            <w:shd w:val="clear" w:color="auto" w:fill="FFF8E6"/>
          </w:tcPr>
          <w:p>
            <w:pPr>
              <w:pStyle w:val="TableParagraph"/>
              <w:spacing w:line="273" w:lineRule="auto" w:before="29"/>
              <w:ind w:left="111" w:right="11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购买日至年 末被购买方 的净利润</w:t>
            </w:r>
          </w:p>
        </w:tc>
      </w:tr>
      <w:tr>
        <w:trPr>
          <w:trHeight w:val="145" w:hRule="exact"/>
        </w:trPr>
        <w:tc>
          <w:tcPr>
            <w:tcW w:w="1275" w:type="dxa"/>
            <w:vMerge/>
            <w:tcBorders>
              <w:left w:val="single" w:sz="4" w:space="0" w:color="FFC000"/>
              <w:bottom w:val="nil" w:sz="6" w:space="0" w:color="auto"/>
              <w:right w:val="single" w:sz="4" w:space="0" w:color="FFC000"/>
            </w:tcBorders>
            <w:shd w:val="clear" w:color="auto" w:fill="FFF8E6"/>
          </w:tcPr>
          <w:p>
            <w:pPr/>
          </w:p>
        </w:tc>
        <w:tc>
          <w:tcPr>
            <w:tcW w:w="992" w:type="dxa"/>
            <w:vMerge w:val="restart"/>
            <w:tcBorders>
              <w:top w:val="nil" w:sz="6" w:space="0" w:color="auto"/>
              <w:left w:val="single" w:sz="4" w:space="0" w:color="FFC000"/>
              <w:right w:val="single" w:sz="4" w:space="0" w:color="FFC000"/>
            </w:tcBorders>
            <w:shd w:val="clear" w:color="auto" w:fill="FFF8E6"/>
          </w:tcPr>
          <w:p>
            <w:pPr>
              <w:pStyle w:val="TableParagraph"/>
              <w:spacing w:line="273" w:lineRule="auto" w:before="29"/>
              <w:ind w:left="400" w:right="41" w:hanging="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股权取得时 点</w:t>
            </w:r>
          </w:p>
        </w:tc>
        <w:tc>
          <w:tcPr>
            <w:tcW w:w="1133" w:type="dxa"/>
            <w:vMerge w:val="restart"/>
            <w:tcBorders>
              <w:top w:val="nil" w:sz="6" w:space="0" w:color="auto"/>
              <w:left w:val="single" w:sz="4" w:space="0" w:color="FFC000"/>
              <w:right w:val="single" w:sz="4" w:space="0" w:color="FFC000"/>
            </w:tcBorders>
            <w:shd w:val="clear" w:color="auto" w:fill="FFF8E6"/>
          </w:tcPr>
          <w:p>
            <w:pPr>
              <w:pStyle w:val="TableParagraph"/>
              <w:spacing w:line="273" w:lineRule="auto" w:before="29"/>
              <w:ind w:left="471" w:right="109" w:hanging="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股权取得成 本</w:t>
            </w:r>
          </w:p>
        </w:tc>
        <w:tc>
          <w:tcPr>
            <w:tcW w:w="851" w:type="dxa"/>
            <w:vMerge w:val="restart"/>
            <w:tcBorders>
              <w:top w:val="nil" w:sz="6" w:space="0" w:color="auto"/>
              <w:left w:val="single" w:sz="4" w:space="0" w:color="FFC000"/>
              <w:right w:val="single" w:sz="4" w:space="0" w:color="FFC000"/>
            </w:tcBorders>
            <w:shd w:val="clear" w:color="auto" w:fill="FFF8E6"/>
          </w:tcPr>
          <w:p>
            <w:pPr>
              <w:pStyle w:val="TableParagraph"/>
              <w:spacing w:line="273" w:lineRule="auto" w:before="29"/>
              <w:ind w:left="22" w:right="-41" w:firstLine="3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股权取得 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851" w:type="dxa"/>
            <w:vMerge w:val="restart"/>
            <w:tcBorders>
              <w:top w:val="nil" w:sz="6" w:space="0" w:color="auto"/>
              <w:left w:val="single" w:sz="4" w:space="0" w:color="FFC000"/>
              <w:right w:val="single" w:sz="4" w:space="0" w:color="FFC000"/>
            </w:tcBorders>
            <w:shd w:val="clear" w:color="auto" w:fill="FFF8E6"/>
          </w:tcPr>
          <w:p>
            <w:pPr>
              <w:pStyle w:val="TableParagraph"/>
              <w:spacing w:line="273" w:lineRule="auto" w:before="29"/>
              <w:ind w:left="239" w:right="59"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股权取得 方式</w:t>
            </w:r>
          </w:p>
        </w:tc>
        <w:tc>
          <w:tcPr>
            <w:tcW w:w="991" w:type="dxa"/>
            <w:vMerge/>
            <w:tcBorders>
              <w:left w:val="single" w:sz="4" w:space="0" w:color="FFC000"/>
              <w:bottom w:val="nil" w:sz="6" w:space="0" w:color="auto"/>
              <w:right w:val="single" w:sz="4" w:space="0" w:color="FFC000"/>
            </w:tcBorders>
            <w:shd w:val="clear" w:color="auto" w:fill="FFF8E6"/>
          </w:tcPr>
          <w:p>
            <w:pPr/>
          </w:p>
        </w:tc>
        <w:tc>
          <w:tcPr>
            <w:tcW w:w="1134" w:type="dxa"/>
            <w:vMerge w:val="restart"/>
            <w:tcBorders>
              <w:top w:val="nil" w:sz="6" w:space="0" w:color="auto"/>
              <w:left w:val="single" w:sz="4" w:space="0" w:color="FFC000"/>
              <w:right w:val="single" w:sz="4" w:space="0" w:color="FFC000"/>
            </w:tcBorders>
            <w:shd w:val="clear" w:color="auto" w:fill="FFF8E6"/>
          </w:tcPr>
          <w:p>
            <w:pPr>
              <w:pStyle w:val="TableParagraph"/>
              <w:spacing w:line="273" w:lineRule="auto" w:before="29"/>
              <w:ind w:left="291" w:right="111"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购买日的确 定依据</w:t>
            </w:r>
          </w:p>
        </w:tc>
        <w:tc>
          <w:tcPr>
            <w:tcW w:w="1134" w:type="dxa"/>
            <w:vMerge/>
            <w:tcBorders>
              <w:left w:val="single" w:sz="4" w:space="0" w:color="FFC000"/>
              <w:right w:val="single" w:sz="4" w:space="0" w:color="FFC000"/>
            </w:tcBorders>
            <w:shd w:val="clear" w:color="auto" w:fill="FFF8E6"/>
          </w:tcPr>
          <w:p>
            <w:pPr/>
          </w:p>
        </w:tc>
        <w:tc>
          <w:tcPr>
            <w:tcW w:w="1134" w:type="dxa"/>
            <w:vMerge/>
            <w:tcBorders>
              <w:left w:val="single" w:sz="4" w:space="0" w:color="FFC000"/>
              <w:right w:val="single" w:sz="4" w:space="0" w:color="FFC000"/>
            </w:tcBorders>
            <w:shd w:val="clear" w:color="auto" w:fill="FFF8E6"/>
          </w:tcPr>
          <w:p>
            <w:pPr/>
          </w:p>
        </w:tc>
      </w:tr>
      <w:tr>
        <w:trPr>
          <w:trHeight w:val="370" w:hRule="exact"/>
        </w:trPr>
        <w:tc>
          <w:tcPr>
            <w:tcW w:w="1275"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29"/>
              <w:ind w:left="9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被购买方名称</w:t>
            </w:r>
          </w:p>
        </w:tc>
        <w:tc>
          <w:tcPr>
            <w:tcW w:w="992" w:type="dxa"/>
            <w:vMerge/>
            <w:tcBorders>
              <w:left w:val="single" w:sz="4" w:space="0" w:color="FFC000"/>
              <w:right w:val="single" w:sz="4" w:space="0" w:color="FFC000"/>
            </w:tcBorders>
            <w:shd w:val="clear" w:color="auto" w:fill="FFF8E6"/>
          </w:tcPr>
          <w:p>
            <w:pPr/>
          </w:p>
        </w:tc>
        <w:tc>
          <w:tcPr>
            <w:tcW w:w="1133" w:type="dxa"/>
            <w:vMerge/>
            <w:tcBorders>
              <w:left w:val="single" w:sz="4" w:space="0" w:color="FFC000"/>
              <w:right w:val="single" w:sz="4" w:space="0" w:color="FFC000"/>
            </w:tcBorders>
            <w:shd w:val="clear" w:color="auto" w:fill="FFF8E6"/>
          </w:tcPr>
          <w:p>
            <w:pPr/>
          </w:p>
        </w:tc>
        <w:tc>
          <w:tcPr>
            <w:tcW w:w="851" w:type="dxa"/>
            <w:vMerge/>
            <w:tcBorders>
              <w:left w:val="single" w:sz="4" w:space="0" w:color="FFC000"/>
              <w:right w:val="single" w:sz="4" w:space="0" w:color="FFC000"/>
            </w:tcBorders>
            <w:shd w:val="clear" w:color="auto" w:fill="FFF8E6"/>
          </w:tcPr>
          <w:p>
            <w:pPr/>
          </w:p>
        </w:tc>
        <w:tc>
          <w:tcPr>
            <w:tcW w:w="851" w:type="dxa"/>
            <w:vMerge/>
            <w:tcBorders>
              <w:left w:val="single" w:sz="4" w:space="0" w:color="FFC000"/>
              <w:right w:val="single" w:sz="4" w:space="0" w:color="FFC000"/>
            </w:tcBorders>
            <w:shd w:val="clear" w:color="auto" w:fill="FFF8E6"/>
          </w:tcPr>
          <w:p>
            <w:pPr/>
          </w:p>
        </w:tc>
        <w:tc>
          <w:tcPr>
            <w:tcW w:w="991"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29"/>
              <w:ind w:left="22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购买日</w:t>
            </w:r>
          </w:p>
        </w:tc>
        <w:tc>
          <w:tcPr>
            <w:tcW w:w="1134" w:type="dxa"/>
            <w:vMerge/>
            <w:tcBorders>
              <w:left w:val="single" w:sz="4" w:space="0" w:color="FFC000"/>
              <w:right w:val="single" w:sz="4" w:space="0" w:color="FFC000"/>
            </w:tcBorders>
            <w:shd w:val="clear" w:color="auto" w:fill="FFF8E6"/>
          </w:tcPr>
          <w:p>
            <w:pPr/>
          </w:p>
        </w:tc>
        <w:tc>
          <w:tcPr>
            <w:tcW w:w="1134" w:type="dxa"/>
            <w:vMerge/>
            <w:tcBorders>
              <w:left w:val="single" w:sz="4" w:space="0" w:color="FFC000"/>
              <w:right w:val="single" w:sz="4" w:space="0" w:color="FFC000"/>
            </w:tcBorders>
            <w:shd w:val="clear" w:color="auto" w:fill="FFF8E6"/>
          </w:tcPr>
          <w:p>
            <w:pPr/>
          </w:p>
        </w:tc>
        <w:tc>
          <w:tcPr>
            <w:tcW w:w="1134" w:type="dxa"/>
            <w:vMerge/>
            <w:tcBorders>
              <w:left w:val="single" w:sz="4" w:space="0" w:color="FFC000"/>
              <w:right w:val="single" w:sz="4" w:space="0" w:color="FFC000"/>
            </w:tcBorders>
            <w:shd w:val="clear" w:color="auto" w:fill="FFF8E6"/>
          </w:tcPr>
          <w:p>
            <w:pPr/>
          </w:p>
        </w:tc>
      </w:tr>
      <w:tr>
        <w:trPr>
          <w:trHeight w:val="145" w:hRule="exact"/>
        </w:trPr>
        <w:tc>
          <w:tcPr>
            <w:tcW w:w="1275" w:type="dxa"/>
            <w:vMerge w:val="restart"/>
            <w:tcBorders>
              <w:top w:val="nil" w:sz="6" w:space="0" w:color="auto"/>
              <w:left w:val="single" w:sz="4" w:space="0" w:color="FFC000"/>
              <w:right w:val="single" w:sz="4" w:space="0" w:color="FFC000"/>
            </w:tcBorders>
            <w:shd w:val="clear" w:color="auto" w:fill="FFF8E6"/>
          </w:tcPr>
          <w:p>
            <w:pPr/>
          </w:p>
        </w:tc>
        <w:tc>
          <w:tcPr>
            <w:tcW w:w="992" w:type="dxa"/>
            <w:vMerge/>
            <w:tcBorders>
              <w:left w:val="single" w:sz="4" w:space="0" w:color="FFC000"/>
              <w:bottom w:val="nil" w:sz="6" w:space="0" w:color="auto"/>
              <w:right w:val="single" w:sz="4" w:space="0" w:color="FFC000"/>
            </w:tcBorders>
            <w:shd w:val="clear" w:color="auto" w:fill="FFF8E6"/>
          </w:tcPr>
          <w:p>
            <w:pPr/>
          </w:p>
        </w:tc>
        <w:tc>
          <w:tcPr>
            <w:tcW w:w="1133" w:type="dxa"/>
            <w:vMerge/>
            <w:tcBorders>
              <w:left w:val="single" w:sz="4" w:space="0" w:color="FFC000"/>
              <w:bottom w:val="nil" w:sz="6" w:space="0" w:color="auto"/>
              <w:right w:val="single" w:sz="4" w:space="0" w:color="FFC000"/>
            </w:tcBorders>
            <w:shd w:val="clear" w:color="auto" w:fill="FFF8E6"/>
          </w:tcPr>
          <w:p>
            <w:pPr/>
          </w:p>
        </w:tc>
        <w:tc>
          <w:tcPr>
            <w:tcW w:w="851" w:type="dxa"/>
            <w:vMerge/>
            <w:tcBorders>
              <w:left w:val="single" w:sz="4" w:space="0" w:color="FFC000"/>
              <w:bottom w:val="nil" w:sz="6" w:space="0" w:color="auto"/>
              <w:right w:val="single" w:sz="4" w:space="0" w:color="FFC000"/>
            </w:tcBorders>
            <w:shd w:val="clear" w:color="auto" w:fill="FFF8E6"/>
          </w:tcPr>
          <w:p>
            <w:pPr/>
          </w:p>
        </w:tc>
        <w:tc>
          <w:tcPr>
            <w:tcW w:w="851" w:type="dxa"/>
            <w:vMerge/>
            <w:tcBorders>
              <w:left w:val="single" w:sz="4" w:space="0" w:color="FFC000"/>
              <w:bottom w:val="nil" w:sz="6" w:space="0" w:color="auto"/>
              <w:right w:val="single" w:sz="4" w:space="0" w:color="FFC000"/>
            </w:tcBorders>
            <w:shd w:val="clear" w:color="auto" w:fill="FFF8E6"/>
          </w:tcPr>
          <w:p>
            <w:pPr/>
          </w:p>
        </w:tc>
        <w:tc>
          <w:tcPr>
            <w:tcW w:w="991" w:type="dxa"/>
            <w:vMerge w:val="restart"/>
            <w:tcBorders>
              <w:top w:val="nil" w:sz="6" w:space="0" w:color="auto"/>
              <w:left w:val="single" w:sz="4" w:space="0" w:color="FFC000"/>
              <w:right w:val="single" w:sz="4" w:space="0" w:color="FFC000"/>
            </w:tcBorders>
            <w:shd w:val="clear" w:color="auto" w:fill="FFF8E6"/>
          </w:tcPr>
          <w:p>
            <w:pPr/>
          </w:p>
        </w:tc>
        <w:tc>
          <w:tcPr>
            <w:tcW w:w="1134" w:type="dxa"/>
            <w:vMerge/>
            <w:tcBorders>
              <w:left w:val="single" w:sz="4" w:space="0" w:color="FFC000"/>
              <w:bottom w:val="nil" w:sz="6" w:space="0" w:color="auto"/>
              <w:right w:val="single" w:sz="4" w:space="0" w:color="FFC000"/>
            </w:tcBorders>
            <w:shd w:val="clear" w:color="auto" w:fill="FFF8E6"/>
          </w:tcPr>
          <w:p>
            <w:pPr/>
          </w:p>
        </w:tc>
        <w:tc>
          <w:tcPr>
            <w:tcW w:w="1134" w:type="dxa"/>
            <w:vMerge/>
            <w:tcBorders>
              <w:left w:val="single" w:sz="4" w:space="0" w:color="FFC000"/>
              <w:right w:val="single" w:sz="4" w:space="0" w:color="FFC000"/>
            </w:tcBorders>
            <w:shd w:val="clear" w:color="auto" w:fill="FFF8E6"/>
          </w:tcPr>
          <w:p>
            <w:pPr/>
          </w:p>
        </w:tc>
        <w:tc>
          <w:tcPr>
            <w:tcW w:w="1134" w:type="dxa"/>
            <w:vMerge/>
            <w:tcBorders>
              <w:left w:val="single" w:sz="4" w:space="0" w:color="FFC000"/>
              <w:right w:val="single" w:sz="4" w:space="0" w:color="FFC000"/>
            </w:tcBorders>
            <w:shd w:val="clear" w:color="auto" w:fill="FFF8E6"/>
          </w:tcPr>
          <w:p>
            <w:pPr/>
          </w:p>
        </w:tc>
      </w:tr>
      <w:tr>
        <w:trPr>
          <w:trHeight w:val="150" w:hRule="exact"/>
        </w:trPr>
        <w:tc>
          <w:tcPr>
            <w:tcW w:w="1275" w:type="dxa"/>
            <w:vMerge/>
            <w:tcBorders>
              <w:left w:val="single" w:sz="4" w:space="0" w:color="FFC000"/>
              <w:bottom w:val="single" w:sz="4" w:space="0" w:color="FFC000"/>
              <w:right w:val="single" w:sz="4" w:space="0" w:color="FFC000"/>
            </w:tcBorders>
            <w:shd w:val="clear" w:color="auto" w:fill="FFF8E6"/>
          </w:tcPr>
          <w:p>
            <w:pPr/>
          </w:p>
        </w:tc>
        <w:tc>
          <w:tcPr>
            <w:tcW w:w="992" w:type="dxa"/>
            <w:tcBorders>
              <w:top w:val="nil" w:sz="6" w:space="0" w:color="auto"/>
              <w:left w:val="single" w:sz="4" w:space="0" w:color="FFC000"/>
              <w:bottom w:val="single" w:sz="4" w:space="0" w:color="FFC000"/>
              <w:right w:val="single" w:sz="4" w:space="0" w:color="FFC000"/>
            </w:tcBorders>
            <w:shd w:val="clear" w:color="auto" w:fill="FFF8E6"/>
          </w:tcPr>
          <w:p>
            <w:pPr/>
          </w:p>
        </w:tc>
        <w:tc>
          <w:tcPr>
            <w:tcW w:w="1133" w:type="dxa"/>
            <w:tcBorders>
              <w:top w:val="nil" w:sz="6" w:space="0" w:color="auto"/>
              <w:left w:val="single" w:sz="4" w:space="0" w:color="FFC000"/>
              <w:bottom w:val="single" w:sz="4" w:space="0" w:color="FFC000"/>
              <w:right w:val="single" w:sz="4" w:space="0" w:color="FFC000"/>
            </w:tcBorders>
            <w:shd w:val="clear" w:color="auto" w:fill="FFF8E6"/>
          </w:tcPr>
          <w:p>
            <w:pPr/>
          </w:p>
        </w:tc>
        <w:tc>
          <w:tcPr>
            <w:tcW w:w="851" w:type="dxa"/>
            <w:tcBorders>
              <w:top w:val="nil" w:sz="6" w:space="0" w:color="auto"/>
              <w:left w:val="single" w:sz="4" w:space="0" w:color="FFC000"/>
              <w:bottom w:val="single" w:sz="4" w:space="0" w:color="FFC000"/>
              <w:right w:val="single" w:sz="4" w:space="0" w:color="FFC000"/>
            </w:tcBorders>
            <w:shd w:val="clear" w:color="auto" w:fill="FFF8E6"/>
          </w:tcPr>
          <w:p>
            <w:pPr/>
          </w:p>
        </w:tc>
        <w:tc>
          <w:tcPr>
            <w:tcW w:w="851" w:type="dxa"/>
            <w:tcBorders>
              <w:top w:val="nil" w:sz="6" w:space="0" w:color="auto"/>
              <w:left w:val="single" w:sz="4" w:space="0" w:color="FFC000"/>
              <w:bottom w:val="single" w:sz="4" w:space="0" w:color="FFC000"/>
              <w:right w:val="single" w:sz="4" w:space="0" w:color="FFC000"/>
            </w:tcBorders>
            <w:shd w:val="clear" w:color="auto" w:fill="FFF8E6"/>
          </w:tcPr>
          <w:p>
            <w:pPr/>
          </w:p>
        </w:tc>
        <w:tc>
          <w:tcPr>
            <w:tcW w:w="991" w:type="dxa"/>
            <w:vMerge/>
            <w:tcBorders>
              <w:left w:val="single" w:sz="4" w:space="0" w:color="FFC000"/>
              <w:bottom w:val="single" w:sz="4" w:space="0" w:color="FFC000"/>
              <w:right w:val="single" w:sz="4" w:space="0" w:color="FFC000"/>
            </w:tcBorders>
            <w:shd w:val="clear" w:color="auto" w:fill="FFF8E6"/>
          </w:tcPr>
          <w:p>
            <w:pPr/>
          </w:p>
        </w:tc>
        <w:tc>
          <w:tcPr>
            <w:tcW w:w="1134" w:type="dxa"/>
            <w:tcBorders>
              <w:top w:val="nil" w:sz="6" w:space="0" w:color="auto"/>
              <w:left w:val="single" w:sz="4" w:space="0" w:color="FFC000"/>
              <w:bottom w:val="single" w:sz="4" w:space="0" w:color="FFC000"/>
              <w:right w:val="single" w:sz="4" w:space="0" w:color="FFC000"/>
            </w:tcBorders>
            <w:shd w:val="clear" w:color="auto" w:fill="FFF8E6"/>
          </w:tcPr>
          <w:p>
            <w:pPr/>
          </w:p>
        </w:tc>
        <w:tc>
          <w:tcPr>
            <w:tcW w:w="1134" w:type="dxa"/>
            <w:vMerge/>
            <w:tcBorders>
              <w:left w:val="single" w:sz="4" w:space="0" w:color="FFC000"/>
              <w:bottom w:val="single" w:sz="4" w:space="0" w:color="FFC000"/>
              <w:right w:val="single" w:sz="4" w:space="0" w:color="FFC000"/>
            </w:tcBorders>
            <w:shd w:val="clear" w:color="auto" w:fill="FFF8E6"/>
          </w:tcPr>
          <w:p>
            <w:pPr/>
          </w:p>
        </w:tc>
        <w:tc>
          <w:tcPr>
            <w:tcW w:w="1134"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1275"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5"/>
              <w:ind w:right="0"/>
              <w:jc w:val="left"/>
              <w:rPr>
                <w:rFonts w:ascii="华文细黑" w:hAnsi="华文细黑" w:cs="华文细黑" w:eastAsia="华文细黑" w:hint="default"/>
                <w:sz w:val="13"/>
                <w:szCs w:val="13"/>
              </w:rPr>
            </w:pPr>
          </w:p>
          <w:p>
            <w:pPr>
              <w:pStyle w:val="TableParagraph"/>
              <w:spacing w:line="379" w:lineRule="auto"/>
              <w:ind w:left="22" w:right="1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深圳金石创新 科技有限公司</w:t>
            </w:r>
          </w:p>
        </w:tc>
        <w:tc>
          <w:tcPr>
            <w:tcW w:w="99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left="16" w:right="0"/>
              <w:jc w:val="left"/>
              <w:rPr>
                <w:rFonts w:ascii="华文细黑" w:hAnsi="华文细黑" w:cs="华文细黑" w:eastAsia="华文细黑" w:hint="default"/>
                <w:sz w:val="18"/>
                <w:szCs w:val="18"/>
              </w:rPr>
            </w:pPr>
            <w:r>
              <w:rPr>
                <w:rFonts w:ascii="华文细黑"/>
                <w:sz w:val="18"/>
              </w:rPr>
              <w:t>2017-5-8</w:t>
            </w:r>
          </w:p>
        </w:tc>
        <w:tc>
          <w:tcPr>
            <w:tcW w:w="113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w w:val="95"/>
                <w:sz w:val="18"/>
              </w:rPr>
              <w:t>200,000.00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20.00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73"/>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现金购买</w:t>
            </w:r>
          </w:p>
        </w:tc>
        <w:tc>
          <w:tcPr>
            <w:tcW w:w="991"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36"/>
              <w:ind w:left="81" w:right="0"/>
              <w:jc w:val="left"/>
              <w:rPr>
                <w:rFonts w:ascii="华文细黑" w:hAnsi="华文细黑" w:cs="华文细黑" w:eastAsia="华文细黑" w:hint="default"/>
                <w:sz w:val="18"/>
                <w:szCs w:val="18"/>
              </w:rPr>
            </w:pPr>
            <w:r>
              <w:rPr>
                <w:rFonts w:ascii="华文细黑"/>
                <w:sz w:val="18"/>
              </w:rPr>
              <w:t>2018-4-30</w:t>
            </w:r>
          </w:p>
        </w:tc>
        <w:tc>
          <w:tcPr>
            <w:tcW w:w="113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36"/>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取得控制权</w:t>
            </w:r>
          </w:p>
        </w:tc>
        <w:tc>
          <w:tcPr>
            <w:tcW w:w="113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36"/>
              <w:ind w:left="54" w:right="0"/>
              <w:jc w:val="left"/>
              <w:rPr>
                <w:rFonts w:ascii="华文细黑" w:hAnsi="华文细黑" w:cs="华文细黑" w:eastAsia="华文细黑" w:hint="default"/>
                <w:sz w:val="18"/>
                <w:szCs w:val="18"/>
              </w:rPr>
            </w:pPr>
            <w:r>
              <w:rPr>
                <w:rFonts w:ascii="华文细黑"/>
                <w:sz w:val="18"/>
              </w:rPr>
              <w:t>2,344,495.49</w:t>
            </w:r>
          </w:p>
        </w:tc>
        <w:tc>
          <w:tcPr>
            <w:tcW w:w="113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136"/>
              <w:ind w:left="202" w:right="0"/>
              <w:jc w:val="left"/>
              <w:rPr>
                <w:rFonts w:ascii="华文细黑" w:hAnsi="华文细黑" w:cs="华文细黑" w:eastAsia="华文细黑" w:hint="default"/>
                <w:sz w:val="18"/>
                <w:szCs w:val="18"/>
              </w:rPr>
            </w:pPr>
            <w:r>
              <w:rPr>
                <w:rFonts w:ascii="华文细黑"/>
                <w:sz w:val="18"/>
              </w:rPr>
              <w:t>125,336.86</w:t>
            </w:r>
          </w:p>
        </w:tc>
      </w:tr>
      <w:tr>
        <w:trPr>
          <w:trHeight w:val="491" w:hRule="exact"/>
        </w:trPr>
        <w:tc>
          <w:tcPr>
            <w:tcW w:w="1275" w:type="dxa"/>
            <w:vMerge/>
            <w:tcBorders>
              <w:left w:val="single" w:sz="4" w:space="0" w:color="FFC000"/>
              <w:bottom w:val="single" w:sz="4" w:space="0" w:color="FFC000"/>
              <w:right w:val="single" w:sz="4" w:space="0" w:color="FFC000"/>
            </w:tcBorders>
            <w:shd w:val="clear" w:color="auto" w:fill="FFF8E6"/>
          </w:tcPr>
          <w:p>
            <w:pPr/>
          </w:p>
        </w:tc>
        <w:tc>
          <w:tcPr>
            <w:tcW w:w="99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left="16" w:right="0"/>
              <w:jc w:val="left"/>
              <w:rPr>
                <w:rFonts w:ascii="华文细黑" w:hAnsi="华文细黑" w:cs="华文细黑" w:eastAsia="华文细黑" w:hint="default"/>
                <w:sz w:val="18"/>
                <w:szCs w:val="18"/>
              </w:rPr>
            </w:pPr>
            <w:r>
              <w:rPr>
                <w:rFonts w:ascii="华文细黑"/>
                <w:sz w:val="18"/>
              </w:rPr>
              <w:t>2018-4-26</w:t>
            </w:r>
          </w:p>
        </w:tc>
        <w:tc>
          <w:tcPr>
            <w:tcW w:w="113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w w:val="95"/>
                <w:sz w:val="18"/>
              </w:rPr>
              <w:t>310,000.00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31.00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73"/>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现金购买</w:t>
            </w:r>
          </w:p>
        </w:tc>
        <w:tc>
          <w:tcPr>
            <w:tcW w:w="991" w:type="dxa"/>
            <w:vMerge/>
            <w:tcBorders>
              <w:left w:val="single" w:sz="4" w:space="0" w:color="FFC000"/>
              <w:bottom w:val="single" w:sz="4" w:space="0" w:color="FFC000"/>
              <w:right w:val="single" w:sz="4" w:space="0" w:color="FFC000"/>
            </w:tcBorders>
          </w:tcPr>
          <w:p>
            <w:pPr/>
          </w:p>
        </w:tc>
        <w:tc>
          <w:tcPr>
            <w:tcW w:w="1134" w:type="dxa"/>
            <w:vMerge/>
            <w:tcBorders>
              <w:left w:val="single" w:sz="4" w:space="0" w:color="FFC000"/>
              <w:bottom w:val="single" w:sz="4" w:space="0" w:color="FFC000"/>
              <w:right w:val="single" w:sz="4" w:space="0" w:color="FFC000"/>
            </w:tcBorders>
          </w:tcPr>
          <w:p>
            <w:pPr/>
          </w:p>
        </w:tc>
        <w:tc>
          <w:tcPr>
            <w:tcW w:w="1134" w:type="dxa"/>
            <w:vMerge/>
            <w:tcBorders>
              <w:left w:val="single" w:sz="4" w:space="0" w:color="FFC000"/>
              <w:bottom w:val="single" w:sz="4" w:space="0" w:color="FFC000"/>
              <w:right w:val="single" w:sz="4" w:space="0" w:color="FFC000"/>
            </w:tcBorders>
          </w:tcPr>
          <w:p>
            <w:pPr/>
          </w:p>
        </w:tc>
        <w:tc>
          <w:tcPr>
            <w:tcW w:w="1134" w:type="dxa"/>
            <w:vMerge/>
            <w:tcBorders>
              <w:left w:val="single" w:sz="4" w:space="0" w:color="FFC000"/>
              <w:bottom w:val="single" w:sz="4" w:space="0" w:color="FFC000"/>
              <w:right w:val="single" w:sz="4" w:space="0" w:color="FFC000"/>
            </w:tcBorders>
          </w:tcPr>
          <w:p>
            <w:pPr/>
          </w:p>
        </w:tc>
      </w:tr>
      <w:tr>
        <w:trPr>
          <w:trHeight w:val="890" w:hRule="exact"/>
        </w:trPr>
        <w:tc>
          <w:tcPr>
            <w:tcW w:w="127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22" w:right="1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北京威丰科技 有限公司</w:t>
            </w:r>
          </w:p>
        </w:tc>
        <w:tc>
          <w:tcPr>
            <w:tcW w:w="99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16" w:right="0"/>
              <w:jc w:val="left"/>
              <w:rPr>
                <w:rFonts w:ascii="华文细黑" w:hAnsi="华文细黑" w:cs="华文细黑" w:eastAsia="华文细黑" w:hint="default"/>
                <w:sz w:val="18"/>
                <w:szCs w:val="18"/>
              </w:rPr>
            </w:pPr>
            <w:r>
              <w:rPr>
                <w:rFonts w:ascii="华文细黑"/>
                <w:sz w:val="18"/>
              </w:rPr>
              <w:t>2018-2-26</w:t>
            </w:r>
          </w:p>
        </w:tc>
        <w:tc>
          <w:tcPr>
            <w:tcW w:w="113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50"/>
              <w:jc w:val="right"/>
              <w:rPr>
                <w:rFonts w:ascii="华文细黑" w:hAnsi="华文细黑" w:cs="华文细黑" w:eastAsia="华文细黑" w:hint="default"/>
                <w:sz w:val="18"/>
                <w:szCs w:val="18"/>
              </w:rPr>
            </w:pPr>
            <w:r>
              <w:rPr>
                <w:rFonts w:ascii="华文细黑"/>
                <w:sz w:val="18"/>
              </w:rPr>
              <w:t>1,800,000.00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100.00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73"/>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现金购买</w:t>
            </w:r>
          </w:p>
        </w:tc>
        <w:tc>
          <w:tcPr>
            <w:tcW w:w="9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22" w:right="0"/>
              <w:jc w:val="left"/>
              <w:rPr>
                <w:rFonts w:ascii="华文细黑" w:hAnsi="华文细黑" w:cs="华文细黑" w:eastAsia="华文细黑" w:hint="default"/>
                <w:sz w:val="18"/>
                <w:szCs w:val="18"/>
              </w:rPr>
            </w:pPr>
            <w:r>
              <w:rPr>
                <w:rFonts w:ascii="华文细黑"/>
                <w:sz w:val="18"/>
              </w:rPr>
              <w:t>2018-2-28</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取得控制权</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54" w:right="0"/>
              <w:jc w:val="left"/>
              <w:rPr>
                <w:rFonts w:ascii="华文细黑" w:hAnsi="华文细黑" w:cs="华文细黑" w:eastAsia="华文细黑" w:hint="default"/>
                <w:sz w:val="18"/>
                <w:szCs w:val="18"/>
              </w:rPr>
            </w:pPr>
            <w:r>
              <w:rPr>
                <w:rFonts w:ascii="华文细黑"/>
                <w:sz w:val="18"/>
              </w:rPr>
              <w:t>8,770,417.86</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202" w:right="0"/>
              <w:jc w:val="left"/>
              <w:rPr>
                <w:rFonts w:ascii="华文细黑" w:hAnsi="华文细黑" w:cs="华文细黑" w:eastAsia="华文细黑" w:hint="default"/>
                <w:sz w:val="18"/>
                <w:szCs w:val="18"/>
              </w:rPr>
            </w:pPr>
            <w:r>
              <w:rPr>
                <w:rFonts w:ascii="华文细黑"/>
                <w:sz w:val="18"/>
              </w:rPr>
              <w:t>642,425.63</w:t>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80" w:right="826"/>
        <w:jc w:val="left"/>
      </w:pPr>
      <w:r>
        <w:rPr/>
        <w:t>（</w:t>
      </w:r>
      <w:r>
        <w:rPr>
          <w:rFonts w:ascii="华文细黑" w:hAnsi="华文细黑" w:cs="华文细黑" w:eastAsia="华文细黑" w:hint="default"/>
        </w:rPr>
        <w:t>2</w:t>
      </w:r>
      <w:r>
        <w:rPr/>
        <w:t>）合并成本及商誉</w:t>
      </w:r>
    </w:p>
    <w:p>
      <w:pPr>
        <w:spacing w:line="240" w:lineRule="auto" w:before="5"/>
        <w:rPr>
          <w:rFonts w:ascii="华文细黑" w:hAnsi="华文细黑" w:cs="华文细黑" w:eastAsia="华文细黑" w:hint="default"/>
          <w:sz w:val="5"/>
          <w:szCs w:val="5"/>
        </w:rPr>
      </w:pPr>
    </w:p>
    <w:tbl>
      <w:tblPr>
        <w:tblW w:w="0" w:type="auto"/>
        <w:jc w:val="left"/>
        <w:tblInd w:w="113" w:type="dxa"/>
        <w:tblLayout w:type="fixed"/>
        <w:tblCellMar>
          <w:top w:w="0" w:type="dxa"/>
          <w:left w:w="0" w:type="dxa"/>
          <w:bottom w:w="0" w:type="dxa"/>
          <w:right w:w="0" w:type="dxa"/>
        </w:tblCellMar>
        <w:tblLook w:val="01E0"/>
      </w:tblPr>
      <w:tblGrid>
        <w:gridCol w:w="4395"/>
        <w:gridCol w:w="2549"/>
        <w:gridCol w:w="2267"/>
      </w:tblGrid>
      <w:tr>
        <w:trPr>
          <w:trHeight w:val="490" w:hRule="exact"/>
        </w:trPr>
        <w:tc>
          <w:tcPr>
            <w:tcW w:w="43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254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深圳金石创新科技有限公司</w:t>
            </w:r>
          </w:p>
        </w:tc>
        <w:tc>
          <w:tcPr>
            <w:tcW w:w="226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2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北京威丰科技有限公司</w:t>
            </w:r>
          </w:p>
        </w:tc>
      </w:tr>
      <w:tr>
        <w:trPr>
          <w:trHeight w:val="490" w:hRule="exact"/>
        </w:trPr>
        <w:tc>
          <w:tcPr>
            <w:tcW w:w="43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合并成本</w:t>
            </w:r>
          </w:p>
        </w:tc>
        <w:tc>
          <w:tcPr>
            <w:tcW w:w="2549"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267"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0" w:hRule="exact"/>
        </w:trPr>
        <w:tc>
          <w:tcPr>
            <w:tcW w:w="43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—现金</w:t>
            </w:r>
          </w:p>
        </w:tc>
        <w:tc>
          <w:tcPr>
            <w:tcW w:w="254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w w:val="95"/>
                <w:sz w:val="18"/>
              </w:rPr>
              <w:t>310,000.00</w:t>
            </w:r>
          </w:p>
        </w:tc>
        <w:tc>
          <w:tcPr>
            <w:tcW w:w="22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1,800,000.00</w:t>
            </w:r>
          </w:p>
        </w:tc>
      </w:tr>
      <w:tr>
        <w:trPr>
          <w:trHeight w:val="490" w:hRule="exact"/>
        </w:trPr>
        <w:tc>
          <w:tcPr>
            <w:tcW w:w="43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—购买日之前持有的股权于购买日的公允价值</w:t>
            </w:r>
          </w:p>
        </w:tc>
        <w:tc>
          <w:tcPr>
            <w:tcW w:w="254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w w:val="95"/>
                <w:sz w:val="18"/>
              </w:rPr>
              <w:t>193,689.81</w:t>
            </w:r>
          </w:p>
        </w:tc>
        <w:tc>
          <w:tcPr>
            <w:tcW w:w="22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43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合并成本合计</w:t>
            </w:r>
          </w:p>
        </w:tc>
        <w:tc>
          <w:tcPr>
            <w:tcW w:w="254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w w:val="95"/>
                <w:sz w:val="18"/>
              </w:rPr>
              <w:t>503,689.81</w:t>
            </w:r>
          </w:p>
        </w:tc>
        <w:tc>
          <w:tcPr>
            <w:tcW w:w="22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1,800,000.00</w:t>
            </w:r>
          </w:p>
        </w:tc>
      </w:tr>
      <w:tr>
        <w:trPr>
          <w:trHeight w:val="490" w:hRule="exact"/>
        </w:trPr>
        <w:tc>
          <w:tcPr>
            <w:tcW w:w="43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减：取得的可辨认净资产公允价值份额</w:t>
            </w:r>
          </w:p>
        </w:tc>
        <w:tc>
          <w:tcPr>
            <w:tcW w:w="254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w w:val="95"/>
                <w:sz w:val="18"/>
              </w:rPr>
              <w:t>493,909.05</w:t>
            </w:r>
          </w:p>
        </w:tc>
        <w:tc>
          <w:tcPr>
            <w:tcW w:w="22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w w:val="95"/>
                <w:sz w:val="18"/>
              </w:rPr>
              <w:t>346,494.37</w:t>
            </w:r>
          </w:p>
        </w:tc>
      </w:tr>
      <w:tr>
        <w:trPr>
          <w:trHeight w:val="490" w:hRule="exact"/>
        </w:trPr>
        <w:tc>
          <w:tcPr>
            <w:tcW w:w="439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商誉</w:t>
            </w:r>
          </w:p>
        </w:tc>
        <w:tc>
          <w:tcPr>
            <w:tcW w:w="254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sz w:val="18"/>
              </w:rPr>
              <w:t>9,780.76</w:t>
            </w:r>
          </w:p>
        </w:tc>
        <w:tc>
          <w:tcPr>
            <w:tcW w:w="226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1,453,505.63</w:t>
            </w:r>
          </w:p>
        </w:tc>
      </w:tr>
    </w:tbl>
    <w:p>
      <w:pPr>
        <w:spacing w:line="240" w:lineRule="auto" w:before="12"/>
        <w:rPr>
          <w:rFonts w:ascii="华文细黑" w:hAnsi="华文细黑" w:cs="华文细黑" w:eastAsia="华文细黑" w:hint="default"/>
          <w:sz w:val="6"/>
          <w:szCs w:val="6"/>
        </w:rPr>
      </w:pPr>
    </w:p>
    <w:p>
      <w:pPr>
        <w:pStyle w:val="BodyText"/>
        <w:spacing w:line="324" w:lineRule="auto" w:before="10"/>
        <w:ind w:left="260" w:right="826" w:firstLine="420"/>
        <w:jc w:val="left"/>
      </w:pPr>
      <w:r>
        <w:rPr/>
        <w:t>注：购买日之前持有的股权于购买日的公允价值为购买日持有的被合并企业未经审计的账面净 资产份额。</w:t>
      </w:r>
    </w:p>
    <w:p>
      <w:pPr>
        <w:pStyle w:val="BodyText"/>
        <w:spacing w:line="240" w:lineRule="auto" w:before="64"/>
        <w:ind w:left="680" w:right="826"/>
        <w:jc w:val="left"/>
      </w:pPr>
      <w:r>
        <w:rPr/>
        <w:t>（</w:t>
      </w:r>
      <w:r>
        <w:rPr>
          <w:rFonts w:ascii="华文细黑" w:hAnsi="华文细黑" w:cs="华文细黑" w:eastAsia="华文细黑" w:hint="default"/>
        </w:rPr>
        <w:t>3</w:t>
      </w:r>
      <w:r>
        <w:rPr/>
        <w:t>）被购买方于购买日可辨认资产、负债</w:t>
      </w:r>
    </w:p>
    <w:p>
      <w:pPr>
        <w:spacing w:line="240" w:lineRule="auto" w:before="5"/>
        <w:rPr>
          <w:rFonts w:ascii="华文细黑" w:hAnsi="华文细黑" w:cs="华文细黑" w:eastAsia="华文细黑" w:hint="default"/>
          <w:sz w:val="5"/>
          <w:szCs w:val="5"/>
        </w:rPr>
      </w:pPr>
    </w:p>
    <w:tbl>
      <w:tblPr>
        <w:tblW w:w="0" w:type="auto"/>
        <w:jc w:val="left"/>
        <w:tblInd w:w="125" w:type="dxa"/>
        <w:tblLayout w:type="fixed"/>
        <w:tblCellMar>
          <w:top w:w="0" w:type="dxa"/>
          <w:left w:w="0" w:type="dxa"/>
          <w:bottom w:w="0" w:type="dxa"/>
          <w:right w:w="0" w:type="dxa"/>
        </w:tblCellMar>
        <w:tblLook w:val="01E0"/>
      </w:tblPr>
      <w:tblGrid>
        <w:gridCol w:w="2104"/>
        <w:gridCol w:w="1854"/>
        <w:gridCol w:w="1700"/>
        <w:gridCol w:w="1700"/>
        <w:gridCol w:w="1842"/>
      </w:tblGrid>
      <w:tr>
        <w:trPr>
          <w:trHeight w:val="196" w:hRule="exact"/>
        </w:trPr>
        <w:tc>
          <w:tcPr>
            <w:tcW w:w="2104" w:type="dxa"/>
            <w:tcBorders>
              <w:top w:val="single" w:sz="4" w:space="0" w:color="FFC000"/>
              <w:left w:val="single" w:sz="4" w:space="0" w:color="FFC000"/>
              <w:bottom w:val="nil" w:sz="6" w:space="0" w:color="auto"/>
              <w:right w:val="single" w:sz="4" w:space="0" w:color="FFC000"/>
            </w:tcBorders>
            <w:shd w:val="clear" w:color="auto" w:fill="FFF8E6"/>
          </w:tcPr>
          <w:p>
            <w:pPr/>
          </w:p>
        </w:tc>
        <w:tc>
          <w:tcPr>
            <w:tcW w:w="3554"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69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深圳金石创新科技有限公司</w:t>
            </w:r>
          </w:p>
        </w:tc>
        <w:tc>
          <w:tcPr>
            <w:tcW w:w="3542"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86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北京威丰科技有限公司</w:t>
            </w:r>
          </w:p>
        </w:tc>
      </w:tr>
      <w:tr>
        <w:trPr>
          <w:trHeight w:val="290" w:hRule="exact"/>
        </w:trPr>
        <w:tc>
          <w:tcPr>
            <w:tcW w:w="2104"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3554" w:type="dxa"/>
            <w:gridSpan w:val="2"/>
            <w:vMerge/>
            <w:tcBorders>
              <w:left w:val="single" w:sz="4" w:space="0" w:color="FFC000"/>
              <w:bottom w:val="single" w:sz="4" w:space="0" w:color="FFC000"/>
              <w:right w:val="single" w:sz="4" w:space="0" w:color="FFC000"/>
            </w:tcBorders>
            <w:shd w:val="clear" w:color="auto" w:fill="FFF8E6"/>
          </w:tcPr>
          <w:p>
            <w:pPr/>
          </w:p>
        </w:tc>
        <w:tc>
          <w:tcPr>
            <w:tcW w:w="3542" w:type="dxa"/>
            <w:gridSpan w:val="2"/>
            <w:vMerge/>
            <w:tcBorders>
              <w:left w:val="single" w:sz="4" w:space="0" w:color="FFC000"/>
              <w:bottom w:val="single" w:sz="4" w:space="0" w:color="FFC000"/>
              <w:right w:val="single" w:sz="4" w:space="0" w:color="FFC000"/>
            </w:tcBorders>
            <w:shd w:val="clear" w:color="auto" w:fill="FFF8E6"/>
          </w:tcPr>
          <w:p>
            <w:pPr/>
          </w:p>
        </w:tc>
      </w:tr>
      <w:tr>
        <w:trPr>
          <w:trHeight w:val="190" w:hRule="exact"/>
        </w:trPr>
        <w:tc>
          <w:tcPr>
            <w:tcW w:w="2104" w:type="dxa"/>
            <w:vMerge/>
            <w:tcBorders>
              <w:left w:val="single" w:sz="4" w:space="0" w:color="FFC000"/>
              <w:bottom w:val="nil" w:sz="6" w:space="0" w:color="auto"/>
              <w:right w:val="single" w:sz="4" w:space="0" w:color="FFC000"/>
            </w:tcBorders>
            <w:shd w:val="clear" w:color="auto" w:fill="FFF8E6"/>
          </w:tcPr>
          <w:p>
            <w:pPr/>
          </w:p>
        </w:tc>
        <w:tc>
          <w:tcPr>
            <w:tcW w:w="1854"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34"/>
              <w:ind w:left="29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购买日公允价值</w:t>
            </w:r>
          </w:p>
        </w:tc>
        <w:tc>
          <w:tcPr>
            <w:tcW w:w="170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34"/>
              <w:ind w:left="21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购买日账面价值</w:t>
            </w:r>
          </w:p>
        </w:tc>
        <w:tc>
          <w:tcPr>
            <w:tcW w:w="170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34"/>
              <w:ind w:left="21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购买日公允价值</w:t>
            </w:r>
          </w:p>
        </w:tc>
        <w:tc>
          <w:tcPr>
            <w:tcW w:w="184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34"/>
              <w:ind w:left="28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购买日账面价值</w:t>
            </w:r>
          </w:p>
        </w:tc>
      </w:tr>
      <w:tr>
        <w:trPr>
          <w:trHeight w:val="223" w:hRule="exact"/>
        </w:trPr>
        <w:tc>
          <w:tcPr>
            <w:tcW w:w="2104" w:type="dxa"/>
            <w:tcBorders>
              <w:top w:val="nil" w:sz="6" w:space="0" w:color="auto"/>
              <w:left w:val="single" w:sz="4" w:space="0" w:color="FFC000"/>
              <w:bottom w:val="single" w:sz="4" w:space="0" w:color="FFC000"/>
              <w:right w:val="single" w:sz="4" w:space="0" w:color="FFC000"/>
            </w:tcBorders>
            <w:shd w:val="clear" w:color="auto" w:fill="FFF8E6"/>
          </w:tcPr>
          <w:p>
            <w:pPr/>
          </w:p>
        </w:tc>
        <w:tc>
          <w:tcPr>
            <w:tcW w:w="1854" w:type="dxa"/>
            <w:vMerge/>
            <w:tcBorders>
              <w:left w:val="single" w:sz="4" w:space="0" w:color="FFC000"/>
              <w:bottom w:val="single" w:sz="4" w:space="0" w:color="FFC000"/>
              <w:right w:val="single" w:sz="4" w:space="0" w:color="FFC000"/>
            </w:tcBorders>
            <w:shd w:val="clear" w:color="auto" w:fill="FFF8E6"/>
          </w:tcPr>
          <w:p>
            <w:pPr/>
          </w:p>
        </w:tc>
        <w:tc>
          <w:tcPr>
            <w:tcW w:w="1700" w:type="dxa"/>
            <w:vMerge/>
            <w:tcBorders>
              <w:left w:val="single" w:sz="4" w:space="0" w:color="FFC000"/>
              <w:bottom w:val="single" w:sz="4" w:space="0" w:color="FFC000"/>
              <w:right w:val="single" w:sz="4" w:space="0" w:color="FFC000"/>
            </w:tcBorders>
            <w:shd w:val="clear" w:color="auto" w:fill="FFF8E6"/>
          </w:tcPr>
          <w:p>
            <w:pPr/>
          </w:p>
        </w:tc>
        <w:tc>
          <w:tcPr>
            <w:tcW w:w="1700" w:type="dxa"/>
            <w:vMerge/>
            <w:tcBorders>
              <w:left w:val="single" w:sz="4" w:space="0" w:color="FFC000"/>
              <w:bottom w:val="single" w:sz="4" w:space="0" w:color="FFC000"/>
              <w:right w:val="single" w:sz="4" w:space="0" w:color="FFC000"/>
            </w:tcBorders>
            <w:shd w:val="clear" w:color="auto" w:fill="FFF8E6"/>
          </w:tcPr>
          <w:p>
            <w:pPr/>
          </w:p>
        </w:tc>
        <w:tc>
          <w:tcPr>
            <w:tcW w:w="1842" w:type="dxa"/>
            <w:vMerge/>
            <w:tcBorders>
              <w:left w:val="single" w:sz="4" w:space="0" w:color="FFC000"/>
              <w:bottom w:val="single" w:sz="4" w:space="0" w:color="FFC000"/>
              <w:right w:val="single" w:sz="4" w:space="0" w:color="FFC000"/>
            </w:tcBorders>
            <w:shd w:val="clear" w:color="auto" w:fill="FFF8E6"/>
          </w:tcPr>
          <w:p>
            <w:pPr/>
          </w:p>
        </w:tc>
      </w:tr>
      <w:tr>
        <w:trPr>
          <w:trHeight w:val="435" w:hRule="exact"/>
        </w:trPr>
        <w:tc>
          <w:tcPr>
            <w:tcW w:w="21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17"/>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资产：</w:t>
            </w:r>
          </w:p>
        </w:tc>
        <w:tc>
          <w:tcPr>
            <w:tcW w:w="1854"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700"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700"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517" w:hRule="exact"/>
        </w:trPr>
        <w:tc>
          <w:tcPr>
            <w:tcW w:w="21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
              <w:ind w:right="0"/>
              <w:jc w:val="left"/>
              <w:rPr>
                <w:rFonts w:ascii="华文细黑" w:hAnsi="华文细黑" w:cs="华文细黑" w:eastAsia="华文细黑" w:hint="default"/>
                <w:sz w:val="12"/>
                <w:szCs w:val="12"/>
              </w:rPr>
            </w:pPr>
          </w:p>
          <w:p>
            <w:pPr>
              <w:pStyle w:val="TableParagraph"/>
              <w:spacing w:line="240" w:lineRule="auto"/>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c>
          <w:tcPr>
            <w:tcW w:w="1854" w:type="dxa"/>
            <w:tcBorders>
              <w:top w:val="single" w:sz="26" w:space="0" w:color="FFF8E6"/>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853,600.79</w:t>
            </w:r>
          </w:p>
        </w:tc>
        <w:tc>
          <w:tcPr>
            <w:tcW w:w="1700" w:type="dxa"/>
            <w:tcBorders>
              <w:top w:val="single" w:sz="26" w:space="0" w:color="FFF8E6"/>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w w:val="95"/>
                <w:sz w:val="18"/>
              </w:rPr>
              <w:t>853,600.79</w:t>
            </w:r>
          </w:p>
        </w:tc>
        <w:tc>
          <w:tcPr>
            <w:tcW w:w="1700" w:type="dxa"/>
            <w:tcBorders>
              <w:top w:val="single" w:sz="26" w:space="0" w:color="FFF8E6"/>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328,248.46</w:t>
            </w:r>
          </w:p>
        </w:tc>
        <w:tc>
          <w:tcPr>
            <w:tcW w:w="1842" w:type="dxa"/>
            <w:tcBorders>
              <w:top w:val="single" w:sz="26" w:space="0" w:color="FFF8E6"/>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328,248.46</w:t>
            </w:r>
          </w:p>
        </w:tc>
      </w:tr>
      <w:tr>
        <w:trPr>
          <w:trHeight w:val="490" w:hRule="exact"/>
        </w:trPr>
        <w:tc>
          <w:tcPr>
            <w:tcW w:w="21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应收款项</w:t>
            </w:r>
          </w:p>
        </w:tc>
        <w:tc>
          <w:tcPr>
            <w:tcW w:w="185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127,805.50</w:t>
            </w:r>
          </w:p>
        </w:tc>
        <w:tc>
          <w:tcPr>
            <w:tcW w:w="184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127,805.50</w:t>
            </w:r>
          </w:p>
        </w:tc>
      </w:tr>
      <w:tr>
        <w:trPr>
          <w:trHeight w:val="491" w:hRule="exact"/>
        </w:trPr>
        <w:tc>
          <w:tcPr>
            <w:tcW w:w="21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预付账款</w:t>
            </w:r>
          </w:p>
        </w:tc>
        <w:tc>
          <w:tcPr>
            <w:tcW w:w="185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6,500.00</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6,500.00</w:t>
            </w:r>
          </w:p>
        </w:tc>
        <w:tc>
          <w:tcPr>
            <w:tcW w:w="1700" w:type="dxa"/>
            <w:tcBorders>
              <w:top w:val="single" w:sz="4" w:space="0" w:color="FFC000"/>
              <w:left w:val="single" w:sz="4" w:space="0" w:color="FFC000"/>
              <w:bottom w:val="single" w:sz="4" w:space="0" w:color="FFC000"/>
              <w:right w:val="single" w:sz="4" w:space="0" w:color="FFC000"/>
            </w:tcBorders>
          </w:tcPr>
          <w:p>
            <w:pPr/>
          </w:p>
        </w:tc>
        <w:tc>
          <w:tcPr>
            <w:tcW w:w="1842" w:type="dxa"/>
            <w:tcBorders>
              <w:top w:val="single" w:sz="4" w:space="0" w:color="FFC000"/>
              <w:left w:val="single" w:sz="4" w:space="0" w:color="FFC000"/>
              <w:bottom w:val="single" w:sz="4" w:space="0" w:color="FFC000"/>
              <w:right w:val="single" w:sz="4" w:space="0" w:color="FFC000"/>
            </w:tcBorders>
          </w:tcPr>
          <w:p>
            <w:pPr/>
          </w:p>
        </w:tc>
      </w:tr>
      <w:tr>
        <w:trPr>
          <w:trHeight w:val="490" w:hRule="exact"/>
        </w:trPr>
        <w:tc>
          <w:tcPr>
            <w:tcW w:w="21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其他流动资产</w:t>
            </w:r>
          </w:p>
        </w:tc>
        <w:tc>
          <w:tcPr>
            <w:tcW w:w="185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18,868.46</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18,868.46</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84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21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固定资产</w:t>
            </w:r>
          </w:p>
        </w:tc>
        <w:tc>
          <w:tcPr>
            <w:tcW w:w="185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89,479.87</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89,479.87</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84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21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负债：</w:t>
            </w:r>
          </w:p>
        </w:tc>
        <w:tc>
          <w:tcPr>
            <w:tcW w:w="1854"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700"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700"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842" w:type="dxa"/>
            <w:tcBorders>
              <w:top w:val="single" w:sz="4" w:space="0" w:color="FFC000"/>
              <w:left w:val="single" w:sz="4" w:space="0" w:color="FFC000"/>
              <w:bottom w:val="single" w:sz="4" w:space="0" w:color="FFC000"/>
              <w:right w:val="single" w:sz="4" w:space="0" w:color="FFC000"/>
            </w:tcBorders>
            <w:shd w:val="clear" w:color="auto" w:fill="FFF8E6"/>
          </w:tcPr>
          <w:p>
            <w:pPr/>
          </w:p>
        </w:tc>
      </w:tr>
    </w:tbl>
    <w:p>
      <w:pPr>
        <w:spacing w:after="0"/>
        <w:sectPr>
          <w:pgSz w:w="11910" w:h="16840"/>
          <w:pgMar w:header="917" w:footer="1019" w:top="1100" w:bottom="1200" w:left="1180" w:right="0"/>
        </w:sectPr>
      </w:pPr>
    </w:p>
    <w:p>
      <w:pPr>
        <w:spacing w:line="240" w:lineRule="auto" w:before="8"/>
        <w:rPr>
          <w:rFonts w:ascii="华文细黑" w:hAnsi="华文细黑" w:cs="华文细黑" w:eastAsia="华文细黑" w:hint="default"/>
          <w:sz w:val="23"/>
          <w:szCs w:val="23"/>
        </w:rPr>
      </w:pPr>
    </w:p>
    <w:tbl>
      <w:tblPr>
        <w:tblW w:w="0" w:type="auto"/>
        <w:jc w:val="left"/>
        <w:tblInd w:w="133" w:type="dxa"/>
        <w:tblLayout w:type="fixed"/>
        <w:tblCellMar>
          <w:top w:w="0" w:type="dxa"/>
          <w:left w:w="0" w:type="dxa"/>
          <w:bottom w:w="0" w:type="dxa"/>
          <w:right w:w="0" w:type="dxa"/>
        </w:tblCellMar>
        <w:tblLook w:val="01E0"/>
      </w:tblPr>
      <w:tblGrid>
        <w:gridCol w:w="2115"/>
        <w:gridCol w:w="1854"/>
        <w:gridCol w:w="1700"/>
        <w:gridCol w:w="1700"/>
        <w:gridCol w:w="1842"/>
      </w:tblGrid>
      <w:tr>
        <w:trPr>
          <w:trHeight w:val="196" w:hRule="exact"/>
        </w:trPr>
        <w:tc>
          <w:tcPr>
            <w:tcW w:w="2115" w:type="dxa"/>
            <w:tcBorders>
              <w:top w:val="single" w:sz="4" w:space="0" w:color="FFC000"/>
              <w:left w:val="single" w:sz="4" w:space="0" w:color="FFC000"/>
              <w:bottom w:val="nil" w:sz="6" w:space="0" w:color="auto"/>
              <w:right w:val="single" w:sz="4" w:space="0" w:color="FFC000"/>
            </w:tcBorders>
            <w:shd w:val="clear" w:color="auto" w:fill="FFF8E6"/>
          </w:tcPr>
          <w:p>
            <w:pPr/>
          </w:p>
        </w:tc>
        <w:tc>
          <w:tcPr>
            <w:tcW w:w="3554"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69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深圳金石创新科技有限公司</w:t>
            </w:r>
          </w:p>
        </w:tc>
        <w:tc>
          <w:tcPr>
            <w:tcW w:w="3542"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86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北京威丰科技有限公司</w:t>
            </w:r>
          </w:p>
        </w:tc>
      </w:tr>
      <w:tr>
        <w:trPr>
          <w:trHeight w:val="295" w:hRule="exact"/>
        </w:trPr>
        <w:tc>
          <w:tcPr>
            <w:tcW w:w="2115"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10"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3554" w:type="dxa"/>
            <w:gridSpan w:val="2"/>
            <w:vMerge/>
            <w:tcBorders>
              <w:left w:val="single" w:sz="4" w:space="0" w:color="FFC000"/>
              <w:bottom w:val="single" w:sz="4" w:space="0" w:color="FFC000"/>
              <w:right w:val="single" w:sz="4" w:space="0" w:color="FFC000"/>
            </w:tcBorders>
            <w:shd w:val="clear" w:color="auto" w:fill="FFF8E6"/>
          </w:tcPr>
          <w:p>
            <w:pPr/>
          </w:p>
        </w:tc>
        <w:tc>
          <w:tcPr>
            <w:tcW w:w="3542" w:type="dxa"/>
            <w:gridSpan w:val="2"/>
            <w:vMerge/>
            <w:tcBorders>
              <w:left w:val="single" w:sz="4" w:space="0" w:color="FFC000"/>
              <w:bottom w:val="single" w:sz="4" w:space="0" w:color="FFC000"/>
              <w:right w:val="single" w:sz="4" w:space="0" w:color="FFC000"/>
            </w:tcBorders>
            <w:shd w:val="clear" w:color="auto" w:fill="FFF8E6"/>
          </w:tcPr>
          <w:p>
            <w:pPr/>
          </w:p>
        </w:tc>
      </w:tr>
      <w:tr>
        <w:trPr>
          <w:trHeight w:val="185" w:hRule="exact"/>
        </w:trPr>
        <w:tc>
          <w:tcPr>
            <w:tcW w:w="2115" w:type="dxa"/>
            <w:vMerge/>
            <w:tcBorders>
              <w:left w:val="single" w:sz="4" w:space="0" w:color="FFC000"/>
              <w:bottom w:val="nil" w:sz="6" w:space="0" w:color="auto"/>
              <w:right w:val="single" w:sz="4" w:space="0" w:color="FFC000"/>
            </w:tcBorders>
            <w:shd w:val="clear" w:color="auto" w:fill="FFF8E6"/>
          </w:tcPr>
          <w:p>
            <w:pPr/>
          </w:p>
        </w:tc>
        <w:tc>
          <w:tcPr>
            <w:tcW w:w="1854"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30"/>
              <w:ind w:left="29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购买日公允价值</w:t>
            </w:r>
          </w:p>
        </w:tc>
        <w:tc>
          <w:tcPr>
            <w:tcW w:w="170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30"/>
              <w:ind w:left="21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购买日账面价值</w:t>
            </w:r>
          </w:p>
        </w:tc>
        <w:tc>
          <w:tcPr>
            <w:tcW w:w="170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30"/>
              <w:ind w:left="21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购买日公允价值</w:t>
            </w:r>
          </w:p>
        </w:tc>
        <w:tc>
          <w:tcPr>
            <w:tcW w:w="184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30"/>
              <w:ind w:left="28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购买日账面价值</w:t>
            </w:r>
          </w:p>
        </w:tc>
      </w:tr>
      <w:tr>
        <w:trPr>
          <w:trHeight w:val="194" w:hRule="exact"/>
        </w:trPr>
        <w:tc>
          <w:tcPr>
            <w:tcW w:w="2115" w:type="dxa"/>
            <w:tcBorders>
              <w:top w:val="nil" w:sz="6" w:space="0" w:color="auto"/>
              <w:left w:val="single" w:sz="4" w:space="0" w:color="FFC000"/>
              <w:bottom w:val="single" w:sz="4" w:space="0" w:color="FFC000"/>
              <w:right w:val="single" w:sz="4" w:space="0" w:color="FFC000"/>
            </w:tcBorders>
            <w:shd w:val="clear" w:color="auto" w:fill="FFF8E6"/>
          </w:tcPr>
          <w:p>
            <w:pPr/>
          </w:p>
        </w:tc>
        <w:tc>
          <w:tcPr>
            <w:tcW w:w="1854" w:type="dxa"/>
            <w:vMerge/>
            <w:tcBorders>
              <w:left w:val="single" w:sz="4" w:space="0" w:color="FFC000"/>
              <w:bottom w:val="single" w:sz="4" w:space="0" w:color="FFC000"/>
              <w:right w:val="single" w:sz="4" w:space="0" w:color="FFC000"/>
            </w:tcBorders>
            <w:shd w:val="clear" w:color="auto" w:fill="FFF8E6"/>
          </w:tcPr>
          <w:p>
            <w:pPr/>
          </w:p>
        </w:tc>
        <w:tc>
          <w:tcPr>
            <w:tcW w:w="1700" w:type="dxa"/>
            <w:vMerge/>
            <w:tcBorders>
              <w:left w:val="single" w:sz="4" w:space="0" w:color="FFC000"/>
              <w:bottom w:val="single" w:sz="4" w:space="0" w:color="FFC000"/>
              <w:right w:val="single" w:sz="4" w:space="0" w:color="FFC000"/>
            </w:tcBorders>
            <w:shd w:val="clear" w:color="auto" w:fill="FFF8E6"/>
          </w:tcPr>
          <w:p>
            <w:pPr/>
          </w:p>
        </w:tc>
        <w:tc>
          <w:tcPr>
            <w:tcW w:w="1700" w:type="dxa"/>
            <w:vMerge/>
            <w:tcBorders>
              <w:left w:val="single" w:sz="4" w:space="0" w:color="FFC000"/>
              <w:bottom w:val="single" w:sz="4" w:space="0" w:color="FFC000"/>
              <w:right w:val="single" w:sz="4" w:space="0" w:color="FFC000"/>
            </w:tcBorders>
            <w:shd w:val="clear" w:color="auto" w:fill="FFF8E6"/>
          </w:tcPr>
          <w:p>
            <w:pPr/>
          </w:p>
        </w:tc>
        <w:tc>
          <w:tcPr>
            <w:tcW w:w="1842"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211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应付职工薪酬</w:t>
            </w:r>
          </w:p>
        </w:tc>
        <w:tc>
          <w:tcPr>
            <w:tcW w:w="185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99,564.59</w:t>
            </w:r>
          </w:p>
        </w:tc>
        <w:tc>
          <w:tcPr>
            <w:tcW w:w="184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99,564.59</w:t>
            </w:r>
          </w:p>
        </w:tc>
      </w:tr>
      <w:tr>
        <w:trPr>
          <w:trHeight w:val="491" w:hRule="exact"/>
        </w:trPr>
        <w:tc>
          <w:tcPr>
            <w:tcW w:w="211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应交税费</w:t>
            </w:r>
          </w:p>
        </w:tc>
        <w:tc>
          <w:tcPr>
            <w:tcW w:w="185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9,995.00</w:t>
            </w:r>
          </w:p>
        </w:tc>
        <w:tc>
          <w:tcPr>
            <w:tcW w:w="184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z w:val="18"/>
              </w:rPr>
              <w:t>9,995.00</w:t>
            </w:r>
          </w:p>
        </w:tc>
      </w:tr>
      <w:tr>
        <w:trPr>
          <w:trHeight w:val="490" w:hRule="exact"/>
        </w:trPr>
        <w:tc>
          <w:tcPr>
            <w:tcW w:w="211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净资产</w:t>
            </w:r>
          </w:p>
        </w:tc>
        <w:tc>
          <w:tcPr>
            <w:tcW w:w="185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968,449.12</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w w:val="95"/>
                <w:sz w:val="18"/>
              </w:rPr>
              <w:t>968,449.12</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346,494.37</w:t>
            </w:r>
          </w:p>
        </w:tc>
        <w:tc>
          <w:tcPr>
            <w:tcW w:w="184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346,494.37</w:t>
            </w:r>
          </w:p>
        </w:tc>
      </w:tr>
      <w:tr>
        <w:trPr>
          <w:trHeight w:val="490" w:hRule="exact"/>
        </w:trPr>
        <w:tc>
          <w:tcPr>
            <w:tcW w:w="211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减：少数股东权益</w:t>
            </w:r>
          </w:p>
        </w:tc>
        <w:tc>
          <w:tcPr>
            <w:tcW w:w="185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474,540.07</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w w:val="95"/>
                <w:sz w:val="18"/>
              </w:rPr>
              <w:t>474,540.07</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84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211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取得的净资产</w:t>
            </w:r>
          </w:p>
        </w:tc>
        <w:tc>
          <w:tcPr>
            <w:tcW w:w="185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493,909.05</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w w:val="95"/>
                <w:sz w:val="18"/>
              </w:rPr>
              <w:t>493,909.05</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346,494.37</w:t>
            </w:r>
          </w:p>
        </w:tc>
        <w:tc>
          <w:tcPr>
            <w:tcW w:w="184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346,494.37</w:t>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700" w:right="0"/>
        <w:jc w:val="left"/>
      </w:pPr>
      <w:r>
        <w:rPr/>
        <w:t>（</w:t>
      </w:r>
      <w:r>
        <w:rPr>
          <w:rFonts w:ascii="华文细黑" w:hAnsi="华文细黑" w:cs="华文细黑" w:eastAsia="华文细黑" w:hint="default"/>
        </w:rPr>
        <w:t>4</w:t>
      </w:r>
      <w:r>
        <w:rPr/>
        <w:t>）购买日之前持有的股权按照公允价值重新计量产生的利得或损失</w:t>
      </w:r>
    </w:p>
    <w:p>
      <w:pPr>
        <w:spacing w:line="240" w:lineRule="auto" w:before="5"/>
        <w:rPr>
          <w:rFonts w:ascii="华文细黑" w:hAnsi="华文细黑" w:cs="华文细黑" w:eastAsia="华文细黑" w:hint="default"/>
          <w:sz w:val="5"/>
          <w:szCs w:val="5"/>
        </w:rPr>
      </w:pPr>
    </w:p>
    <w:tbl>
      <w:tblPr>
        <w:tblW w:w="0" w:type="auto"/>
        <w:jc w:val="left"/>
        <w:tblInd w:w="104" w:type="dxa"/>
        <w:tblLayout w:type="fixed"/>
        <w:tblCellMar>
          <w:top w:w="0" w:type="dxa"/>
          <w:left w:w="0" w:type="dxa"/>
          <w:bottom w:w="0" w:type="dxa"/>
          <w:right w:w="0" w:type="dxa"/>
        </w:tblCellMar>
        <w:tblLook w:val="01E0"/>
      </w:tblPr>
      <w:tblGrid>
        <w:gridCol w:w="1550"/>
        <w:gridCol w:w="1134"/>
        <w:gridCol w:w="1276"/>
        <w:gridCol w:w="1700"/>
        <w:gridCol w:w="1844"/>
        <w:gridCol w:w="1876"/>
      </w:tblGrid>
      <w:tr>
        <w:trPr>
          <w:trHeight w:val="150" w:hRule="exact"/>
        </w:trPr>
        <w:tc>
          <w:tcPr>
            <w:tcW w:w="1550" w:type="dxa"/>
            <w:vMerge w:val="restart"/>
            <w:tcBorders>
              <w:top w:val="single" w:sz="4" w:space="0" w:color="FFC000"/>
              <w:left w:val="single" w:sz="4" w:space="0" w:color="FFC000"/>
              <w:right w:val="single" w:sz="4" w:space="0" w:color="FFC000"/>
            </w:tcBorders>
            <w:shd w:val="clear" w:color="auto" w:fill="FFF8E6"/>
          </w:tcPr>
          <w:p>
            <w:pPr/>
          </w:p>
        </w:tc>
        <w:tc>
          <w:tcPr>
            <w:tcW w:w="1134" w:type="dxa"/>
            <w:vMerge w:val="restart"/>
            <w:tcBorders>
              <w:top w:val="single" w:sz="4" w:space="0" w:color="FFC000"/>
              <w:left w:val="single" w:sz="4" w:space="0" w:color="FFC000"/>
              <w:right w:val="single" w:sz="4" w:space="0" w:color="FFC000"/>
            </w:tcBorders>
            <w:shd w:val="clear" w:color="auto" w:fill="FFF8E6"/>
          </w:tcPr>
          <w:p>
            <w:pPr>
              <w:pStyle w:val="TableParagraph"/>
              <w:spacing w:line="273" w:lineRule="auto" w:before="29"/>
              <w:ind w:left="111" w:right="110"/>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购买日之前 原持有股权 在购买日的 账面价值</w:t>
            </w:r>
          </w:p>
        </w:tc>
        <w:tc>
          <w:tcPr>
            <w:tcW w:w="1276" w:type="dxa"/>
            <w:vMerge w:val="restart"/>
            <w:tcBorders>
              <w:top w:val="single" w:sz="4" w:space="0" w:color="FFC000"/>
              <w:left w:val="single" w:sz="4" w:space="0" w:color="FFC000"/>
              <w:right w:val="single" w:sz="4" w:space="0" w:color="FFC000"/>
            </w:tcBorders>
            <w:shd w:val="clear" w:color="auto" w:fill="FFF8E6"/>
          </w:tcPr>
          <w:p>
            <w:pPr>
              <w:pStyle w:val="TableParagraph"/>
              <w:spacing w:line="273" w:lineRule="auto" w:before="29"/>
              <w:ind w:left="92" w:right="93"/>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购买日之前原 持有股权在购 买日的公允价 值</w:t>
            </w:r>
          </w:p>
        </w:tc>
        <w:tc>
          <w:tcPr>
            <w:tcW w:w="1700" w:type="dxa"/>
            <w:vMerge w:val="restart"/>
            <w:tcBorders>
              <w:top w:val="single" w:sz="4" w:space="0" w:color="FFC000"/>
              <w:left w:val="single" w:sz="4" w:space="0" w:color="FFC000"/>
              <w:right w:val="single" w:sz="4" w:space="0" w:color="FFC000"/>
            </w:tcBorders>
            <w:shd w:val="clear" w:color="auto" w:fill="FFF8E6"/>
          </w:tcPr>
          <w:p>
            <w:pPr>
              <w:pStyle w:val="TableParagraph"/>
              <w:spacing w:line="273" w:lineRule="auto" w:before="29"/>
              <w:ind w:left="34" w:right="35"/>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购买日之前原持有股 权按照公允价值重新 计量产生的利得或损 失</w:t>
            </w:r>
          </w:p>
        </w:tc>
        <w:tc>
          <w:tcPr>
            <w:tcW w:w="1844" w:type="dxa"/>
            <w:vMerge w:val="restart"/>
            <w:tcBorders>
              <w:top w:val="single" w:sz="4" w:space="0" w:color="FFC000"/>
              <w:left w:val="single" w:sz="4" w:space="0" w:color="FFC000"/>
              <w:right w:val="single" w:sz="4" w:space="0" w:color="FFC000"/>
            </w:tcBorders>
            <w:shd w:val="clear" w:color="auto" w:fill="FFF8E6"/>
          </w:tcPr>
          <w:p>
            <w:pPr>
              <w:pStyle w:val="TableParagraph"/>
              <w:spacing w:line="273" w:lineRule="auto" w:before="29"/>
              <w:ind w:left="105" w:right="106"/>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购买日之前原持有股 权在购买日的公允价 值的确定方法和主要 假设</w:t>
            </w:r>
          </w:p>
        </w:tc>
        <w:tc>
          <w:tcPr>
            <w:tcW w:w="1876" w:type="dxa"/>
            <w:tcBorders>
              <w:top w:val="single" w:sz="4" w:space="0" w:color="FFC000"/>
              <w:left w:val="single" w:sz="4" w:space="0" w:color="FFC000"/>
              <w:bottom w:val="nil" w:sz="6" w:space="0" w:color="auto"/>
              <w:right w:val="single" w:sz="4" w:space="0" w:color="FFC000"/>
            </w:tcBorders>
            <w:shd w:val="clear" w:color="auto" w:fill="FFF8E6"/>
          </w:tcPr>
          <w:p>
            <w:pPr/>
          </w:p>
        </w:tc>
      </w:tr>
      <w:tr>
        <w:trPr>
          <w:trHeight w:val="235" w:hRule="exact"/>
        </w:trPr>
        <w:tc>
          <w:tcPr>
            <w:tcW w:w="1550" w:type="dxa"/>
            <w:vMerge/>
            <w:tcBorders>
              <w:left w:val="single" w:sz="4" w:space="0" w:color="FFC000"/>
              <w:bottom w:val="nil" w:sz="6" w:space="0" w:color="auto"/>
              <w:right w:val="single" w:sz="4" w:space="0" w:color="FFC000"/>
            </w:tcBorders>
            <w:shd w:val="clear" w:color="auto" w:fill="FFF8E6"/>
          </w:tcPr>
          <w:p>
            <w:pPr/>
          </w:p>
        </w:tc>
        <w:tc>
          <w:tcPr>
            <w:tcW w:w="1134" w:type="dxa"/>
            <w:vMerge/>
            <w:tcBorders>
              <w:left w:val="single" w:sz="4" w:space="0" w:color="FFC000"/>
              <w:right w:val="single" w:sz="4" w:space="0" w:color="FFC000"/>
            </w:tcBorders>
            <w:shd w:val="clear" w:color="auto" w:fill="FFF8E6"/>
          </w:tcPr>
          <w:p>
            <w:pPr/>
          </w:p>
        </w:tc>
        <w:tc>
          <w:tcPr>
            <w:tcW w:w="1276" w:type="dxa"/>
            <w:vMerge/>
            <w:tcBorders>
              <w:left w:val="single" w:sz="4" w:space="0" w:color="FFC000"/>
              <w:right w:val="single" w:sz="4" w:space="0" w:color="FFC000"/>
            </w:tcBorders>
            <w:shd w:val="clear" w:color="auto" w:fill="FFF8E6"/>
          </w:tcPr>
          <w:p>
            <w:pPr/>
          </w:p>
        </w:tc>
        <w:tc>
          <w:tcPr>
            <w:tcW w:w="1700" w:type="dxa"/>
            <w:vMerge/>
            <w:tcBorders>
              <w:left w:val="single" w:sz="4" w:space="0" w:color="FFC000"/>
              <w:right w:val="single" w:sz="4" w:space="0" w:color="FFC000"/>
            </w:tcBorders>
            <w:shd w:val="clear" w:color="auto" w:fill="FFF8E6"/>
          </w:tcPr>
          <w:p>
            <w:pPr/>
          </w:p>
        </w:tc>
        <w:tc>
          <w:tcPr>
            <w:tcW w:w="1844" w:type="dxa"/>
            <w:vMerge/>
            <w:tcBorders>
              <w:left w:val="single" w:sz="4" w:space="0" w:color="FFC000"/>
              <w:right w:val="single" w:sz="4" w:space="0" w:color="FFC000"/>
            </w:tcBorders>
            <w:shd w:val="clear" w:color="auto" w:fill="FFF8E6"/>
          </w:tcPr>
          <w:p>
            <w:pPr/>
          </w:p>
        </w:tc>
        <w:tc>
          <w:tcPr>
            <w:tcW w:w="1876" w:type="dxa"/>
            <w:vMerge w:val="restart"/>
            <w:tcBorders>
              <w:top w:val="nil" w:sz="6" w:space="0" w:color="auto"/>
              <w:left w:val="single" w:sz="4" w:space="0" w:color="FFC000"/>
              <w:right w:val="single" w:sz="4" w:space="0" w:color="FFC000"/>
            </w:tcBorders>
            <w:shd w:val="clear" w:color="auto" w:fill="FFF8E6"/>
          </w:tcPr>
          <w:p>
            <w:pPr>
              <w:pStyle w:val="TableParagraph"/>
              <w:spacing w:line="273" w:lineRule="auto" w:before="29"/>
              <w:ind w:left="32" w:right="31"/>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购买日之前与原持有股 权相关的其他综合收益 转入投资收益的金额</w:t>
            </w:r>
          </w:p>
        </w:tc>
      </w:tr>
      <w:tr>
        <w:trPr>
          <w:trHeight w:val="480" w:hRule="exact"/>
        </w:trPr>
        <w:tc>
          <w:tcPr>
            <w:tcW w:w="1550"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2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被购买方名称</w:t>
            </w:r>
          </w:p>
        </w:tc>
        <w:tc>
          <w:tcPr>
            <w:tcW w:w="1134" w:type="dxa"/>
            <w:vMerge/>
            <w:tcBorders>
              <w:left w:val="single" w:sz="4" w:space="0" w:color="FFC000"/>
              <w:right w:val="single" w:sz="4" w:space="0" w:color="FFC000"/>
            </w:tcBorders>
            <w:shd w:val="clear" w:color="auto" w:fill="FFF8E6"/>
          </w:tcPr>
          <w:p>
            <w:pPr/>
          </w:p>
        </w:tc>
        <w:tc>
          <w:tcPr>
            <w:tcW w:w="1276" w:type="dxa"/>
            <w:vMerge/>
            <w:tcBorders>
              <w:left w:val="single" w:sz="4" w:space="0" w:color="FFC000"/>
              <w:right w:val="single" w:sz="4" w:space="0" w:color="FFC000"/>
            </w:tcBorders>
            <w:shd w:val="clear" w:color="auto" w:fill="FFF8E6"/>
          </w:tcPr>
          <w:p>
            <w:pPr/>
          </w:p>
        </w:tc>
        <w:tc>
          <w:tcPr>
            <w:tcW w:w="1700" w:type="dxa"/>
            <w:vMerge/>
            <w:tcBorders>
              <w:left w:val="single" w:sz="4" w:space="0" w:color="FFC000"/>
              <w:right w:val="single" w:sz="4" w:space="0" w:color="FFC000"/>
            </w:tcBorders>
            <w:shd w:val="clear" w:color="auto" w:fill="FFF8E6"/>
          </w:tcPr>
          <w:p>
            <w:pPr/>
          </w:p>
        </w:tc>
        <w:tc>
          <w:tcPr>
            <w:tcW w:w="1844" w:type="dxa"/>
            <w:vMerge/>
            <w:tcBorders>
              <w:left w:val="single" w:sz="4" w:space="0" w:color="FFC000"/>
              <w:right w:val="single" w:sz="4" w:space="0" w:color="FFC000"/>
            </w:tcBorders>
            <w:shd w:val="clear" w:color="auto" w:fill="FFF8E6"/>
          </w:tcPr>
          <w:p>
            <w:pPr/>
          </w:p>
        </w:tc>
        <w:tc>
          <w:tcPr>
            <w:tcW w:w="1876" w:type="dxa"/>
            <w:vMerge/>
            <w:tcBorders>
              <w:left w:val="single" w:sz="4" w:space="0" w:color="FFC000"/>
              <w:right w:val="single" w:sz="4" w:space="0" w:color="FFC000"/>
            </w:tcBorders>
            <w:shd w:val="clear" w:color="auto" w:fill="FFF8E6"/>
          </w:tcPr>
          <w:p>
            <w:pPr/>
          </w:p>
        </w:tc>
      </w:tr>
      <w:tr>
        <w:trPr>
          <w:trHeight w:val="235" w:hRule="exact"/>
        </w:trPr>
        <w:tc>
          <w:tcPr>
            <w:tcW w:w="1550" w:type="dxa"/>
            <w:vMerge w:val="restart"/>
            <w:tcBorders>
              <w:top w:val="nil" w:sz="6" w:space="0" w:color="auto"/>
              <w:left w:val="single" w:sz="4" w:space="0" w:color="FFC000"/>
              <w:right w:val="single" w:sz="4" w:space="0" w:color="FFC000"/>
            </w:tcBorders>
            <w:shd w:val="clear" w:color="auto" w:fill="FFF8E6"/>
          </w:tcPr>
          <w:p>
            <w:pPr/>
          </w:p>
        </w:tc>
        <w:tc>
          <w:tcPr>
            <w:tcW w:w="1134" w:type="dxa"/>
            <w:vMerge/>
            <w:tcBorders>
              <w:left w:val="single" w:sz="4" w:space="0" w:color="FFC000"/>
              <w:right w:val="single" w:sz="4" w:space="0" w:color="FFC000"/>
            </w:tcBorders>
            <w:shd w:val="clear" w:color="auto" w:fill="FFF8E6"/>
          </w:tcPr>
          <w:p>
            <w:pPr/>
          </w:p>
        </w:tc>
        <w:tc>
          <w:tcPr>
            <w:tcW w:w="1276" w:type="dxa"/>
            <w:vMerge/>
            <w:tcBorders>
              <w:left w:val="single" w:sz="4" w:space="0" w:color="FFC000"/>
              <w:right w:val="single" w:sz="4" w:space="0" w:color="FFC000"/>
            </w:tcBorders>
            <w:shd w:val="clear" w:color="auto" w:fill="FFF8E6"/>
          </w:tcPr>
          <w:p>
            <w:pPr/>
          </w:p>
        </w:tc>
        <w:tc>
          <w:tcPr>
            <w:tcW w:w="1700" w:type="dxa"/>
            <w:vMerge/>
            <w:tcBorders>
              <w:left w:val="single" w:sz="4" w:space="0" w:color="FFC000"/>
              <w:right w:val="single" w:sz="4" w:space="0" w:color="FFC000"/>
            </w:tcBorders>
            <w:shd w:val="clear" w:color="auto" w:fill="FFF8E6"/>
          </w:tcPr>
          <w:p>
            <w:pPr/>
          </w:p>
        </w:tc>
        <w:tc>
          <w:tcPr>
            <w:tcW w:w="1844" w:type="dxa"/>
            <w:vMerge/>
            <w:tcBorders>
              <w:left w:val="single" w:sz="4" w:space="0" w:color="FFC000"/>
              <w:right w:val="single" w:sz="4" w:space="0" w:color="FFC000"/>
            </w:tcBorders>
            <w:shd w:val="clear" w:color="auto" w:fill="FFF8E6"/>
          </w:tcPr>
          <w:p>
            <w:pPr/>
          </w:p>
        </w:tc>
        <w:tc>
          <w:tcPr>
            <w:tcW w:w="1876" w:type="dxa"/>
            <w:vMerge/>
            <w:tcBorders>
              <w:left w:val="single" w:sz="4" w:space="0" w:color="FFC000"/>
              <w:bottom w:val="nil" w:sz="6" w:space="0" w:color="auto"/>
              <w:right w:val="single" w:sz="4" w:space="0" w:color="FFC000"/>
            </w:tcBorders>
            <w:shd w:val="clear" w:color="auto" w:fill="FFF8E6"/>
          </w:tcPr>
          <w:p>
            <w:pPr/>
          </w:p>
        </w:tc>
      </w:tr>
      <w:tr>
        <w:trPr>
          <w:trHeight w:val="150" w:hRule="exact"/>
        </w:trPr>
        <w:tc>
          <w:tcPr>
            <w:tcW w:w="1550" w:type="dxa"/>
            <w:vMerge/>
            <w:tcBorders>
              <w:left w:val="single" w:sz="4" w:space="0" w:color="FFC000"/>
              <w:bottom w:val="single" w:sz="4" w:space="0" w:color="FFC000"/>
              <w:right w:val="single" w:sz="4" w:space="0" w:color="FFC000"/>
            </w:tcBorders>
            <w:shd w:val="clear" w:color="auto" w:fill="FFF8E6"/>
          </w:tcPr>
          <w:p>
            <w:pPr/>
          </w:p>
        </w:tc>
        <w:tc>
          <w:tcPr>
            <w:tcW w:w="1134" w:type="dxa"/>
            <w:vMerge/>
            <w:tcBorders>
              <w:left w:val="single" w:sz="4" w:space="0" w:color="FFC000"/>
              <w:bottom w:val="single" w:sz="4" w:space="0" w:color="FFC000"/>
              <w:right w:val="single" w:sz="4" w:space="0" w:color="FFC000"/>
            </w:tcBorders>
            <w:shd w:val="clear" w:color="auto" w:fill="FFF8E6"/>
          </w:tcPr>
          <w:p>
            <w:pPr/>
          </w:p>
        </w:tc>
        <w:tc>
          <w:tcPr>
            <w:tcW w:w="1276" w:type="dxa"/>
            <w:vMerge/>
            <w:tcBorders>
              <w:left w:val="single" w:sz="4" w:space="0" w:color="FFC000"/>
              <w:bottom w:val="single" w:sz="4" w:space="0" w:color="FFC000"/>
              <w:right w:val="single" w:sz="4" w:space="0" w:color="FFC000"/>
            </w:tcBorders>
            <w:shd w:val="clear" w:color="auto" w:fill="FFF8E6"/>
          </w:tcPr>
          <w:p>
            <w:pPr/>
          </w:p>
        </w:tc>
        <w:tc>
          <w:tcPr>
            <w:tcW w:w="1700" w:type="dxa"/>
            <w:vMerge/>
            <w:tcBorders>
              <w:left w:val="single" w:sz="4" w:space="0" w:color="FFC000"/>
              <w:bottom w:val="single" w:sz="4" w:space="0" w:color="FFC000"/>
              <w:right w:val="single" w:sz="4" w:space="0" w:color="FFC000"/>
            </w:tcBorders>
            <w:shd w:val="clear" w:color="auto" w:fill="FFF8E6"/>
          </w:tcPr>
          <w:p>
            <w:pPr/>
          </w:p>
        </w:tc>
        <w:tc>
          <w:tcPr>
            <w:tcW w:w="1844" w:type="dxa"/>
            <w:vMerge/>
            <w:tcBorders>
              <w:left w:val="single" w:sz="4" w:space="0" w:color="FFC000"/>
              <w:bottom w:val="single" w:sz="4" w:space="0" w:color="FFC000"/>
              <w:right w:val="single" w:sz="4" w:space="0" w:color="FFC000"/>
            </w:tcBorders>
            <w:shd w:val="clear" w:color="auto" w:fill="FFF8E6"/>
          </w:tcPr>
          <w:p>
            <w:pPr/>
          </w:p>
        </w:tc>
        <w:tc>
          <w:tcPr>
            <w:tcW w:w="1876" w:type="dxa"/>
            <w:tcBorders>
              <w:top w:val="nil" w:sz="6" w:space="0" w:color="auto"/>
              <w:left w:val="single" w:sz="4" w:space="0" w:color="FFC000"/>
              <w:bottom w:val="single" w:sz="4" w:space="0" w:color="FFC000"/>
              <w:right w:val="single" w:sz="4" w:space="0" w:color="FFC000"/>
            </w:tcBorders>
            <w:shd w:val="clear" w:color="auto" w:fill="FFF8E6"/>
          </w:tcPr>
          <w:p>
            <w:pPr/>
          </w:p>
        </w:tc>
      </w:tr>
      <w:tr>
        <w:trPr>
          <w:trHeight w:val="890" w:hRule="exact"/>
        </w:trPr>
        <w:tc>
          <w:tcPr>
            <w:tcW w:w="155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2" w:right="8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深圳金石创新科技 有限公司</w:t>
            </w:r>
          </w:p>
        </w:tc>
        <w:tc>
          <w:tcPr>
            <w:tcW w:w="1134"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196" w:right="0"/>
              <w:jc w:val="left"/>
              <w:rPr>
                <w:rFonts w:ascii="华文细黑" w:hAnsi="华文细黑" w:cs="华文细黑" w:eastAsia="华文细黑" w:hint="default"/>
                <w:sz w:val="18"/>
                <w:szCs w:val="18"/>
              </w:rPr>
            </w:pPr>
            <w:r>
              <w:rPr>
                <w:rFonts w:ascii="华文细黑"/>
                <w:sz w:val="18"/>
              </w:rPr>
              <w:t>193,689.82</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344" w:right="0"/>
              <w:jc w:val="left"/>
              <w:rPr>
                <w:rFonts w:ascii="华文细黑" w:hAnsi="华文细黑" w:cs="华文细黑" w:eastAsia="华文细黑" w:hint="default"/>
                <w:sz w:val="18"/>
                <w:szCs w:val="18"/>
              </w:rPr>
            </w:pPr>
            <w:r>
              <w:rPr>
                <w:rFonts w:ascii="华文细黑"/>
                <w:sz w:val="18"/>
              </w:rPr>
              <w:t>193,689.82</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8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8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r>
    </w:tbl>
    <w:p>
      <w:pPr>
        <w:spacing w:line="240" w:lineRule="auto" w:before="13"/>
        <w:rPr>
          <w:rFonts w:ascii="华文细黑" w:hAnsi="华文细黑" w:cs="华文细黑" w:eastAsia="华文细黑" w:hint="default"/>
          <w:sz w:val="6"/>
          <w:szCs w:val="6"/>
        </w:rPr>
      </w:pPr>
    </w:p>
    <w:p>
      <w:pPr>
        <w:pStyle w:val="Heading5"/>
        <w:spacing w:line="240" w:lineRule="auto"/>
        <w:ind w:left="700" w:right="0"/>
        <w:jc w:val="left"/>
        <w:rPr>
          <w:b w:val="0"/>
          <w:bCs w:val="0"/>
        </w:rPr>
      </w:pPr>
      <w:bookmarkStart w:name="2、其他原因的合并范围变动" w:id="322"/>
      <w:bookmarkEnd w:id="322"/>
      <w:r>
        <w:rPr>
          <w:b w:val="0"/>
          <w:bCs w:val="0"/>
        </w:rPr>
      </w:r>
      <w:r>
        <w:rPr>
          <w:rFonts w:ascii="华文细黑" w:hAnsi="华文细黑" w:cs="华文细黑" w:eastAsia="华文细黑" w:hint="default"/>
        </w:rPr>
        <w:t>2</w:t>
      </w:r>
      <w:r>
        <w:rPr/>
        <w:t>、其他原因的合并范围变动</w:t>
      </w:r>
      <w:r>
        <w:rPr>
          <w:b w:val="0"/>
          <w:bCs w:val="0"/>
        </w:rPr>
      </w:r>
    </w:p>
    <w:p>
      <w:pPr>
        <w:pStyle w:val="BodyText"/>
        <w:spacing w:line="240" w:lineRule="auto" w:before="142"/>
        <w:ind w:left="700" w:right="0"/>
        <w:jc w:val="left"/>
      </w:pPr>
      <w:r>
        <w:rPr/>
        <w:t>（</w:t>
      </w:r>
      <w:r>
        <w:rPr>
          <w:rFonts w:ascii="华文细黑" w:hAnsi="华文细黑" w:cs="华文细黑" w:eastAsia="华文细黑" w:hint="default"/>
        </w:rPr>
        <w:t>1</w:t>
      </w:r>
      <w:r>
        <w:rPr/>
        <w:t>）本年新纳入合并范围的子公司</w:t>
      </w:r>
    </w:p>
    <w:p>
      <w:pPr>
        <w:spacing w:line="240" w:lineRule="auto" w:before="5"/>
        <w:rPr>
          <w:rFonts w:ascii="华文细黑" w:hAnsi="华文细黑" w:cs="华文细黑" w:eastAsia="华文细黑" w:hint="default"/>
          <w:sz w:val="5"/>
          <w:szCs w:val="5"/>
        </w:rPr>
      </w:pPr>
    </w:p>
    <w:tbl>
      <w:tblPr>
        <w:tblW w:w="0" w:type="auto"/>
        <w:jc w:val="left"/>
        <w:tblInd w:w="128" w:type="dxa"/>
        <w:tblLayout w:type="fixed"/>
        <w:tblCellMar>
          <w:top w:w="0" w:type="dxa"/>
          <w:left w:w="0" w:type="dxa"/>
          <w:bottom w:w="0" w:type="dxa"/>
          <w:right w:w="0" w:type="dxa"/>
        </w:tblCellMar>
        <w:tblLook w:val="01E0"/>
      </w:tblPr>
      <w:tblGrid>
        <w:gridCol w:w="4252"/>
        <w:gridCol w:w="2410"/>
        <w:gridCol w:w="2550"/>
      </w:tblGrid>
      <w:tr>
        <w:trPr>
          <w:trHeight w:val="486" w:hRule="exact"/>
        </w:trPr>
        <w:tc>
          <w:tcPr>
            <w:tcW w:w="42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名称</w:t>
            </w:r>
          </w:p>
        </w:tc>
        <w:tc>
          <w:tcPr>
            <w:tcW w:w="24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74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年末净资产</w:t>
            </w:r>
          </w:p>
        </w:tc>
        <w:tc>
          <w:tcPr>
            <w:tcW w:w="255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81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本年净利润</w:t>
            </w:r>
          </w:p>
        </w:tc>
      </w:tr>
      <w:tr>
        <w:trPr>
          <w:trHeight w:val="494" w:hRule="exact"/>
        </w:trPr>
        <w:tc>
          <w:tcPr>
            <w:tcW w:w="42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9"/>
              <w:ind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长沙酷动数码产品有限公司</w:t>
            </w:r>
          </w:p>
        </w:tc>
        <w:tc>
          <w:tcPr>
            <w:tcW w:w="2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1"/>
              <w:jc w:val="right"/>
              <w:rPr>
                <w:rFonts w:ascii="华文细黑" w:hAnsi="华文细黑" w:cs="华文细黑" w:eastAsia="华文细黑" w:hint="default"/>
                <w:sz w:val="18"/>
                <w:szCs w:val="18"/>
              </w:rPr>
            </w:pPr>
            <w:r>
              <w:rPr>
                <w:rFonts w:ascii="华文细黑"/>
                <w:sz w:val="18"/>
              </w:rPr>
              <w:t>-31,939.62</w:t>
            </w:r>
          </w:p>
        </w:tc>
        <w:tc>
          <w:tcPr>
            <w:tcW w:w="25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1"/>
              <w:jc w:val="right"/>
              <w:rPr>
                <w:rFonts w:ascii="华文细黑" w:hAnsi="华文细黑" w:cs="华文细黑" w:eastAsia="华文细黑" w:hint="default"/>
                <w:sz w:val="18"/>
                <w:szCs w:val="18"/>
              </w:rPr>
            </w:pPr>
            <w:r>
              <w:rPr>
                <w:rFonts w:ascii="华文细黑"/>
                <w:sz w:val="18"/>
              </w:rPr>
              <w:t>-31,939.62</w:t>
            </w:r>
          </w:p>
        </w:tc>
      </w:tr>
      <w:tr>
        <w:trPr>
          <w:trHeight w:val="490" w:hRule="exact"/>
        </w:trPr>
        <w:tc>
          <w:tcPr>
            <w:tcW w:w="42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北京聚美华科技有限公司</w:t>
            </w:r>
          </w:p>
        </w:tc>
        <w:tc>
          <w:tcPr>
            <w:tcW w:w="2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right"/>
              <w:rPr>
                <w:rFonts w:ascii="华文细黑" w:hAnsi="华文细黑" w:cs="华文细黑" w:eastAsia="华文细黑" w:hint="default"/>
                <w:sz w:val="18"/>
                <w:szCs w:val="18"/>
              </w:rPr>
            </w:pPr>
            <w:r>
              <w:rPr>
                <w:rFonts w:ascii="华文细黑"/>
                <w:sz w:val="18"/>
              </w:rPr>
              <w:t>1,027,532.50</w:t>
            </w:r>
          </w:p>
        </w:tc>
        <w:tc>
          <w:tcPr>
            <w:tcW w:w="25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right"/>
              <w:rPr>
                <w:rFonts w:ascii="华文细黑" w:hAnsi="华文细黑" w:cs="华文细黑" w:eastAsia="华文细黑" w:hint="default"/>
                <w:sz w:val="18"/>
                <w:szCs w:val="18"/>
              </w:rPr>
            </w:pPr>
            <w:r>
              <w:rPr>
                <w:rFonts w:ascii="华文细黑"/>
                <w:sz w:val="18"/>
              </w:rPr>
              <w:t>27,532.50</w:t>
            </w:r>
          </w:p>
        </w:tc>
      </w:tr>
      <w:tr>
        <w:trPr>
          <w:trHeight w:val="490" w:hRule="exact"/>
        </w:trPr>
        <w:tc>
          <w:tcPr>
            <w:tcW w:w="42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5"/>
              <w:ind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南京一号机商务信息咨询合伙企业</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有限合伙</w:t>
            </w:r>
            <w:r>
              <w:rPr>
                <w:rFonts w:ascii="华文细黑" w:hAnsi="华文细黑" w:cs="华文细黑" w:eastAsia="华文细黑" w:hint="default"/>
                <w:sz w:val="18"/>
                <w:szCs w:val="18"/>
              </w:rPr>
              <w:t>)</w:t>
            </w:r>
          </w:p>
        </w:tc>
        <w:tc>
          <w:tcPr>
            <w:tcW w:w="2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
              <w:jc w:val="right"/>
              <w:rPr>
                <w:rFonts w:ascii="华文细黑" w:hAnsi="华文细黑" w:cs="华文细黑" w:eastAsia="华文细黑" w:hint="default"/>
                <w:sz w:val="18"/>
                <w:szCs w:val="18"/>
              </w:rPr>
            </w:pPr>
            <w:r>
              <w:rPr>
                <w:rFonts w:ascii="华文细黑"/>
                <w:sz w:val="18"/>
              </w:rPr>
              <w:t>9,800.89</w:t>
            </w:r>
          </w:p>
        </w:tc>
        <w:tc>
          <w:tcPr>
            <w:tcW w:w="25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
              <w:jc w:val="right"/>
              <w:rPr>
                <w:rFonts w:ascii="华文细黑" w:hAnsi="华文细黑" w:cs="华文细黑" w:eastAsia="华文细黑" w:hint="default"/>
                <w:sz w:val="18"/>
                <w:szCs w:val="18"/>
              </w:rPr>
            </w:pPr>
            <w:r>
              <w:rPr>
                <w:rFonts w:ascii="华文细黑"/>
                <w:sz w:val="18"/>
              </w:rPr>
              <w:t>-199.11</w:t>
            </w:r>
          </w:p>
        </w:tc>
      </w:tr>
      <w:tr>
        <w:trPr>
          <w:trHeight w:val="490" w:hRule="exact"/>
        </w:trPr>
        <w:tc>
          <w:tcPr>
            <w:tcW w:w="42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深圳市彩梦物联有限合伙企业（有限合伙）</w:t>
            </w:r>
          </w:p>
        </w:tc>
        <w:tc>
          <w:tcPr>
            <w:tcW w:w="2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right"/>
              <w:rPr>
                <w:rFonts w:ascii="华文细黑" w:hAnsi="华文细黑" w:cs="华文细黑" w:eastAsia="华文细黑" w:hint="default"/>
                <w:sz w:val="18"/>
                <w:szCs w:val="18"/>
              </w:rPr>
            </w:pPr>
            <w:r>
              <w:rPr>
                <w:rFonts w:ascii="华文细黑"/>
                <w:sz w:val="18"/>
              </w:rPr>
              <w:t>---</w:t>
            </w:r>
          </w:p>
        </w:tc>
        <w:tc>
          <w:tcPr>
            <w:tcW w:w="25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42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南京一号机通讯设备有限公司</w:t>
            </w:r>
          </w:p>
        </w:tc>
        <w:tc>
          <w:tcPr>
            <w:tcW w:w="2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right"/>
              <w:rPr>
                <w:rFonts w:ascii="华文细黑" w:hAnsi="华文细黑" w:cs="华文细黑" w:eastAsia="华文细黑" w:hint="default"/>
                <w:sz w:val="18"/>
                <w:szCs w:val="18"/>
              </w:rPr>
            </w:pPr>
            <w:r>
              <w:rPr>
                <w:rFonts w:ascii="华文细黑"/>
                <w:sz w:val="18"/>
              </w:rPr>
              <w:t>-100.00</w:t>
            </w:r>
          </w:p>
        </w:tc>
        <w:tc>
          <w:tcPr>
            <w:tcW w:w="25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right"/>
              <w:rPr>
                <w:rFonts w:ascii="华文细黑" w:hAnsi="华文细黑" w:cs="华文细黑" w:eastAsia="华文细黑" w:hint="default"/>
                <w:sz w:val="18"/>
                <w:szCs w:val="18"/>
              </w:rPr>
            </w:pPr>
            <w:r>
              <w:rPr>
                <w:rFonts w:ascii="华文细黑"/>
                <w:sz w:val="18"/>
              </w:rPr>
              <w:t>-100.00</w:t>
            </w:r>
          </w:p>
        </w:tc>
      </w:tr>
      <w:tr>
        <w:trPr>
          <w:trHeight w:val="490" w:hRule="exact"/>
        </w:trPr>
        <w:tc>
          <w:tcPr>
            <w:tcW w:w="42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5"/>
              <w:ind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江西爱保保险代理有限公司</w:t>
            </w:r>
          </w:p>
        </w:tc>
        <w:tc>
          <w:tcPr>
            <w:tcW w:w="2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
              <w:jc w:val="right"/>
              <w:rPr>
                <w:rFonts w:ascii="华文细黑" w:hAnsi="华文细黑" w:cs="华文细黑" w:eastAsia="华文细黑" w:hint="default"/>
                <w:sz w:val="18"/>
                <w:szCs w:val="18"/>
              </w:rPr>
            </w:pPr>
            <w:r>
              <w:rPr>
                <w:rFonts w:ascii="华文细黑"/>
                <w:sz w:val="18"/>
              </w:rPr>
              <w:t>-620.00</w:t>
            </w:r>
          </w:p>
        </w:tc>
        <w:tc>
          <w:tcPr>
            <w:tcW w:w="25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right"/>
              <w:rPr>
                <w:rFonts w:ascii="华文细黑" w:hAnsi="华文细黑" w:cs="华文细黑" w:eastAsia="华文细黑" w:hint="default"/>
                <w:sz w:val="18"/>
                <w:szCs w:val="18"/>
              </w:rPr>
            </w:pPr>
            <w:r>
              <w:rPr>
                <w:rFonts w:ascii="华文细黑"/>
                <w:spacing w:val="-1"/>
                <w:sz w:val="18"/>
              </w:rPr>
              <w:t>-620.00</w:t>
            </w:r>
            <w:r>
              <w:rPr>
                <w:rFonts w:ascii="华文细黑"/>
                <w:sz w:val="18"/>
              </w:rPr>
            </w:r>
          </w:p>
        </w:tc>
      </w:tr>
      <w:tr>
        <w:trPr>
          <w:trHeight w:val="490" w:hRule="exact"/>
        </w:trPr>
        <w:tc>
          <w:tcPr>
            <w:tcW w:w="42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江西爱施德保险经纪有限公司</w:t>
            </w:r>
          </w:p>
        </w:tc>
        <w:tc>
          <w:tcPr>
            <w:tcW w:w="2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right"/>
              <w:rPr>
                <w:rFonts w:ascii="华文细黑" w:hAnsi="华文细黑" w:cs="华文细黑" w:eastAsia="华文细黑" w:hint="default"/>
                <w:sz w:val="18"/>
                <w:szCs w:val="18"/>
              </w:rPr>
            </w:pPr>
            <w:r>
              <w:rPr>
                <w:rFonts w:ascii="华文细黑"/>
                <w:sz w:val="18"/>
              </w:rPr>
              <w:t>-620.00</w:t>
            </w:r>
          </w:p>
        </w:tc>
        <w:tc>
          <w:tcPr>
            <w:tcW w:w="25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right"/>
              <w:rPr>
                <w:rFonts w:ascii="华文细黑" w:hAnsi="华文细黑" w:cs="华文细黑" w:eastAsia="华文细黑" w:hint="default"/>
                <w:sz w:val="18"/>
                <w:szCs w:val="18"/>
              </w:rPr>
            </w:pPr>
            <w:r>
              <w:rPr>
                <w:rFonts w:ascii="华文细黑"/>
                <w:sz w:val="18"/>
              </w:rPr>
              <w:t>-620.00</w:t>
            </w:r>
          </w:p>
        </w:tc>
      </w:tr>
      <w:tr>
        <w:trPr>
          <w:trHeight w:val="491" w:hRule="exact"/>
        </w:trPr>
        <w:tc>
          <w:tcPr>
            <w:tcW w:w="42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展弘实业有限公司（注）</w:t>
            </w:r>
          </w:p>
        </w:tc>
        <w:tc>
          <w:tcPr>
            <w:tcW w:w="24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right"/>
              <w:rPr>
                <w:rFonts w:ascii="华文细黑" w:hAnsi="华文细黑" w:cs="华文细黑" w:eastAsia="华文细黑" w:hint="default"/>
                <w:sz w:val="18"/>
                <w:szCs w:val="18"/>
              </w:rPr>
            </w:pPr>
            <w:r>
              <w:rPr>
                <w:rFonts w:ascii="华文细黑"/>
                <w:sz w:val="18"/>
              </w:rPr>
              <w:t>---</w:t>
            </w:r>
          </w:p>
        </w:tc>
        <w:tc>
          <w:tcPr>
            <w:tcW w:w="25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
              <w:jc w:val="right"/>
              <w:rPr>
                <w:rFonts w:ascii="华文细黑" w:hAnsi="华文细黑" w:cs="华文细黑" w:eastAsia="华文细黑" w:hint="default"/>
                <w:sz w:val="18"/>
                <w:szCs w:val="18"/>
              </w:rPr>
            </w:pPr>
            <w:r>
              <w:rPr>
                <w:rFonts w:ascii="华文细黑"/>
                <w:sz w:val="18"/>
              </w:rPr>
              <w:t>---</w:t>
            </w:r>
          </w:p>
        </w:tc>
      </w:tr>
    </w:tbl>
    <w:p>
      <w:pPr>
        <w:spacing w:line="240" w:lineRule="auto" w:before="12"/>
        <w:rPr>
          <w:rFonts w:ascii="华文细黑" w:hAnsi="华文细黑" w:cs="华文细黑" w:eastAsia="华文细黑" w:hint="default"/>
          <w:sz w:val="6"/>
          <w:szCs w:val="6"/>
        </w:rPr>
      </w:pPr>
    </w:p>
    <w:p>
      <w:pPr>
        <w:pStyle w:val="BodyText"/>
        <w:spacing w:line="324" w:lineRule="auto" w:before="10"/>
        <w:ind w:left="280" w:right="1437" w:firstLine="482"/>
        <w:jc w:val="both"/>
      </w:pPr>
      <w:r>
        <w:rPr>
          <w:spacing w:val="-2"/>
        </w:rPr>
        <w:t>注：展弘实业有限公司是公司下属子公司深圳市优友供应链有限公司通过受让中介服务机构代</w:t>
      </w:r>
      <w:r>
        <w:rPr/>
        <w:t> 设而持有股权取得的，截止 </w:t>
      </w:r>
      <w:r>
        <w:rPr>
          <w:rFonts w:ascii="华文细黑" w:hAnsi="华文细黑" w:cs="华文细黑" w:eastAsia="华文细黑" w:hint="default"/>
        </w:rPr>
        <w:t>2018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31</w:t>
      </w:r>
      <w:r>
        <w:rPr>
          <w:rFonts w:ascii="华文细黑" w:hAnsi="华文细黑" w:cs="华文细黑" w:eastAsia="华文细黑" w:hint="default"/>
          <w:spacing w:val="5"/>
        </w:rPr>
        <w:t> </w:t>
      </w:r>
      <w:r>
        <w:rPr/>
        <w:t>日尚未开展经营。以上除展弘实业有限公司之外的公 司均为本年投资设立的子公司。</w:t>
      </w:r>
    </w:p>
    <w:p>
      <w:pPr>
        <w:pStyle w:val="BodyText"/>
        <w:spacing w:line="240" w:lineRule="auto" w:before="63"/>
        <w:ind w:left="700" w:right="0"/>
        <w:jc w:val="left"/>
      </w:pPr>
      <w:r>
        <w:rPr/>
        <w:t>（</w:t>
      </w:r>
      <w:r>
        <w:rPr>
          <w:rFonts w:ascii="华文细黑" w:hAnsi="华文细黑" w:cs="华文细黑" w:eastAsia="华文细黑" w:hint="default"/>
        </w:rPr>
        <w:t>2</w:t>
      </w:r>
      <w:r>
        <w:rPr/>
        <w:t>）本年不再纳入合并范围的公司</w:t>
      </w:r>
    </w:p>
    <w:p>
      <w:pPr>
        <w:spacing w:after="0" w:line="240" w:lineRule="auto"/>
        <w:jc w:val="left"/>
        <w:sectPr>
          <w:pgSz w:w="11910" w:h="16840"/>
          <w:pgMar w:header="917" w:footer="1019" w:top="1100" w:bottom="1200" w:left="1160" w:right="0"/>
        </w:sectPr>
      </w:pPr>
    </w:p>
    <w:p>
      <w:pPr>
        <w:spacing w:line="240" w:lineRule="auto" w:before="8"/>
        <w:rPr>
          <w:rFonts w:ascii="华文细黑" w:hAnsi="华文细黑" w:cs="华文细黑" w:eastAsia="华文细黑" w:hint="default"/>
          <w:sz w:val="23"/>
          <w:szCs w:val="23"/>
        </w:rPr>
      </w:pPr>
    </w:p>
    <w:tbl>
      <w:tblPr>
        <w:tblW w:w="0" w:type="auto"/>
        <w:jc w:val="left"/>
        <w:tblInd w:w="153" w:type="dxa"/>
        <w:tblLayout w:type="fixed"/>
        <w:tblCellMar>
          <w:top w:w="0" w:type="dxa"/>
          <w:left w:w="0" w:type="dxa"/>
          <w:bottom w:w="0" w:type="dxa"/>
          <w:right w:w="0" w:type="dxa"/>
        </w:tblCellMar>
        <w:tblLook w:val="01E0"/>
      </w:tblPr>
      <w:tblGrid>
        <w:gridCol w:w="4111"/>
        <w:gridCol w:w="2551"/>
        <w:gridCol w:w="2444"/>
      </w:tblGrid>
      <w:tr>
        <w:trPr>
          <w:trHeight w:val="490" w:hRule="exact"/>
        </w:trPr>
        <w:tc>
          <w:tcPr>
            <w:tcW w:w="41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名称</w:t>
            </w:r>
          </w:p>
        </w:tc>
        <w:tc>
          <w:tcPr>
            <w:tcW w:w="25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73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处置日净资产</w:t>
            </w:r>
          </w:p>
        </w:tc>
        <w:tc>
          <w:tcPr>
            <w:tcW w:w="24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0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年初至处置日净利润</w:t>
            </w:r>
          </w:p>
        </w:tc>
      </w:tr>
      <w:tr>
        <w:trPr>
          <w:trHeight w:val="490" w:hRule="exact"/>
        </w:trPr>
        <w:tc>
          <w:tcPr>
            <w:tcW w:w="41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江西爱施德通信科技有限公司</w:t>
            </w:r>
          </w:p>
        </w:tc>
        <w:tc>
          <w:tcPr>
            <w:tcW w:w="25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0"/>
              <w:jc w:val="right"/>
              <w:rPr>
                <w:rFonts w:ascii="华文细黑" w:hAnsi="华文细黑" w:cs="华文细黑" w:eastAsia="华文细黑" w:hint="default"/>
                <w:sz w:val="18"/>
                <w:szCs w:val="18"/>
              </w:rPr>
            </w:pPr>
            <w:r>
              <w:rPr>
                <w:rFonts w:ascii="华文细黑"/>
                <w:sz w:val="18"/>
              </w:rPr>
              <w:t>76,899.19</w:t>
            </w:r>
          </w:p>
        </w:tc>
        <w:tc>
          <w:tcPr>
            <w:tcW w:w="24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sz w:val="18"/>
              </w:rPr>
              <w:t>-10,654.11</w:t>
            </w:r>
          </w:p>
        </w:tc>
      </w:tr>
      <w:tr>
        <w:trPr>
          <w:trHeight w:val="490" w:hRule="exact"/>
        </w:trPr>
        <w:tc>
          <w:tcPr>
            <w:tcW w:w="41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西藏晟祥通讯器材有限公司</w:t>
            </w:r>
          </w:p>
        </w:tc>
        <w:tc>
          <w:tcPr>
            <w:tcW w:w="25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sz w:val="18"/>
              </w:rPr>
              <w:t>3,825,669.94</w:t>
            </w:r>
          </w:p>
        </w:tc>
        <w:tc>
          <w:tcPr>
            <w:tcW w:w="24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-574.41</w:t>
            </w:r>
          </w:p>
        </w:tc>
      </w:tr>
      <w:tr>
        <w:trPr>
          <w:trHeight w:val="490" w:hRule="exact"/>
        </w:trPr>
        <w:tc>
          <w:tcPr>
            <w:tcW w:w="41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温州酷动数码科技有限公司</w:t>
            </w:r>
          </w:p>
        </w:tc>
        <w:tc>
          <w:tcPr>
            <w:tcW w:w="25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sz w:val="18"/>
              </w:rPr>
              <w:t>-115,429.54</w:t>
            </w:r>
          </w:p>
        </w:tc>
        <w:tc>
          <w:tcPr>
            <w:tcW w:w="24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-255.58</w:t>
            </w:r>
          </w:p>
        </w:tc>
      </w:tr>
      <w:tr>
        <w:trPr>
          <w:trHeight w:val="490" w:hRule="exact"/>
        </w:trPr>
        <w:tc>
          <w:tcPr>
            <w:tcW w:w="41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芜湖乐动数码产品贸易有限公司</w:t>
            </w:r>
          </w:p>
        </w:tc>
        <w:tc>
          <w:tcPr>
            <w:tcW w:w="25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0"/>
              <w:jc w:val="right"/>
              <w:rPr>
                <w:rFonts w:ascii="华文细黑" w:hAnsi="华文细黑" w:cs="华文细黑" w:eastAsia="华文细黑" w:hint="default"/>
                <w:sz w:val="18"/>
                <w:szCs w:val="18"/>
              </w:rPr>
            </w:pPr>
            <w:r>
              <w:rPr>
                <w:rFonts w:ascii="华文细黑"/>
                <w:w w:val="95"/>
                <w:sz w:val="18"/>
              </w:rPr>
              <w:t>-1,467,134.24</w:t>
            </w:r>
          </w:p>
        </w:tc>
        <w:tc>
          <w:tcPr>
            <w:tcW w:w="24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-5,279.02</w:t>
            </w:r>
          </w:p>
        </w:tc>
      </w:tr>
      <w:tr>
        <w:trPr>
          <w:trHeight w:val="490" w:hRule="exact"/>
        </w:trPr>
        <w:tc>
          <w:tcPr>
            <w:tcW w:w="41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北京数意数码科技有限公司</w:t>
            </w:r>
          </w:p>
        </w:tc>
        <w:tc>
          <w:tcPr>
            <w:tcW w:w="25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w w:val="95"/>
                <w:sz w:val="18"/>
              </w:rPr>
              <w:t>-2,915,536.84</w:t>
            </w:r>
          </w:p>
        </w:tc>
        <w:tc>
          <w:tcPr>
            <w:tcW w:w="24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-2,292.00</w:t>
            </w:r>
          </w:p>
        </w:tc>
      </w:tr>
      <w:tr>
        <w:trPr>
          <w:trHeight w:val="490" w:hRule="exact"/>
        </w:trPr>
        <w:tc>
          <w:tcPr>
            <w:tcW w:w="41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广州市合烁数码科技有限公司</w:t>
            </w:r>
          </w:p>
        </w:tc>
        <w:tc>
          <w:tcPr>
            <w:tcW w:w="25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sz w:val="18"/>
              </w:rPr>
              <w:t>-198,239.35</w:t>
            </w:r>
          </w:p>
        </w:tc>
        <w:tc>
          <w:tcPr>
            <w:tcW w:w="24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pacing w:val="-1"/>
                <w:sz w:val="18"/>
              </w:rPr>
              <w:t>-1,983.26</w:t>
            </w:r>
            <w:r>
              <w:rPr>
                <w:rFonts w:ascii="华文细黑"/>
                <w:sz w:val="18"/>
              </w:rPr>
            </w:r>
          </w:p>
        </w:tc>
      </w:tr>
      <w:tr>
        <w:trPr>
          <w:trHeight w:val="490" w:hRule="exact"/>
        </w:trPr>
        <w:tc>
          <w:tcPr>
            <w:tcW w:w="41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武汉市酷爱星通信科技有限责任公司</w:t>
            </w:r>
          </w:p>
        </w:tc>
        <w:tc>
          <w:tcPr>
            <w:tcW w:w="25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0"/>
              <w:jc w:val="right"/>
              <w:rPr>
                <w:rFonts w:ascii="华文细黑" w:hAnsi="华文细黑" w:cs="华文细黑" w:eastAsia="华文细黑" w:hint="default"/>
                <w:sz w:val="18"/>
                <w:szCs w:val="18"/>
              </w:rPr>
            </w:pPr>
            <w:r>
              <w:rPr>
                <w:rFonts w:ascii="华文细黑"/>
                <w:w w:val="95"/>
                <w:sz w:val="18"/>
              </w:rPr>
              <w:t>996,289.15</w:t>
            </w:r>
          </w:p>
        </w:tc>
        <w:tc>
          <w:tcPr>
            <w:tcW w:w="24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w w:val="95"/>
                <w:sz w:val="18"/>
              </w:rPr>
              <w:t>251,567.33</w:t>
            </w:r>
          </w:p>
        </w:tc>
      </w:tr>
      <w:tr>
        <w:trPr>
          <w:trHeight w:val="490" w:hRule="exact"/>
        </w:trPr>
        <w:tc>
          <w:tcPr>
            <w:tcW w:w="41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共青城酷陕投资管理合伙企业（有限合伙）</w:t>
            </w:r>
          </w:p>
        </w:tc>
        <w:tc>
          <w:tcPr>
            <w:tcW w:w="25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sz w:val="18"/>
              </w:rPr>
              <w:t>-11,859.11</w:t>
            </w:r>
          </w:p>
        </w:tc>
        <w:tc>
          <w:tcPr>
            <w:tcW w:w="24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sz w:val="18"/>
              </w:rPr>
              <w:t>-11,859.11</w:t>
            </w:r>
          </w:p>
        </w:tc>
      </w:tr>
      <w:tr>
        <w:trPr>
          <w:trHeight w:val="490" w:hRule="exact"/>
        </w:trPr>
        <w:tc>
          <w:tcPr>
            <w:tcW w:w="41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共青城酷鄂投资管理合伙企业（有限合伙）</w:t>
            </w:r>
          </w:p>
        </w:tc>
        <w:tc>
          <w:tcPr>
            <w:tcW w:w="25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sz w:val="18"/>
              </w:rPr>
              <w:t>-10,785.35</w:t>
            </w:r>
          </w:p>
        </w:tc>
        <w:tc>
          <w:tcPr>
            <w:tcW w:w="24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sz w:val="18"/>
              </w:rPr>
              <w:t>-10,797.88</w:t>
            </w:r>
          </w:p>
        </w:tc>
      </w:tr>
      <w:tr>
        <w:trPr>
          <w:trHeight w:val="490" w:hRule="exact"/>
        </w:trPr>
        <w:tc>
          <w:tcPr>
            <w:tcW w:w="41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共青城酷浙投资管理合伙企业（有限合伙）</w:t>
            </w:r>
          </w:p>
        </w:tc>
        <w:tc>
          <w:tcPr>
            <w:tcW w:w="25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0"/>
              <w:jc w:val="right"/>
              <w:rPr>
                <w:rFonts w:ascii="华文细黑" w:hAnsi="华文细黑" w:cs="华文细黑" w:eastAsia="华文细黑" w:hint="default"/>
                <w:sz w:val="18"/>
                <w:szCs w:val="18"/>
              </w:rPr>
            </w:pPr>
            <w:r>
              <w:rPr>
                <w:rFonts w:ascii="华文细黑"/>
                <w:sz w:val="18"/>
              </w:rPr>
              <w:t>-11,580.60</w:t>
            </w:r>
          </w:p>
        </w:tc>
        <w:tc>
          <w:tcPr>
            <w:tcW w:w="24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sz w:val="18"/>
              </w:rPr>
              <w:t>-11,580.60</w:t>
            </w:r>
          </w:p>
        </w:tc>
      </w:tr>
      <w:tr>
        <w:trPr>
          <w:trHeight w:val="490" w:hRule="exact"/>
        </w:trPr>
        <w:tc>
          <w:tcPr>
            <w:tcW w:w="41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长沙酷爱炫供应链管理有限责任公司</w:t>
            </w:r>
          </w:p>
        </w:tc>
        <w:tc>
          <w:tcPr>
            <w:tcW w:w="25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pacing w:val="-1"/>
                <w:sz w:val="18"/>
              </w:rPr>
              <w:t>195,037.45</w:t>
            </w:r>
            <w:r>
              <w:rPr>
                <w:rFonts w:ascii="华文细黑"/>
                <w:sz w:val="18"/>
              </w:rPr>
            </w:r>
          </w:p>
        </w:tc>
        <w:tc>
          <w:tcPr>
            <w:tcW w:w="24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w w:val="95"/>
                <w:sz w:val="18"/>
              </w:rPr>
              <w:t>330,486.70</w:t>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782" w:right="0"/>
        <w:jc w:val="left"/>
      </w:pPr>
      <w:r>
        <w:rPr/>
        <w:t>注：以上公司因在本年注销，不再纳入合并范围。</w:t>
      </w:r>
    </w:p>
    <w:p>
      <w:pPr>
        <w:pStyle w:val="BodyText"/>
        <w:spacing w:line="240" w:lineRule="auto" w:before="142"/>
        <w:ind w:left="720" w:right="0"/>
        <w:jc w:val="left"/>
      </w:pPr>
      <w:r>
        <w:rPr/>
        <w:t>（</w:t>
      </w:r>
      <w:r>
        <w:rPr>
          <w:rFonts w:ascii="华文细黑" w:hAnsi="华文细黑" w:cs="华文细黑" w:eastAsia="华文细黑" w:hint="default"/>
        </w:rPr>
        <w:t>3</w:t>
      </w:r>
      <w:r>
        <w:rPr/>
        <w:t>）爱施德（香港）有限公司于 </w:t>
      </w:r>
      <w:r>
        <w:rPr>
          <w:rFonts w:ascii="华文细黑" w:hAnsi="华文细黑" w:cs="华文细黑" w:eastAsia="华文细黑" w:hint="default"/>
        </w:rPr>
        <w:t>2018 </w:t>
      </w:r>
      <w:r>
        <w:rPr/>
        <w:t>年 </w:t>
      </w:r>
      <w:r>
        <w:rPr>
          <w:rFonts w:ascii="华文细黑" w:hAnsi="华文细黑" w:cs="华文细黑" w:eastAsia="华文细黑" w:hint="default"/>
        </w:rPr>
        <w:t>1 </w:t>
      </w:r>
      <w:r>
        <w:rPr/>
        <w:t>月 </w:t>
      </w:r>
      <w:r>
        <w:rPr>
          <w:rFonts w:ascii="华文细黑" w:hAnsi="华文细黑" w:cs="华文细黑" w:eastAsia="华文细黑" w:hint="default"/>
        </w:rPr>
        <w:t>15</w:t>
      </w:r>
      <w:r>
        <w:rPr>
          <w:rFonts w:ascii="华文细黑" w:hAnsi="华文细黑" w:cs="华文细黑" w:eastAsia="华文细黑" w:hint="default"/>
          <w:spacing w:val="5"/>
        </w:rPr>
        <w:t> </w:t>
      </w:r>
      <w:r>
        <w:rPr/>
        <w:t>日投资新设了全资子公司爱施德全球贸易有</w:t>
      </w:r>
    </w:p>
    <w:p>
      <w:pPr>
        <w:pStyle w:val="BodyText"/>
        <w:spacing w:line="324" w:lineRule="auto" w:before="104"/>
        <w:ind w:left="300" w:right="1438"/>
        <w:jc w:val="both"/>
      </w:pPr>
      <w:r>
        <w:rPr/>
        <w:t>限公司，注册资本为 </w:t>
      </w:r>
      <w:r>
        <w:rPr>
          <w:rFonts w:ascii="华文细黑" w:hAnsi="华文细黑" w:cs="华文细黑" w:eastAsia="华文细黑" w:hint="default"/>
        </w:rPr>
        <w:t>60 </w:t>
      </w:r>
      <w:r>
        <w:rPr>
          <w:spacing w:val="-3"/>
        </w:rPr>
        <w:t>万港币。</w:t>
      </w:r>
      <w:r>
        <w:rPr>
          <w:rFonts w:ascii="华文细黑" w:hAnsi="华文细黑" w:cs="华文细黑" w:eastAsia="华文细黑" w:hint="default"/>
          <w:spacing w:val="-3"/>
        </w:rPr>
        <w:t>2018 </w:t>
      </w:r>
      <w:r>
        <w:rPr/>
        <w:t>年 </w:t>
      </w:r>
      <w:r>
        <w:rPr>
          <w:rFonts w:ascii="华文细黑" w:hAnsi="华文细黑" w:cs="华文细黑" w:eastAsia="华文细黑" w:hint="default"/>
        </w:rPr>
        <w:t>7 </w:t>
      </w:r>
      <w:r>
        <w:rPr/>
        <w:t>月，爱施德全球贸易有限公司增资 </w:t>
      </w:r>
      <w:r>
        <w:rPr>
          <w:rFonts w:ascii="华文细黑" w:hAnsi="华文细黑" w:cs="华文细黑" w:eastAsia="华文细黑" w:hint="default"/>
        </w:rPr>
        <w:t>440</w:t>
      </w:r>
      <w:r>
        <w:rPr>
          <w:rFonts w:ascii="华文细黑" w:hAnsi="华文细黑" w:cs="华文细黑" w:eastAsia="华文细黑" w:hint="default"/>
          <w:spacing w:val="-22"/>
        </w:rPr>
        <w:t> </w:t>
      </w:r>
      <w:r>
        <w:rPr>
          <w:spacing w:val="-3"/>
        </w:rPr>
        <w:t>万港币，由自然</w:t>
      </w:r>
      <w:r>
        <w:rPr/>
        <w:t> 人股东张国松、淦华生、爱施德（香港）有限公司分别认缴 </w:t>
      </w:r>
      <w:r>
        <w:rPr>
          <w:rFonts w:ascii="华文细黑" w:hAnsi="华文细黑" w:cs="华文细黑" w:eastAsia="华文细黑" w:hint="default"/>
        </w:rPr>
        <w:t>255 </w:t>
      </w:r>
      <w:r>
        <w:rPr/>
        <w:t>万港币、</w:t>
      </w:r>
      <w:r>
        <w:rPr>
          <w:rFonts w:ascii="华文细黑" w:hAnsi="华文细黑" w:cs="华文细黑" w:eastAsia="华文细黑" w:hint="default"/>
        </w:rPr>
        <w:t>95 </w:t>
      </w:r>
      <w:r>
        <w:rPr/>
        <w:t>万港币、</w:t>
      </w:r>
      <w:r>
        <w:rPr>
          <w:rFonts w:ascii="华文细黑" w:hAnsi="华文细黑" w:cs="华文细黑" w:eastAsia="华文细黑" w:hint="default"/>
        </w:rPr>
        <w:t>90</w:t>
      </w:r>
      <w:r>
        <w:rPr>
          <w:rFonts w:ascii="华文细黑" w:hAnsi="华文细黑" w:cs="华文细黑" w:eastAsia="华文细黑" w:hint="default"/>
          <w:spacing w:val="20"/>
        </w:rPr>
        <w:t> </w:t>
      </w:r>
      <w:r>
        <w:rPr/>
        <w:t>万港币， 增资后注册资本变更为 </w:t>
      </w:r>
      <w:r>
        <w:rPr>
          <w:rFonts w:ascii="华文细黑" w:hAnsi="华文细黑" w:cs="华文细黑" w:eastAsia="华文细黑" w:hint="default"/>
        </w:rPr>
        <w:t>500</w:t>
      </w:r>
      <w:r>
        <w:rPr>
          <w:rFonts w:ascii="华文细黑" w:hAnsi="华文细黑" w:cs="华文细黑" w:eastAsia="华文细黑" w:hint="default"/>
          <w:spacing w:val="-40"/>
        </w:rPr>
        <w:t> </w:t>
      </w:r>
      <w:r>
        <w:rPr/>
        <w:t>万港币。本次增资后，爱施德（香港）有限公司、张国松、淦华生对其 持股比例分别为</w:t>
      </w:r>
      <w:r>
        <w:rPr>
          <w:spacing w:val="-4"/>
        </w:rPr>
        <w:t> </w:t>
      </w:r>
      <w:r>
        <w:rPr>
          <w:rFonts w:ascii="华文细黑" w:hAnsi="华文细黑" w:cs="华文细黑" w:eastAsia="华文细黑" w:hint="default"/>
        </w:rPr>
        <w:t>30%</w:t>
      </w:r>
      <w:r>
        <w:rPr/>
        <w:t>、</w:t>
      </w:r>
      <w:r>
        <w:rPr>
          <w:rFonts w:ascii="华文细黑" w:hAnsi="华文细黑" w:cs="华文细黑" w:eastAsia="华文细黑" w:hint="default"/>
        </w:rPr>
        <w:t>51%</w:t>
      </w:r>
      <w:r>
        <w:rPr/>
        <w:t>、</w:t>
      </w:r>
      <w:r>
        <w:rPr>
          <w:rFonts w:ascii="华文细黑" w:hAnsi="华文细黑" w:cs="华文细黑" w:eastAsia="华文细黑" w:hint="default"/>
        </w:rPr>
        <w:t>19%</w:t>
      </w:r>
      <w:r>
        <w:rPr/>
        <w:t>，公司丧失对爱施德全球贸易有限公司的控制权。</w:t>
      </w:r>
    </w:p>
    <w:p>
      <w:pPr>
        <w:pStyle w:val="Heading4"/>
        <w:spacing w:line="240" w:lineRule="auto" w:before="27"/>
        <w:ind w:left="780" w:right="0"/>
        <w:jc w:val="left"/>
        <w:rPr>
          <w:b w:val="0"/>
          <w:bCs w:val="0"/>
        </w:rPr>
      </w:pPr>
      <w:bookmarkStart w:name="八、在其他主体中的权益" w:id="323"/>
      <w:bookmarkEnd w:id="323"/>
      <w:r>
        <w:rPr>
          <w:b w:val="0"/>
          <w:bCs w:val="0"/>
        </w:rPr>
      </w:r>
      <w:r>
        <w:rPr/>
        <w:t>八、在其他主体中的权益</w:t>
      </w:r>
      <w:r>
        <w:rPr>
          <w:b w:val="0"/>
          <w:bCs w:val="0"/>
        </w:rPr>
      </w:r>
    </w:p>
    <w:p>
      <w:pPr>
        <w:pStyle w:val="Heading5"/>
        <w:spacing w:line="240" w:lineRule="auto" w:before="139"/>
        <w:ind w:left="720" w:right="0"/>
        <w:jc w:val="left"/>
        <w:rPr>
          <w:b w:val="0"/>
          <w:bCs w:val="0"/>
        </w:rPr>
      </w:pPr>
      <w:bookmarkStart w:name="1、在子公司中的权益" w:id="324"/>
      <w:bookmarkEnd w:id="324"/>
      <w:r>
        <w:rPr>
          <w:b w:val="0"/>
          <w:bCs w:val="0"/>
        </w:rPr>
      </w:r>
      <w:r>
        <w:rPr>
          <w:rFonts w:ascii="华文细黑" w:hAnsi="华文细黑" w:cs="华文细黑" w:eastAsia="华文细黑" w:hint="default"/>
        </w:rPr>
        <w:t>1</w:t>
      </w:r>
      <w:r>
        <w:rPr/>
        <w:t>、在子公司中的权益</w:t>
      </w:r>
      <w:r>
        <w:rPr>
          <w:b w:val="0"/>
          <w:bCs w:val="0"/>
        </w:rPr>
      </w:r>
    </w:p>
    <w:p>
      <w:pPr>
        <w:pStyle w:val="BodyText"/>
        <w:spacing w:line="240" w:lineRule="auto" w:before="142"/>
        <w:ind w:left="720" w:right="0"/>
        <w:jc w:val="left"/>
      </w:pPr>
      <w:r>
        <w:rPr/>
        <w:t>（</w:t>
      </w:r>
      <w:r>
        <w:rPr>
          <w:rFonts w:ascii="华文细黑" w:hAnsi="华文细黑" w:cs="华文细黑" w:eastAsia="华文细黑" w:hint="default"/>
        </w:rPr>
        <w:t>1</w:t>
      </w:r>
      <w:r>
        <w:rPr/>
        <w:t>）企业集团的构成</w:t>
      </w:r>
    </w:p>
    <w:p>
      <w:pPr>
        <w:spacing w:line="240" w:lineRule="auto" w:before="5"/>
        <w:rPr>
          <w:rFonts w:ascii="华文细黑" w:hAnsi="华文细黑" w:cs="华文细黑" w:eastAsia="华文细黑" w:hint="default"/>
          <w:sz w:val="5"/>
          <w:szCs w:val="5"/>
        </w:rPr>
      </w:pPr>
    </w:p>
    <w:tbl>
      <w:tblPr>
        <w:tblW w:w="0" w:type="auto"/>
        <w:jc w:val="left"/>
        <w:tblInd w:w="101" w:type="dxa"/>
        <w:tblLayout w:type="fixed"/>
        <w:tblCellMar>
          <w:top w:w="0" w:type="dxa"/>
          <w:left w:w="0" w:type="dxa"/>
          <w:bottom w:w="0" w:type="dxa"/>
          <w:right w:w="0" w:type="dxa"/>
        </w:tblCellMar>
        <w:tblLook w:val="01E0"/>
      </w:tblPr>
      <w:tblGrid>
        <w:gridCol w:w="3585"/>
        <w:gridCol w:w="1005"/>
        <w:gridCol w:w="1064"/>
        <w:gridCol w:w="994"/>
        <w:gridCol w:w="850"/>
        <w:gridCol w:w="710"/>
        <w:gridCol w:w="1217"/>
      </w:tblGrid>
      <w:tr>
        <w:trPr>
          <w:trHeight w:val="250" w:hRule="exact"/>
        </w:trPr>
        <w:tc>
          <w:tcPr>
            <w:tcW w:w="3585" w:type="dxa"/>
            <w:tcBorders>
              <w:top w:val="single" w:sz="4" w:space="0" w:color="FFC000"/>
              <w:left w:val="single" w:sz="4" w:space="0" w:color="FFC000"/>
              <w:bottom w:val="nil" w:sz="6" w:space="0" w:color="auto"/>
              <w:right w:val="single" w:sz="4" w:space="0" w:color="FFC000"/>
            </w:tcBorders>
            <w:shd w:val="clear" w:color="auto" w:fill="FFF8E6"/>
          </w:tcPr>
          <w:p>
            <w:pPr/>
          </w:p>
        </w:tc>
        <w:tc>
          <w:tcPr>
            <w:tcW w:w="1005" w:type="dxa"/>
            <w:tcBorders>
              <w:top w:val="single" w:sz="4" w:space="0" w:color="FFC000"/>
              <w:left w:val="single" w:sz="4" w:space="0" w:color="FFC000"/>
              <w:bottom w:val="nil" w:sz="6" w:space="0" w:color="auto"/>
              <w:right w:val="single" w:sz="4" w:space="0" w:color="FFC000"/>
            </w:tcBorders>
            <w:shd w:val="clear" w:color="auto" w:fill="FFF8E6"/>
          </w:tcPr>
          <w:p>
            <w:pPr/>
          </w:p>
        </w:tc>
        <w:tc>
          <w:tcPr>
            <w:tcW w:w="1064" w:type="dxa"/>
            <w:tcBorders>
              <w:top w:val="single" w:sz="4" w:space="0" w:color="FFC000"/>
              <w:left w:val="single" w:sz="4" w:space="0" w:color="FFC000"/>
              <w:bottom w:val="nil" w:sz="6" w:space="0" w:color="auto"/>
              <w:right w:val="single" w:sz="4" w:space="0" w:color="FFC000"/>
            </w:tcBorders>
            <w:shd w:val="clear" w:color="auto" w:fill="FFF8E6"/>
          </w:tcPr>
          <w:p>
            <w:pPr/>
          </w:p>
        </w:tc>
        <w:tc>
          <w:tcPr>
            <w:tcW w:w="994" w:type="dxa"/>
            <w:tcBorders>
              <w:top w:val="single" w:sz="4" w:space="0" w:color="FFC000"/>
              <w:left w:val="single" w:sz="4" w:space="0" w:color="FFC000"/>
              <w:bottom w:val="nil" w:sz="6" w:space="0" w:color="auto"/>
              <w:right w:val="single" w:sz="4" w:space="0" w:color="FFC000"/>
            </w:tcBorders>
            <w:shd w:val="clear" w:color="auto" w:fill="FFF8E6"/>
          </w:tcPr>
          <w:p>
            <w:pPr/>
          </w:p>
        </w:tc>
        <w:tc>
          <w:tcPr>
            <w:tcW w:w="1560"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7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持股比例（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）③</w:t>
            </w:r>
          </w:p>
        </w:tc>
        <w:tc>
          <w:tcPr>
            <w:tcW w:w="1217"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24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取得方式</w:t>
            </w:r>
          </w:p>
        </w:tc>
      </w:tr>
      <w:tr>
        <w:trPr>
          <w:trHeight w:val="240" w:hRule="exact"/>
        </w:trPr>
        <w:tc>
          <w:tcPr>
            <w:tcW w:w="3585"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子公司名称</w:t>
            </w:r>
          </w:p>
        </w:tc>
        <w:tc>
          <w:tcPr>
            <w:tcW w:w="1005"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5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主要经营地</w:t>
            </w:r>
          </w:p>
        </w:tc>
        <w:tc>
          <w:tcPr>
            <w:tcW w:w="1064"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25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注册地</w:t>
            </w:r>
          </w:p>
        </w:tc>
        <w:tc>
          <w:tcPr>
            <w:tcW w:w="994"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13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业务性质</w:t>
            </w:r>
          </w:p>
        </w:tc>
        <w:tc>
          <w:tcPr>
            <w:tcW w:w="1560" w:type="dxa"/>
            <w:gridSpan w:val="2"/>
            <w:vMerge/>
            <w:tcBorders>
              <w:left w:val="single" w:sz="4" w:space="0" w:color="FFC000"/>
              <w:bottom w:val="single" w:sz="4" w:space="0" w:color="FFC000"/>
              <w:right w:val="single" w:sz="4" w:space="0" w:color="FFC000"/>
            </w:tcBorders>
            <w:shd w:val="clear" w:color="auto" w:fill="FFF8E6"/>
          </w:tcPr>
          <w:p>
            <w:pPr/>
          </w:p>
        </w:tc>
        <w:tc>
          <w:tcPr>
            <w:tcW w:w="1217" w:type="dxa"/>
            <w:vMerge/>
            <w:tcBorders>
              <w:left w:val="single" w:sz="4" w:space="0" w:color="FFC000"/>
              <w:bottom w:val="single" w:sz="4" w:space="0" w:color="FFC000"/>
              <w:right w:val="single" w:sz="4" w:space="0" w:color="FFC000"/>
            </w:tcBorders>
            <w:shd w:val="clear" w:color="auto" w:fill="FFF8E6"/>
          </w:tcPr>
          <w:p>
            <w:pPr/>
          </w:p>
        </w:tc>
      </w:tr>
      <w:tr>
        <w:trPr>
          <w:trHeight w:val="240" w:hRule="exact"/>
        </w:trPr>
        <w:tc>
          <w:tcPr>
            <w:tcW w:w="3585" w:type="dxa"/>
            <w:vMerge/>
            <w:tcBorders>
              <w:left w:val="single" w:sz="4" w:space="0" w:color="FFC000"/>
              <w:bottom w:val="nil" w:sz="6" w:space="0" w:color="auto"/>
              <w:right w:val="single" w:sz="4" w:space="0" w:color="FFC000"/>
            </w:tcBorders>
            <w:shd w:val="clear" w:color="auto" w:fill="FFF8E6"/>
          </w:tcPr>
          <w:p>
            <w:pPr/>
          </w:p>
        </w:tc>
        <w:tc>
          <w:tcPr>
            <w:tcW w:w="1005" w:type="dxa"/>
            <w:vMerge/>
            <w:tcBorders>
              <w:left w:val="single" w:sz="4" w:space="0" w:color="FFC000"/>
              <w:bottom w:val="nil" w:sz="6" w:space="0" w:color="auto"/>
              <w:right w:val="single" w:sz="4" w:space="0" w:color="FFC000"/>
            </w:tcBorders>
            <w:shd w:val="clear" w:color="auto" w:fill="FFF8E6"/>
          </w:tcPr>
          <w:p>
            <w:pPr/>
          </w:p>
        </w:tc>
        <w:tc>
          <w:tcPr>
            <w:tcW w:w="1064" w:type="dxa"/>
            <w:vMerge/>
            <w:tcBorders>
              <w:left w:val="single" w:sz="4" w:space="0" w:color="FFC000"/>
              <w:bottom w:val="nil" w:sz="6" w:space="0" w:color="auto"/>
              <w:right w:val="single" w:sz="4" w:space="0" w:color="FFC000"/>
            </w:tcBorders>
            <w:shd w:val="clear" w:color="auto" w:fill="FFF8E6"/>
          </w:tcPr>
          <w:p>
            <w:pPr/>
          </w:p>
        </w:tc>
        <w:tc>
          <w:tcPr>
            <w:tcW w:w="994" w:type="dxa"/>
            <w:vMerge/>
            <w:tcBorders>
              <w:left w:val="single" w:sz="4" w:space="0" w:color="FFC000"/>
              <w:bottom w:val="nil" w:sz="6" w:space="0" w:color="auto"/>
              <w:right w:val="single" w:sz="4" w:space="0" w:color="FFC000"/>
            </w:tcBorders>
            <w:shd w:val="clear" w:color="auto" w:fill="FFF8E6"/>
          </w:tcPr>
          <w:p>
            <w:pPr/>
          </w:p>
        </w:tc>
        <w:tc>
          <w:tcPr>
            <w:tcW w:w="85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24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直接</w:t>
            </w:r>
          </w:p>
        </w:tc>
        <w:tc>
          <w:tcPr>
            <w:tcW w:w="71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17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间接</w:t>
            </w:r>
          </w:p>
        </w:tc>
        <w:tc>
          <w:tcPr>
            <w:tcW w:w="1217" w:type="dxa"/>
            <w:vMerge w:val="restart"/>
            <w:tcBorders>
              <w:top w:val="single" w:sz="4" w:space="0" w:color="FFC000"/>
              <w:left w:val="single" w:sz="4" w:space="0" w:color="FFC000"/>
              <w:right w:val="single" w:sz="4" w:space="0" w:color="FFC000"/>
            </w:tcBorders>
            <w:shd w:val="clear" w:color="auto" w:fill="FFF8E6"/>
          </w:tcPr>
          <w:p>
            <w:pPr/>
          </w:p>
        </w:tc>
      </w:tr>
      <w:tr>
        <w:trPr>
          <w:trHeight w:val="250" w:hRule="exact"/>
        </w:trPr>
        <w:tc>
          <w:tcPr>
            <w:tcW w:w="3585" w:type="dxa"/>
            <w:tcBorders>
              <w:top w:val="nil" w:sz="6" w:space="0" w:color="auto"/>
              <w:left w:val="single" w:sz="4" w:space="0" w:color="FFC000"/>
              <w:bottom w:val="single" w:sz="4" w:space="0" w:color="FFC000"/>
              <w:right w:val="single" w:sz="4" w:space="0" w:color="FFC000"/>
            </w:tcBorders>
            <w:shd w:val="clear" w:color="auto" w:fill="FFF8E6"/>
          </w:tcPr>
          <w:p>
            <w:pPr/>
          </w:p>
        </w:tc>
        <w:tc>
          <w:tcPr>
            <w:tcW w:w="1005" w:type="dxa"/>
            <w:tcBorders>
              <w:top w:val="nil" w:sz="6" w:space="0" w:color="auto"/>
              <w:left w:val="single" w:sz="4" w:space="0" w:color="FFC000"/>
              <w:bottom w:val="single" w:sz="4" w:space="0" w:color="FFC000"/>
              <w:right w:val="single" w:sz="4" w:space="0" w:color="FFC000"/>
            </w:tcBorders>
            <w:shd w:val="clear" w:color="auto" w:fill="FFF8E6"/>
          </w:tcPr>
          <w:p>
            <w:pPr/>
          </w:p>
        </w:tc>
        <w:tc>
          <w:tcPr>
            <w:tcW w:w="1064" w:type="dxa"/>
            <w:tcBorders>
              <w:top w:val="nil" w:sz="6" w:space="0" w:color="auto"/>
              <w:left w:val="single" w:sz="4" w:space="0" w:color="FFC000"/>
              <w:bottom w:val="single" w:sz="4" w:space="0" w:color="FFC000"/>
              <w:right w:val="single" w:sz="4" w:space="0" w:color="FFC000"/>
            </w:tcBorders>
            <w:shd w:val="clear" w:color="auto" w:fill="FFF8E6"/>
          </w:tcPr>
          <w:p>
            <w:pPr/>
          </w:p>
        </w:tc>
        <w:tc>
          <w:tcPr>
            <w:tcW w:w="994" w:type="dxa"/>
            <w:tcBorders>
              <w:top w:val="nil" w:sz="6" w:space="0" w:color="auto"/>
              <w:left w:val="single" w:sz="4" w:space="0" w:color="FFC000"/>
              <w:bottom w:val="single" w:sz="4" w:space="0" w:color="FFC000"/>
              <w:right w:val="single" w:sz="4" w:space="0" w:color="FFC000"/>
            </w:tcBorders>
            <w:shd w:val="clear" w:color="auto" w:fill="FFF8E6"/>
          </w:tcPr>
          <w:p>
            <w:pPr/>
          </w:p>
        </w:tc>
        <w:tc>
          <w:tcPr>
            <w:tcW w:w="850" w:type="dxa"/>
            <w:vMerge/>
            <w:tcBorders>
              <w:left w:val="single" w:sz="4" w:space="0" w:color="FFC000"/>
              <w:bottom w:val="single" w:sz="4" w:space="0" w:color="FFC000"/>
              <w:right w:val="single" w:sz="4" w:space="0" w:color="FFC000"/>
            </w:tcBorders>
            <w:shd w:val="clear" w:color="auto" w:fill="FFF8E6"/>
          </w:tcPr>
          <w:p>
            <w:pPr/>
          </w:p>
        </w:tc>
        <w:tc>
          <w:tcPr>
            <w:tcW w:w="710" w:type="dxa"/>
            <w:vMerge/>
            <w:tcBorders>
              <w:left w:val="single" w:sz="4" w:space="0" w:color="FFC000"/>
              <w:bottom w:val="single" w:sz="4" w:space="0" w:color="FFC000"/>
              <w:right w:val="single" w:sz="4" w:space="0" w:color="FFC000"/>
            </w:tcBorders>
            <w:shd w:val="clear" w:color="auto" w:fill="FFF8E6"/>
          </w:tcPr>
          <w:p>
            <w:pPr/>
          </w:p>
        </w:tc>
        <w:tc>
          <w:tcPr>
            <w:tcW w:w="1217"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深圳市酷动数码有限公司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合肥酷动数码科技有限公司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合肥</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合肥</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石家庄酷动数码有限公司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石家庄</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石家庄</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1"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厦门酷动数码产品有限公司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厦门</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厦门</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福州酷动数码产品有限公司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福州</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福州</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西安市乐动电子数码有限公司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西安</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西安</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bl>
    <w:p>
      <w:pPr>
        <w:spacing w:after="0" w:line="240" w:lineRule="auto"/>
        <w:jc w:val="left"/>
        <w:rPr>
          <w:rFonts w:ascii="华文细黑" w:hAnsi="华文细黑" w:cs="华文细黑" w:eastAsia="华文细黑" w:hint="default"/>
          <w:sz w:val="18"/>
          <w:szCs w:val="18"/>
        </w:rPr>
        <w:sectPr>
          <w:pgSz w:w="11910" w:h="16840"/>
          <w:pgMar w:header="917" w:footer="1019" w:top="1100" w:bottom="1200" w:left="114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1" w:type="dxa"/>
        <w:tblLayout w:type="fixed"/>
        <w:tblCellMar>
          <w:top w:w="0" w:type="dxa"/>
          <w:left w:w="0" w:type="dxa"/>
          <w:bottom w:w="0" w:type="dxa"/>
          <w:right w:w="0" w:type="dxa"/>
        </w:tblCellMar>
        <w:tblLook w:val="01E0"/>
      </w:tblPr>
      <w:tblGrid>
        <w:gridCol w:w="3585"/>
        <w:gridCol w:w="1005"/>
        <w:gridCol w:w="1064"/>
        <w:gridCol w:w="994"/>
        <w:gridCol w:w="850"/>
        <w:gridCol w:w="710"/>
        <w:gridCol w:w="1217"/>
      </w:tblGrid>
      <w:tr>
        <w:trPr>
          <w:trHeight w:val="251" w:hRule="exact"/>
        </w:trPr>
        <w:tc>
          <w:tcPr>
            <w:tcW w:w="3585" w:type="dxa"/>
            <w:tcBorders>
              <w:top w:val="single" w:sz="4" w:space="0" w:color="FFC000"/>
              <w:left w:val="single" w:sz="4" w:space="0" w:color="FFC000"/>
              <w:bottom w:val="nil" w:sz="6" w:space="0" w:color="auto"/>
              <w:right w:val="single" w:sz="4" w:space="0" w:color="FFC000"/>
            </w:tcBorders>
            <w:shd w:val="clear" w:color="auto" w:fill="FFF8E6"/>
          </w:tcPr>
          <w:p>
            <w:pPr/>
          </w:p>
        </w:tc>
        <w:tc>
          <w:tcPr>
            <w:tcW w:w="1005" w:type="dxa"/>
            <w:tcBorders>
              <w:top w:val="single" w:sz="4" w:space="0" w:color="FFC000"/>
              <w:left w:val="single" w:sz="4" w:space="0" w:color="FFC000"/>
              <w:bottom w:val="nil" w:sz="6" w:space="0" w:color="auto"/>
              <w:right w:val="single" w:sz="4" w:space="0" w:color="FFC000"/>
            </w:tcBorders>
            <w:shd w:val="clear" w:color="auto" w:fill="FFF8E6"/>
          </w:tcPr>
          <w:p>
            <w:pPr/>
          </w:p>
        </w:tc>
        <w:tc>
          <w:tcPr>
            <w:tcW w:w="1064" w:type="dxa"/>
            <w:tcBorders>
              <w:top w:val="single" w:sz="4" w:space="0" w:color="FFC000"/>
              <w:left w:val="single" w:sz="4" w:space="0" w:color="FFC000"/>
              <w:bottom w:val="nil" w:sz="6" w:space="0" w:color="auto"/>
              <w:right w:val="single" w:sz="4" w:space="0" w:color="FFC000"/>
            </w:tcBorders>
            <w:shd w:val="clear" w:color="auto" w:fill="FFF8E6"/>
          </w:tcPr>
          <w:p>
            <w:pPr/>
          </w:p>
        </w:tc>
        <w:tc>
          <w:tcPr>
            <w:tcW w:w="994" w:type="dxa"/>
            <w:tcBorders>
              <w:top w:val="single" w:sz="4" w:space="0" w:color="FFC000"/>
              <w:left w:val="single" w:sz="4" w:space="0" w:color="FFC000"/>
              <w:bottom w:val="nil" w:sz="6" w:space="0" w:color="auto"/>
              <w:right w:val="single" w:sz="4" w:space="0" w:color="FFC000"/>
            </w:tcBorders>
            <w:shd w:val="clear" w:color="auto" w:fill="FFF8E6"/>
          </w:tcPr>
          <w:p>
            <w:pPr/>
          </w:p>
        </w:tc>
        <w:tc>
          <w:tcPr>
            <w:tcW w:w="1560"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7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持股比例（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）③</w:t>
            </w:r>
          </w:p>
        </w:tc>
        <w:tc>
          <w:tcPr>
            <w:tcW w:w="1217"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24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取得方式</w:t>
            </w:r>
          </w:p>
        </w:tc>
      </w:tr>
      <w:tr>
        <w:trPr>
          <w:trHeight w:val="239" w:hRule="exact"/>
        </w:trPr>
        <w:tc>
          <w:tcPr>
            <w:tcW w:w="3585"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子公司名称</w:t>
            </w:r>
          </w:p>
        </w:tc>
        <w:tc>
          <w:tcPr>
            <w:tcW w:w="1005"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5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主要经营地</w:t>
            </w:r>
          </w:p>
        </w:tc>
        <w:tc>
          <w:tcPr>
            <w:tcW w:w="1064"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25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注册地</w:t>
            </w:r>
          </w:p>
        </w:tc>
        <w:tc>
          <w:tcPr>
            <w:tcW w:w="994"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13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业务性质</w:t>
            </w:r>
          </w:p>
        </w:tc>
        <w:tc>
          <w:tcPr>
            <w:tcW w:w="1560" w:type="dxa"/>
            <w:gridSpan w:val="2"/>
            <w:vMerge/>
            <w:tcBorders>
              <w:left w:val="single" w:sz="4" w:space="0" w:color="FFC000"/>
              <w:bottom w:val="single" w:sz="4" w:space="0" w:color="FFC000"/>
              <w:right w:val="single" w:sz="4" w:space="0" w:color="FFC000"/>
            </w:tcBorders>
            <w:shd w:val="clear" w:color="auto" w:fill="FFF8E6"/>
          </w:tcPr>
          <w:p>
            <w:pPr/>
          </w:p>
        </w:tc>
        <w:tc>
          <w:tcPr>
            <w:tcW w:w="1217" w:type="dxa"/>
            <w:vMerge/>
            <w:tcBorders>
              <w:left w:val="single" w:sz="4" w:space="0" w:color="FFC000"/>
              <w:bottom w:val="single" w:sz="4" w:space="0" w:color="FFC000"/>
              <w:right w:val="single" w:sz="4" w:space="0" w:color="FFC000"/>
            </w:tcBorders>
            <w:shd w:val="clear" w:color="auto" w:fill="FFF8E6"/>
          </w:tcPr>
          <w:p>
            <w:pPr/>
          </w:p>
        </w:tc>
      </w:tr>
      <w:tr>
        <w:trPr>
          <w:trHeight w:val="241" w:hRule="exact"/>
        </w:trPr>
        <w:tc>
          <w:tcPr>
            <w:tcW w:w="3585" w:type="dxa"/>
            <w:vMerge/>
            <w:tcBorders>
              <w:left w:val="single" w:sz="4" w:space="0" w:color="FFC000"/>
              <w:bottom w:val="nil" w:sz="6" w:space="0" w:color="auto"/>
              <w:right w:val="single" w:sz="4" w:space="0" w:color="FFC000"/>
            </w:tcBorders>
            <w:shd w:val="clear" w:color="auto" w:fill="FFF8E6"/>
          </w:tcPr>
          <w:p>
            <w:pPr/>
          </w:p>
        </w:tc>
        <w:tc>
          <w:tcPr>
            <w:tcW w:w="1005" w:type="dxa"/>
            <w:vMerge/>
            <w:tcBorders>
              <w:left w:val="single" w:sz="4" w:space="0" w:color="FFC000"/>
              <w:bottom w:val="nil" w:sz="6" w:space="0" w:color="auto"/>
              <w:right w:val="single" w:sz="4" w:space="0" w:color="FFC000"/>
            </w:tcBorders>
            <w:shd w:val="clear" w:color="auto" w:fill="FFF8E6"/>
          </w:tcPr>
          <w:p>
            <w:pPr/>
          </w:p>
        </w:tc>
        <w:tc>
          <w:tcPr>
            <w:tcW w:w="1064" w:type="dxa"/>
            <w:vMerge/>
            <w:tcBorders>
              <w:left w:val="single" w:sz="4" w:space="0" w:color="FFC000"/>
              <w:bottom w:val="nil" w:sz="6" w:space="0" w:color="auto"/>
              <w:right w:val="single" w:sz="4" w:space="0" w:color="FFC000"/>
            </w:tcBorders>
            <w:shd w:val="clear" w:color="auto" w:fill="FFF8E6"/>
          </w:tcPr>
          <w:p>
            <w:pPr/>
          </w:p>
        </w:tc>
        <w:tc>
          <w:tcPr>
            <w:tcW w:w="994" w:type="dxa"/>
            <w:vMerge/>
            <w:tcBorders>
              <w:left w:val="single" w:sz="4" w:space="0" w:color="FFC000"/>
              <w:bottom w:val="nil" w:sz="6" w:space="0" w:color="auto"/>
              <w:right w:val="single" w:sz="4" w:space="0" w:color="FFC000"/>
            </w:tcBorders>
            <w:shd w:val="clear" w:color="auto" w:fill="FFF8E6"/>
          </w:tcPr>
          <w:p>
            <w:pPr/>
          </w:p>
        </w:tc>
        <w:tc>
          <w:tcPr>
            <w:tcW w:w="85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24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直接</w:t>
            </w:r>
          </w:p>
        </w:tc>
        <w:tc>
          <w:tcPr>
            <w:tcW w:w="71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17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间接</w:t>
            </w:r>
          </w:p>
        </w:tc>
        <w:tc>
          <w:tcPr>
            <w:tcW w:w="1217" w:type="dxa"/>
            <w:vMerge w:val="restart"/>
            <w:tcBorders>
              <w:top w:val="single" w:sz="4" w:space="0" w:color="FFC000"/>
              <w:left w:val="single" w:sz="4" w:space="0" w:color="FFC000"/>
              <w:right w:val="single" w:sz="4" w:space="0" w:color="FFC000"/>
            </w:tcBorders>
            <w:shd w:val="clear" w:color="auto" w:fill="FFF8E6"/>
          </w:tcPr>
          <w:p>
            <w:pPr/>
          </w:p>
        </w:tc>
      </w:tr>
      <w:tr>
        <w:trPr>
          <w:trHeight w:val="250" w:hRule="exact"/>
        </w:trPr>
        <w:tc>
          <w:tcPr>
            <w:tcW w:w="3585" w:type="dxa"/>
            <w:tcBorders>
              <w:top w:val="nil" w:sz="6" w:space="0" w:color="auto"/>
              <w:left w:val="single" w:sz="4" w:space="0" w:color="FFC000"/>
              <w:bottom w:val="single" w:sz="4" w:space="0" w:color="FFC000"/>
              <w:right w:val="single" w:sz="4" w:space="0" w:color="FFC000"/>
            </w:tcBorders>
            <w:shd w:val="clear" w:color="auto" w:fill="FFF8E6"/>
          </w:tcPr>
          <w:p>
            <w:pPr/>
          </w:p>
        </w:tc>
        <w:tc>
          <w:tcPr>
            <w:tcW w:w="1005" w:type="dxa"/>
            <w:tcBorders>
              <w:top w:val="nil" w:sz="6" w:space="0" w:color="auto"/>
              <w:left w:val="single" w:sz="4" w:space="0" w:color="FFC000"/>
              <w:bottom w:val="single" w:sz="4" w:space="0" w:color="FFC000"/>
              <w:right w:val="single" w:sz="4" w:space="0" w:color="FFC000"/>
            </w:tcBorders>
            <w:shd w:val="clear" w:color="auto" w:fill="FFF8E6"/>
          </w:tcPr>
          <w:p>
            <w:pPr/>
          </w:p>
        </w:tc>
        <w:tc>
          <w:tcPr>
            <w:tcW w:w="1064" w:type="dxa"/>
            <w:tcBorders>
              <w:top w:val="nil" w:sz="6" w:space="0" w:color="auto"/>
              <w:left w:val="single" w:sz="4" w:space="0" w:color="FFC000"/>
              <w:bottom w:val="single" w:sz="4" w:space="0" w:color="FFC000"/>
              <w:right w:val="single" w:sz="4" w:space="0" w:color="FFC000"/>
            </w:tcBorders>
            <w:shd w:val="clear" w:color="auto" w:fill="FFF8E6"/>
          </w:tcPr>
          <w:p>
            <w:pPr/>
          </w:p>
        </w:tc>
        <w:tc>
          <w:tcPr>
            <w:tcW w:w="994" w:type="dxa"/>
            <w:tcBorders>
              <w:top w:val="nil" w:sz="6" w:space="0" w:color="auto"/>
              <w:left w:val="single" w:sz="4" w:space="0" w:color="FFC000"/>
              <w:bottom w:val="single" w:sz="4" w:space="0" w:color="FFC000"/>
              <w:right w:val="single" w:sz="4" w:space="0" w:color="FFC000"/>
            </w:tcBorders>
            <w:shd w:val="clear" w:color="auto" w:fill="FFF8E6"/>
          </w:tcPr>
          <w:p>
            <w:pPr/>
          </w:p>
        </w:tc>
        <w:tc>
          <w:tcPr>
            <w:tcW w:w="850" w:type="dxa"/>
            <w:vMerge/>
            <w:tcBorders>
              <w:left w:val="single" w:sz="4" w:space="0" w:color="FFC000"/>
              <w:bottom w:val="single" w:sz="4" w:space="0" w:color="FFC000"/>
              <w:right w:val="single" w:sz="4" w:space="0" w:color="FFC000"/>
            </w:tcBorders>
            <w:shd w:val="clear" w:color="auto" w:fill="FFF8E6"/>
          </w:tcPr>
          <w:p>
            <w:pPr/>
          </w:p>
        </w:tc>
        <w:tc>
          <w:tcPr>
            <w:tcW w:w="710" w:type="dxa"/>
            <w:vMerge/>
            <w:tcBorders>
              <w:left w:val="single" w:sz="4" w:space="0" w:color="FFC000"/>
              <w:bottom w:val="single" w:sz="4" w:space="0" w:color="FFC000"/>
              <w:right w:val="single" w:sz="4" w:space="0" w:color="FFC000"/>
            </w:tcBorders>
            <w:shd w:val="clear" w:color="auto" w:fill="FFF8E6"/>
          </w:tcPr>
          <w:p>
            <w:pPr/>
          </w:p>
        </w:tc>
        <w:tc>
          <w:tcPr>
            <w:tcW w:w="1217"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南昌市酷动数码有限责任公司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南昌</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南昌</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南宁酷动数码产品有限公司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南宁</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南宁</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青岛酷动数码产品有限公司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青岛</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青岛</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济南乐动数码有限公司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济南</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济南</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武汉酷动商贸有限公司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武汉</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武汉</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郑州酷动电子产品有限公司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郑州</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郑州</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杭州酷动数码有限公司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杭州</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杭州</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宁波酷动数码有限公司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宁波</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宁波</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金华酷动数码有限公司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金华</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金华</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成都市酷动数码科技有限公司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成都</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成都</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天津乐动数码产品有限公司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天津</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天津</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海口酷动数码有限公司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海口</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海口</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pacing w:val="-1"/>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北京乐动数码商贸有限公司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唐山酷动商贸有限公司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唐山</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唐山</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南京酷之动数码产品有限公司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南京</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南京</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苏州乐动数码产品有限公司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苏州</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苏州</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赣州市酷动数码有限公司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赣州</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赣州</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西藏乐意数码有限公司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拉萨</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拉萨</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长沙酷动数码产品有限公司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长沙</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长沙</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深圳市合烁数码有限公司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天津市乐潮数码科技有限公司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天津</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天津</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深圳市爱施德通讯科技有限公司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上海爱仕得通讯器材有限公司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上海</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上海</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1"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福建爱施迪通讯器材有限公司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福州</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福州</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北京酷人通讯科技有限公司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1"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天津酷人通讯科技有限公司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天津</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天津</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bl>
    <w:p>
      <w:pPr>
        <w:spacing w:after="0" w:line="240" w:lineRule="auto"/>
        <w:jc w:val="left"/>
        <w:rPr>
          <w:rFonts w:ascii="华文细黑" w:hAnsi="华文细黑" w:cs="华文细黑" w:eastAsia="华文细黑" w:hint="default"/>
          <w:sz w:val="18"/>
          <w:szCs w:val="18"/>
        </w:rPr>
        <w:sectPr>
          <w:pgSz w:w="11910" w:h="16840"/>
          <w:pgMar w:header="917" w:footer="1019" w:top="1100" w:bottom="1200" w:left="114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1" w:type="dxa"/>
        <w:tblLayout w:type="fixed"/>
        <w:tblCellMar>
          <w:top w:w="0" w:type="dxa"/>
          <w:left w:w="0" w:type="dxa"/>
          <w:bottom w:w="0" w:type="dxa"/>
          <w:right w:w="0" w:type="dxa"/>
        </w:tblCellMar>
        <w:tblLook w:val="01E0"/>
      </w:tblPr>
      <w:tblGrid>
        <w:gridCol w:w="3585"/>
        <w:gridCol w:w="1005"/>
        <w:gridCol w:w="1064"/>
        <w:gridCol w:w="994"/>
        <w:gridCol w:w="850"/>
        <w:gridCol w:w="710"/>
        <w:gridCol w:w="1217"/>
      </w:tblGrid>
      <w:tr>
        <w:trPr>
          <w:trHeight w:val="251" w:hRule="exact"/>
        </w:trPr>
        <w:tc>
          <w:tcPr>
            <w:tcW w:w="3585" w:type="dxa"/>
            <w:tcBorders>
              <w:top w:val="single" w:sz="4" w:space="0" w:color="FFC000"/>
              <w:left w:val="single" w:sz="4" w:space="0" w:color="FFC000"/>
              <w:bottom w:val="nil" w:sz="6" w:space="0" w:color="auto"/>
              <w:right w:val="single" w:sz="4" w:space="0" w:color="FFC000"/>
            </w:tcBorders>
            <w:shd w:val="clear" w:color="auto" w:fill="FFF8E6"/>
          </w:tcPr>
          <w:p>
            <w:pPr/>
          </w:p>
        </w:tc>
        <w:tc>
          <w:tcPr>
            <w:tcW w:w="1005" w:type="dxa"/>
            <w:tcBorders>
              <w:top w:val="single" w:sz="4" w:space="0" w:color="FFC000"/>
              <w:left w:val="single" w:sz="4" w:space="0" w:color="FFC000"/>
              <w:bottom w:val="nil" w:sz="6" w:space="0" w:color="auto"/>
              <w:right w:val="single" w:sz="4" w:space="0" w:color="FFC000"/>
            </w:tcBorders>
            <w:shd w:val="clear" w:color="auto" w:fill="FFF8E6"/>
          </w:tcPr>
          <w:p>
            <w:pPr/>
          </w:p>
        </w:tc>
        <w:tc>
          <w:tcPr>
            <w:tcW w:w="1064" w:type="dxa"/>
            <w:tcBorders>
              <w:top w:val="single" w:sz="4" w:space="0" w:color="FFC000"/>
              <w:left w:val="single" w:sz="4" w:space="0" w:color="FFC000"/>
              <w:bottom w:val="nil" w:sz="6" w:space="0" w:color="auto"/>
              <w:right w:val="single" w:sz="4" w:space="0" w:color="FFC000"/>
            </w:tcBorders>
            <w:shd w:val="clear" w:color="auto" w:fill="FFF8E6"/>
          </w:tcPr>
          <w:p>
            <w:pPr/>
          </w:p>
        </w:tc>
        <w:tc>
          <w:tcPr>
            <w:tcW w:w="994" w:type="dxa"/>
            <w:tcBorders>
              <w:top w:val="single" w:sz="4" w:space="0" w:color="FFC000"/>
              <w:left w:val="single" w:sz="4" w:space="0" w:color="FFC000"/>
              <w:bottom w:val="nil" w:sz="6" w:space="0" w:color="auto"/>
              <w:right w:val="single" w:sz="4" w:space="0" w:color="FFC000"/>
            </w:tcBorders>
            <w:shd w:val="clear" w:color="auto" w:fill="FFF8E6"/>
          </w:tcPr>
          <w:p>
            <w:pPr/>
          </w:p>
        </w:tc>
        <w:tc>
          <w:tcPr>
            <w:tcW w:w="1560"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7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持股比例（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）③</w:t>
            </w:r>
          </w:p>
        </w:tc>
        <w:tc>
          <w:tcPr>
            <w:tcW w:w="1217"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24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取得方式</w:t>
            </w:r>
          </w:p>
        </w:tc>
      </w:tr>
      <w:tr>
        <w:trPr>
          <w:trHeight w:val="239" w:hRule="exact"/>
        </w:trPr>
        <w:tc>
          <w:tcPr>
            <w:tcW w:w="3585"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子公司名称</w:t>
            </w:r>
          </w:p>
        </w:tc>
        <w:tc>
          <w:tcPr>
            <w:tcW w:w="1005"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5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主要经营地</w:t>
            </w:r>
          </w:p>
        </w:tc>
        <w:tc>
          <w:tcPr>
            <w:tcW w:w="1064"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25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注册地</w:t>
            </w:r>
          </w:p>
        </w:tc>
        <w:tc>
          <w:tcPr>
            <w:tcW w:w="994"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13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业务性质</w:t>
            </w:r>
          </w:p>
        </w:tc>
        <w:tc>
          <w:tcPr>
            <w:tcW w:w="1560" w:type="dxa"/>
            <w:gridSpan w:val="2"/>
            <w:vMerge/>
            <w:tcBorders>
              <w:left w:val="single" w:sz="4" w:space="0" w:color="FFC000"/>
              <w:bottom w:val="single" w:sz="4" w:space="0" w:color="FFC000"/>
              <w:right w:val="single" w:sz="4" w:space="0" w:color="FFC000"/>
            </w:tcBorders>
            <w:shd w:val="clear" w:color="auto" w:fill="FFF8E6"/>
          </w:tcPr>
          <w:p>
            <w:pPr/>
          </w:p>
        </w:tc>
        <w:tc>
          <w:tcPr>
            <w:tcW w:w="1217" w:type="dxa"/>
            <w:vMerge/>
            <w:tcBorders>
              <w:left w:val="single" w:sz="4" w:space="0" w:color="FFC000"/>
              <w:bottom w:val="single" w:sz="4" w:space="0" w:color="FFC000"/>
              <w:right w:val="single" w:sz="4" w:space="0" w:color="FFC000"/>
            </w:tcBorders>
            <w:shd w:val="clear" w:color="auto" w:fill="FFF8E6"/>
          </w:tcPr>
          <w:p>
            <w:pPr/>
          </w:p>
        </w:tc>
      </w:tr>
      <w:tr>
        <w:trPr>
          <w:trHeight w:val="241" w:hRule="exact"/>
        </w:trPr>
        <w:tc>
          <w:tcPr>
            <w:tcW w:w="3585" w:type="dxa"/>
            <w:vMerge/>
            <w:tcBorders>
              <w:left w:val="single" w:sz="4" w:space="0" w:color="FFC000"/>
              <w:bottom w:val="nil" w:sz="6" w:space="0" w:color="auto"/>
              <w:right w:val="single" w:sz="4" w:space="0" w:color="FFC000"/>
            </w:tcBorders>
            <w:shd w:val="clear" w:color="auto" w:fill="FFF8E6"/>
          </w:tcPr>
          <w:p>
            <w:pPr/>
          </w:p>
        </w:tc>
        <w:tc>
          <w:tcPr>
            <w:tcW w:w="1005" w:type="dxa"/>
            <w:vMerge/>
            <w:tcBorders>
              <w:left w:val="single" w:sz="4" w:space="0" w:color="FFC000"/>
              <w:bottom w:val="nil" w:sz="6" w:space="0" w:color="auto"/>
              <w:right w:val="single" w:sz="4" w:space="0" w:color="FFC000"/>
            </w:tcBorders>
            <w:shd w:val="clear" w:color="auto" w:fill="FFF8E6"/>
          </w:tcPr>
          <w:p>
            <w:pPr/>
          </w:p>
        </w:tc>
        <w:tc>
          <w:tcPr>
            <w:tcW w:w="1064" w:type="dxa"/>
            <w:vMerge/>
            <w:tcBorders>
              <w:left w:val="single" w:sz="4" w:space="0" w:color="FFC000"/>
              <w:bottom w:val="nil" w:sz="6" w:space="0" w:color="auto"/>
              <w:right w:val="single" w:sz="4" w:space="0" w:color="FFC000"/>
            </w:tcBorders>
            <w:shd w:val="clear" w:color="auto" w:fill="FFF8E6"/>
          </w:tcPr>
          <w:p>
            <w:pPr/>
          </w:p>
        </w:tc>
        <w:tc>
          <w:tcPr>
            <w:tcW w:w="994" w:type="dxa"/>
            <w:vMerge/>
            <w:tcBorders>
              <w:left w:val="single" w:sz="4" w:space="0" w:color="FFC000"/>
              <w:bottom w:val="nil" w:sz="6" w:space="0" w:color="auto"/>
              <w:right w:val="single" w:sz="4" w:space="0" w:color="FFC000"/>
            </w:tcBorders>
            <w:shd w:val="clear" w:color="auto" w:fill="FFF8E6"/>
          </w:tcPr>
          <w:p>
            <w:pPr/>
          </w:p>
        </w:tc>
        <w:tc>
          <w:tcPr>
            <w:tcW w:w="85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24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直接</w:t>
            </w:r>
          </w:p>
        </w:tc>
        <w:tc>
          <w:tcPr>
            <w:tcW w:w="71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17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间接</w:t>
            </w:r>
          </w:p>
        </w:tc>
        <w:tc>
          <w:tcPr>
            <w:tcW w:w="1217" w:type="dxa"/>
            <w:vMerge w:val="restart"/>
            <w:tcBorders>
              <w:top w:val="single" w:sz="4" w:space="0" w:color="FFC000"/>
              <w:left w:val="single" w:sz="4" w:space="0" w:color="FFC000"/>
              <w:right w:val="single" w:sz="4" w:space="0" w:color="FFC000"/>
            </w:tcBorders>
            <w:shd w:val="clear" w:color="auto" w:fill="FFF8E6"/>
          </w:tcPr>
          <w:p>
            <w:pPr/>
          </w:p>
        </w:tc>
      </w:tr>
      <w:tr>
        <w:trPr>
          <w:trHeight w:val="250" w:hRule="exact"/>
        </w:trPr>
        <w:tc>
          <w:tcPr>
            <w:tcW w:w="3585" w:type="dxa"/>
            <w:tcBorders>
              <w:top w:val="nil" w:sz="6" w:space="0" w:color="auto"/>
              <w:left w:val="single" w:sz="4" w:space="0" w:color="FFC000"/>
              <w:bottom w:val="single" w:sz="4" w:space="0" w:color="FFC000"/>
              <w:right w:val="single" w:sz="4" w:space="0" w:color="FFC000"/>
            </w:tcBorders>
            <w:shd w:val="clear" w:color="auto" w:fill="FFF8E6"/>
          </w:tcPr>
          <w:p>
            <w:pPr/>
          </w:p>
        </w:tc>
        <w:tc>
          <w:tcPr>
            <w:tcW w:w="1005" w:type="dxa"/>
            <w:tcBorders>
              <w:top w:val="nil" w:sz="6" w:space="0" w:color="auto"/>
              <w:left w:val="single" w:sz="4" w:space="0" w:color="FFC000"/>
              <w:bottom w:val="single" w:sz="4" w:space="0" w:color="FFC000"/>
              <w:right w:val="single" w:sz="4" w:space="0" w:color="FFC000"/>
            </w:tcBorders>
            <w:shd w:val="clear" w:color="auto" w:fill="FFF8E6"/>
          </w:tcPr>
          <w:p>
            <w:pPr/>
          </w:p>
        </w:tc>
        <w:tc>
          <w:tcPr>
            <w:tcW w:w="1064" w:type="dxa"/>
            <w:tcBorders>
              <w:top w:val="nil" w:sz="6" w:space="0" w:color="auto"/>
              <w:left w:val="single" w:sz="4" w:space="0" w:color="FFC000"/>
              <w:bottom w:val="single" w:sz="4" w:space="0" w:color="FFC000"/>
              <w:right w:val="single" w:sz="4" w:space="0" w:color="FFC000"/>
            </w:tcBorders>
            <w:shd w:val="clear" w:color="auto" w:fill="FFF8E6"/>
          </w:tcPr>
          <w:p>
            <w:pPr/>
          </w:p>
        </w:tc>
        <w:tc>
          <w:tcPr>
            <w:tcW w:w="994" w:type="dxa"/>
            <w:tcBorders>
              <w:top w:val="nil" w:sz="6" w:space="0" w:color="auto"/>
              <w:left w:val="single" w:sz="4" w:space="0" w:color="FFC000"/>
              <w:bottom w:val="single" w:sz="4" w:space="0" w:color="FFC000"/>
              <w:right w:val="single" w:sz="4" w:space="0" w:color="FFC000"/>
            </w:tcBorders>
            <w:shd w:val="clear" w:color="auto" w:fill="FFF8E6"/>
          </w:tcPr>
          <w:p>
            <w:pPr/>
          </w:p>
        </w:tc>
        <w:tc>
          <w:tcPr>
            <w:tcW w:w="850" w:type="dxa"/>
            <w:vMerge/>
            <w:tcBorders>
              <w:left w:val="single" w:sz="4" w:space="0" w:color="FFC000"/>
              <w:bottom w:val="single" w:sz="4" w:space="0" w:color="FFC000"/>
              <w:right w:val="single" w:sz="4" w:space="0" w:color="FFC000"/>
            </w:tcBorders>
            <w:shd w:val="clear" w:color="auto" w:fill="FFF8E6"/>
          </w:tcPr>
          <w:p>
            <w:pPr/>
          </w:p>
        </w:tc>
        <w:tc>
          <w:tcPr>
            <w:tcW w:w="710" w:type="dxa"/>
            <w:vMerge/>
            <w:tcBorders>
              <w:left w:val="single" w:sz="4" w:space="0" w:color="FFC000"/>
              <w:bottom w:val="single" w:sz="4" w:space="0" w:color="FFC000"/>
              <w:right w:val="single" w:sz="4" w:space="0" w:color="FFC000"/>
            </w:tcBorders>
            <w:shd w:val="clear" w:color="auto" w:fill="FFF8E6"/>
          </w:tcPr>
          <w:p>
            <w:pPr/>
          </w:p>
        </w:tc>
        <w:tc>
          <w:tcPr>
            <w:tcW w:w="1217"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深圳市乐享无限文化有限公司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西藏酷爱通信有限公司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拉萨</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拉萨</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北京酷沃通讯器材有限公司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100.00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北京瑞成汇达科技有限公司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北京酷玩瑞成网络信息有限责任公司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205" w:hRule="exact"/>
        </w:trPr>
        <w:tc>
          <w:tcPr>
            <w:tcW w:w="3585" w:type="dxa"/>
            <w:tcBorders>
              <w:top w:val="single" w:sz="4" w:space="0" w:color="FFC000"/>
              <w:left w:val="single" w:sz="4" w:space="0" w:color="FFC000"/>
              <w:bottom w:val="nil" w:sz="6" w:space="0" w:color="auto"/>
              <w:right w:val="single" w:sz="4" w:space="0" w:color="FFC000"/>
            </w:tcBorders>
            <w:shd w:val="clear" w:color="auto" w:fill="FFF8E6"/>
          </w:tcPr>
          <w:p>
            <w:pPr/>
          </w:p>
        </w:tc>
        <w:tc>
          <w:tcPr>
            <w:tcW w:w="1005" w:type="dxa"/>
            <w:vMerge w:val="restart"/>
            <w:tcBorders>
              <w:top w:val="single" w:sz="4" w:space="0" w:color="FFC000"/>
              <w:left w:val="single" w:sz="9" w:space="0" w:color="FFF8E6"/>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right="19"/>
              <w:jc w:val="right"/>
              <w:rPr>
                <w:rFonts w:ascii="华文细黑" w:hAnsi="华文细黑" w:cs="华文细黑" w:eastAsia="华文细黑" w:hint="default"/>
                <w:sz w:val="18"/>
                <w:szCs w:val="18"/>
              </w:rPr>
            </w:pPr>
            <w:r>
              <w:rPr>
                <w:rFonts w:ascii="华文细黑"/>
                <w:sz w:val="18"/>
              </w:rPr>
              <w:t>---</w:t>
            </w:r>
          </w:p>
        </w:tc>
        <w:tc>
          <w:tcPr>
            <w:tcW w:w="71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129" w:right="0"/>
              <w:jc w:val="left"/>
              <w:rPr>
                <w:rFonts w:ascii="华文细黑" w:hAnsi="华文细黑" w:cs="华文细黑" w:eastAsia="华文细黑" w:hint="default"/>
                <w:sz w:val="18"/>
                <w:szCs w:val="18"/>
              </w:rPr>
            </w:pPr>
            <w:r>
              <w:rPr>
                <w:rFonts w:ascii="华文细黑"/>
                <w:sz w:val="18"/>
              </w:rPr>
              <w:t>100.00</w:t>
            </w:r>
          </w:p>
        </w:tc>
        <w:tc>
          <w:tcPr>
            <w:tcW w:w="1217" w:type="dxa"/>
            <w:vMerge w:val="restart"/>
            <w:tcBorders>
              <w:top w:val="single" w:sz="4" w:space="0" w:color="FFC000"/>
              <w:left w:val="single" w:sz="4" w:space="0" w:color="FFC000"/>
              <w:right w:val="single" w:sz="4" w:space="0" w:color="FFC000"/>
            </w:tcBorders>
          </w:tcPr>
          <w:p>
            <w:pPr>
              <w:pStyle w:val="TableParagraph"/>
              <w:spacing w:line="376" w:lineRule="auto" w:before="144"/>
              <w:ind w:left="24"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非同一控制下 合并取得</w:t>
            </w:r>
          </w:p>
        </w:tc>
      </w:tr>
      <w:tr>
        <w:trPr>
          <w:trHeight w:val="480" w:hRule="exact"/>
        </w:trPr>
        <w:tc>
          <w:tcPr>
            <w:tcW w:w="3585"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深圳市安派易讯移动科技有限公司</w:t>
            </w:r>
          </w:p>
        </w:tc>
        <w:tc>
          <w:tcPr>
            <w:tcW w:w="1005" w:type="dxa"/>
            <w:vMerge/>
            <w:tcBorders>
              <w:left w:val="single" w:sz="9" w:space="0" w:color="FFF8E6"/>
              <w:right w:val="single" w:sz="4" w:space="0" w:color="FFC000"/>
            </w:tcBorders>
          </w:tcPr>
          <w:p>
            <w:pPr/>
          </w:p>
        </w:tc>
        <w:tc>
          <w:tcPr>
            <w:tcW w:w="1064" w:type="dxa"/>
            <w:vMerge/>
            <w:tcBorders>
              <w:left w:val="single" w:sz="4" w:space="0" w:color="FFC000"/>
              <w:right w:val="single" w:sz="4" w:space="0" w:color="FFC000"/>
            </w:tcBorders>
          </w:tcPr>
          <w:p>
            <w:pPr/>
          </w:p>
        </w:tc>
        <w:tc>
          <w:tcPr>
            <w:tcW w:w="994" w:type="dxa"/>
            <w:vMerge/>
            <w:tcBorders>
              <w:left w:val="single" w:sz="4" w:space="0" w:color="FFC000"/>
              <w:right w:val="single" w:sz="4" w:space="0" w:color="FFC000"/>
            </w:tcBorders>
          </w:tcPr>
          <w:p>
            <w:pPr/>
          </w:p>
        </w:tc>
        <w:tc>
          <w:tcPr>
            <w:tcW w:w="850" w:type="dxa"/>
            <w:vMerge/>
            <w:tcBorders>
              <w:left w:val="single" w:sz="4" w:space="0" w:color="FFC000"/>
              <w:right w:val="single" w:sz="4" w:space="0" w:color="FFC000"/>
            </w:tcBorders>
          </w:tcPr>
          <w:p>
            <w:pPr/>
          </w:p>
        </w:tc>
        <w:tc>
          <w:tcPr>
            <w:tcW w:w="710" w:type="dxa"/>
            <w:vMerge/>
            <w:tcBorders>
              <w:left w:val="single" w:sz="4" w:space="0" w:color="FFC000"/>
              <w:right w:val="single" w:sz="4" w:space="0" w:color="FFC000"/>
            </w:tcBorders>
          </w:tcPr>
          <w:p>
            <w:pPr/>
          </w:p>
        </w:tc>
        <w:tc>
          <w:tcPr>
            <w:tcW w:w="1217" w:type="dxa"/>
            <w:vMerge/>
            <w:tcBorders>
              <w:left w:val="single" w:sz="4" w:space="0" w:color="FFC000"/>
              <w:right w:val="single" w:sz="4" w:space="0" w:color="FFC000"/>
            </w:tcBorders>
          </w:tcPr>
          <w:p>
            <w:pPr/>
          </w:p>
        </w:tc>
      </w:tr>
      <w:tr>
        <w:trPr>
          <w:trHeight w:val="205" w:hRule="exact"/>
        </w:trPr>
        <w:tc>
          <w:tcPr>
            <w:tcW w:w="3585" w:type="dxa"/>
            <w:tcBorders>
              <w:top w:val="nil" w:sz="6" w:space="0" w:color="auto"/>
              <w:left w:val="single" w:sz="4" w:space="0" w:color="FFC000"/>
              <w:bottom w:val="single" w:sz="4" w:space="0" w:color="FFC000"/>
              <w:right w:val="single" w:sz="4" w:space="0" w:color="FFC000"/>
            </w:tcBorders>
            <w:shd w:val="clear" w:color="auto" w:fill="FFF8E6"/>
          </w:tcPr>
          <w:p>
            <w:pPr/>
          </w:p>
        </w:tc>
        <w:tc>
          <w:tcPr>
            <w:tcW w:w="1005" w:type="dxa"/>
            <w:vMerge/>
            <w:tcBorders>
              <w:left w:val="single" w:sz="9" w:space="0" w:color="FFF8E6"/>
              <w:bottom w:val="single" w:sz="4" w:space="0" w:color="FFC000"/>
              <w:right w:val="single" w:sz="4" w:space="0" w:color="FFC000"/>
            </w:tcBorders>
          </w:tcPr>
          <w:p>
            <w:pPr/>
          </w:p>
        </w:tc>
        <w:tc>
          <w:tcPr>
            <w:tcW w:w="1064" w:type="dxa"/>
            <w:vMerge/>
            <w:tcBorders>
              <w:left w:val="single" w:sz="4" w:space="0" w:color="FFC000"/>
              <w:bottom w:val="single" w:sz="4" w:space="0" w:color="FFC000"/>
              <w:right w:val="single" w:sz="4" w:space="0" w:color="FFC000"/>
            </w:tcBorders>
          </w:tcPr>
          <w:p>
            <w:pPr/>
          </w:p>
        </w:tc>
        <w:tc>
          <w:tcPr>
            <w:tcW w:w="994" w:type="dxa"/>
            <w:vMerge/>
            <w:tcBorders>
              <w:left w:val="single" w:sz="4" w:space="0" w:color="FFC000"/>
              <w:bottom w:val="single" w:sz="4" w:space="0" w:color="FFC000"/>
              <w:right w:val="single" w:sz="4" w:space="0" w:color="FFC000"/>
            </w:tcBorders>
          </w:tcPr>
          <w:p>
            <w:pPr/>
          </w:p>
        </w:tc>
        <w:tc>
          <w:tcPr>
            <w:tcW w:w="850" w:type="dxa"/>
            <w:vMerge/>
            <w:tcBorders>
              <w:left w:val="single" w:sz="4" w:space="0" w:color="FFC000"/>
              <w:bottom w:val="single" w:sz="4" w:space="0" w:color="FFC000"/>
              <w:right w:val="single" w:sz="4" w:space="0" w:color="FFC000"/>
            </w:tcBorders>
          </w:tcPr>
          <w:p>
            <w:pPr/>
          </w:p>
        </w:tc>
        <w:tc>
          <w:tcPr>
            <w:tcW w:w="710" w:type="dxa"/>
            <w:vMerge/>
            <w:tcBorders>
              <w:left w:val="single" w:sz="4" w:space="0" w:color="FFC000"/>
              <w:bottom w:val="single" w:sz="4" w:space="0" w:color="FFC000"/>
              <w:right w:val="single" w:sz="4" w:space="0" w:color="FFC000"/>
            </w:tcBorders>
          </w:tcPr>
          <w:p>
            <w:pPr/>
          </w:p>
        </w:tc>
        <w:tc>
          <w:tcPr>
            <w:tcW w:w="1217" w:type="dxa"/>
            <w:vMerge/>
            <w:tcBorders>
              <w:left w:val="single" w:sz="4" w:space="0" w:color="FFC000"/>
              <w:bottom w:val="single" w:sz="4" w:space="0" w:color="FFC000"/>
              <w:right w:val="single" w:sz="4" w:space="0" w:color="FFC000"/>
            </w:tcBorders>
          </w:tcPr>
          <w:p>
            <w:pP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深圳市网爱金融服务有限公司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互联网</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51.00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深圳由你网络技术有限公司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互联网</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51.00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深圳市凯辰网络有限公司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51.00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深圳市新凯辰科技有限公司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51.00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205" w:hRule="exact"/>
        </w:trPr>
        <w:tc>
          <w:tcPr>
            <w:tcW w:w="3585" w:type="dxa"/>
            <w:tcBorders>
              <w:top w:val="single" w:sz="4" w:space="0" w:color="FFC000"/>
              <w:left w:val="single" w:sz="4" w:space="0" w:color="FFC000"/>
              <w:bottom w:val="nil" w:sz="6" w:space="0" w:color="auto"/>
              <w:right w:val="single" w:sz="4" w:space="0" w:color="FFC000"/>
            </w:tcBorders>
            <w:shd w:val="clear" w:color="auto" w:fill="FFF8E6"/>
          </w:tcPr>
          <w:p>
            <w:pPr/>
          </w:p>
        </w:tc>
        <w:tc>
          <w:tcPr>
            <w:tcW w:w="1005" w:type="dxa"/>
            <w:vMerge w:val="restart"/>
            <w:tcBorders>
              <w:top w:val="single" w:sz="4" w:space="0" w:color="FFC000"/>
              <w:left w:val="single" w:sz="9" w:space="0" w:color="FFF8E6"/>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海口</w:t>
            </w:r>
          </w:p>
        </w:tc>
        <w:tc>
          <w:tcPr>
            <w:tcW w:w="106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海口</w:t>
            </w:r>
          </w:p>
        </w:tc>
        <w:tc>
          <w:tcPr>
            <w:tcW w:w="99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金融业</w:t>
            </w:r>
          </w:p>
        </w:tc>
        <w:tc>
          <w:tcPr>
            <w:tcW w:w="85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right="19"/>
              <w:jc w:val="right"/>
              <w:rPr>
                <w:rFonts w:ascii="华文细黑" w:hAnsi="华文细黑" w:cs="华文细黑" w:eastAsia="华文细黑" w:hint="default"/>
                <w:sz w:val="18"/>
                <w:szCs w:val="18"/>
              </w:rPr>
            </w:pPr>
            <w:r>
              <w:rPr>
                <w:rFonts w:ascii="华文细黑"/>
                <w:sz w:val="18"/>
              </w:rPr>
              <w:t>---</w:t>
            </w:r>
          </w:p>
        </w:tc>
        <w:tc>
          <w:tcPr>
            <w:tcW w:w="71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29" w:right="0"/>
              <w:jc w:val="left"/>
              <w:rPr>
                <w:rFonts w:ascii="华文细黑" w:hAnsi="华文细黑" w:cs="华文细黑" w:eastAsia="华文细黑" w:hint="default"/>
                <w:sz w:val="18"/>
                <w:szCs w:val="18"/>
              </w:rPr>
            </w:pPr>
            <w:r>
              <w:rPr>
                <w:rFonts w:ascii="华文细黑"/>
                <w:sz w:val="18"/>
              </w:rPr>
              <w:t>51.00</w:t>
            </w:r>
          </w:p>
        </w:tc>
        <w:tc>
          <w:tcPr>
            <w:tcW w:w="1217" w:type="dxa"/>
            <w:vMerge w:val="restart"/>
            <w:tcBorders>
              <w:top w:val="single" w:sz="4" w:space="0" w:color="FFC000"/>
              <w:left w:val="single" w:sz="4" w:space="0" w:color="FFC000"/>
              <w:right w:val="single" w:sz="4" w:space="0" w:color="FFC000"/>
            </w:tcBorders>
          </w:tcPr>
          <w:p>
            <w:pPr>
              <w:pStyle w:val="TableParagraph"/>
              <w:spacing w:line="376" w:lineRule="auto" w:before="144"/>
              <w:ind w:left="24"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非同一控制下 合并取得</w:t>
            </w:r>
          </w:p>
        </w:tc>
      </w:tr>
      <w:tr>
        <w:trPr>
          <w:trHeight w:val="480" w:hRule="exact"/>
        </w:trPr>
        <w:tc>
          <w:tcPr>
            <w:tcW w:w="3585"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海南先锋网信小额贷款有限公司</w:t>
            </w:r>
          </w:p>
        </w:tc>
        <w:tc>
          <w:tcPr>
            <w:tcW w:w="1005" w:type="dxa"/>
            <w:vMerge/>
            <w:tcBorders>
              <w:left w:val="single" w:sz="9" w:space="0" w:color="FFF8E6"/>
              <w:right w:val="single" w:sz="4" w:space="0" w:color="FFC000"/>
            </w:tcBorders>
          </w:tcPr>
          <w:p>
            <w:pPr/>
          </w:p>
        </w:tc>
        <w:tc>
          <w:tcPr>
            <w:tcW w:w="1064" w:type="dxa"/>
            <w:vMerge/>
            <w:tcBorders>
              <w:left w:val="single" w:sz="4" w:space="0" w:color="FFC000"/>
              <w:right w:val="single" w:sz="4" w:space="0" w:color="FFC000"/>
            </w:tcBorders>
          </w:tcPr>
          <w:p>
            <w:pPr/>
          </w:p>
        </w:tc>
        <w:tc>
          <w:tcPr>
            <w:tcW w:w="994" w:type="dxa"/>
            <w:vMerge/>
            <w:tcBorders>
              <w:left w:val="single" w:sz="4" w:space="0" w:color="FFC000"/>
              <w:right w:val="single" w:sz="4" w:space="0" w:color="FFC000"/>
            </w:tcBorders>
          </w:tcPr>
          <w:p>
            <w:pPr/>
          </w:p>
        </w:tc>
        <w:tc>
          <w:tcPr>
            <w:tcW w:w="850" w:type="dxa"/>
            <w:vMerge/>
            <w:tcBorders>
              <w:left w:val="single" w:sz="4" w:space="0" w:color="FFC000"/>
              <w:right w:val="single" w:sz="4" w:space="0" w:color="FFC000"/>
            </w:tcBorders>
          </w:tcPr>
          <w:p>
            <w:pPr/>
          </w:p>
        </w:tc>
        <w:tc>
          <w:tcPr>
            <w:tcW w:w="710" w:type="dxa"/>
            <w:vMerge/>
            <w:tcBorders>
              <w:left w:val="single" w:sz="4" w:space="0" w:color="FFC000"/>
              <w:right w:val="single" w:sz="4" w:space="0" w:color="FFC000"/>
            </w:tcBorders>
          </w:tcPr>
          <w:p>
            <w:pPr/>
          </w:p>
        </w:tc>
        <w:tc>
          <w:tcPr>
            <w:tcW w:w="1217" w:type="dxa"/>
            <w:vMerge/>
            <w:tcBorders>
              <w:left w:val="single" w:sz="4" w:space="0" w:color="FFC000"/>
              <w:right w:val="single" w:sz="4" w:space="0" w:color="FFC000"/>
            </w:tcBorders>
          </w:tcPr>
          <w:p>
            <w:pPr/>
          </w:p>
        </w:tc>
      </w:tr>
      <w:tr>
        <w:trPr>
          <w:trHeight w:val="206" w:hRule="exact"/>
        </w:trPr>
        <w:tc>
          <w:tcPr>
            <w:tcW w:w="3585" w:type="dxa"/>
            <w:tcBorders>
              <w:top w:val="nil" w:sz="6" w:space="0" w:color="auto"/>
              <w:left w:val="single" w:sz="4" w:space="0" w:color="FFC000"/>
              <w:bottom w:val="single" w:sz="4" w:space="0" w:color="FFC000"/>
              <w:right w:val="single" w:sz="4" w:space="0" w:color="FFC000"/>
            </w:tcBorders>
            <w:shd w:val="clear" w:color="auto" w:fill="FFF8E6"/>
          </w:tcPr>
          <w:p>
            <w:pPr/>
          </w:p>
        </w:tc>
        <w:tc>
          <w:tcPr>
            <w:tcW w:w="1005" w:type="dxa"/>
            <w:vMerge/>
            <w:tcBorders>
              <w:left w:val="single" w:sz="9" w:space="0" w:color="FFF8E6"/>
              <w:bottom w:val="single" w:sz="4" w:space="0" w:color="FFC000"/>
              <w:right w:val="single" w:sz="4" w:space="0" w:color="FFC000"/>
            </w:tcBorders>
          </w:tcPr>
          <w:p>
            <w:pPr/>
          </w:p>
        </w:tc>
        <w:tc>
          <w:tcPr>
            <w:tcW w:w="1064" w:type="dxa"/>
            <w:vMerge/>
            <w:tcBorders>
              <w:left w:val="single" w:sz="4" w:space="0" w:color="FFC000"/>
              <w:bottom w:val="single" w:sz="4" w:space="0" w:color="FFC000"/>
              <w:right w:val="single" w:sz="4" w:space="0" w:color="FFC000"/>
            </w:tcBorders>
          </w:tcPr>
          <w:p>
            <w:pPr/>
          </w:p>
        </w:tc>
        <w:tc>
          <w:tcPr>
            <w:tcW w:w="994" w:type="dxa"/>
            <w:vMerge/>
            <w:tcBorders>
              <w:left w:val="single" w:sz="4" w:space="0" w:color="FFC000"/>
              <w:bottom w:val="single" w:sz="4" w:space="0" w:color="FFC000"/>
              <w:right w:val="single" w:sz="4" w:space="0" w:color="FFC000"/>
            </w:tcBorders>
          </w:tcPr>
          <w:p>
            <w:pPr/>
          </w:p>
        </w:tc>
        <w:tc>
          <w:tcPr>
            <w:tcW w:w="850" w:type="dxa"/>
            <w:vMerge/>
            <w:tcBorders>
              <w:left w:val="single" w:sz="4" w:space="0" w:color="FFC000"/>
              <w:bottom w:val="single" w:sz="4" w:space="0" w:color="FFC000"/>
              <w:right w:val="single" w:sz="4" w:space="0" w:color="FFC000"/>
            </w:tcBorders>
          </w:tcPr>
          <w:p>
            <w:pPr/>
          </w:p>
        </w:tc>
        <w:tc>
          <w:tcPr>
            <w:tcW w:w="710" w:type="dxa"/>
            <w:vMerge/>
            <w:tcBorders>
              <w:left w:val="single" w:sz="4" w:space="0" w:color="FFC000"/>
              <w:bottom w:val="single" w:sz="4" w:space="0" w:color="FFC000"/>
              <w:right w:val="single" w:sz="4" w:space="0" w:color="FFC000"/>
            </w:tcBorders>
          </w:tcPr>
          <w:p>
            <w:pPr/>
          </w:p>
        </w:tc>
        <w:tc>
          <w:tcPr>
            <w:tcW w:w="1217" w:type="dxa"/>
            <w:vMerge/>
            <w:tcBorders>
              <w:left w:val="single" w:sz="4" w:space="0" w:color="FFC000"/>
              <w:bottom w:val="single" w:sz="4" w:space="0" w:color="FFC000"/>
              <w:right w:val="single" w:sz="4" w:space="0" w:color="FFC000"/>
            </w:tcBorders>
          </w:tcPr>
          <w:p>
            <w:pP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天津爱施迪通讯器材有限公司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天津</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天津</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北京酷联通讯科技有限公司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100.00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深圳市享易无限数码有限公司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南宁市享易数码有限公司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南宁</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南宁</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205" w:hRule="exact"/>
        </w:trPr>
        <w:tc>
          <w:tcPr>
            <w:tcW w:w="3585" w:type="dxa"/>
            <w:tcBorders>
              <w:top w:val="single" w:sz="4" w:space="0" w:color="FFC000"/>
              <w:left w:val="single" w:sz="4" w:space="0" w:color="FFC000"/>
              <w:bottom w:val="nil" w:sz="6" w:space="0" w:color="auto"/>
              <w:right w:val="single" w:sz="4" w:space="0" w:color="FFC000"/>
            </w:tcBorders>
            <w:shd w:val="clear" w:color="auto" w:fill="FFF8E6"/>
          </w:tcPr>
          <w:p>
            <w:pPr/>
          </w:p>
        </w:tc>
        <w:tc>
          <w:tcPr>
            <w:tcW w:w="1005" w:type="dxa"/>
            <w:vMerge w:val="restart"/>
            <w:tcBorders>
              <w:top w:val="single" w:sz="4" w:space="0" w:color="FFC000"/>
              <w:left w:val="single" w:sz="9" w:space="0" w:color="FFF8E6"/>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济南</w:t>
            </w:r>
          </w:p>
        </w:tc>
        <w:tc>
          <w:tcPr>
            <w:tcW w:w="106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济南</w:t>
            </w:r>
          </w:p>
        </w:tc>
        <w:tc>
          <w:tcPr>
            <w:tcW w:w="99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right="19"/>
              <w:jc w:val="right"/>
              <w:rPr>
                <w:rFonts w:ascii="华文细黑" w:hAnsi="华文细黑" w:cs="华文细黑" w:eastAsia="华文细黑" w:hint="default"/>
                <w:sz w:val="18"/>
                <w:szCs w:val="18"/>
              </w:rPr>
            </w:pPr>
            <w:r>
              <w:rPr>
                <w:rFonts w:ascii="华文细黑"/>
                <w:sz w:val="18"/>
              </w:rPr>
              <w:t>---</w:t>
            </w:r>
          </w:p>
        </w:tc>
        <w:tc>
          <w:tcPr>
            <w:tcW w:w="71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129" w:right="0"/>
              <w:jc w:val="left"/>
              <w:rPr>
                <w:rFonts w:ascii="华文细黑" w:hAnsi="华文细黑" w:cs="华文细黑" w:eastAsia="华文细黑" w:hint="default"/>
                <w:sz w:val="18"/>
                <w:szCs w:val="18"/>
              </w:rPr>
            </w:pPr>
            <w:r>
              <w:rPr>
                <w:rFonts w:ascii="华文细黑"/>
                <w:sz w:val="18"/>
              </w:rPr>
              <w:t>100.00</w:t>
            </w:r>
          </w:p>
        </w:tc>
        <w:tc>
          <w:tcPr>
            <w:tcW w:w="1217" w:type="dxa"/>
            <w:vMerge w:val="restart"/>
            <w:tcBorders>
              <w:top w:val="single" w:sz="4" w:space="0" w:color="FFC000"/>
              <w:left w:val="single" w:sz="4" w:space="0" w:color="FFC000"/>
              <w:right w:val="single" w:sz="4" w:space="0" w:color="FFC000"/>
            </w:tcBorders>
          </w:tcPr>
          <w:p>
            <w:pPr>
              <w:pStyle w:val="TableParagraph"/>
              <w:spacing w:line="376" w:lineRule="auto" w:before="144"/>
              <w:ind w:left="24"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同一控制下合 并取得</w:t>
            </w:r>
          </w:p>
        </w:tc>
      </w:tr>
      <w:tr>
        <w:trPr>
          <w:trHeight w:val="480" w:hRule="exact"/>
        </w:trPr>
        <w:tc>
          <w:tcPr>
            <w:tcW w:w="3585"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济南享易无限数码有限公司</w:t>
            </w:r>
          </w:p>
        </w:tc>
        <w:tc>
          <w:tcPr>
            <w:tcW w:w="1005" w:type="dxa"/>
            <w:vMerge/>
            <w:tcBorders>
              <w:left w:val="single" w:sz="9" w:space="0" w:color="FFF8E6"/>
              <w:right w:val="single" w:sz="4" w:space="0" w:color="FFC000"/>
            </w:tcBorders>
          </w:tcPr>
          <w:p>
            <w:pPr/>
          </w:p>
        </w:tc>
        <w:tc>
          <w:tcPr>
            <w:tcW w:w="1064" w:type="dxa"/>
            <w:vMerge/>
            <w:tcBorders>
              <w:left w:val="single" w:sz="4" w:space="0" w:color="FFC000"/>
              <w:right w:val="single" w:sz="4" w:space="0" w:color="FFC000"/>
            </w:tcBorders>
          </w:tcPr>
          <w:p>
            <w:pPr/>
          </w:p>
        </w:tc>
        <w:tc>
          <w:tcPr>
            <w:tcW w:w="994" w:type="dxa"/>
            <w:vMerge/>
            <w:tcBorders>
              <w:left w:val="single" w:sz="4" w:space="0" w:color="FFC000"/>
              <w:right w:val="single" w:sz="4" w:space="0" w:color="FFC000"/>
            </w:tcBorders>
          </w:tcPr>
          <w:p>
            <w:pPr/>
          </w:p>
        </w:tc>
        <w:tc>
          <w:tcPr>
            <w:tcW w:w="850" w:type="dxa"/>
            <w:vMerge/>
            <w:tcBorders>
              <w:left w:val="single" w:sz="4" w:space="0" w:color="FFC000"/>
              <w:right w:val="single" w:sz="4" w:space="0" w:color="FFC000"/>
            </w:tcBorders>
          </w:tcPr>
          <w:p>
            <w:pPr/>
          </w:p>
        </w:tc>
        <w:tc>
          <w:tcPr>
            <w:tcW w:w="710" w:type="dxa"/>
            <w:vMerge/>
            <w:tcBorders>
              <w:left w:val="single" w:sz="4" w:space="0" w:color="FFC000"/>
              <w:right w:val="single" w:sz="4" w:space="0" w:color="FFC000"/>
            </w:tcBorders>
          </w:tcPr>
          <w:p>
            <w:pPr/>
          </w:p>
        </w:tc>
        <w:tc>
          <w:tcPr>
            <w:tcW w:w="1217" w:type="dxa"/>
            <w:vMerge/>
            <w:tcBorders>
              <w:left w:val="single" w:sz="4" w:space="0" w:color="FFC000"/>
              <w:right w:val="single" w:sz="4" w:space="0" w:color="FFC000"/>
            </w:tcBorders>
          </w:tcPr>
          <w:p>
            <w:pPr/>
          </w:p>
        </w:tc>
      </w:tr>
      <w:tr>
        <w:trPr>
          <w:trHeight w:val="205" w:hRule="exact"/>
        </w:trPr>
        <w:tc>
          <w:tcPr>
            <w:tcW w:w="3585" w:type="dxa"/>
            <w:tcBorders>
              <w:top w:val="nil" w:sz="6" w:space="0" w:color="auto"/>
              <w:left w:val="single" w:sz="4" w:space="0" w:color="FFC000"/>
              <w:bottom w:val="single" w:sz="4" w:space="0" w:color="FFC000"/>
              <w:right w:val="single" w:sz="4" w:space="0" w:color="FFC000"/>
            </w:tcBorders>
            <w:shd w:val="clear" w:color="auto" w:fill="FFF8E6"/>
          </w:tcPr>
          <w:p>
            <w:pPr/>
          </w:p>
        </w:tc>
        <w:tc>
          <w:tcPr>
            <w:tcW w:w="1005" w:type="dxa"/>
            <w:vMerge/>
            <w:tcBorders>
              <w:left w:val="single" w:sz="9" w:space="0" w:color="FFF8E6"/>
              <w:bottom w:val="single" w:sz="4" w:space="0" w:color="FFC000"/>
              <w:right w:val="single" w:sz="4" w:space="0" w:color="FFC000"/>
            </w:tcBorders>
          </w:tcPr>
          <w:p>
            <w:pPr/>
          </w:p>
        </w:tc>
        <w:tc>
          <w:tcPr>
            <w:tcW w:w="1064" w:type="dxa"/>
            <w:vMerge/>
            <w:tcBorders>
              <w:left w:val="single" w:sz="4" w:space="0" w:color="FFC000"/>
              <w:bottom w:val="single" w:sz="4" w:space="0" w:color="FFC000"/>
              <w:right w:val="single" w:sz="4" w:space="0" w:color="FFC000"/>
            </w:tcBorders>
          </w:tcPr>
          <w:p>
            <w:pPr/>
          </w:p>
        </w:tc>
        <w:tc>
          <w:tcPr>
            <w:tcW w:w="994" w:type="dxa"/>
            <w:vMerge/>
            <w:tcBorders>
              <w:left w:val="single" w:sz="4" w:space="0" w:color="FFC000"/>
              <w:bottom w:val="single" w:sz="4" w:space="0" w:color="FFC000"/>
              <w:right w:val="single" w:sz="4" w:space="0" w:color="FFC000"/>
            </w:tcBorders>
          </w:tcPr>
          <w:p>
            <w:pPr/>
          </w:p>
        </w:tc>
        <w:tc>
          <w:tcPr>
            <w:tcW w:w="850" w:type="dxa"/>
            <w:vMerge/>
            <w:tcBorders>
              <w:left w:val="single" w:sz="4" w:space="0" w:color="FFC000"/>
              <w:bottom w:val="single" w:sz="4" w:space="0" w:color="FFC000"/>
              <w:right w:val="single" w:sz="4" w:space="0" w:color="FFC000"/>
            </w:tcBorders>
          </w:tcPr>
          <w:p>
            <w:pPr/>
          </w:p>
        </w:tc>
        <w:tc>
          <w:tcPr>
            <w:tcW w:w="710" w:type="dxa"/>
            <w:vMerge/>
            <w:tcBorders>
              <w:left w:val="single" w:sz="4" w:space="0" w:color="FFC000"/>
              <w:bottom w:val="single" w:sz="4" w:space="0" w:color="FFC000"/>
              <w:right w:val="single" w:sz="4" w:space="0" w:color="FFC000"/>
            </w:tcBorders>
          </w:tcPr>
          <w:p>
            <w:pPr/>
          </w:p>
        </w:tc>
        <w:tc>
          <w:tcPr>
            <w:tcW w:w="1217" w:type="dxa"/>
            <w:vMerge/>
            <w:tcBorders>
              <w:left w:val="single" w:sz="4" w:space="0" w:color="FFC000"/>
              <w:bottom w:val="single" w:sz="4" w:space="0" w:color="FFC000"/>
              <w:right w:val="single" w:sz="4" w:space="0" w:color="FFC000"/>
            </w:tcBorders>
          </w:tcPr>
          <w:p>
            <w:pP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爱施德（香港）有限公司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香港</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香港</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sz w:val="18"/>
              </w:rPr>
              <w:t>CORP</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205" w:hRule="exact"/>
        </w:trPr>
        <w:tc>
          <w:tcPr>
            <w:tcW w:w="3585" w:type="dxa"/>
            <w:tcBorders>
              <w:top w:val="single" w:sz="4" w:space="0" w:color="FFC000"/>
              <w:left w:val="single" w:sz="4" w:space="0" w:color="FFC000"/>
              <w:bottom w:val="nil" w:sz="6" w:space="0" w:color="auto"/>
              <w:right w:val="single" w:sz="4" w:space="0" w:color="FFC000"/>
            </w:tcBorders>
            <w:shd w:val="clear" w:color="auto" w:fill="FFF8E6"/>
          </w:tcPr>
          <w:p>
            <w:pPr/>
          </w:p>
        </w:tc>
        <w:tc>
          <w:tcPr>
            <w:tcW w:w="1005" w:type="dxa"/>
            <w:vMerge w:val="restart"/>
            <w:tcBorders>
              <w:top w:val="single" w:sz="4" w:space="0" w:color="FFC000"/>
              <w:left w:val="single" w:sz="9" w:space="0" w:color="FFF8E6"/>
              <w:right w:val="single" w:sz="4" w:space="0" w:color="FFC000"/>
            </w:tcBorders>
          </w:tcPr>
          <w:p>
            <w:pPr>
              <w:pStyle w:val="TableParagraph"/>
              <w:spacing w:line="376" w:lineRule="auto" w:before="144"/>
              <w:ind w:left="27" w:right="5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英属维尔京 群岛</w:t>
            </w:r>
          </w:p>
        </w:tc>
        <w:tc>
          <w:tcPr>
            <w:tcW w:w="1064" w:type="dxa"/>
            <w:vMerge w:val="restart"/>
            <w:tcBorders>
              <w:top w:val="single" w:sz="4" w:space="0" w:color="FFC000"/>
              <w:left w:val="single" w:sz="4" w:space="0" w:color="FFC000"/>
              <w:right w:val="single" w:sz="4" w:space="0" w:color="FFC000"/>
            </w:tcBorders>
          </w:tcPr>
          <w:p>
            <w:pPr>
              <w:pStyle w:val="TableParagraph"/>
              <w:spacing w:line="376" w:lineRule="auto" w:before="144"/>
              <w:ind w:left="22" w:right="13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英属维尔京 群岛</w:t>
            </w:r>
          </w:p>
        </w:tc>
        <w:tc>
          <w:tcPr>
            <w:tcW w:w="99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right="19"/>
              <w:jc w:val="right"/>
              <w:rPr>
                <w:rFonts w:ascii="华文细黑" w:hAnsi="华文细黑" w:cs="华文细黑" w:eastAsia="华文细黑" w:hint="default"/>
                <w:sz w:val="18"/>
                <w:szCs w:val="18"/>
              </w:rPr>
            </w:pPr>
            <w:r>
              <w:rPr>
                <w:rFonts w:ascii="华文细黑"/>
                <w:sz w:val="18"/>
              </w:rPr>
              <w:t>---</w:t>
            </w:r>
          </w:p>
        </w:tc>
        <w:tc>
          <w:tcPr>
            <w:tcW w:w="71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129" w:right="0"/>
              <w:jc w:val="left"/>
              <w:rPr>
                <w:rFonts w:ascii="华文细黑" w:hAnsi="华文细黑" w:cs="华文细黑" w:eastAsia="华文细黑" w:hint="default"/>
                <w:sz w:val="18"/>
                <w:szCs w:val="18"/>
              </w:rPr>
            </w:pPr>
            <w:r>
              <w:rPr>
                <w:rFonts w:ascii="华文细黑"/>
                <w:sz w:val="18"/>
              </w:rPr>
              <w:t>100.00</w:t>
            </w:r>
          </w:p>
        </w:tc>
        <w:tc>
          <w:tcPr>
            <w:tcW w:w="1217"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80" w:hRule="exact"/>
        </w:trPr>
        <w:tc>
          <w:tcPr>
            <w:tcW w:w="3585"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sz w:val="18"/>
              </w:rPr>
              <w:t>Genesis (BVI)</w:t>
            </w:r>
            <w:r>
              <w:rPr>
                <w:rFonts w:ascii="华文细黑"/>
                <w:spacing w:val="-2"/>
                <w:sz w:val="18"/>
              </w:rPr>
              <w:t> </w:t>
            </w:r>
            <w:r>
              <w:rPr>
                <w:rFonts w:ascii="华文细黑"/>
                <w:sz w:val="18"/>
              </w:rPr>
              <w:t>Ltd</w:t>
            </w:r>
          </w:p>
        </w:tc>
        <w:tc>
          <w:tcPr>
            <w:tcW w:w="1005" w:type="dxa"/>
            <w:vMerge/>
            <w:tcBorders>
              <w:left w:val="single" w:sz="9" w:space="0" w:color="FFF8E6"/>
              <w:right w:val="single" w:sz="4" w:space="0" w:color="FFC000"/>
            </w:tcBorders>
          </w:tcPr>
          <w:p>
            <w:pPr/>
          </w:p>
        </w:tc>
        <w:tc>
          <w:tcPr>
            <w:tcW w:w="1064" w:type="dxa"/>
            <w:vMerge/>
            <w:tcBorders>
              <w:left w:val="single" w:sz="4" w:space="0" w:color="FFC000"/>
              <w:right w:val="single" w:sz="4" w:space="0" w:color="FFC000"/>
            </w:tcBorders>
          </w:tcPr>
          <w:p>
            <w:pPr/>
          </w:p>
        </w:tc>
        <w:tc>
          <w:tcPr>
            <w:tcW w:w="994" w:type="dxa"/>
            <w:vMerge/>
            <w:tcBorders>
              <w:left w:val="single" w:sz="4" w:space="0" w:color="FFC000"/>
              <w:right w:val="single" w:sz="4" w:space="0" w:color="FFC000"/>
            </w:tcBorders>
          </w:tcPr>
          <w:p>
            <w:pPr/>
          </w:p>
        </w:tc>
        <w:tc>
          <w:tcPr>
            <w:tcW w:w="850" w:type="dxa"/>
            <w:vMerge/>
            <w:tcBorders>
              <w:left w:val="single" w:sz="4" w:space="0" w:color="FFC000"/>
              <w:right w:val="single" w:sz="4" w:space="0" w:color="FFC000"/>
            </w:tcBorders>
          </w:tcPr>
          <w:p>
            <w:pPr/>
          </w:p>
        </w:tc>
        <w:tc>
          <w:tcPr>
            <w:tcW w:w="710" w:type="dxa"/>
            <w:vMerge/>
            <w:tcBorders>
              <w:left w:val="single" w:sz="4" w:space="0" w:color="FFC000"/>
              <w:right w:val="single" w:sz="4" w:space="0" w:color="FFC000"/>
            </w:tcBorders>
          </w:tcPr>
          <w:p>
            <w:pPr/>
          </w:p>
        </w:tc>
        <w:tc>
          <w:tcPr>
            <w:tcW w:w="1217" w:type="dxa"/>
            <w:vMerge/>
            <w:tcBorders>
              <w:left w:val="single" w:sz="4" w:space="0" w:color="FFC000"/>
              <w:right w:val="single" w:sz="4" w:space="0" w:color="FFC000"/>
            </w:tcBorders>
          </w:tcPr>
          <w:p>
            <w:pPr/>
          </w:p>
        </w:tc>
      </w:tr>
      <w:tr>
        <w:trPr>
          <w:trHeight w:val="205" w:hRule="exact"/>
        </w:trPr>
        <w:tc>
          <w:tcPr>
            <w:tcW w:w="3585" w:type="dxa"/>
            <w:tcBorders>
              <w:top w:val="nil" w:sz="6" w:space="0" w:color="auto"/>
              <w:left w:val="single" w:sz="4" w:space="0" w:color="FFC000"/>
              <w:bottom w:val="single" w:sz="4" w:space="0" w:color="FFC000"/>
              <w:right w:val="single" w:sz="4" w:space="0" w:color="FFC000"/>
            </w:tcBorders>
            <w:shd w:val="clear" w:color="auto" w:fill="FFF8E6"/>
          </w:tcPr>
          <w:p>
            <w:pPr/>
          </w:p>
        </w:tc>
        <w:tc>
          <w:tcPr>
            <w:tcW w:w="1005" w:type="dxa"/>
            <w:vMerge/>
            <w:tcBorders>
              <w:left w:val="single" w:sz="9" w:space="0" w:color="FFF8E6"/>
              <w:bottom w:val="single" w:sz="4" w:space="0" w:color="FFC000"/>
              <w:right w:val="single" w:sz="4" w:space="0" w:color="FFC000"/>
            </w:tcBorders>
          </w:tcPr>
          <w:p>
            <w:pPr/>
          </w:p>
        </w:tc>
        <w:tc>
          <w:tcPr>
            <w:tcW w:w="1064" w:type="dxa"/>
            <w:vMerge/>
            <w:tcBorders>
              <w:left w:val="single" w:sz="4" w:space="0" w:color="FFC000"/>
              <w:bottom w:val="single" w:sz="4" w:space="0" w:color="FFC000"/>
              <w:right w:val="single" w:sz="4" w:space="0" w:color="FFC000"/>
            </w:tcBorders>
          </w:tcPr>
          <w:p>
            <w:pPr/>
          </w:p>
        </w:tc>
        <w:tc>
          <w:tcPr>
            <w:tcW w:w="994" w:type="dxa"/>
            <w:vMerge/>
            <w:tcBorders>
              <w:left w:val="single" w:sz="4" w:space="0" w:color="FFC000"/>
              <w:bottom w:val="single" w:sz="4" w:space="0" w:color="FFC000"/>
              <w:right w:val="single" w:sz="4" w:space="0" w:color="FFC000"/>
            </w:tcBorders>
          </w:tcPr>
          <w:p>
            <w:pPr/>
          </w:p>
        </w:tc>
        <w:tc>
          <w:tcPr>
            <w:tcW w:w="850" w:type="dxa"/>
            <w:vMerge/>
            <w:tcBorders>
              <w:left w:val="single" w:sz="4" w:space="0" w:color="FFC000"/>
              <w:bottom w:val="single" w:sz="4" w:space="0" w:color="FFC000"/>
              <w:right w:val="single" w:sz="4" w:space="0" w:color="FFC000"/>
            </w:tcBorders>
          </w:tcPr>
          <w:p>
            <w:pPr/>
          </w:p>
        </w:tc>
        <w:tc>
          <w:tcPr>
            <w:tcW w:w="710" w:type="dxa"/>
            <w:vMerge/>
            <w:tcBorders>
              <w:left w:val="single" w:sz="4" w:space="0" w:color="FFC000"/>
              <w:bottom w:val="single" w:sz="4" w:space="0" w:color="FFC000"/>
              <w:right w:val="single" w:sz="4" w:space="0" w:color="FFC000"/>
            </w:tcBorders>
          </w:tcPr>
          <w:p>
            <w:pPr/>
          </w:p>
        </w:tc>
        <w:tc>
          <w:tcPr>
            <w:tcW w:w="1217" w:type="dxa"/>
            <w:vMerge/>
            <w:tcBorders>
              <w:left w:val="single" w:sz="4" w:space="0" w:color="FFC000"/>
              <w:bottom w:val="single" w:sz="4" w:space="0" w:color="FFC000"/>
              <w:right w:val="single" w:sz="4" w:space="0" w:color="FFC000"/>
            </w:tcBorders>
          </w:tcPr>
          <w:p>
            <w:pP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sz w:val="18"/>
              </w:rPr>
              <w:t>Genesis (cayman)</w:t>
            </w:r>
            <w:r>
              <w:rPr>
                <w:rFonts w:ascii="华文细黑"/>
                <w:spacing w:val="-4"/>
                <w:sz w:val="18"/>
              </w:rPr>
              <w:t> </w:t>
            </w:r>
            <w:r>
              <w:rPr>
                <w:rFonts w:ascii="华文细黑"/>
                <w:sz w:val="18"/>
              </w:rPr>
              <w:t>Ltd</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开曼</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开曼</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优友电子商务（深圳）有限公司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互联网</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100.00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206" w:hRule="exact"/>
        </w:trPr>
        <w:tc>
          <w:tcPr>
            <w:tcW w:w="3585" w:type="dxa"/>
            <w:tcBorders>
              <w:top w:val="single" w:sz="4" w:space="0" w:color="FFC000"/>
              <w:left w:val="single" w:sz="4" w:space="0" w:color="FFC000"/>
              <w:bottom w:val="nil" w:sz="6" w:space="0" w:color="auto"/>
              <w:right w:val="single" w:sz="4" w:space="0" w:color="FFC000"/>
            </w:tcBorders>
            <w:shd w:val="clear" w:color="auto" w:fill="FFF8E6"/>
          </w:tcPr>
          <w:p>
            <w:pPr/>
          </w:p>
        </w:tc>
        <w:tc>
          <w:tcPr>
            <w:tcW w:w="1005" w:type="dxa"/>
            <w:vMerge w:val="restart"/>
            <w:tcBorders>
              <w:top w:val="single" w:sz="4" w:space="0" w:color="FFC000"/>
              <w:left w:val="single" w:sz="9" w:space="0" w:color="FFF8E6"/>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互联网</w:t>
            </w:r>
          </w:p>
        </w:tc>
        <w:tc>
          <w:tcPr>
            <w:tcW w:w="85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368" w:right="0"/>
              <w:jc w:val="left"/>
              <w:rPr>
                <w:rFonts w:ascii="华文细黑" w:hAnsi="华文细黑" w:cs="华文细黑" w:eastAsia="华文细黑" w:hint="default"/>
                <w:sz w:val="18"/>
                <w:szCs w:val="18"/>
              </w:rPr>
            </w:pPr>
            <w:r>
              <w:rPr>
                <w:rFonts w:ascii="华文细黑"/>
                <w:sz w:val="18"/>
              </w:rPr>
              <w:t>85.00</w:t>
            </w:r>
          </w:p>
        </w:tc>
        <w:tc>
          <w:tcPr>
            <w:tcW w:w="71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right="19"/>
              <w:jc w:val="right"/>
              <w:rPr>
                <w:rFonts w:ascii="华文细黑" w:hAnsi="华文细黑" w:cs="华文细黑" w:eastAsia="华文细黑" w:hint="default"/>
                <w:sz w:val="18"/>
                <w:szCs w:val="18"/>
              </w:rPr>
            </w:pPr>
            <w:r>
              <w:rPr>
                <w:rFonts w:ascii="华文细黑"/>
                <w:sz w:val="18"/>
              </w:rPr>
              <w:t>---</w:t>
            </w:r>
          </w:p>
        </w:tc>
        <w:tc>
          <w:tcPr>
            <w:tcW w:w="1217" w:type="dxa"/>
            <w:vMerge w:val="restart"/>
            <w:tcBorders>
              <w:top w:val="single" w:sz="4" w:space="0" w:color="FFC000"/>
              <w:left w:val="single" w:sz="4" w:space="0" w:color="FFC000"/>
              <w:right w:val="single" w:sz="4" w:space="0" w:color="FFC000"/>
            </w:tcBorders>
          </w:tcPr>
          <w:p>
            <w:pPr>
              <w:pStyle w:val="TableParagraph"/>
              <w:spacing w:line="379" w:lineRule="auto" w:before="143"/>
              <w:ind w:left="24"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同一控制下收 购取得</w:t>
            </w:r>
          </w:p>
        </w:tc>
      </w:tr>
      <w:tr>
        <w:trPr>
          <w:trHeight w:val="480" w:hRule="exact"/>
        </w:trPr>
        <w:tc>
          <w:tcPr>
            <w:tcW w:w="3585"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深圳市彩梦科技有限公司</w:t>
            </w:r>
          </w:p>
        </w:tc>
        <w:tc>
          <w:tcPr>
            <w:tcW w:w="1005" w:type="dxa"/>
            <w:vMerge/>
            <w:tcBorders>
              <w:left w:val="single" w:sz="9" w:space="0" w:color="FFF8E6"/>
              <w:right w:val="single" w:sz="4" w:space="0" w:color="FFC000"/>
            </w:tcBorders>
          </w:tcPr>
          <w:p>
            <w:pPr/>
          </w:p>
        </w:tc>
        <w:tc>
          <w:tcPr>
            <w:tcW w:w="1064" w:type="dxa"/>
            <w:vMerge/>
            <w:tcBorders>
              <w:left w:val="single" w:sz="4" w:space="0" w:color="FFC000"/>
              <w:right w:val="single" w:sz="4" w:space="0" w:color="FFC000"/>
            </w:tcBorders>
          </w:tcPr>
          <w:p>
            <w:pPr/>
          </w:p>
        </w:tc>
        <w:tc>
          <w:tcPr>
            <w:tcW w:w="994" w:type="dxa"/>
            <w:vMerge/>
            <w:tcBorders>
              <w:left w:val="single" w:sz="4" w:space="0" w:color="FFC000"/>
              <w:right w:val="single" w:sz="4" w:space="0" w:color="FFC000"/>
            </w:tcBorders>
          </w:tcPr>
          <w:p>
            <w:pPr/>
          </w:p>
        </w:tc>
        <w:tc>
          <w:tcPr>
            <w:tcW w:w="850" w:type="dxa"/>
            <w:vMerge/>
            <w:tcBorders>
              <w:left w:val="single" w:sz="4" w:space="0" w:color="FFC000"/>
              <w:right w:val="single" w:sz="4" w:space="0" w:color="FFC000"/>
            </w:tcBorders>
          </w:tcPr>
          <w:p>
            <w:pPr/>
          </w:p>
        </w:tc>
        <w:tc>
          <w:tcPr>
            <w:tcW w:w="710" w:type="dxa"/>
            <w:vMerge/>
            <w:tcBorders>
              <w:left w:val="single" w:sz="4" w:space="0" w:color="FFC000"/>
              <w:right w:val="single" w:sz="4" w:space="0" w:color="FFC000"/>
            </w:tcBorders>
          </w:tcPr>
          <w:p>
            <w:pPr/>
          </w:p>
        </w:tc>
        <w:tc>
          <w:tcPr>
            <w:tcW w:w="1217" w:type="dxa"/>
            <w:vMerge/>
            <w:tcBorders>
              <w:left w:val="single" w:sz="4" w:space="0" w:color="FFC000"/>
              <w:right w:val="single" w:sz="4" w:space="0" w:color="FFC000"/>
            </w:tcBorders>
          </w:tcPr>
          <w:p>
            <w:pPr/>
          </w:p>
        </w:tc>
      </w:tr>
      <w:tr>
        <w:trPr>
          <w:trHeight w:val="205" w:hRule="exact"/>
        </w:trPr>
        <w:tc>
          <w:tcPr>
            <w:tcW w:w="3585" w:type="dxa"/>
            <w:tcBorders>
              <w:top w:val="nil" w:sz="6" w:space="0" w:color="auto"/>
              <w:left w:val="single" w:sz="4" w:space="0" w:color="FFC000"/>
              <w:bottom w:val="single" w:sz="4" w:space="0" w:color="FFC000"/>
              <w:right w:val="single" w:sz="4" w:space="0" w:color="FFC000"/>
            </w:tcBorders>
            <w:shd w:val="clear" w:color="auto" w:fill="FFF8E6"/>
          </w:tcPr>
          <w:p>
            <w:pPr/>
          </w:p>
        </w:tc>
        <w:tc>
          <w:tcPr>
            <w:tcW w:w="1005" w:type="dxa"/>
            <w:vMerge/>
            <w:tcBorders>
              <w:left w:val="single" w:sz="9" w:space="0" w:color="FFF8E6"/>
              <w:bottom w:val="single" w:sz="4" w:space="0" w:color="FFC000"/>
              <w:right w:val="single" w:sz="4" w:space="0" w:color="FFC000"/>
            </w:tcBorders>
          </w:tcPr>
          <w:p>
            <w:pPr/>
          </w:p>
        </w:tc>
        <w:tc>
          <w:tcPr>
            <w:tcW w:w="1064" w:type="dxa"/>
            <w:vMerge/>
            <w:tcBorders>
              <w:left w:val="single" w:sz="4" w:space="0" w:color="FFC000"/>
              <w:bottom w:val="single" w:sz="4" w:space="0" w:color="FFC000"/>
              <w:right w:val="single" w:sz="4" w:space="0" w:color="FFC000"/>
            </w:tcBorders>
          </w:tcPr>
          <w:p>
            <w:pPr/>
          </w:p>
        </w:tc>
        <w:tc>
          <w:tcPr>
            <w:tcW w:w="994" w:type="dxa"/>
            <w:vMerge/>
            <w:tcBorders>
              <w:left w:val="single" w:sz="4" w:space="0" w:color="FFC000"/>
              <w:bottom w:val="single" w:sz="4" w:space="0" w:color="FFC000"/>
              <w:right w:val="single" w:sz="4" w:space="0" w:color="FFC000"/>
            </w:tcBorders>
          </w:tcPr>
          <w:p>
            <w:pPr/>
          </w:p>
        </w:tc>
        <w:tc>
          <w:tcPr>
            <w:tcW w:w="850" w:type="dxa"/>
            <w:vMerge/>
            <w:tcBorders>
              <w:left w:val="single" w:sz="4" w:space="0" w:color="FFC000"/>
              <w:bottom w:val="single" w:sz="4" w:space="0" w:color="FFC000"/>
              <w:right w:val="single" w:sz="4" w:space="0" w:color="FFC000"/>
            </w:tcBorders>
          </w:tcPr>
          <w:p>
            <w:pPr/>
          </w:p>
        </w:tc>
        <w:tc>
          <w:tcPr>
            <w:tcW w:w="710" w:type="dxa"/>
            <w:vMerge/>
            <w:tcBorders>
              <w:left w:val="single" w:sz="4" w:space="0" w:color="FFC000"/>
              <w:bottom w:val="single" w:sz="4" w:space="0" w:color="FFC000"/>
              <w:right w:val="single" w:sz="4" w:space="0" w:color="FFC000"/>
            </w:tcBorders>
          </w:tcPr>
          <w:p>
            <w:pPr/>
          </w:p>
        </w:tc>
        <w:tc>
          <w:tcPr>
            <w:tcW w:w="1217" w:type="dxa"/>
            <w:vMerge/>
            <w:tcBorders>
              <w:left w:val="single" w:sz="4" w:space="0" w:color="FFC000"/>
              <w:bottom w:val="single" w:sz="4" w:space="0" w:color="FFC000"/>
              <w:right w:val="single" w:sz="4" w:space="0" w:color="FFC000"/>
            </w:tcBorders>
          </w:tcPr>
          <w:p>
            <w:pPr/>
          </w:p>
        </w:tc>
      </w:tr>
      <w:tr>
        <w:trPr>
          <w:trHeight w:val="490" w:hRule="exact"/>
        </w:trPr>
        <w:tc>
          <w:tcPr>
            <w:tcW w:w="35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深圳市神州通数码科技有限公司</w:t>
            </w:r>
          </w:p>
        </w:tc>
        <w:tc>
          <w:tcPr>
            <w:tcW w:w="100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服务业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85.00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同一控制下合</w:t>
            </w:r>
          </w:p>
        </w:tc>
      </w:tr>
    </w:tbl>
    <w:p>
      <w:pPr>
        <w:spacing w:after="0" w:line="240" w:lineRule="auto"/>
        <w:jc w:val="left"/>
        <w:rPr>
          <w:rFonts w:ascii="华文细黑" w:hAnsi="华文细黑" w:cs="华文细黑" w:eastAsia="华文细黑" w:hint="default"/>
          <w:sz w:val="18"/>
          <w:szCs w:val="18"/>
        </w:rPr>
        <w:sectPr>
          <w:pgSz w:w="11910" w:h="16840"/>
          <w:pgMar w:header="917" w:footer="1019" w:top="1100" w:bottom="1200" w:left="114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1" w:type="dxa"/>
        <w:tblLayout w:type="fixed"/>
        <w:tblCellMar>
          <w:top w:w="0" w:type="dxa"/>
          <w:left w:w="0" w:type="dxa"/>
          <w:bottom w:w="0" w:type="dxa"/>
          <w:right w:w="0" w:type="dxa"/>
        </w:tblCellMar>
        <w:tblLook w:val="01E0"/>
      </w:tblPr>
      <w:tblGrid>
        <w:gridCol w:w="3596"/>
        <w:gridCol w:w="994"/>
        <w:gridCol w:w="1064"/>
        <w:gridCol w:w="994"/>
        <w:gridCol w:w="850"/>
        <w:gridCol w:w="710"/>
        <w:gridCol w:w="1217"/>
      </w:tblGrid>
      <w:tr>
        <w:trPr>
          <w:trHeight w:val="251" w:hRule="exact"/>
        </w:trPr>
        <w:tc>
          <w:tcPr>
            <w:tcW w:w="3596" w:type="dxa"/>
            <w:tcBorders>
              <w:top w:val="single" w:sz="4" w:space="0" w:color="FFC000"/>
              <w:left w:val="single" w:sz="4" w:space="0" w:color="FFC000"/>
              <w:bottom w:val="nil" w:sz="6" w:space="0" w:color="auto"/>
              <w:right w:val="single" w:sz="4" w:space="0" w:color="FFC000"/>
            </w:tcBorders>
            <w:shd w:val="clear" w:color="auto" w:fill="FFF8E6"/>
          </w:tcPr>
          <w:p>
            <w:pPr/>
          </w:p>
        </w:tc>
        <w:tc>
          <w:tcPr>
            <w:tcW w:w="994" w:type="dxa"/>
            <w:tcBorders>
              <w:top w:val="single" w:sz="4" w:space="0" w:color="FFC000"/>
              <w:left w:val="single" w:sz="4" w:space="0" w:color="FFC000"/>
              <w:bottom w:val="nil" w:sz="6" w:space="0" w:color="auto"/>
              <w:right w:val="single" w:sz="4" w:space="0" w:color="FFC000"/>
            </w:tcBorders>
            <w:shd w:val="clear" w:color="auto" w:fill="FFF8E6"/>
          </w:tcPr>
          <w:p>
            <w:pPr/>
          </w:p>
        </w:tc>
        <w:tc>
          <w:tcPr>
            <w:tcW w:w="1064" w:type="dxa"/>
            <w:tcBorders>
              <w:top w:val="single" w:sz="4" w:space="0" w:color="FFC000"/>
              <w:left w:val="single" w:sz="4" w:space="0" w:color="FFC000"/>
              <w:bottom w:val="nil" w:sz="6" w:space="0" w:color="auto"/>
              <w:right w:val="single" w:sz="4" w:space="0" w:color="FFC000"/>
            </w:tcBorders>
            <w:shd w:val="clear" w:color="auto" w:fill="FFF8E6"/>
          </w:tcPr>
          <w:p>
            <w:pPr/>
          </w:p>
        </w:tc>
        <w:tc>
          <w:tcPr>
            <w:tcW w:w="994" w:type="dxa"/>
            <w:tcBorders>
              <w:top w:val="single" w:sz="4" w:space="0" w:color="FFC000"/>
              <w:left w:val="single" w:sz="4" w:space="0" w:color="FFC000"/>
              <w:bottom w:val="nil" w:sz="6" w:space="0" w:color="auto"/>
              <w:right w:val="single" w:sz="4" w:space="0" w:color="FFC000"/>
            </w:tcBorders>
            <w:shd w:val="clear" w:color="auto" w:fill="FFF8E6"/>
          </w:tcPr>
          <w:p>
            <w:pPr/>
          </w:p>
        </w:tc>
        <w:tc>
          <w:tcPr>
            <w:tcW w:w="1560"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7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持股比例（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）③</w:t>
            </w:r>
          </w:p>
        </w:tc>
        <w:tc>
          <w:tcPr>
            <w:tcW w:w="1217"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24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取得方式</w:t>
            </w:r>
          </w:p>
        </w:tc>
      </w:tr>
      <w:tr>
        <w:trPr>
          <w:trHeight w:val="239" w:hRule="exact"/>
        </w:trPr>
        <w:tc>
          <w:tcPr>
            <w:tcW w:w="3596"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right="1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子公司名称</w:t>
            </w:r>
          </w:p>
        </w:tc>
        <w:tc>
          <w:tcPr>
            <w:tcW w:w="994"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4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主要经营地</w:t>
            </w:r>
          </w:p>
        </w:tc>
        <w:tc>
          <w:tcPr>
            <w:tcW w:w="1064"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25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注册地</w:t>
            </w:r>
          </w:p>
        </w:tc>
        <w:tc>
          <w:tcPr>
            <w:tcW w:w="994"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13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业务性质</w:t>
            </w:r>
          </w:p>
        </w:tc>
        <w:tc>
          <w:tcPr>
            <w:tcW w:w="1560" w:type="dxa"/>
            <w:gridSpan w:val="2"/>
            <w:vMerge/>
            <w:tcBorders>
              <w:left w:val="single" w:sz="4" w:space="0" w:color="FFC000"/>
              <w:bottom w:val="single" w:sz="4" w:space="0" w:color="FFC000"/>
              <w:right w:val="single" w:sz="4" w:space="0" w:color="FFC000"/>
            </w:tcBorders>
            <w:shd w:val="clear" w:color="auto" w:fill="FFF8E6"/>
          </w:tcPr>
          <w:p>
            <w:pPr/>
          </w:p>
        </w:tc>
        <w:tc>
          <w:tcPr>
            <w:tcW w:w="1217" w:type="dxa"/>
            <w:vMerge/>
            <w:tcBorders>
              <w:left w:val="single" w:sz="4" w:space="0" w:color="FFC000"/>
              <w:bottom w:val="single" w:sz="4" w:space="0" w:color="FFC000"/>
              <w:right w:val="single" w:sz="4" w:space="0" w:color="FFC000"/>
            </w:tcBorders>
            <w:shd w:val="clear" w:color="auto" w:fill="FFF8E6"/>
          </w:tcPr>
          <w:p>
            <w:pPr/>
          </w:p>
        </w:tc>
      </w:tr>
      <w:tr>
        <w:trPr>
          <w:trHeight w:val="241" w:hRule="exact"/>
        </w:trPr>
        <w:tc>
          <w:tcPr>
            <w:tcW w:w="3596" w:type="dxa"/>
            <w:vMerge/>
            <w:tcBorders>
              <w:left w:val="single" w:sz="4" w:space="0" w:color="FFC000"/>
              <w:bottom w:val="nil" w:sz="6" w:space="0" w:color="auto"/>
              <w:right w:val="single" w:sz="4" w:space="0" w:color="FFC000"/>
            </w:tcBorders>
            <w:shd w:val="clear" w:color="auto" w:fill="FFF8E6"/>
          </w:tcPr>
          <w:p>
            <w:pPr/>
          </w:p>
        </w:tc>
        <w:tc>
          <w:tcPr>
            <w:tcW w:w="994" w:type="dxa"/>
            <w:vMerge/>
            <w:tcBorders>
              <w:left w:val="single" w:sz="4" w:space="0" w:color="FFC000"/>
              <w:bottom w:val="nil" w:sz="6" w:space="0" w:color="auto"/>
              <w:right w:val="single" w:sz="4" w:space="0" w:color="FFC000"/>
            </w:tcBorders>
            <w:shd w:val="clear" w:color="auto" w:fill="FFF8E6"/>
          </w:tcPr>
          <w:p>
            <w:pPr/>
          </w:p>
        </w:tc>
        <w:tc>
          <w:tcPr>
            <w:tcW w:w="1064" w:type="dxa"/>
            <w:vMerge/>
            <w:tcBorders>
              <w:left w:val="single" w:sz="4" w:space="0" w:color="FFC000"/>
              <w:bottom w:val="nil" w:sz="6" w:space="0" w:color="auto"/>
              <w:right w:val="single" w:sz="4" w:space="0" w:color="FFC000"/>
            </w:tcBorders>
            <w:shd w:val="clear" w:color="auto" w:fill="FFF8E6"/>
          </w:tcPr>
          <w:p>
            <w:pPr/>
          </w:p>
        </w:tc>
        <w:tc>
          <w:tcPr>
            <w:tcW w:w="994" w:type="dxa"/>
            <w:vMerge/>
            <w:tcBorders>
              <w:left w:val="single" w:sz="4" w:space="0" w:color="FFC000"/>
              <w:bottom w:val="nil" w:sz="6" w:space="0" w:color="auto"/>
              <w:right w:val="single" w:sz="4" w:space="0" w:color="FFC000"/>
            </w:tcBorders>
            <w:shd w:val="clear" w:color="auto" w:fill="FFF8E6"/>
          </w:tcPr>
          <w:p>
            <w:pPr/>
          </w:p>
        </w:tc>
        <w:tc>
          <w:tcPr>
            <w:tcW w:w="85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24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直接</w:t>
            </w:r>
          </w:p>
        </w:tc>
        <w:tc>
          <w:tcPr>
            <w:tcW w:w="71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17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间接</w:t>
            </w:r>
          </w:p>
        </w:tc>
        <w:tc>
          <w:tcPr>
            <w:tcW w:w="1217" w:type="dxa"/>
            <w:vMerge w:val="restart"/>
            <w:tcBorders>
              <w:top w:val="single" w:sz="4" w:space="0" w:color="FFC000"/>
              <w:left w:val="single" w:sz="4" w:space="0" w:color="FFC000"/>
              <w:right w:val="single" w:sz="4" w:space="0" w:color="FFC000"/>
            </w:tcBorders>
            <w:shd w:val="clear" w:color="auto" w:fill="FFF8E6"/>
          </w:tcPr>
          <w:p>
            <w:pPr/>
          </w:p>
        </w:tc>
      </w:tr>
      <w:tr>
        <w:trPr>
          <w:trHeight w:val="250" w:hRule="exact"/>
        </w:trPr>
        <w:tc>
          <w:tcPr>
            <w:tcW w:w="3596" w:type="dxa"/>
            <w:tcBorders>
              <w:top w:val="nil" w:sz="6" w:space="0" w:color="auto"/>
              <w:left w:val="single" w:sz="4" w:space="0" w:color="FFC000"/>
              <w:bottom w:val="single" w:sz="4" w:space="0" w:color="FFC000"/>
              <w:right w:val="single" w:sz="4" w:space="0" w:color="FFC000"/>
            </w:tcBorders>
            <w:shd w:val="clear" w:color="auto" w:fill="FFF8E6"/>
          </w:tcPr>
          <w:p>
            <w:pPr/>
          </w:p>
        </w:tc>
        <w:tc>
          <w:tcPr>
            <w:tcW w:w="994" w:type="dxa"/>
            <w:tcBorders>
              <w:top w:val="nil" w:sz="6" w:space="0" w:color="auto"/>
              <w:left w:val="single" w:sz="4" w:space="0" w:color="FFC000"/>
              <w:bottom w:val="single" w:sz="4" w:space="0" w:color="FFC000"/>
              <w:right w:val="single" w:sz="4" w:space="0" w:color="FFC000"/>
            </w:tcBorders>
            <w:shd w:val="clear" w:color="auto" w:fill="FFF8E6"/>
          </w:tcPr>
          <w:p>
            <w:pPr/>
          </w:p>
        </w:tc>
        <w:tc>
          <w:tcPr>
            <w:tcW w:w="1064" w:type="dxa"/>
            <w:tcBorders>
              <w:top w:val="nil" w:sz="6" w:space="0" w:color="auto"/>
              <w:left w:val="single" w:sz="4" w:space="0" w:color="FFC000"/>
              <w:bottom w:val="single" w:sz="4" w:space="0" w:color="FFC000"/>
              <w:right w:val="single" w:sz="4" w:space="0" w:color="FFC000"/>
            </w:tcBorders>
            <w:shd w:val="clear" w:color="auto" w:fill="FFF8E6"/>
          </w:tcPr>
          <w:p>
            <w:pPr/>
          </w:p>
        </w:tc>
        <w:tc>
          <w:tcPr>
            <w:tcW w:w="994" w:type="dxa"/>
            <w:tcBorders>
              <w:top w:val="nil" w:sz="6" w:space="0" w:color="auto"/>
              <w:left w:val="single" w:sz="4" w:space="0" w:color="FFC000"/>
              <w:bottom w:val="single" w:sz="4" w:space="0" w:color="FFC000"/>
              <w:right w:val="single" w:sz="4" w:space="0" w:color="FFC000"/>
            </w:tcBorders>
            <w:shd w:val="clear" w:color="auto" w:fill="FFF8E6"/>
          </w:tcPr>
          <w:p>
            <w:pPr/>
          </w:p>
        </w:tc>
        <w:tc>
          <w:tcPr>
            <w:tcW w:w="850" w:type="dxa"/>
            <w:vMerge/>
            <w:tcBorders>
              <w:left w:val="single" w:sz="4" w:space="0" w:color="FFC000"/>
              <w:bottom w:val="single" w:sz="4" w:space="0" w:color="FFC000"/>
              <w:right w:val="single" w:sz="4" w:space="0" w:color="FFC000"/>
            </w:tcBorders>
            <w:shd w:val="clear" w:color="auto" w:fill="FFF8E6"/>
          </w:tcPr>
          <w:p>
            <w:pPr/>
          </w:p>
        </w:tc>
        <w:tc>
          <w:tcPr>
            <w:tcW w:w="710" w:type="dxa"/>
            <w:vMerge/>
            <w:tcBorders>
              <w:left w:val="single" w:sz="4" w:space="0" w:color="FFC000"/>
              <w:bottom w:val="single" w:sz="4" w:space="0" w:color="FFC000"/>
              <w:right w:val="single" w:sz="4" w:space="0" w:color="FFC000"/>
            </w:tcBorders>
            <w:shd w:val="clear" w:color="auto" w:fill="FFF8E6"/>
          </w:tcPr>
          <w:p>
            <w:pPr/>
          </w:p>
        </w:tc>
        <w:tc>
          <w:tcPr>
            <w:tcW w:w="1217" w:type="dxa"/>
            <w:vMerge/>
            <w:tcBorders>
              <w:left w:val="single" w:sz="4" w:space="0" w:color="FFC000"/>
              <w:bottom w:val="single" w:sz="4" w:space="0" w:color="FFC000"/>
              <w:right w:val="single" w:sz="4" w:space="0" w:color="FFC000"/>
            </w:tcBorders>
            <w:shd w:val="clear" w:color="auto" w:fill="FFF8E6"/>
          </w:tcPr>
          <w:p>
            <w:pPr/>
          </w:p>
        </w:tc>
      </w:tr>
      <w:tr>
        <w:trPr>
          <w:trHeight w:val="450" w:hRule="exact"/>
        </w:trPr>
        <w:tc>
          <w:tcPr>
            <w:tcW w:w="3596"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994" w:type="dxa"/>
            <w:tcBorders>
              <w:top w:val="single" w:sz="4" w:space="0" w:color="FFC000"/>
              <w:left w:val="single" w:sz="4" w:space="0" w:color="FFC000"/>
              <w:bottom w:val="single" w:sz="4" w:space="0" w:color="FFC000"/>
              <w:right w:val="single" w:sz="4" w:space="0" w:color="FFC000"/>
            </w:tcBorders>
          </w:tcPr>
          <w:p>
            <w:pPr/>
          </w:p>
        </w:tc>
        <w:tc>
          <w:tcPr>
            <w:tcW w:w="1064" w:type="dxa"/>
            <w:tcBorders>
              <w:top w:val="single" w:sz="4" w:space="0" w:color="FFC000"/>
              <w:left w:val="single" w:sz="4" w:space="0" w:color="FFC000"/>
              <w:bottom w:val="single" w:sz="4" w:space="0" w:color="FFC000"/>
              <w:right w:val="single" w:sz="4" w:space="0" w:color="FFC000"/>
            </w:tcBorders>
          </w:tcPr>
          <w:p>
            <w:pPr/>
          </w:p>
        </w:tc>
        <w:tc>
          <w:tcPr>
            <w:tcW w:w="994" w:type="dxa"/>
            <w:tcBorders>
              <w:top w:val="single" w:sz="4" w:space="0" w:color="FFC000"/>
              <w:left w:val="single" w:sz="4" w:space="0" w:color="FFC000"/>
              <w:bottom w:val="single" w:sz="4" w:space="0" w:color="FFC000"/>
              <w:right w:val="single" w:sz="4" w:space="0" w:color="FFC000"/>
            </w:tcBorders>
          </w:tcPr>
          <w:p>
            <w:pPr/>
          </w:p>
        </w:tc>
        <w:tc>
          <w:tcPr>
            <w:tcW w:w="850" w:type="dxa"/>
            <w:tcBorders>
              <w:top w:val="single" w:sz="4" w:space="0" w:color="FFC000"/>
              <w:left w:val="single" w:sz="4" w:space="0" w:color="FFC000"/>
              <w:bottom w:val="single" w:sz="4" w:space="0" w:color="FFC000"/>
              <w:right w:val="single" w:sz="4" w:space="0" w:color="FFC000"/>
            </w:tcBorders>
          </w:tcPr>
          <w:p>
            <w:pPr/>
          </w:p>
        </w:tc>
        <w:tc>
          <w:tcPr>
            <w:tcW w:w="710" w:type="dxa"/>
            <w:tcBorders>
              <w:top w:val="single" w:sz="4" w:space="0" w:color="FFC000"/>
              <w:left w:val="single" w:sz="4" w:space="0" w:color="FFC000"/>
              <w:bottom w:val="single" w:sz="4" w:space="0" w:color="FFC000"/>
              <w:right w:val="single" w:sz="4" w:space="0" w:color="FFC000"/>
            </w:tcBorders>
          </w:tcPr>
          <w:p>
            <w:pP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03"/>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并取得</w:t>
            </w:r>
          </w:p>
        </w:tc>
      </w:tr>
      <w:tr>
        <w:trPr>
          <w:trHeight w:val="490" w:hRule="exact"/>
        </w:trPr>
        <w:tc>
          <w:tcPr>
            <w:tcW w:w="35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深圳市酷彩科技有限公司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服务业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85.00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205" w:hRule="exact"/>
        </w:trPr>
        <w:tc>
          <w:tcPr>
            <w:tcW w:w="3596" w:type="dxa"/>
            <w:tcBorders>
              <w:top w:val="single" w:sz="4" w:space="0" w:color="FFC000"/>
              <w:left w:val="single" w:sz="4" w:space="0" w:color="FFC000"/>
              <w:bottom w:val="nil" w:sz="6" w:space="0" w:color="auto"/>
              <w:right w:val="single" w:sz="4" w:space="0" w:color="FFC000"/>
            </w:tcBorders>
            <w:shd w:val="clear" w:color="auto" w:fill="FFF8E6"/>
          </w:tcPr>
          <w:p>
            <w:pPr/>
          </w:p>
        </w:tc>
        <w:tc>
          <w:tcPr>
            <w:tcW w:w="994" w:type="dxa"/>
            <w:vMerge w:val="restart"/>
            <w:tcBorders>
              <w:top w:val="single" w:sz="4" w:space="0" w:color="FFC000"/>
              <w:left w:val="single" w:sz="9" w:space="0" w:color="FFF8E6"/>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1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服务业</w:t>
            </w:r>
          </w:p>
        </w:tc>
        <w:tc>
          <w:tcPr>
            <w:tcW w:w="85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right="19"/>
              <w:jc w:val="right"/>
              <w:rPr>
                <w:rFonts w:ascii="华文细黑" w:hAnsi="华文细黑" w:cs="华文细黑" w:eastAsia="华文细黑" w:hint="default"/>
                <w:sz w:val="18"/>
                <w:szCs w:val="18"/>
              </w:rPr>
            </w:pPr>
            <w:r>
              <w:rPr>
                <w:rFonts w:ascii="华文细黑"/>
                <w:sz w:val="18"/>
              </w:rPr>
              <w:t>---</w:t>
            </w:r>
          </w:p>
        </w:tc>
        <w:tc>
          <w:tcPr>
            <w:tcW w:w="71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29" w:right="0"/>
              <w:jc w:val="left"/>
              <w:rPr>
                <w:rFonts w:ascii="华文细黑" w:hAnsi="华文细黑" w:cs="华文细黑" w:eastAsia="华文细黑" w:hint="default"/>
                <w:sz w:val="18"/>
                <w:szCs w:val="18"/>
              </w:rPr>
            </w:pPr>
            <w:r>
              <w:rPr>
                <w:rFonts w:ascii="华文细黑"/>
                <w:sz w:val="18"/>
              </w:rPr>
              <w:t>85.00</w:t>
            </w:r>
          </w:p>
        </w:tc>
        <w:tc>
          <w:tcPr>
            <w:tcW w:w="1217" w:type="dxa"/>
            <w:vMerge w:val="restart"/>
            <w:tcBorders>
              <w:top w:val="single" w:sz="4" w:space="0" w:color="FFC000"/>
              <w:left w:val="single" w:sz="4" w:space="0" w:color="FFC000"/>
              <w:right w:val="single" w:sz="4" w:space="0" w:color="FFC000"/>
            </w:tcBorders>
          </w:tcPr>
          <w:p>
            <w:pPr>
              <w:pStyle w:val="TableParagraph"/>
              <w:spacing w:line="379" w:lineRule="auto" w:before="143"/>
              <w:ind w:left="24"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非同一控制下 合并取得</w:t>
            </w:r>
          </w:p>
        </w:tc>
      </w:tr>
      <w:tr>
        <w:trPr>
          <w:trHeight w:val="480" w:hRule="exact"/>
        </w:trPr>
        <w:tc>
          <w:tcPr>
            <w:tcW w:w="3596"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深圳市互动科技有限公司</w:t>
            </w:r>
          </w:p>
        </w:tc>
        <w:tc>
          <w:tcPr>
            <w:tcW w:w="994" w:type="dxa"/>
            <w:vMerge/>
            <w:tcBorders>
              <w:left w:val="single" w:sz="9" w:space="0" w:color="FFF8E6"/>
              <w:right w:val="single" w:sz="4" w:space="0" w:color="FFC000"/>
            </w:tcBorders>
          </w:tcPr>
          <w:p>
            <w:pPr/>
          </w:p>
        </w:tc>
        <w:tc>
          <w:tcPr>
            <w:tcW w:w="1064" w:type="dxa"/>
            <w:vMerge/>
            <w:tcBorders>
              <w:left w:val="single" w:sz="4" w:space="0" w:color="FFC000"/>
              <w:right w:val="single" w:sz="4" w:space="0" w:color="FFC000"/>
            </w:tcBorders>
          </w:tcPr>
          <w:p>
            <w:pPr/>
          </w:p>
        </w:tc>
        <w:tc>
          <w:tcPr>
            <w:tcW w:w="994" w:type="dxa"/>
            <w:vMerge/>
            <w:tcBorders>
              <w:left w:val="single" w:sz="4" w:space="0" w:color="FFC000"/>
              <w:right w:val="single" w:sz="4" w:space="0" w:color="FFC000"/>
            </w:tcBorders>
          </w:tcPr>
          <w:p>
            <w:pPr/>
          </w:p>
        </w:tc>
        <w:tc>
          <w:tcPr>
            <w:tcW w:w="850" w:type="dxa"/>
            <w:vMerge/>
            <w:tcBorders>
              <w:left w:val="single" w:sz="4" w:space="0" w:color="FFC000"/>
              <w:right w:val="single" w:sz="4" w:space="0" w:color="FFC000"/>
            </w:tcBorders>
          </w:tcPr>
          <w:p>
            <w:pPr/>
          </w:p>
        </w:tc>
        <w:tc>
          <w:tcPr>
            <w:tcW w:w="710" w:type="dxa"/>
            <w:vMerge/>
            <w:tcBorders>
              <w:left w:val="single" w:sz="4" w:space="0" w:color="FFC000"/>
              <w:right w:val="single" w:sz="4" w:space="0" w:color="FFC000"/>
            </w:tcBorders>
          </w:tcPr>
          <w:p>
            <w:pPr/>
          </w:p>
        </w:tc>
        <w:tc>
          <w:tcPr>
            <w:tcW w:w="1217" w:type="dxa"/>
            <w:vMerge/>
            <w:tcBorders>
              <w:left w:val="single" w:sz="4" w:space="0" w:color="FFC000"/>
              <w:right w:val="single" w:sz="4" w:space="0" w:color="FFC000"/>
            </w:tcBorders>
          </w:tcPr>
          <w:p>
            <w:pPr/>
          </w:p>
        </w:tc>
      </w:tr>
      <w:tr>
        <w:trPr>
          <w:trHeight w:val="205" w:hRule="exact"/>
        </w:trPr>
        <w:tc>
          <w:tcPr>
            <w:tcW w:w="3596" w:type="dxa"/>
            <w:tcBorders>
              <w:top w:val="nil" w:sz="6" w:space="0" w:color="auto"/>
              <w:left w:val="single" w:sz="4" w:space="0" w:color="FFC000"/>
              <w:bottom w:val="single" w:sz="4" w:space="0" w:color="FFC000"/>
              <w:right w:val="single" w:sz="4" w:space="0" w:color="FFC000"/>
            </w:tcBorders>
            <w:shd w:val="clear" w:color="auto" w:fill="FFF8E6"/>
          </w:tcPr>
          <w:p>
            <w:pPr/>
          </w:p>
        </w:tc>
        <w:tc>
          <w:tcPr>
            <w:tcW w:w="994" w:type="dxa"/>
            <w:vMerge/>
            <w:tcBorders>
              <w:left w:val="single" w:sz="9" w:space="0" w:color="FFF8E6"/>
              <w:bottom w:val="single" w:sz="4" w:space="0" w:color="FFC000"/>
              <w:right w:val="single" w:sz="4" w:space="0" w:color="FFC000"/>
            </w:tcBorders>
          </w:tcPr>
          <w:p>
            <w:pPr/>
          </w:p>
        </w:tc>
        <w:tc>
          <w:tcPr>
            <w:tcW w:w="1064" w:type="dxa"/>
            <w:vMerge/>
            <w:tcBorders>
              <w:left w:val="single" w:sz="4" w:space="0" w:color="FFC000"/>
              <w:bottom w:val="single" w:sz="4" w:space="0" w:color="FFC000"/>
              <w:right w:val="single" w:sz="4" w:space="0" w:color="FFC000"/>
            </w:tcBorders>
          </w:tcPr>
          <w:p>
            <w:pPr/>
          </w:p>
        </w:tc>
        <w:tc>
          <w:tcPr>
            <w:tcW w:w="994" w:type="dxa"/>
            <w:vMerge/>
            <w:tcBorders>
              <w:left w:val="single" w:sz="4" w:space="0" w:color="FFC000"/>
              <w:bottom w:val="single" w:sz="4" w:space="0" w:color="FFC000"/>
              <w:right w:val="single" w:sz="4" w:space="0" w:color="FFC000"/>
            </w:tcBorders>
          </w:tcPr>
          <w:p>
            <w:pPr/>
          </w:p>
        </w:tc>
        <w:tc>
          <w:tcPr>
            <w:tcW w:w="850" w:type="dxa"/>
            <w:vMerge/>
            <w:tcBorders>
              <w:left w:val="single" w:sz="4" w:space="0" w:color="FFC000"/>
              <w:bottom w:val="single" w:sz="4" w:space="0" w:color="FFC000"/>
              <w:right w:val="single" w:sz="4" w:space="0" w:color="FFC000"/>
            </w:tcBorders>
          </w:tcPr>
          <w:p>
            <w:pPr/>
          </w:p>
        </w:tc>
        <w:tc>
          <w:tcPr>
            <w:tcW w:w="710" w:type="dxa"/>
            <w:vMerge/>
            <w:tcBorders>
              <w:left w:val="single" w:sz="4" w:space="0" w:color="FFC000"/>
              <w:bottom w:val="single" w:sz="4" w:space="0" w:color="FFC000"/>
              <w:right w:val="single" w:sz="4" w:space="0" w:color="FFC000"/>
            </w:tcBorders>
          </w:tcPr>
          <w:p>
            <w:pPr/>
          </w:p>
        </w:tc>
        <w:tc>
          <w:tcPr>
            <w:tcW w:w="1217" w:type="dxa"/>
            <w:vMerge/>
            <w:tcBorders>
              <w:left w:val="single" w:sz="4" w:space="0" w:color="FFC000"/>
              <w:bottom w:val="single" w:sz="4" w:space="0" w:color="FFC000"/>
              <w:right w:val="single" w:sz="4" w:space="0" w:color="FFC000"/>
            </w:tcBorders>
          </w:tcPr>
          <w:p>
            <w:pPr/>
          </w:p>
        </w:tc>
      </w:tr>
      <w:tr>
        <w:trPr>
          <w:trHeight w:val="205" w:hRule="exact"/>
        </w:trPr>
        <w:tc>
          <w:tcPr>
            <w:tcW w:w="3596" w:type="dxa"/>
            <w:tcBorders>
              <w:top w:val="single" w:sz="4" w:space="0" w:color="FFC000"/>
              <w:left w:val="single" w:sz="4" w:space="0" w:color="FFC000"/>
              <w:bottom w:val="nil" w:sz="6" w:space="0" w:color="auto"/>
              <w:right w:val="single" w:sz="4" w:space="0" w:color="FFC000"/>
            </w:tcBorders>
            <w:shd w:val="clear" w:color="auto" w:fill="FFF8E6"/>
          </w:tcPr>
          <w:p>
            <w:pPr/>
          </w:p>
        </w:tc>
        <w:tc>
          <w:tcPr>
            <w:tcW w:w="994" w:type="dxa"/>
            <w:vMerge w:val="restart"/>
            <w:tcBorders>
              <w:top w:val="single" w:sz="4" w:space="0" w:color="FFC000"/>
              <w:left w:val="single" w:sz="9" w:space="0" w:color="FFF8E6"/>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1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106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99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服务业</w:t>
            </w:r>
          </w:p>
        </w:tc>
        <w:tc>
          <w:tcPr>
            <w:tcW w:w="85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right="19"/>
              <w:jc w:val="right"/>
              <w:rPr>
                <w:rFonts w:ascii="华文细黑" w:hAnsi="华文细黑" w:cs="华文细黑" w:eastAsia="华文细黑" w:hint="default"/>
                <w:sz w:val="18"/>
                <w:szCs w:val="18"/>
              </w:rPr>
            </w:pPr>
            <w:r>
              <w:rPr>
                <w:rFonts w:ascii="华文细黑"/>
                <w:sz w:val="18"/>
              </w:rPr>
              <w:t>---</w:t>
            </w:r>
          </w:p>
        </w:tc>
        <w:tc>
          <w:tcPr>
            <w:tcW w:w="71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29" w:right="0"/>
              <w:jc w:val="left"/>
              <w:rPr>
                <w:rFonts w:ascii="华文细黑" w:hAnsi="华文细黑" w:cs="华文细黑" w:eastAsia="华文细黑" w:hint="default"/>
                <w:sz w:val="18"/>
                <w:szCs w:val="18"/>
              </w:rPr>
            </w:pPr>
            <w:r>
              <w:rPr>
                <w:rFonts w:ascii="华文细黑"/>
                <w:sz w:val="18"/>
              </w:rPr>
              <w:t>85.00</w:t>
            </w:r>
          </w:p>
        </w:tc>
        <w:tc>
          <w:tcPr>
            <w:tcW w:w="1217" w:type="dxa"/>
            <w:vMerge w:val="restart"/>
            <w:tcBorders>
              <w:top w:val="single" w:sz="4" w:space="0" w:color="FFC000"/>
              <w:left w:val="single" w:sz="4" w:space="0" w:color="FFC000"/>
              <w:right w:val="single" w:sz="4" w:space="0" w:color="FFC000"/>
            </w:tcBorders>
          </w:tcPr>
          <w:p>
            <w:pPr>
              <w:pStyle w:val="TableParagraph"/>
              <w:spacing w:line="379" w:lineRule="auto" w:before="143"/>
              <w:ind w:left="24"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非同一控制下 合并取得</w:t>
            </w:r>
          </w:p>
        </w:tc>
      </w:tr>
      <w:tr>
        <w:trPr>
          <w:trHeight w:val="480" w:hRule="exact"/>
        </w:trPr>
        <w:tc>
          <w:tcPr>
            <w:tcW w:w="3596"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北京汇乐之音数字文化传播有限公司</w:t>
            </w:r>
          </w:p>
        </w:tc>
        <w:tc>
          <w:tcPr>
            <w:tcW w:w="994" w:type="dxa"/>
            <w:vMerge/>
            <w:tcBorders>
              <w:left w:val="single" w:sz="9" w:space="0" w:color="FFF8E6"/>
              <w:right w:val="single" w:sz="4" w:space="0" w:color="FFC000"/>
            </w:tcBorders>
          </w:tcPr>
          <w:p>
            <w:pPr/>
          </w:p>
        </w:tc>
        <w:tc>
          <w:tcPr>
            <w:tcW w:w="1064" w:type="dxa"/>
            <w:vMerge/>
            <w:tcBorders>
              <w:left w:val="single" w:sz="4" w:space="0" w:color="FFC000"/>
              <w:right w:val="single" w:sz="4" w:space="0" w:color="FFC000"/>
            </w:tcBorders>
          </w:tcPr>
          <w:p>
            <w:pPr/>
          </w:p>
        </w:tc>
        <w:tc>
          <w:tcPr>
            <w:tcW w:w="994" w:type="dxa"/>
            <w:vMerge/>
            <w:tcBorders>
              <w:left w:val="single" w:sz="4" w:space="0" w:color="FFC000"/>
              <w:right w:val="single" w:sz="4" w:space="0" w:color="FFC000"/>
            </w:tcBorders>
          </w:tcPr>
          <w:p>
            <w:pPr/>
          </w:p>
        </w:tc>
        <w:tc>
          <w:tcPr>
            <w:tcW w:w="850" w:type="dxa"/>
            <w:vMerge/>
            <w:tcBorders>
              <w:left w:val="single" w:sz="4" w:space="0" w:color="FFC000"/>
              <w:right w:val="single" w:sz="4" w:space="0" w:color="FFC000"/>
            </w:tcBorders>
          </w:tcPr>
          <w:p>
            <w:pPr/>
          </w:p>
        </w:tc>
        <w:tc>
          <w:tcPr>
            <w:tcW w:w="710" w:type="dxa"/>
            <w:vMerge/>
            <w:tcBorders>
              <w:left w:val="single" w:sz="4" w:space="0" w:color="FFC000"/>
              <w:right w:val="single" w:sz="4" w:space="0" w:color="FFC000"/>
            </w:tcBorders>
          </w:tcPr>
          <w:p>
            <w:pPr/>
          </w:p>
        </w:tc>
        <w:tc>
          <w:tcPr>
            <w:tcW w:w="1217" w:type="dxa"/>
            <w:vMerge/>
            <w:tcBorders>
              <w:left w:val="single" w:sz="4" w:space="0" w:color="FFC000"/>
              <w:right w:val="single" w:sz="4" w:space="0" w:color="FFC000"/>
            </w:tcBorders>
          </w:tcPr>
          <w:p>
            <w:pPr/>
          </w:p>
        </w:tc>
      </w:tr>
      <w:tr>
        <w:trPr>
          <w:trHeight w:val="205" w:hRule="exact"/>
        </w:trPr>
        <w:tc>
          <w:tcPr>
            <w:tcW w:w="3596" w:type="dxa"/>
            <w:tcBorders>
              <w:top w:val="nil" w:sz="6" w:space="0" w:color="auto"/>
              <w:left w:val="single" w:sz="4" w:space="0" w:color="FFC000"/>
              <w:bottom w:val="single" w:sz="4" w:space="0" w:color="FFC000"/>
              <w:right w:val="single" w:sz="4" w:space="0" w:color="FFC000"/>
            </w:tcBorders>
            <w:shd w:val="clear" w:color="auto" w:fill="FFF8E6"/>
          </w:tcPr>
          <w:p>
            <w:pPr/>
          </w:p>
        </w:tc>
        <w:tc>
          <w:tcPr>
            <w:tcW w:w="994" w:type="dxa"/>
            <w:vMerge/>
            <w:tcBorders>
              <w:left w:val="single" w:sz="9" w:space="0" w:color="FFF8E6"/>
              <w:bottom w:val="single" w:sz="4" w:space="0" w:color="FFC000"/>
              <w:right w:val="single" w:sz="4" w:space="0" w:color="FFC000"/>
            </w:tcBorders>
          </w:tcPr>
          <w:p>
            <w:pPr/>
          </w:p>
        </w:tc>
        <w:tc>
          <w:tcPr>
            <w:tcW w:w="1064" w:type="dxa"/>
            <w:vMerge/>
            <w:tcBorders>
              <w:left w:val="single" w:sz="4" w:space="0" w:color="FFC000"/>
              <w:bottom w:val="single" w:sz="4" w:space="0" w:color="FFC000"/>
              <w:right w:val="single" w:sz="4" w:space="0" w:color="FFC000"/>
            </w:tcBorders>
          </w:tcPr>
          <w:p>
            <w:pPr/>
          </w:p>
        </w:tc>
        <w:tc>
          <w:tcPr>
            <w:tcW w:w="994" w:type="dxa"/>
            <w:vMerge/>
            <w:tcBorders>
              <w:left w:val="single" w:sz="4" w:space="0" w:color="FFC000"/>
              <w:bottom w:val="single" w:sz="4" w:space="0" w:color="FFC000"/>
              <w:right w:val="single" w:sz="4" w:space="0" w:color="FFC000"/>
            </w:tcBorders>
          </w:tcPr>
          <w:p>
            <w:pPr/>
          </w:p>
        </w:tc>
        <w:tc>
          <w:tcPr>
            <w:tcW w:w="850" w:type="dxa"/>
            <w:vMerge/>
            <w:tcBorders>
              <w:left w:val="single" w:sz="4" w:space="0" w:color="FFC000"/>
              <w:bottom w:val="single" w:sz="4" w:space="0" w:color="FFC000"/>
              <w:right w:val="single" w:sz="4" w:space="0" w:color="FFC000"/>
            </w:tcBorders>
          </w:tcPr>
          <w:p>
            <w:pPr/>
          </w:p>
        </w:tc>
        <w:tc>
          <w:tcPr>
            <w:tcW w:w="710" w:type="dxa"/>
            <w:vMerge/>
            <w:tcBorders>
              <w:left w:val="single" w:sz="4" w:space="0" w:color="FFC000"/>
              <w:bottom w:val="single" w:sz="4" w:space="0" w:color="FFC000"/>
              <w:right w:val="single" w:sz="4" w:space="0" w:color="FFC000"/>
            </w:tcBorders>
          </w:tcPr>
          <w:p>
            <w:pPr/>
          </w:p>
        </w:tc>
        <w:tc>
          <w:tcPr>
            <w:tcW w:w="1217" w:type="dxa"/>
            <w:vMerge/>
            <w:tcBorders>
              <w:left w:val="single" w:sz="4" w:space="0" w:color="FFC000"/>
              <w:bottom w:val="single" w:sz="4" w:space="0" w:color="FFC000"/>
              <w:right w:val="single" w:sz="4" w:space="0" w:color="FFC000"/>
            </w:tcBorders>
          </w:tcPr>
          <w:p>
            <w:pPr/>
          </w:p>
        </w:tc>
      </w:tr>
      <w:tr>
        <w:trPr>
          <w:trHeight w:val="205" w:hRule="exact"/>
        </w:trPr>
        <w:tc>
          <w:tcPr>
            <w:tcW w:w="3596" w:type="dxa"/>
            <w:tcBorders>
              <w:top w:val="single" w:sz="4" w:space="0" w:color="FFC000"/>
              <w:left w:val="single" w:sz="4" w:space="0" w:color="FFC000"/>
              <w:bottom w:val="nil" w:sz="6" w:space="0" w:color="auto"/>
              <w:right w:val="single" w:sz="4" w:space="0" w:color="FFC000"/>
            </w:tcBorders>
            <w:shd w:val="clear" w:color="auto" w:fill="FFF8E6"/>
          </w:tcPr>
          <w:p>
            <w:pPr/>
          </w:p>
        </w:tc>
        <w:tc>
          <w:tcPr>
            <w:tcW w:w="994" w:type="dxa"/>
            <w:vMerge w:val="restart"/>
            <w:tcBorders>
              <w:top w:val="single" w:sz="4" w:space="0" w:color="FFC000"/>
              <w:left w:val="single" w:sz="9" w:space="0" w:color="FFF8E6"/>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1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106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99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服务业</w:t>
            </w:r>
          </w:p>
        </w:tc>
        <w:tc>
          <w:tcPr>
            <w:tcW w:w="85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right="19"/>
              <w:jc w:val="right"/>
              <w:rPr>
                <w:rFonts w:ascii="华文细黑" w:hAnsi="华文细黑" w:cs="华文细黑" w:eastAsia="华文细黑" w:hint="default"/>
                <w:sz w:val="18"/>
                <w:szCs w:val="18"/>
              </w:rPr>
            </w:pPr>
            <w:r>
              <w:rPr>
                <w:rFonts w:ascii="华文细黑"/>
                <w:sz w:val="18"/>
              </w:rPr>
              <w:t>---</w:t>
            </w:r>
          </w:p>
        </w:tc>
        <w:tc>
          <w:tcPr>
            <w:tcW w:w="71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29" w:right="0"/>
              <w:jc w:val="left"/>
              <w:rPr>
                <w:rFonts w:ascii="华文细黑" w:hAnsi="华文细黑" w:cs="华文细黑" w:eastAsia="华文细黑" w:hint="default"/>
                <w:sz w:val="18"/>
                <w:szCs w:val="18"/>
              </w:rPr>
            </w:pPr>
            <w:r>
              <w:rPr>
                <w:rFonts w:ascii="华文细黑"/>
                <w:sz w:val="18"/>
              </w:rPr>
              <w:t>85.00</w:t>
            </w:r>
          </w:p>
        </w:tc>
        <w:tc>
          <w:tcPr>
            <w:tcW w:w="1217" w:type="dxa"/>
            <w:vMerge w:val="restart"/>
            <w:tcBorders>
              <w:top w:val="single" w:sz="4" w:space="0" w:color="FFC000"/>
              <w:left w:val="single" w:sz="4" w:space="0" w:color="FFC000"/>
              <w:right w:val="single" w:sz="4" w:space="0" w:color="FFC000"/>
            </w:tcBorders>
          </w:tcPr>
          <w:p>
            <w:pPr>
              <w:pStyle w:val="TableParagraph"/>
              <w:spacing w:line="376" w:lineRule="auto" w:before="144"/>
              <w:ind w:left="24"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非同一控制下 合并取得</w:t>
            </w:r>
          </w:p>
        </w:tc>
      </w:tr>
      <w:tr>
        <w:trPr>
          <w:trHeight w:val="480" w:hRule="exact"/>
        </w:trPr>
        <w:tc>
          <w:tcPr>
            <w:tcW w:w="3596"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北京龙迹天地科技有限公司</w:t>
            </w:r>
          </w:p>
        </w:tc>
        <w:tc>
          <w:tcPr>
            <w:tcW w:w="994" w:type="dxa"/>
            <w:vMerge/>
            <w:tcBorders>
              <w:left w:val="single" w:sz="9" w:space="0" w:color="FFF8E6"/>
              <w:right w:val="single" w:sz="4" w:space="0" w:color="FFC000"/>
            </w:tcBorders>
          </w:tcPr>
          <w:p>
            <w:pPr/>
          </w:p>
        </w:tc>
        <w:tc>
          <w:tcPr>
            <w:tcW w:w="1064" w:type="dxa"/>
            <w:vMerge/>
            <w:tcBorders>
              <w:left w:val="single" w:sz="4" w:space="0" w:color="FFC000"/>
              <w:right w:val="single" w:sz="4" w:space="0" w:color="FFC000"/>
            </w:tcBorders>
          </w:tcPr>
          <w:p>
            <w:pPr/>
          </w:p>
        </w:tc>
        <w:tc>
          <w:tcPr>
            <w:tcW w:w="994" w:type="dxa"/>
            <w:vMerge/>
            <w:tcBorders>
              <w:left w:val="single" w:sz="4" w:space="0" w:color="FFC000"/>
              <w:right w:val="single" w:sz="4" w:space="0" w:color="FFC000"/>
            </w:tcBorders>
          </w:tcPr>
          <w:p>
            <w:pPr/>
          </w:p>
        </w:tc>
        <w:tc>
          <w:tcPr>
            <w:tcW w:w="850" w:type="dxa"/>
            <w:vMerge/>
            <w:tcBorders>
              <w:left w:val="single" w:sz="4" w:space="0" w:color="FFC000"/>
              <w:right w:val="single" w:sz="4" w:space="0" w:color="FFC000"/>
            </w:tcBorders>
          </w:tcPr>
          <w:p>
            <w:pPr/>
          </w:p>
        </w:tc>
        <w:tc>
          <w:tcPr>
            <w:tcW w:w="710" w:type="dxa"/>
            <w:vMerge/>
            <w:tcBorders>
              <w:left w:val="single" w:sz="4" w:space="0" w:color="FFC000"/>
              <w:right w:val="single" w:sz="4" w:space="0" w:color="FFC000"/>
            </w:tcBorders>
          </w:tcPr>
          <w:p>
            <w:pPr/>
          </w:p>
        </w:tc>
        <w:tc>
          <w:tcPr>
            <w:tcW w:w="1217" w:type="dxa"/>
            <w:vMerge/>
            <w:tcBorders>
              <w:left w:val="single" w:sz="4" w:space="0" w:color="FFC000"/>
              <w:right w:val="single" w:sz="4" w:space="0" w:color="FFC000"/>
            </w:tcBorders>
          </w:tcPr>
          <w:p>
            <w:pPr/>
          </w:p>
        </w:tc>
      </w:tr>
      <w:tr>
        <w:trPr>
          <w:trHeight w:val="205" w:hRule="exact"/>
        </w:trPr>
        <w:tc>
          <w:tcPr>
            <w:tcW w:w="3596" w:type="dxa"/>
            <w:tcBorders>
              <w:top w:val="nil" w:sz="6" w:space="0" w:color="auto"/>
              <w:left w:val="single" w:sz="4" w:space="0" w:color="FFC000"/>
              <w:bottom w:val="single" w:sz="4" w:space="0" w:color="FFC000"/>
              <w:right w:val="single" w:sz="4" w:space="0" w:color="FFC000"/>
            </w:tcBorders>
            <w:shd w:val="clear" w:color="auto" w:fill="FFF8E6"/>
          </w:tcPr>
          <w:p>
            <w:pPr/>
          </w:p>
        </w:tc>
        <w:tc>
          <w:tcPr>
            <w:tcW w:w="994" w:type="dxa"/>
            <w:vMerge/>
            <w:tcBorders>
              <w:left w:val="single" w:sz="9" w:space="0" w:color="FFF8E6"/>
              <w:bottom w:val="single" w:sz="4" w:space="0" w:color="FFC000"/>
              <w:right w:val="single" w:sz="4" w:space="0" w:color="FFC000"/>
            </w:tcBorders>
          </w:tcPr>
          <w:p>
            <w:pPr/>
          </w:p>
        </w:tc>
        <w:tc>
          <w:tcPr>
            <w:tcW w:w="1064" w:type="dxa"/>
            <w:vMerge/>
            <w:tcBorders>
              <w:left w:val="single" w:sz="4" w:space="0" w:color="FFC000"/>
              <w:bottom w:val="single" w:sz="4" w:space="0" w:color="FFC000"/>
              <w:right w:val="single" w:sz="4" w:space="0" w:color="FFC000"/>
            </w:tcBorders>
          </w:tcPr>
          <w:p>
            <w:pPr/>
          </w:p>
        </w:tc>
        <w:tc>
          <w:tcPr>
            <w:tcW w:w="994" w:type="dxa"/>
            <w:vMerge/>
            <w:tcBorders>
              <w:left w:val="single" w:sz="4" w:space="0" w:color="FFC000"/>
              <w:bottom w:val="single" w:sz="4" w:space="0" w:color="FFC000"/>
              <w:right w:val="single" w:sz="4" w:space="0" w:color="FFC000"/>
            </w:tcBorders>
          </w:tcPr>
          <w:p>
            <w:pPr/>
          </w:p>
        </w:tc>
        <w:tc>
          <w:tcPr>
            <w:tcW w:w="850" w:type="dxa"/>
            <w:vMerge/>
            <w:tcBorders>
              <w:left w:val="single" w:sz="4" w:space="0" w:color="FFC000"/>
              <w:bottom w:val="single" w:sz="4" w:space="0" w:color="FFC000"/>
              <w:right w:val="single" w:sz="4" w:space="0" w:color="FFC000"/>
            </w:tcBorders>
          </w:tcPr>
          <w:p>
            <w:pPr/>
          </w:p>
        </w:tc>
        <w:tc>
          <w:tcPr>
            <w:tcW w:w="710" w:type="dxa"/>
            <w:vMerge/>
            <w:tcBorders>
              <w:left w:val="single" w:sz="4" w:space="0" w:color="FFC000"/>
              <w:bottom w:val="single" w:sz="4" w:space="0" w:color="FFC000"/>
              <w:right w:val="single" w:sz="4" w:space="0" w:color="FFC000"/>
            </w:tcBorders>
          </w:tcPr>
          <w:p>
            <w:pPr/>
          </w:p>
        </w:tc>
        <w:tc>
          <w:tcPr>
            <w:tcW w:w="1217" w:type="dxa"/>
            <w:vMerge/>
            <w:tcBorders>
              <w:left w:val="single" w:sz="4" w:space="0" w:color="FFC000"/>
              <w:bottom w:val="single" w:sz="4" w:space="0" w:color="FFC000"/>
              <w:right w:val="single" w:sz="4" w:space="0" w:color="FFC000"/>
            </w:tcBorders>
          </w:tcPr>
          <w:p>
            <w:pPr/>
          </w:p>
        </w:tc>
      </w:tr>
      <w:tr>
        <w:trPr>
          <w:trHeight w:val="205" w:hRule="exact"/>
        </w:trPr>
        <w:tc>
          <w:tcPr>
            <w:tcW w:w="3596" w:type="dxa"/>
            <w:tcBorders>
              <w:top w:val="single" w:sz="4" w:space="0" w:color="FFC000"/>
              <w:left w:val="single" w:sz="4" w:space="0" w:color="FFC000"/>
              <w:bottom w:val="nil" w:sz="6" w:space="0" w:color="auto"/>
              <w:right w:val="single" w:sz="4" w:space="0" w:color="FFC000"/>
            </w:tcBorders>
            <w:shd w:val="clear" w:color="auto" w:fill="FFF8E6"/>
          </w:tcPr>
          <w:p>
            <w:pPr/>
          </w:p>
        </w:tc>
        <w:tc>
          <w:tcPr>
            <w:tcW w:w="994" w:type="dxa"/>
            <w:vMerge w:val="restart"/>
            <w:tcBorders>
              <w:top w:val="single" w:sz="4" w:space="0" w:color="FFC000"/>
              <w:left w:val="single" w:sz="9" w:space="0" w:color="FFF8E6"/>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1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106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99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服务业</w:t>
            </w:r>
          </w:p>
        </w:tc>
        <w:tc>
          <w:tcPr>
            <w:tcW w:w="85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right="19"/>
              <w:jc w:val="right"/>
              <w:rPr>
                <w:rFonts w:ascii="华文细黑" w:hAnsi="华文细黑" w:cs="华文细黑" w:eastAsia="华文细黑" w:hint="default"/>
                <w:sz w:val="18"/>
                <w:szCs w:val="18"/>
              </w:rPr>
            </w:pPr>
            <w:r>
              <w:rPr>
                <w:rFonts w:ascii="华文细黑"/>
                <w:sz w:val="18"/>
              </w:rPr>
              <w:t>---</w:t>
            </w:r>
          </w:p>
        </w:tc>
        <w:tc>
          <w:tcPr>
            <w:tcW w:w="71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29" w:right="0"/>
              <w:jc w:val="left"/>
              <w:rPr>
                <w:rFonts w:ascii="华文细黑" w:hAnsi="华文细黑" w:cs="华文细黑" w:eastAsia="华文细黑" w:hint="default"/>
                <w:sz w:val="18"/>
                <w:szCs w:val="18"/>
              </w:rPr>
            </w:pPr>
            <w:r>
              <w:rPr>
                <w:rFonts w:ascii="华文细黑"/>
                <w:sz w:val="18"/>
              </w:rPr>
              <w:t>85.00</w:t>
            </w:r>
          </w:p>
        </w:tc>
        <w:tc>
          <w:tcPr>
            <w:tcW w:w="1217" w:type="dxa"/>
            <w:vMerge w:val="restart"/>
            <w:tcBorders>
              <w:top w:val="single" w:sz="4" w:space="0" w:color="FFC000"/>
              <w:left w:val="single" w:sz="4" w:space="0" w:color="FFC000"/>
              <w:right w:val="single" w:sz="4" w:space="0" w:color="FFC000"/>
            </w:tcBorders>
          </w:tcPr>
          <w:p>
            <w:pPr>
              <w:pStyle w:val="TableParagraph"/>
              <w:spacing w:line="379" w:lineRule="auto" w:before="143"/>
              <w:ind w:left="24"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非同一控制下 合并取得</w:t>
            </w:r>
          </w:p>
        </w:tc>
      </w:tr>
      <w:tr>
        <w:trPr>
          <w:trHeight w:val="480" w:hRule="exact"/>
        </w:trPr>
        <w:tc>
          <w:tcPr>
            <w:tcW w:w="3596"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北京雪狐影视文化咨询有限公司</w:t>
            </w:r>
          </w:p>
        </w:tc>
        <w:tc>
          <w:tcPr>
            <w:tcW w:w="994" w:type="dxa"/>
            <w:vMerge/>
            <w:tcBorders>
              <w:left w:val="single" w:sz="9" w:space="0" w:color="FFF8E6"/>
              <w:right w:val="single" w:sz="4" w:space="0" w:color="FFC000"/>
            </w:tcBorders>
          </w:tcPr>
          <w:p>
            <w:pPr/>
          </w:p>
        </w:tc>
        <w:tc>
          <w:tcPr>
            <w:tcW w:w="1064" w:type="dxa"/>
            <w:vMerge/>
            <w:tcBorders>
              <w:left w:val="single" w:sz="4" w:space="0" w:color="FFC000"/>
              <w:right w:val="single" w:sz="4" w:space="0" w:color="FFC000"/>
            </w:tcBorders>
          </w:tcPr>
          <w:p>
            <w:pPr/>
          </w:p>
        </w:tc>
        <w:tc>
          <w:tcPr>
            <w:tcW w:w="994" w:type="dxa"/>
            <w:vMerge/>
            <w:tcBorders>
              <w:left w:val="single" w:sz="4" w:space="0" w:color="FFC000"/>
              <w:right w:val="single" w:sz="4" w:space="0" w:color="FFC000"/>
            </w:tcBorders>
          </w:tcPr>
          <w:p>
            <w:pPr/>
          </w:p>
        </w:tc>
        <w:tc>
          <w:tcPr>
            <w:tcW w:w="850" w:type="dxa"/>
            <w:vMerge/>
            <w:tcBorders>
              <w:left w:val="single" w:sz="4" w:space="0" w:color="FFC000"/>
              <w:right w:val="single" w:sz="4" w:space="0" w:color="FFC000"/>
            </w:tcBorders>
          </w:tcPr>
          <w:p>
            <w:pPr/>
          </w:p>
        </w:tc>
        <w:tc>
          <w:tcPr>
            <w:tcW w:w="710" w:type="dxa"/>
            <w:vMerge/>
            <w:tcBorders>
              <w:left w:val="single" w:sz="4" w:space="0" w:color="FFC000"/>
              <w:right w:val="single" w:sz="4" w:space="0" w:color="FFC000"/>
            </w:tcBorders>
          </w:tcPr>
          <w:p>
            <w:pPr/>
          </w:p>
        </w:tc>
        <w:tc>
          <w:tcPr>
            <w:tcW w:w="1217" w:type="dxa"/>
            <w:vMerge/>
            <w:tcBorders>
              <w:left w:val="single" w:sz="4" w:space="0" w:color="FFC000"/>
              <w:right w:val="single" w:sz="4" w:space="0" w:color="FFC000"/>
            </w:tcBorders>
          </w:tcPr>
          <w:p>
            <w:pPr/>
          </w:p>
        </w:tc>
      </w:tr>
      <w:tr>
        <w:trPr>
          <w:trHeight w:val="205" w:hRule="exact"/>
        </w:trPr>
        <w:tc>
          <w:tcPr>
            <w:tcW w:w="3596" w:type="dxa"/>
            <w:tcBorders>
              <w:top w:val="nil" w:sz="6" w:space="0" w:color="auto"/>
              <w:left w:val="single" w:sz="4" w:space="0" w:color="FFC000"/>
              <w:bottom w:val="single" w:sz="4" w:space="0" w:color="FFC000"/>
              <w:right w:val="single" w:sz="4" w:space="0" w:color="FFC000"/>
            </w:tcBorders>
            <w:shd w:val="clear" w:color="auto" w:fill="FFF8E6"/>
          </w:tcPr>
          <w:p>
            <w:pPr/>
          </w:p>
        </w:tc>
        <w:tc>
          <w:tcPr>
            <w:tcW w:w="994" w:type="dxa"/>
            <w:vMerge/>
            <w:tcBorders>
              <w:left w:val="single" w:sz="9" w:space="0" w:color="FFF8E6"/>
              <w:bottom w:val="single" w:sz="4" w:space="0" w:color="FFC000"/>
              <w:right w:val="single" w:sz="4" w:space="0" w:color="FFC000"/>
            </w:tcBorders>
          </w:tcPr>
          <w:p>
            <w:pPr/>
          </w:p>
        </w:tc>
        <w:tc>
          <w:tcPr>
            <w:tcW w:w="1064" w:type="dxa"/>
            <w:vMerge/>
            <w:tcBorders>
              <w:left w:val="single" w:sz="4" w:space="0" w:color="FFC000"/>
              <w:bottom w:val="single" w:sz="4" w:space="0" w:color="FFC000"/>
              <w:right w:val="single" w:sz="4" w:space="0" w:color="FFC000"/>
            </w:tcBorders>
          </w:tcPr>
          <w:p>
            <w:pPr/>
          </w:p>
        </w:tc>
        <w:tc>
          <w:tcPr>
            <w:tcW w:w="994" w:type="dxa"/>
            <w:vMerge/>
            <w:tcBorders>
              <w:left w:val="single" w:sz="4" w:space="0" w:color="FFC000"/>
              <w:bottom w:val="single" w:sz="4" w:space="0" w:color="FFC000"/>
              <w:right w:val="single" w:sz="4" w:space="0" w:color="FFC000"/>
            </w:tcBorders>
          </w:tcPr>
          <w:p>
            <w:pPr/>
          </w:p>
        </w:tc>
        <w:tc>
          <w:tcPr>
            <w:tcW w:w="850" w:type="dxa"/>
            <w:vMerge/>
            <w:tcBorders>
              <w:left w:val="single" w:sz="4" w:space="0" w:color="FFC000"/>
              <w:bottom w:val="single" w:sz="4" w:space="0" w:color="FFC000"/>
              <w:right w:val="single" w:sz="4" w:space="0" w:color="FFC000"/>
            </w:tcBorders>
          </w:tcPr>
          <w:p>
            <w:pPr/>
          </w:p>
        </w:tc>
        <w:tc>
          <w:tcPr>
            <w:tcW w:w="710" w:type="dxa"/>
            <w:vMerge/>
            <w:tcBorders>
              <w:left w:val="single" w:sz="4" w:space="0" w:color="FFC000"/>
              <w:bottom w:val="single" w:sz="4" w:space="0" w:color="FFC000"/>
              <w:right w:val="single" w:sz="4" w:space="0" w:color="FFC000"/>
            </w:tcBorders>
          </w:tcPr>
          <w:p>
            <w:pPr/>
          </w:p>
        </w:tc>
        <w:tc>
          <w:tcPr>
            <w:tcW w:w="1217" w:type="dxa"/>
            <w:vMerge/>
            <w:tcBorders>
              <w:left w:val="single" w:sz="4" w:space="0" w:color="FFC000"/>
              <w:bottom w:val="single" w:sz="4" w:space="0" w:color="FFC000"/>
              <w:right w:val="single" w:sz="4" w:space="0" w:color="FFC000"/>
            </w:tcBorders>
          </w:tcPr>
          <w:p>
            <w:pPr/>
          </w:p>
        </w:tc>
      </w:tr>
      <w:tr>
        <w:trPr>
          <w:trHeight w:val="490" w:hRule="exact"/>
        </w:trPr>
        <w:tc>
          <w:tcPr>
            <w:tcW w:w="35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西藏山南雪狐科技有限公司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西藏</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西藏</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服务业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85.00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205" w:hRule="exact"/>
        </w:trPr>
        <w:tc>
          <w:tcPr>
            <w:tcW w:w="3596" w:type="dxa"/>
            <w:tcBorders>
              <w:top w:val="single" w:sz="4" w:space="0" w:color="FFC000"/>
              <w:left w:val="single" w:sz="4" w:space="0" w:color="FFC000"/>
              <w:bottom w:val="nil" w:sz="6" w:space="0" w:color="auto"/>
              <w:right w:val="single" w:sz="4" w:space="0" w:color="FFC000"/>
            </w:tcBorders>
            <w:shd w:val="clear" w:color="auto" w:fill="FFF8E6"/>
          </w:tcPr>
          <w:p>
            <w:pPr/>
          </w:p>
        </w:tc>
        <w:tc>
          <w:tcPr>
            <w:tcW w:w="994" w:type="dxa"/>
            <w:vMerge w:val="restart"/>
            <w:tcBorders>
              <w:top w:val="single" w:sz="4" w:space="0" w:color="FFC000"/>
              <w:left w:val="single" w:sz="9" w:space="0" w:color="FFF8E6"/>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1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106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99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服务业</w:t>
            </w:r>
          </w:p>
        </w:tc>
        <w:tc>
          <w:tcPr>
            <w:tcW w:w="85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right="19"/>
              <w:jc w:val="right"/>
              <w:rPr>
                <w:rFonts w:ascii="华文细黑" w:hAnsi="华文细黑" w:cs="华文细黑" w:eastAsia="华文细黑" w:hint="default"/>
                <w:sz w:val="18"/>
                <w:szCs w:val="18"/>
              </w:rPr>
            </w:pPr>
            <w:r>
              <w:rPr>
                <w:rFonts w:ascii="华文细黑"/>
                <w:sz w:val="18"/>
              </w:rPr>
              <w:t>---</w:t>
            </w:r>
          </w:p>
        </w:tc>
        <w:tc>
          <w:tcPr>
            <w:tcW w:w="71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29" w:right="0"/>
              <w:jc w:val="left"/>
              <w:rPr>
                <w:rFonts w:ascii="华文细黑" w:hAnsi="华文细黑" w:cs="华文细黑" w:eastAsia="华文细黑" w:hint="default"/>
                <w:sz w:val="18"/>
                <w:szCs w:val="18"/>
              </w:rPr>
            </w:pPr>
            <w:r>
              <w:rPr>
                <w:rFonts w:ascii="华文细黑"/>
                <w:sz w:val="18"/>
              </w:rPr>
              <w:t>85.00</w:t>
            </w:r>
          </w:p>
        </w:tc>
        <w:tc>
          <w:tcPr>
            <w:tcW w:w="1217" w:type="dxa"/>
            <w:vMerge w:val="restart"/>
            <w:tcBorders>
              <w:top w:val="single" w:sz="4" w:space="0" w:color="FFC000"/>
              <w:left w:val="single" w:sz="4" w:space="0" w:color="FFC000"/>
              <w:right w:val="single" w:sz="4" w:space="0" w:color="FFC000"/>
            </w:tcBorders>
          </w:tcPr>
          <w:p>
            <w:pPr>
              <w:pStyle w:val="TableParagraph"/>
              <w:spacing w:line="379" w:lineRule="auto" w:before="143"/>
              <w:ind w:left="24"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非同一控制下 合并取得</w:t>
            </w:r>
          </w:p>
        </w:tc>
      </w:tr>
      <w:tr>
        <w:trPr>
          <w:trHeight w:val="480" w:hRule="exact"/>
        </w:trPr>
        <w:tc>
          <w:tcPr>
            <w:tcW w:w="3596"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北京天地互动信息技术有限公司</w:t>
            </w:r>
          </w:p>
        </w:tc>
        <w:tc>
          <w:tcPr>
            <w:tcW w:w="994" w:type="dxa"/>
            <w:vMerge/>
            <w:tcBorders>
              <w:left w:val="single" w:sz="9" w:space="0" w:color="FFF8E6"/>
              <w:right w:val="single" w:sz="4" w:space="0" w:color="FFC000"/>
            </w:tcBorders>
          </w:tcPr>
          <w:p>
            <w:pPr/>
          </w:p>
        </w:tc>
        <w:tc>
          <w:tcPr>
            <w:tcW w:w="1064" w:type="dxa"/>
            <w:vMerge/>
            <w:tcBorders>
              <w:left w:val="single" w:sz="4" w:space="0" w:color="FFC000"/>
              <w:right w:val="single" w:sz="4" w:space="0" w:color="FFC000"/>
            </w:tcBorders>
          </w:tcPr>
          <w:p>
            <w:pPr/>
          </w:p>
        </w:tc>
        <w:tc>
          <w:tcPr>
            <w:tcW w:w="994" w:type="dxa"/>
            <w:vMerge/>
            <w:tcBorders>
              <w:left w:val="single" w:sz="4" w:space="0" w:color="FFC000"/>
              <w:right w:val="single" w:sz="4" w:space="0" w:color="FFC000"/>
            </w:tcBorders>
          </w:tcPr>
          <w:p>
            <w:pPr/>
          </w:p>
        </w:tc>
        <w:tc>
          <w:tcPr>
            <w:tcW w:w="850" w:type="dxa"/>
            <w:vMerge/>
            <w:tcBorders>
              <w:left w:val="single" w:sz="4" w:space="0" w:color="FFC000"/>
              <w:right w:val="single" w:sz="4" w:space="0" w:color="FFC000"/>
            </w:tcBorders>
          </w:tcPr>
          <w:p>
            <w:pPr/>
          </w:p>
        </w:tc>
        <w:tc>
          <w:tcPr>
            <w:tcW w:w="710" w:type="dxa"/>
            <w:vMerge/>
            <w:tcBorders>
              <w:left w:val="single" w:sz="4" w:space="0" w:color="FFC000"/>
              <w:right w:val="single" w:sz="4" w:space="0" w:color="FFC000"/>
            </w:tcBorders>
          </w:tcPr>
          <w:p>
            <w:pPr/>
          </w:p>
        </w:tc>
        <w:tc>
          <w:tcPr>
            <w:tcW w:w="1217" w:type="dxa"/>
            <w:vMerge/>
            <w:tcBorders>
              <w:left w:val="single" w:sz="4" w:space="0" w:color="FFC000"/>
              <w:right w:val="single" w:sz="4" w:space="0" w:color="FFC000"/>
            </w:tcBorders>
          </w:tcPr>
          <w:p>
            <w:pPr/>
          </w:p>
        </w:tc>
      </w:tr>
      <w:tr>
        <w:trPr>
          <w:trHeight w:val="205" w:hRule="exact"/>
        </w:trPr>
        <w:tc>
          <w:tcPr>
            <w:tcW w:w="3596" w:type="dxa"/>
            <w:tcBorders>
              <w:top w:val="nil" w:sz="6" w:space="0" w:color="auto"/>
              <w:left w:val="single" w:sz="4" w:space="0" w:color="FFC000"/>
              <w:bottom w:val="single" w:sz="4" w:space="0" w:color="FFC000"/>
              <w:right w:val="single" w:sz="4" w:space="0" w:color="FFC000"/>
            </w:tcBorders>
            <w:shd w:val="clear" w:color="auto" w:fill="FFF8E6"/>
          </w:tcPr>
          <w:p>
            <w:pPr/>
          </w:p>
        </w:tc>
        <w:tc>
          <w:tcPr>
            <w:tcW w:w="994" w:type="dxa"/>
            <w:vMerge/>
            <w:tcBorders>
              <w:left w:val="single" w:sz="9" w:space="0" w:color="FFF8E6"/>
              <w:bottom w:val="single" w:sz="4" w:space="0" w:color="FFC000"/>
              <w:right w:val="single" w:sz="4" w:space="0" w:color="FFC000"/>
            </w:tcBorders>
          </w:tcPr>
          <w:p>
            <w:pPr/>
          </w:p>
        </w:tc>
        <w:tc>
          <w:tcPr>
            <w:tcW w:w="1064" w:type="dxa"/>
            <w:vMerge/>
            <w:tcBorders>
              <w:left w:val="single" w:sz="4" w:space="0" w:color="FFC000"/>
              <w:bottom w:val="single" w:sz="4" w:space="0" w:color="FFC000"/>
              <w:right w:val="single" w:sz="4" w:space="0" w:color="FFC000"/>
            </w:tcBorders>
          </w:tcPr>
          <w:p>
            <w:pPr/>
          </w:p>
        </w:tc>
        <w:tc>
          <w:tcPr>
            <w:tcW w:w="994" w:type="dxa"/>
            <w:vMerge/>
            <w:tcBorders>
              <w:left w:val="single" w:sz="4" w:space="0" w:color="FFC000"/>
              <w:bottom w:val="single" w:sz="4" w:space="0" w:color="FFC000"/>
              <w:right w:val="single" w:sz="4" w:space="0" w:color="FFC000"/>
            </w:tcBorders>
          </w:tcPr>
          <w:p>
            <w:pPr/>
          </w:p>
        </w:tc>
        <w:tc>
          <w:tcPr>
            <w:tcW w:w="850" w:type="dxa"/>
            <w:vMerge/>
            <w:tcBorders>
              <w:left w:val="single" w:sz="4" w:space="0" w:color="FFC000"/>
              <w:bottom w:val="single" w:sz="4" w:space="0" w:color="FFC000"/>
              <w:right w:val="single" w:sz="4" w:space="0" w:color="FFC000"/>
            </w:tcBorders>
          </w:tcPr>
          <w:p>
            <w:pPr/>
          </w:p>
        </w:tc>
        <w:tc>
          <w:tcPr>
            <w:tcW w:w="710" w:type="dxa"/>
            <w:vMerge/>
            <w:tcBorders>
              <w:left w:val="single" w:sz="4" w:space="0" w:color="FFC000"/>
              <w:bottom w:val="single" w:sz="4" w:space="0" w:color="FFC000"/>
              <w:right w:val="single" w:sz="4" w:space="0" w:color="FFC000"/>
            </w:tcBorders>
          </w:tcPr>
          <w:p>
            <w:pPr/>
          </w:p>
        </w:tc>
        <w:tc>
          <w:tcPr>
            <w:tcW w:w="1217" w:type="dxa"/>
            <w:vMerge/>
            <w:tcBorders>
              <w:left w:val="single" w:sz="4" w:space="0" w:color="FFC000"/>
              <w:bottom w:val="single" w:sz="4" w:space="0" w:color="FFC000"/>
              <w:right w:val="single" w:sz="4" w:space="0" w:color="FFC000"/>
            </w:tcBorders>
          </w:tcPr>
          <w:p>
            <w:pPr/>
          </w:p>
        </w:tc>
      </w:tr>
      <w:tr>
        <w:trPr>
          <w:trHeight w:val="206" w:hRule="exact"/>
        </w:trPr>
        <w:tc>
          <w:tcPr>
            <w:tcW w:w="3596" w:type="dxa"/>
            <w:tcBorders>
              <w:top w:val="single" w:sz="4" w:space="0" w:color="FFC000"/>
              <w:left w:val="single" w:sz="4" w:space="0" w:color="FFC000"/>
              <w:bottom w:val="nil" w:sz="6" w:space="0" w:color="auto"/>
              <w:right w:val="single" w:sz="4" w:space="0" w:color="FFC000"/>
            </w:tcBorders>
            <w:shd w:val="clear" w:color="auto" w:fill="FFF8E6"/>
          </w:tcPr>
          <w:p>
            <w:pPr/>
          </w:p>
        </w:tc>
        <w:tc>
          <w:tcPr>
            <w:tcW w:w="994" w:type="dxa"/>
            <w:vMerge w:val="restart"/>
            <w:tcBorders>
              <w:top w:val="single" w:sz="4" w:space="0" w:color="FFC000"/>
              <w:left w:val="single" w:sz="9" w:space="0" w:color="FFF8E6"/>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1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106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99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服务业</w:t>
            </w:r>
          </w:p>
        </w:tc>
        <w:tc>
          <w:tcPr>
            <w:tcW w:w="85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right="19"/>
              <w:jc w:val="right"/>
              <w:rPr>
                <w:rFonts w:ascii="华文细黑" w:hAnsi="华文细黑" w:cs="华文细黑" w:eastAsia="华文细黑" w:hint="default"/>
                <w:sz w:val="18"/>
                <w:szCs w:val="18"/>
              </w:rPr>
            </w:pPr>
            <w:r>
              <w:rPr>
                <w:rFonts w:ascii="华文细黑"/>
                <w:sz w:val="18"/>
              </w:rPr>
              <w:t>---</w:t>
            </w:r>
          </w:p>
        </w:tc>
        <w:tc>
          <w:tcPr>
            <w:tcW w:w="71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29" w:right="0"/>
              <w:jc w:val="left"/>
              <w:rPr>
                <w:rFonts w:ascii="华文细黑" w:hAnsi="华文细黑" w:cs="华文细黑" w:eastAsia="华文细黑" w:hint="default"/>
                <w:sz w:val="18"/>
                <w:szCs w:val="18"/>
              </w:rPr>
            </w:pPr>
            <w:r>
              <w:rPr>
                <w:rFonts w:ascii="华文细黑"/>
                <w:sz w:val="18"/>
              </w:rPr>
              <w:t>85.00</w:t>
            </w:r>
          </w:p>
        </w:tc>
        <w:tc>
          <w:tcPr>
            <w:tcW w:w="1217" w:type="dxa"/>
            <w:vMerge w:val="restart"/>
            <w:tcBorders>
              <w:top w:val="single" w:sz="4" w:space="0" w:color="FFC000"/>
              <w:left w:val="single" w:sz="4" w:space="0" w:color="FFC000"/>
              <w:right w:val="single" w:sz="4" w:space="0" w:color="FFC000"/>
            </w:tcBorders>
          </w:tcPr>
          <w:p>
            <w:pPr>
              <w:pStyle w:val="TableParagraph"/>
              <w:spacing w:line="379" w:lineRule="auto" w:before="143"/>
              <w:ind w:left="24"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同一控制下合 并取得</w:t>
            </w:r>
          </w:p>
        </w:tc>
      </w:tr>
      <w:tr>
        <w:trPr>
          <w:trHeight w:val="480" w:hRule="exact"/>
        </w:trPr>
        <w:tc>
          <w:tcPr>
            <w:tcW w:w="3596"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北京数码明天科技发展有限公司</w:t>
            </w:r>
          </w:p>
        </w:tc>
        <w:tc>
          <w:tcPr>
            <w:tcW w:w="994" w:type="dxa"/>
            <w:vMerge/>
            <w:tcBorders>
              <w:left w:val="single" w:sz="9" w:space="0" w:color="FFF8E6"/>
              <w:right w:val="single" w:sz="4" w:space="0" w:color="FFC000"/>
            </w:tcBorders>
          </w:tcPr>
          <w:p>
            <w:pPr/>
          </w:p>
        </w:tc>
        <w:tc>
          <w:tcPr>
            <w:tcW w:w="1064" w:type="dxa"/>
            <w:vMerge/>
            <w:tcBorders>
              <w:left w:val="single" w:sz="4" w:space="0" w:color="FFC000"/>
              <w:right w:val="single" w:sz="4" w:space="0" w:color="FFC000"/>
            </w:tcBorders>
          </w:tcPr>
          <w:p>
            <w:pPr/>
          </w:p>
        </w:tc>
        <w:tc>
          <w:tcPr>
            <w:tcW w:w="994" w:type="dxa"/>
            <w:vMerge/>
            <w:tcBorders>
              <w:left w:val="single" w:sz="4" w:space="0" w:color="FFC000"/>
              <w:right w:val="single" w:sz="4" w:space="0" w:color="FFC000"/>
            </w:tcBorders>
          </w:tcPr>
          <w:p>
            <w:pPr/>
          </w:p>
        </w:tc>
        <w:tc>
          <w:tcPr>
            <w:tcW w:w="850" w:type="dxa"/>
            <w:vMerge/>
            <w:tcBorders>
              <w:left w:val="single" w:sz="4" w:space="0" w:color="FFC000"/>
              <w:right w:val="single" w:sz="4" w:space="0" w:color="FFC000"/>
            </w:tcBorders>
          </w:tcPr>
          <w:p>
            <w:pPr/>
          </w:p>
        </w:tc>
        <w:tc>
          <w:tcPr>
            <w:tcW w:w="710" w:type="dxa"/>
            <w:vMerge/>
            <w:tcBorders>
              <w:left w:val="single" w:sz="4" w:space="0" w:color="FFC000"/>
              <w:right w:val="single" w:sz="4" w:space="0" w:color="FFC000"/>
            </w:tcBorders>
          </w:tcPr>
          <w:p>
            <w:pPr/>
          </w:p>
        </w:tc>
        <w:tc>
          <w:tcPr>
            <w:tcW w:w="1217" w:type="dxa"/>
            <w:vMerge/>
            <w:tcBorders>
              <w:left w:val="single" w:sz="4" w:space="0" w:color="FFC000"/>
              <w:right w:val="single" w:sz="4" w:space="0" w:color="FFC000"/>
            </w:tcBorders>
          </w:tcPr>
          <w:p>
            <w:pPr/>
          </w:p>
        </w:tc>
      </w:tr>
      <w:tr>
        <w:trPr>
          <w:trHeight w:val="205" w:hRule="exact"/>
        </w:trPr>
        <w:tc>
          <w:tcPr>
            <w:tcW w:w="3596" w:type="dxa"/>
            <w:tcBorders>
              <w:top w:val="nil" w:sz="6" w:space="0" w:color="auto"/>
              <w:left w:val="single" w:sz="4" w:space="0" w:color="FFC000"/>
              <w:bottom w:val="single" w:sz="4" w:space="0" w:color="FFC000"/>
              <w:right w:val="single" w:sz="4" w:space="0" w:color="FFC000"/>
            </w:tcBorders>
            <w:shd w:val="clear" w:color="auto" w:fill="FFF8E6"/>
          </w:tcPr>
          <w:p>
            <w:pPr/>
          </w:p>
        </w:tc>
        <w:tc>
          <w:tcPr>
            <w:tcW w:w="994" w:type="dxa"/>
            <w:vMerge/>
            <w:tcBorders>
              <w:left w:val="single" w:sz="9" w:space="0" w:color="FFF8E6"/>
              <w:bottom w:val="single" w:sz="4" w:space="0" w:color="FFC000"/>
              <w:right w:val="single" w:sz="4" w:space="0" w:color="FFC000"/>
            </w:tcBorders>
          </w:tcPr>
          <w:p>
            <w:pPr/>
          </w:p>
        </w:tc>
        <w:tc>
          <w:tcPr>
            <w:tcW w:w="1064" w:type="dxa"/>
            <w:vMerge/>
            <w:tcBorders>
              <w:left w:val="single" w:sz="4" w:space="0" w:color="FFC000"/>
              <w:bottom w:val="single" w:sz="4" w:space="0" w:color="FFC000"/>
              <w:right w:val="single" w:sz="4" w:space="0" w:color="FFC000"/>
            </w:tcBorders>
          </w:tcPr>
          <w:p>
            <w:pPr/>
          </w:p>
        </w:tc>
        <w:tc>
          <w:tcPr>
            <w:tcW w:w="994" w:type="dxa"/>
            <w:vMerge/>
            <w:tcBorders>
              <w:left w:val="single" w:sz="4" w:space="0" w:color="FFC000"/>
              <w:bottom w:val="single" w:sz="4" w:space="0" w:color="FFC000"/>
              <w:right w:val="single" w:sz="4" w:space="0" w:color="FFC000"/>
            </w:tcBorders>
          </w:tcPr>
          <w:p>
            <w:pPr/>
          </w:p>
        </w:tc>
        <w:tc>
          <w:tcPr>
            <w:tcW w:w="850" w:type="dxa"/>
            <w:vMerge/>
            <w:tcBorders>
              <w:left w:val="single" w:sz="4" w:space="0" w:color="FFC000"/>
              <w:bottom w:val="single" w:sz="4" w:space="0" w:color="FFC000"/>
              <w:right w:val="single" w:sz="4" w:space="0" w:color="FFC000"/>
            </w:tcBorders>
          </w:tcPr>
          <w:p>
            <w:pPr/>
          </w:p>
        </w:tc>
        <w:tc>
          <w:tcPr>
            <w:tcW w:w="710" w:type="dxa"/>
            <w:vMerge/>
            <w:tcBorders>
              <w:left w:val="single" w:sz="4" w:space="0" w:color="FFC000"/>
              <w:bottom w:val="single" w:sz="4" w:space="0" w:color="FFC000"/>
              <w:right w:val="single" w:sz="4" w:space="0" w:color="FFC000"/>
            </w:tcBorders>
          </w:tcPr>
          <w:p>
            <w:pPr/>
          </w:p>
        </w:tc>
        <w:tc>
          <w:tcPr>
            <w:tcW w:w="1217" w:type="dxa"/>
            <w:vMerge/>
            <w:tcBorders>
              <w:left w:val="single" w:sz="4" w:space="0" w:color="FFC000"/>
              <w:bottom w:val="single" w:sz="4" w:space="0" w:color="FFC000"/>
              <w:right w:val="single" w:sz="4" w:space="0" w:color="FFC000"/>
            </w:tcBorders>
          </w:tcPr>
          <w:p>
            <w:pPr/>
          </w:p>
        </w:tc>
      </w:tr>
      <w:tr>
        <w:trPr>
          <w:trHeight w:val="205" w:hRule="exact"/>
        </w:trPr>
        <w:tc>
          <w:tcPr>
            <w:tcW w:w="3596" w:type="dxa"/>
            <w:tcBorders>
              <w:top w:val="single" w:sz="4" w:space="0" w:color="FFC000"/>
              <w:left w:val="single" w:sz="4" w:space="0" w:color="FFC000"/>
              <w:bottom w:val="nil" w:sz="6" w:space="0" w:color="auto"/>
              <w:right w:val="single" w:sz="4" w:space="0" w:color="FFC000"/>
            </w:tcBorders>
            <w:shd w:val="clear" w:color="auto" w:fill="FFF8E6"/>
          </w:tcPr>
          <w:p>
            <w:pPr/>
          </w:p>
        </w:tc>
        <w:tc>
          <w:tcPr>
            <w:tcW w:w="994" w:type="dxa"/>
            <w:vMerge w:val="restart"/>
            <w:tcBorders>
              <w:top w:val="single" w:sz="4" w:space="0" w:color="FFC000"/>
              <w:left w:val="single" w:sz="9" w:space="0" w:color="FFF8E6"/>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1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106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99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服务业</w:t>
            </w:r>
          </w:p>
        </w:tc>
        <w:tc>
          <w:tcPr>
            <w:tcW w:w="85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right="19"/>
              <w:jc w:val="right"/>
              <w:rPr>
                <w:rFonts w:ascii="华文细黑" w:hAnsi="华文细黑" w:cs="华文细黑" w:eastAsia="华文细黑" w:hint="default"/>
                <w:sz w:val="18"/>
                <w:szCs w:val="18"/>
              </w:rPr>
            </w:pPr>
            <w:r>
              <w:rPr>
                <w:rFonts w:ascii="华文细黑"/>
                <w:sz w:val="18"/>
              </w:rPr>
              <w:t>---</w:t>
            </w:r>
          </w:p>
        </w:tc>
        <w:tc>
          <w:tcPr>
            <w:tcW w:w="71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29" w:right="0"/>
              <w:jc w:val="left"/>
              <w:rPr>
                <w:rFonts w:ascii="华文细黑" w:hAnsi="华文细黑" w:cs="华文细黑" w:eastAsia="华文细黑" w:hint="default"/>
                <w:sz w:val="18"/>
                <w:szCs w:val="18"/>
              </w:rPr>
            </w:pPr>
            <w:r>
              <w:rPr>
                <w:rFonts w:ascii="华文细黑"/>
                <w:sz w:val="18"/>
              </w:rPr>
              <w:t>85.00</w:t>
            </w:r>
          </w:p>
        </w:tc>
        <w:tc>
          <w:tcPr>
            <w:tcW w:w="1217" w:type="dxa"/>
            <w:vMerge w:val="restart"/>
            <w:tcBorders>
              <w:top w:val="single" w:sz="4" w:space="0" w:color="FFC000"/>
              <w:left w:val="single" w:sz="4" w:space="0" w:color="FFC000"/>
              <w:right w:val="single" w:sz="4" w:space="0" w:color="FFC000"/>
            </w:tcBorders>
          </w:tcPr>
          <w:p>
            <w:pPr>
              <w:pStyle w:val="TableParagraph"/>
              <w:spacing w:line="376" w:lineRule="auto" w:before="144"/>
              <w:ind w:left="24"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非同一控制下 合并取得</w:t>
            </w:r>
          </w:p>
        </w:tc>
      </w:tr>
      <w:tr>
        <w:trPr>
          <w:trHeight w:val="480" w:hRule="exact"/>
        </w:trPr>
        <w:tc>
          <w:tcPr>
            <w:tcW w:w="3596"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北京铮尚游文化传播有限公司</w:t>
            </w:r>
          </w:p>
        </w:tc>
        <w:tc>
          <w:tcPr>
            <w:tcW w:w="994" w:type="dxa"/>
            <w:vMerge/>
            <w:tcBorders>
              <w:left w:val="single" w:sz="9" w:space="0" w:color="FFF8E6"/>
              <w:right w:val="single" w:sz="4" w:space="0" w:color="FFC000"/>
            </w:tcBorders>
          </w:tcPr>
          <w:p>
            <w:pPr/>
          </w:p>
        </w:tc>
        <w:tc>
          <w:tcPr>
            <w:tcW w:w="1064" w:type="dxa"/>
            <w:vMerge/>
            <w:tcBorders>
              <w:left w:val="single" w:sz="4" w:space="0" w:color="FFC000"/>
              <w:right w:val="single" w:sz="4" w:space="0" w:color="FFC000"/>
            </w:tcBorders>
          </w:tcPr>
          <w:p>
            <w:pPr/>
          </w:p>
        </w:tc>
        <w:tc>
          <w:tcPr>
            <w:tcW w:w="994" w:type="dxa"/>
            <w:vMerge/>
            <w:tcBorders>
              <w:left w:val="single" w:sz="4" w:space="0" w:color="FFC000"/>
              <w:right w:val="single" w:sz="4" w:space="0" w:color="FFC000"/>
            </w:tcBorders>
          </w:tcPr>
          <w:p>
            <w:pPr/>
          </w:p>
        </w:tc>
        <w:tc>
          <w:tcPr>
            <w:tcW w:w="850" w:type="dxa"/>
            <w:vMerge/>
            <w:tcBorders>
              <w:left w:val="single" w:sz="4" w:space="0" w:color="FFC000"/>
              <w:right w:val="single" w:sz="4" w:space="0" w:color="FFC000"/>
            </w:tcBorders>
          </w:tcPr>
          <w:p>
            <w:pPr/>
          </w:p>
        </w:tc>
        <w:tc>
          <w:tcPr>
            <w:tcW w:w="710" w:type="dxa"/>
            <w:vMerge/>
            <w:tcBorders>
              <w:left w:val="single" w:sz="4" w:space="0" w:color="FFC000"/>
              <w:right w:val="single" w:sz="4" w:space="0" w:color="FFC000"/>
            </w:tcBorders>
          </w:tcPr>
          <w:p>
            <w:pPr/>
          </w:p>
        </w:tc>
        <w:tc>
          <w:tcPr>
            <w:tcW w:w="1217" w:type="dxa"/>
            <w:vMerge/>
            <w:tcBorders>
              <w:left w:val="single" w:sz="4" w:space="0" w:color="FFC000"/>
              <w:right w:val="single" w:sz="4" w:space="0" w:color="FFC000"/>
            </w:tcBorders>
          </w:tcPr>
          <w:p>
            <w:pPr/>
          </w:p>
        </w:tc>
      </w:tr>
      <w:tr>
        <w:trPr>
          <w:trHeight w:val="205" w:hRule="exact"/>
        </w:trPr>
        <w:tc>
          <w:tcPr>
            <w:tcW w:w="3596" w:type="dxa"/>
            <w:tcBorders>
              <w:top w:val="nil" w:sz="6" w:space="0" w:color="auto"/>
              <w:left w:val="single" w:sz="4" w:space="0" w:color="FFC000"/>
              <w:bottom w:val="single" w:sz="4" w:space="0" w:color="FFC000"/>
              <w:right w:val="single" w:sz="4" w:space="0" w:color="FFC000"/>
            </w:tcBorders>
            <w:shd w:val="clear" w:color="auto" w:fill="FFF8E6"/>
          </w:tcPr>
          <w:p>
            <w:pPr/>
          </w:p>
        </w:tc>
        <w:tc>
          <w:tcPr>
            <w:tcW w:w="994" w:type="dxa"/>
            <w:vMerge/>
            <w:tcBorders>
              <w:left w:val="single" w:sz="9" w:space="0" w:color="FFF8E6"/>
              <w:bottom w:val="single" w:sz="4" w:space="0" w:color="FFC000"/>
              <w:right w:val="single" w:sz="4" w:space="0" w:color="FFC000"/>
            </w:tcBorders>
          </w:tcPr>
          <w:p>
            <w:pPr/>
          </w:p>
        </w:tc>
        <w:tc>
          <w:tcPr>
            <w:tcW w:w="1064" w:type="dxa"/>
            <w:vMerge/>
            <w:tcBorders>
              <w:left w:val="single" w:sz="4" w:space="0" w:color="FFC000"/>
              <w:bottom w:val="single" w:sz="4" w:space="0" w:color="FFC000"/>
              <w:right w:val="single" w:sz="4" w:space="0" w:color="FFC000"/>
            </w:tcBorders>
          </w:tcPr>
          <w:p>
            <w:pPr/>
          </w:p>
        </w:tc>
        <w:tc>
          <w:tcPr>
            <w:tcW w:w="994" w:type="dxa"/>
            <w:vMerge/>
            <w:tcBorders>
              <w:left w:val="single" w:sz="4" w:space="0" w:color="FFC000"/>
              <w:bottom w:val="single" w:sz="4" w:space="0" w:color="FFC000"/>
              <w:right w:val="single" w:sz="4" w:space="0" w:color="FFC000"/>
            </w:tcBorders>
          </w:tcPr>
          <w:p>
            <w:pPr/>
          </w:p>
        </w:tc>
        <w:tc>
          <w:tcPr>
            <w:tcW w:w="850" w:type="dxa"/>
            <w:vMerge/>
            <w:tcBorders>
              <w:left w:val="single" w:sz="4" w:space="0" w:color="FFC000"/>
              <w:bottom w:val="single" w:sz="4" w:space="0" w:color="FFC000"/>
              <w:right w:val="single" w:sz="4" w:space="0" w:color="FFC000"/>
            </w:tcBorders>
          </w:tcPr>
          <w:p>
            <w:pPr/>
          </w:p>
        </w:tc>
        <w:tc>
          <w:tcPr>
            <w:tcW w:w="710" w:type="dxa"/>
            <w:vMerge/>
            <w:tcBorders>
              <w:left w:val="single" w:sz="4" w:space="0" w:color="FFC000"/>
              <w:bottom w:val="single" w:sz="4" w:space="0" w:color="FFC000"/>
              <w:right w:val="single" w:sz="4" w:space="0" w:color="FFC000"/>
            </w:tcBorders>
          </w:tcPr>
          <w:p>
            <w:pPr/>
          </w:p>
        </w:tc>
        <w:tc>
          <w:tcPr>
            <w:tcW w:w="1217" w:type="dxa"/>
            <w:vMerge/>
            <w:tcBorders>
              <w:left w:val="single" w:sz="4" w:space="0" w:color="FFC000"/>
              <w:bottom w:val="single" w:sz="4" w:space="0" w:color="FFC000"/>
              <w:right w:val="single" w:sz="4" w:space="0" w:color="FFC000"/>
            </w:tcBorders>
          </w:tcPr>
          <w:p>
            <w:pPr/>
          </w:p>
        </w:tc>
      </w:tr>
      <w:tr>
        <w:trPr>
          <w:trHeight w:val="490" w:hRule="exact"/>
        </w:trPr>
        <w:tc>
          <w:tcPr>
            <w:tcW w:w="35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深圳市优友互联有限公司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互联网</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60.00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0.25</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北京优友信息科技有限公司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互联网</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60.25</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北京聚美华科技有限公司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互联网</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60.25</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长春市酷爱通讯科技有限责任公司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长春</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长春</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壹号电子商务有限公司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互联网</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100.00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深圳市酷爱星通讯科技有限责任公司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西安市爱星通通信器材有限公司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西安</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西安</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深圳市优友金融服务有限公司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51.00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5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深圳市优友通讯器材有限公司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51.00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1" w:hRule="exact"/>
        </w:trPr>
        <w:tc>
          <w:tcPr>
            <w:tcW w:w="35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中国供应链金融服务有限公司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香港</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香港</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51.00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bl>
    <w:p>
      <w:pPr>
        <w:spacing w:after="0" w:line="240" w:lineRule="auto"/>
        <w:jc w:val="left"/>
        <w:rPr>
          <w:rFonts w:ascii="华文细黑" w:hAnsi="华文细黑" w:cs="华文细黑" w:eastAsia="华文细黑" w:hint="default"/>
          <w:sz w:val="18"/>
          <w:szCs w:val="18"/>
        </w:rPr>
        <w:sectPr>
          <w:pgSz w:w="11910" w:h="16840"/>
          <w:pgMar w:header="917" w:footer="1019" w:top="1100" w:bottom="1200" w:left="114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10" w:type="dxa"/>
        <w:tblLayout w:type="fixed"/>
        <w:tblCellMar>
          <w:top w:w="0" w:type="dxa"/>
          <w:left w:w="0" w:type="dxa"/>
          <w:bottom w:w="0" w:type="dxa"/>
          <w:right w:w="0" w:type="dxa"/>
        </w:tblCellMar>
        <w:tblLook w:val="01E0"/>
      </w:tblPr>
      <w:tblGrid>
        <w:gridCol w:w="3608"/>
        <w:gridCol w:w="994"/>
        <w:gridCol w:w="1064"/>
        <w:gridCol w:w="994"/>
        <w:gridCol w:w="850"/>
        <w:gridCol w:w="710"/>
        <w:gridCol w:w="1217"/>
      </w:tblGrid>
      <w:tr>
        <w:trPr>
          <w:trHeight w:val="251" w:hRule="exact"/>
        </w:trPr>
        <w:tc>
          <w:tcPr>
            <w:tcW w:w="3608" w:type="dxa"/>
            <w:tcBorders>
              <w:top w:val="single" w:sz="4" w:space="0" w:color="FFC000"/>
              <w:left w:val="single" w:sz="4" w:space="0" w:color="FFC000"/>
              <w:bottom w:val="nil" w:sz="6" w:space="0" w:color="auto"/>
              <w:right w:val="single" w:sz="4" w:space="0" w:color="FFC000"/>
            </w:tcBorders>
            <w:shd w:val="clear" w:color="auto" w:fill="FFF8E6"/>
          </w:tcPr>
          <w:p>
            <w:pPr/>
          </w:p>
        </w:tc>
        <w:tc>
          <w:tcPr>
            <w:tcW w:w="994" w:type="dxa"/>
            <w:tcBorders>
              <w:top w:val="single" w:sz="4" w:space="0" w:color="FFC000"/>
              <w:left w:val="single" w:sz="4" w:space="0" w:color="FFC000"/>
              <w:bottom w:val="nil" w:sz="6" w:space="0" w:color="auto"/>
              <w:right w:val="single" w:sz="4" w:space="0" w:color="FFC000"/>
            </w:tcBorders>
            <w:shd w:val="clear" w:color="auto" w:fill="FFF8E6"/>
          </w:tcPr>
          <w:p>
            <w:pPr/>
          </w:p>
        </w:tc>
        <w:tc>
          <w:tcPr>
            <w:tcW w:w="1064" w:type="dxa"/>
            <w:tcBorders>
              <w:top w:val="single" w:sz="4" w:space="0" w:color="FFC000"/>
              <w:left w:val="single" w:sz="4" w:space="0" w:color="FFC000"/>
              <w:bottom w:val="nil" w:sz="6" w:space="0" w:color="auto"/>
              <w:right w:val="single" w:sz="4" w:space="0" w:color="FFC000"/>
            </w:tcBorders>
            <w:shd w:val="clear" w:color="auto" w:fill="FFF8E6"/>
          </w:tcPr>
          <w:p>
            <w:pPr/>
          </w:p>
        </w:tc>
        <w:tc>
          <w:tcPr>
            <w:tcW w:w="994" w:type="dxa"/>
            <w:tcBorders>
              <w:top w:val="single" w:sz="4" w:space="0" w:color="FFC000"/>
              <w:left w:val="single" w:sz="4" w:space="0" w:color="FFC000"/>
              <w:bottom w:val="nil" w:sz="6" w:space="0" w:color="auto"/>
              <w:right w:val="single" w:sz="4" w:space="0" w:color="FFC000"/>
            </w:tcBorders>
            <w:shd w:val="clear" w:color="auto" w:fill="FFF8E6"/>
          </w:tcPr>
          <w:p>
            <w:pPr/>
          </w:p>
        </w:tc>
        <w:tc>
          <w:tcPr>
            <w:tcW w:w="1560"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7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持股比例（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）③</w:t>
            </w:r>
          </w:p>
        </w:tc>
        <w:tc>
          <w:tcPr>
            <w:tcW w:w="1217"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24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取得方式</w:t>
            </w:r>
          </w:p>
        </w:tc>
      </w:tr>
      <w:tr>
        <w:trPr>
          <w:trHeight w:val="239" w:hRule="exact"/>
        </w:trPr>
        <w:tc>
          <w:tcPr>
            <w:tcW w:w="3608"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子公司名称</w:t>
            </w:r>
          </w:p>
        </w:tc>
        <w:tc>
          <w:tcPr>
            <w:tcW w:w="994"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4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主要经营地</w:t>
            </w:r>
          </w:p>
        </w:tc>
        <w:tc>
          <w:tcPr>
            <w:tcW w:w="1064"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25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注册地</w:t>
            </w:r>
          </w:p>
        </w:tc>
        <w:tc>
          <w:tcPr>
            <w:tcW w:w="994"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13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业务性质</w:t>
            </w:r>
          </w:p>
        </w:tc>
        <w:tc>
          <w:tcPr>
            <w:tcW w:w="1560" w:type="dxa"/>
            <w:gridSpan w:val="2"/>
            <w:vMerge/>
            <w:tcBorders>
              <w:left w:val="single" w:sz="4" w:space="0" w:color="FFC000"/>
              <w:bottom w:val="single" w:sz="4" w:space="0" w:color="FFC000"/>
              <w:right w:val="single" w:sz="4" w:space="0" w:color="FFC000"/>
            </w:tcBorders>
            <w:shd w:val="clear" w:color="auto" w:fill="FFF8E6"/>
          </w:tcPr>
          <w:p>
            <w:pPr/>
          </w:p>
        </w:tc>
        <w:tc>
          <w:tcPr>
            <w:tcW w:w="1217" w:type="dxa"/>
            <w:vMerge/>
            <w:tcBorders>
              <w:left w:val="single" w:sz="4" w:space="0" w:color="FFC000"/>
              <w:bottom w:val="single" w:sz="4" w:space="0" w:color="FFC000"/>
              <w:right w:val="single" w:sz="4" w:space="0" w:color="FFC000"/>
            </w:tcBorders>
            <w:shd w:val="clear" w:color="auto" w:fill="FFF8E6"/>
          </w:tcPr>
          <w:p>
            <w:pPr/>
          </w:p>
        </w:tc>
      </w:tr>
      <w:tr>
        <w:trPr>
          <w:trHeight w:val="241" w:hRule="exact"/>
        </w:trPr>
        <w:tc>
          <w:tcPr>
            <w:tcW w:w="3608" w:type="dxa"/>
            <w:vMerge/>
            <w:tcBorders>
              <w:left w:val="single" w:sz="4" w:space="0" w:color="FFC000"/>
              <w:bottom w:val="nil" w:sz="6" w:space="0" w:color="auto"/>
              <w:right w:val="single" w:sz="4" w:space="0" w:color="FFC000"/>
            </w:tcBorders>
            <w:shd w:val="clear" w:color="auto" w:fill="FFF8E6"/>
          </w:tcPr>
          <w:p>
            <w:pPr/>
          </w:p>
        </w:tc>
        <w:tc>
          <w:tcPr>
            <w:tcW w:w="994" w:type="dxa"/>
            <w:vMerge/>
            <w:tcBorders>
              <w:left w:val="single" w:sz="4" w:space="0" w:color="FFC000"/>
              <w:bottom w:val="nil" w:sz="6" w:space="0" w:color="auto"/>
              <w:right w:val="single" w:sz="4" w:space="0" w:color="FFC000"/>
            </w:tcBorders>
            <w:shd w:val="clear" w:color="auto" w:fill="FFF8E6"/>
          </w:tcPr>
          <w:p>
            <w:pPr/>
          </w:p>
        </w:tc>
        <w:tc>
          <w:tcPr>
            <w:tcW w:w="1064" w:type="dxa"/>
            <w:vMerge/>
            <w:tcBorders>
              <w:left w:val="single" w:sz="4" w:space="0" w:color="FFC000"/>
              <w:bottom w:val="nil" w:sz="6" w:space="0" w:color="auto"/>
              <w:right w:val="single" w:sz="4" w:space="0" w:color="FFC000"/>
            </w:tcBorders>
            <w:shd w:val="clear" w:color="auto" w:fill="FFF8E6"/>
          </w:tcPr>
          <w:p>
            <w:pPr/>
          </w:p>
        </w:tc>
        <w:tc>
          <w:tcPr>
            <w:tcW w:w="994" w:type="dxa"/>
            <w:vMerge/>
            <w:tcBorders>
              <w:left w:val="single" w:sz="4" w:space="0" w:color="FFC000"/>
              <w:bottom w:val="nil" w:sz="6" w:space="0" w:color="auto"/>
              <w:right w:val="single" w:sz="4" w:space="0" w:color="FFC000"/>
            </w:tcBorders>
            <w:shd w:val="clear" w:color="auto" w:fill="FFF8E6"/>
          </w:tcPr>
          <w:p>
            <w:pPr/>
          </w:p>
        </w:tc>
        <w:tc>
          <w:tcPr>
            <w:tcW w:w="85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24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直接</w:t>
            </w:r>
          </w:p>
        </w:tc>
        <w:tc>
          <w:tcPr>
            <w:tcW w:w="71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17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间接</w:t>
            </w:r>
          </w:p>
        </w:tc>
        <w:tc>
          <w:tcPr>
            <w:tcW w:w="1217" w:type="dxa"/>
            <w:vMerge w:val="restart"/>
            <w:tcBorders>
              <w:top w:val="single" w:sz="4" w:space="0" w:color="FFC000"/>
              <w:left w:val="single" w:sz="4" w:space="0" w:color="FFC000"/>
              <w:right w:val="single" w:sz="4" w:space="0" w:color="FFC000"/>
            </w:tcBorders>
            <w:shd w:val="clear" w:color="auto" w:fill="FFF8E6"/>
          </w:tcPr>
          <w:p>
            <w:pPr/>
          </w:p>
        </w:tc>
      </w:tr>
      <w:tr>
        <w:trPr>
          <w:trHeight w:val="250" w:hRule="exact"/>
        </w:trPr>
        <w:tc>
          <w:tcPr>
            <w:tcW w:w="3608" w:type="dxa"/>
            <w:tcBorders>
              <w:top w:val="nil" w:sz="6" w:space="0" w:color="auto"/>
              <w:left w:val="single" w:sz="4" w:space="0" w:color="FFC000"/>
              <w:bottom w:val="single" w:sz="4" w:space="0" w:color="FFC000"/>
              <w:right w:val="single" w:sz="4" w:space="0" w:color="FFC000"/>
            </w:tcBorders>
            <w:shd w:val="clear" w:color="auto" w:fill="FFF8E6"/>
          </w:tcPr>
          <w:p>
            <w:pPr/>
          </w:p>
        </w:tc>
        <w:tc>
          <w:tcPr>
            <w:tcW w:w="994" w:type="dxa"/>
            <w:tcBorders>
              <w:top w:val="nil" w:sz="6" w:space="0" w:color="auto"/>
              <w:left w:val="single" w:sz="4" w:space="0" w:color="FFC000"/>
              <w:bottom w:val="single" w:sz="4" w:space="0" w:color="FFC000"/>
              <w:right w:val="single" w:sz="4" w:space="0" w:color="FFC000"/>
            </w:tcBorders>
            <w:shd w:val="clear" w:color="auto" w:fill="FFF8E6"/>
          </w:tcPr>
          <w:p>
            <w:pPr/>
          </w:p>
        </w:tc>
        <w:tc>
          <w:tcPr>
            <w:tcW w:w="1064" w:type="dxa"/>
            <w:tcBorders>
              <w:top w:val="nil" w:sz="6" w:space="0" w:color="auto"/>
              <w:left w:val="single" w:sz="4" w:space="0" w:color="FFC000"/>
              <w:bottom w:val="single" w:sz="4" w:space="0" w:color="FFC000"/>
              <w:right w:val="single" w:sz="4" w:space="0" w:color="FFC000"/>
            </w:tcBorders>
            <w:shd w:val="clear" w:color="auto" w:fill="FFF8E6"/>
          </w:tcPr>
          <w:p>
            <w:pPr/>
          </w:p>
        </w:tc>
        <w:tc>
          <w:tcPr>
            <w:tcW w:w="994" w:type="dxa"/>
            <w:tcBorders>
              <w:top w:val="nil" w:sz="6" w:space="0" w:color="auto"/>
              <w:left w:val="single" w:sz="4" w:space="0" w:color="FFC000"/>
              <w:bottom w:val="single" w:sz="4" w:space="0" w:color="FFC000"/>
              <w:right w:val="single" w:sz="4" w:space="0" w:color="FFC000"/>
            </w:tcBorders>
            <w:shd w:val="clear" w:color="auto" w:fill="FFF8E6"/>
          </w:tcPr>
          <w:p>
            <w:pPr/>
          </w:p>
        </w:tc>
        <w:tc>
          <w:tcPr>
            <w:tcW w:w="850" w:type="dxa"/>
            <w:vMerge/>
            <w:tcBorders>
              <w:left w:val="single" w:sz="4" w:space="0" w:color="FFC000"/>
              <w:bottom w:val="single" w:sz="4" w:space="0" w:color="FFC000"/>
              <w:right w:val="single" w:sz="4" w:space="0" w:color="FFC000"/>
            </w:tcBorders>
            <w:shd w:val="clear" w:color="auto" w:fill="FFF8E6"/>
          </w:tcPr>
          <w:p>
            <w:pPr/>
          </w:p>
        </w:tc>
        <w:tc>
          <w:tcPr>
            <w:tcW w:w="710" w:type="dxa"/>
            <w:vMerge/>
            <w:tcBorders>
              <w:left w:val="single" w:sz="4" w:space="0" w:color="FFC000"/>
              <w:bottom w:val="single" w:sz="4" w:space="0" w:color="FFC000"/>
              <w:right w:val="single" w:sz="4" w:space="0" w:color="FFC000"/>
            </w:tcBorders>
            <w:shd w:val="clear" w:color="auto" w:fill="FFF8E6"/>
          </w:tcPr>
          <w:p>
            <w:pPr/>
          </w:p>
        </w:tc>
        <w:tc>
          <w:tcPr>
            <w:tcW w:w="1217"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36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深圳市优友商业保理有限公司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商业保理</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51.00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6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深圳市优友供应链有限公司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51.00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205" w:hRule="exact"/>
        </w:trPr>
        <w:tc>
          <w:tcPr>
            <w:tcW w:w="3608" w:type="dxa"/>
            <w:tcBorders>
              <w:top w:val="single" w:sz="4" w:space="0" w:color="FFC000"/>
              <w:left w:val="single" w:sz="4" w:space="0" w:color="FFC000"/>
              <w:bottom w:val="nil" w:sz="6" w:space="0" w:color="auto"/>
              <w:right w:val="single" w:sz="4" w:space="0" w:color="FFC000"/>
            </w:tcBorders>
            <w:shd w:val="clear" w:color="auto" w:fill="FFF8E6"/>
          </w:tcPr>
          <w:p>
            <w:pPr/>
          </w:p>
        </w:tc>
        <w:tc>
          <w:tcPr>
            <w:tcW w:w="994" w:type="dxa"/>
            <w:vMerge w:val="restart"/>
            <w:tcBorders>
              <w:top w:val="single" w:sz="4" w:space="0" w:color="FFC000"/>
              <w:left w:val="single" w:sz="9" w:space="0" w:color="FFF8E6"/>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1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香港</w:t>
            </w:r>
          </w:p>
        </w:tc>
        <w:tc>
          <w:tcPr>
            <w:tcW w:w="106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香港</w:t>
            </w:r>
          </w:p>
        </w:tc>
        <w:tc>
          <w:tcPr>
            <w:tcW w:w="99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right="19"/>
              <w:jc w:val="right"/>
              <w:rPr>
                <w:rFonts w:ascii="华文细黑" w:hAnsi="华文细黑" w:cs="华文细黑" w:eastAsia="华文细黑" w:hint="default"/>
                <w:sz w:val="18"/>
                <w:szCs w:val="18"/>
              </w:rPr>
            </w:pPr>
            <w:r>
              <w:rPr>
                <w:rFonts w:ascii="华文细黑"/>
                <w:sz w:val="18"/>
              </w:rPr>
              <w:t>---</w:t>
            </w:r>
          </w:p>
        </w:tc>
        <w:tc>
          <w:tcPr>
            <w:tcW w:w="71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29" w:right="0"/>
              <w:jc w:val="left"/>
              <w:rPr>
                <w:rFonts w:ascii="华文细黑" w:hAnsi="华文细黑" w:cs="华文细黑" w:eastAsia="华文细黑" w:hint="default"/>
                <w:sz w:val="18"/>
                <w:szCs w:val="18"/>
              </w:rPr>
            </w:pPr>
            <w:r>
              <w:rPr>
                <w:rFonts w:ascii="华文细黑"/>
                <w:sz w:val="18"/>
              </w:rPr>
              <w:t>51.00</w:t>
            </w:r>
          </w:p>
        </w:tc>
        <w:tc>
          <w:tcPr>
            <w:tcW w:w="1217" w:type="dxa"/>
            <w:vMerge w:val="restart"/>
            <w:tcBorders>
              <w:top w:val="single" w:sz="4" w:space="0" w:color="FFC000"/>
              <w:left w:val="single" w:sz="4" w:space="0" w:color="FFC000"/>
              <w:right w:val="single" w:sz="4" w:space="0" w:color="FFC000"/>
            </w:tcBorders>
          </w:tcPr>
          <w:p>
            <w:pPr>
              <w:pStyle w:val="TableParagraph"/>
              <w:spacing w:line="376" w:lineRule="auto" w:before="144"/>
              <w:ind w:left="24"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非同一控制下 合并取得</w:t>
            </w:r>
          </w:p>
        </w:tc>
      </w:tr>
      <w:tr>
        <w:trPr>
          <w:trHeight w:val="480" w:hRule="exact"/>
        </w:trPr>
        <w:tc>
          <w:tcPr>
            <w:tcW w:w="3608"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展弘实业有限公司</w:t>
            </w:r>
          </w:p>
        </w:tc>
        <w:tc>
          <w:tcPr>
            <w:tcW w:w="994" w:type="dxa"/>
            <w:vMerge/>
            <w:tcBorders>
              <w:left w:val="single" w:sz="9" w:space="0" w:color="FFF8E6"/>
              <w:right w:val="single" w:sz="4" w:space="0" w:color="FFC000"/>
            </w:tcBorders>
          </w:tcPr>
          <w:p>
            <w:pPr/>
          </w:p>
        </w:tc>
        <w:tc>
          <w:tcPr>
            <w:tcW w:w="1064" w:type="dxa"/>
            <w:vMerge/>
            <w:tcBorders>
              <w:left w:val="single" w:sz="4" w:space="0" w:color="FFC000"/>
              <w:right w:val="single" w:sz="4" w:space="0" w:color="FFC000"/>
            </w:tcBorders>
          </w:tcPr>
          <w:p>
            <w:pPr/>
          </w:p>
        </w:tc>
        <w:tc>
          <w:tcPr>
            <w:tcW w:w="994" w:type="dxa"/>
            <w:vMerge/>
            <w:tcBorders>
              <w:left w:val="single" w:sz="4" w:space="0" w:color="FFC000"/>
              <w:right w:val="single" w:sz="4" w:space="0" w:color="FFC000"/>
            </w:tcBorders>
          </w:tcPr>
          <w:p>
            <w:pPr/>
          </w:p>
        </w:tc>
        <w:tc>
          <w:tcPr>
            <w:tcW w:w="850" w:type="dxa"/>
            <w:vMerge/>
            <w:tcBorders>
              <w:left w:val="single" w:sz="4" w:space="0" w:color="FFC000"/>
              <w:right w:val="single" w:sz="4" w:space="0" w:color="FFC000"/>
            </w:tcBorders>
          </w:tcPr>
          <w:p>
            <w:pPr/>
          </w:p>
        </w:tc>
        <w:tc>
          <w:tcPr>
            <w:tcW w:w="710" w:type="dxa"/>
            <w:vMerge/>
            <w:tcBorders>
              <w:left w:val="single" w:sz="4" w:space="0" w:color="FFC000"/>
              <w:right w:val="single" w:sz="4" w:space="0" w:color="FFC000"/>
            </w:tcBorders>
          </w:tcPr>
          <w:p>
            <w:pPr/>
          </w:p>
        </w:tc>
        <w:tc>
          <w:tcPr>
            <w:tcW w:w="1217" w:type="dxa"/>
            <w:vMerge/>
            <w:tcBorders>
              <w:left w:val="single" w:sz="4" w:space="0" w:color="FFC000"/>
              <w:right w:val="single" w:sz="4" w:space="0" w:color="FFC000"/>
            </w:tcBorders>
          </w:tcPr>
          <w:p>
            <w:pPr/>
          </w:p>
        </w:tc>
      </w:tr>
      <w:tr>
        <w:trPr>
          <w:trHeight w:val="205" w:hRule="exact"/>
        </w:trPr>
        <w:tc>
          <w:tcPr>
            <w:tcW w:w="3608" w:type="dxa"/>
            <w:tcBorders>
              <w:top w:val="nil" w:sz="6" w:space="0" w:color="auto"/>
              <w:left w:val="single" w:sz="4" w:space="0" w:color="FFC000"/>
              <w:bottom w:val="single" w:sz="4" w:space="0" w:color="FFC000"/>
              <w:right w:val="single" w:sz="4" w:space="0" w:color="FFC000"/>
            </w:tcBorders>
            <w:shd w:val="clear" w:color="auto" w:fill="FFF8E6"/>
          </w:tcPr>
          <w:p>
            <w:pPr/>
          </w:p>
        </w:tc>
        <w:tc>
          <w:tcPr>
            <w:tcW w:w="994" w:type="dxa"/>
            <w:vMerge/>
            <w:tcBorders>
              <w:left w:val="single" w:sz="9" w:space="0" w:color="FFF8E6"/>
              <w:bottom w:val="single" w:sz="4" w:space="0" w:color="FFC000"/>
              <w:right w:val="single" w:sz="4" w:space="0" w:color="FFC000"/>
            </w:tcBorders>
          </w:tcPr>
          <w:p>
            <w:pPr/>
          </w:p>
        </w:tc>
        <w:tc>
          <w:tcPr>
            <w:tcW w:w="1064" w:type="dxa"/>
            <w:vMerge/>
            <w:tcBorders>
              <w:left w:val="single" w:sz="4" w:space="0" w:color="FFC000"/>
              <w:bottom w:val="single" w:sz="4" w:space="0" w:color="FFC000"/>
              <w:right w:val="single" w:sz="4" w:space="0" w:color="FFC000"/>
            </w:tcBorders>
          </w:tcPr>
          <w:p>
            <w:pPr/>
          </w:p>
        </w:tc>
        <w:tc>
          <w:tcPr>
            <w:tcW w:w="994" w:type="dxa"/>
            <w:vMerge/>
            <w:tcBorders>
              <w:left w:val="single" w:sz="4" w:space="0" w:color="FFC000"/>
              <w:bottom w:val="single" w:sz="4" w:space="0" w:color="FFC000"/>
              <w:right w:val="single" w:sz="4" w:space="0" w:color="FFC000"/>
            </w:tcBorders>
          </w:tcPr>
          <w:p>
            <w:pPr/>
          </w:p>
        </w:tc>
        <w:tc>
          <w:tcPr>
            <w:tcW w:w="850" w:type="dxa"/>
            <w:vMerge/>
            <w:tcBorders>
              <w:left w:val="single" w:sz="4" w:space="0" w:color="FFC000"/>
              <w:bottom w:val="single" w:sz="4" w:space="0" w:color="FFC000"/>
              <w:right w:val="single" w:sz="4" w:space="0" w:color="FFC000"/>
            </w:tcBorders>
          </w:tcPr>
          <w:p>
            <w:pPr/>
          </w:p>
        </w:tc>
        <w:tc>
          <w:tcPr>
            <w:tcW w:w="710" w:type="dxa"/>
            <w:vMerge/>
            <w:tcBorders>
              <w:left w:val="single" w:sz="4" w:space="0" w:color="FFC000"/>
              <w:bottom w:val="single" w:sz="4" w:space="0" w:color="FFC000"/>
              <w:right w:val="single" w:sz="4" w:space="0" w:color="FFC000"/>
            </w:tcBorders>
          </w:tcPr>
          <w:p>
            <w:pPr/>
          </w:p>
        </w:tc>
        <w:tc>
          <w:tcPr>
            <w:tcW w:w="1217" w:type="dxa"/>
            <w:vMerge/>
            <w:tcBorders>
              <w:left w:val="single" w:sz="4" w:space="0" w:color="FFC000"/>
              <w:bottom w:val="single" w:sz="4" w:space="0" w:color="FFC000"/>
              <w:right w:val="single" w:sz="4" w:space="0" w:color="FFC000"/>
            </w:tcBorders>
          </w:tcPr>
          <w:p>
            <w:pPr/>
          </w:p>
        </w:tc>
      </w:tr>
      <w:tr>
        <w:trPr>
          <w:trHeight w:val="490" w:hRule="exact"/>
        </w:trPr>
        <w:tc>
          <w:tcPr>
            <w:tcW w:w="36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深圳市优友信息技术有限公司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51.00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205" w:hRule="exact"/>
        </w:trPr>
        <w:tc>
          <w:tcPr>
            <w:tcW w:w="3608" w:type="dxa"/>
            <w:tcBorders>
              <w:top w:val="single" w:sz="4" w:space="0" w:color="FFC000"/>
              <w:left w:val="single" w:sz="4" w:space="0" w:color="FFC000"/>
              <w:bottom w:val="nil" w:sz="6" w:space="0" w:color="auto"/>
              <w:right w:val="single" w:sz="4" w:space="0" w:color="FFC000"/>
            </w:tcBorders>
            <w:shd w:val="clear" w:color="auto" w:fill="FFF8E6"/>
          </w:tcPr>
          <w:p>
            <w:pPr/>
          </w:p>
        </w:tc>
        <w:tc>
          <w:tcPr>
            <w:tcW w:w="994" w:type="dxa"/>
            <w:vMerge w:val="restart"/>
            <w:tcBorders>
              <w:top w:val="single" w:sz="4" w:space="0" w:color="FFC000"/>
              <w:left w:val="single" w:sz="9" w:space="0" w:color="FFF8E6"/>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1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right="19"/>
              <w:jc w:val="right"/>
              <w:rPr>
                <w:rFonts w:ascii="华文细黑" w:hAnsi="华文细黑" w:cs="华文细黑" w:eastAsia="华文细黑" w:hint="default"/>
                <w:sz w:val="18"/>
                <w:szCs w:val="18"/>
              </w:rPr>
            </w:pPr>
            <w:r>
              <w:rPr>
                <w:rFonts w:ascii="华文细黑"/>
                <w:sz w:val="18"/>
              </w:rPr>
              <w:t>---</w:t>
            </w:r>
          </w:p>
        </w:tc>
        <w:tc>
          <w:tcPr>
            <w:tcW w:w="71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229" w:right="0"/>
              <w:jc w:val="left"/>
              <w:rPr>
                <w:rFonts w:ascii="华文细黑" w:hAnsi="华文细黑" w:cs="华文细黑" w:eastAsia="华文细黑" w:hint="default"/>
                <w:sz w:val="18"/>
                <w:szCs w:val="18"/>
              </w:rPr>
            </w:pPr>
            <w:r>
              <w:rPr>
                <w:rFonts w:ascii="华文细黑"/>
                <w:sz w:val="18"/>
              </w:rPr>
              <w:t>26.01</w:t>
            </w:r>
          </w:p>
        </w:tc>
        <w:tc>
          <w:tcPr>
            <w:tcW w:w="1217" w:type="dxa"/>
            <w:vMerge w:val="restart"/>
            <w:tcBorders>
              <w:top w:val="single" w:sz="4" w:space="0" w:color="FFC000"/>
              <w:left w:val="single" w:sz="4" w:space="0" w:color="FFC000"/>
              <w:right w:val="single" w:sz="4" w:space="0" w:color="FFC000"/>
            </w:tcBorders>
          </w:tcPr>
          <w:p>
            <w:pPr>
              <w:pStyle w:val="TableParagraph"/>
              <w:spacing w:line="376" w:lineRule="auto" w:before="144"/>
              <w:ind w:left="24"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非同一控制下 合并取得</w:t>
            </w:r>
          </w:p>
        </w:tc>
      </w:tr>
      <w:tr>
        <w:trPr>
          <w:trHeight w:val="480" w:hRule="exact"/>
        </w:trPr>
        <w:tc>
          <w:tcPr>
            <w:tcW w:w="3608"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深圳金石创新科技有限公司</w:t>
            </w:r>
          </w:p>
        </w:tc>
        <w:tc>
          <w:tcPr>
            <w:tcW w:w="994" w:type="dxa"/>
            <w:vMerge/>
            <w:tcBorders>
              <w:left w:val="single" w:sz="9" w:space="0" w:color="FFF8E6"/>
              <w:right w:val="single" w:sz="4" w:space="0" w:color="FFC000"/>
            </w:tcBorders>
          </w:tcPr>
          <w:p>
            <w:pPr/>
          </w:p>
        </w:tc>
        <w:tc>
          <w:tcPr>
            <w:tcW w:w="1064" w:type="dxa"/>
            <w:vMerge/>
            <w:tcBorders>
              <w:left w:val="single" w:sz="4" w:space="0" w:color="FFC000"/>
              <w:right w:val="single" w:sz="4" w:space="0" w:color="FFC000"/>
            </w:tcBorders>
          </w:tcPr>
          <w:p>
            <w:pPr/>
          </w:p>
        </w:tc>
        <w:tc>
          <w:tcPr>
            <w:tcW w:w="994" w:type="dxa"/>
            <w:vMerge/>
            <w:tcBorders>
              <w:left w:val="single" w:sz="4" w:space="0" w:color="FFC000"/>
              <w:right w:val="single" w:sz="4" w:space="0" w:color="FFC000"/>
            </w:tcBorders>
          </w:tcPr>
          <w:p>
            <w:pPr/>
          </w:p>
        </w:tc>
        <w:tc>
          <w:tcPr>
            <w:tcW w:w="850" w:type="dxa"/>
            <w:vMerge/>
            <w:tcBorders>
              <w:left w:val="single" w:sz="4" w:space="0" w:color="FFC000"/>
              <w:right w:val="single" w:sz="4" w:space="0" w:color="FFC000"/>
            </w:tcBorders>
          </w:tcPr>
          <w:p>
            <w:pPr/>
          </w:p>
        </w:tc>
        <w:tc>
          <w:tcPr>
            <w:tcW w:w="710" w:type="dxa"/>
            <w:vMerge/>
            <w:tcBorders>
              <w:left w:val="single" w:sz="4" w:space="0" w:color="FFC000"/>
              <w:right w:val="single" w:sz="4" w:space="0" w:color="FFC000"/>
            </w:tcBorders>
          </w:tcPr>
          <w:p>
            <w:pPr/>
          </w:p>
        </w:tc>
        <w:tc>
          <w:tcPr>
            <w:tcW w:w="1217" w:type="dxa"/>
            <w:vMerge/>
            <w:tcBorders>
              <w:left w:val="single" w:sz="4" w:space="0" w:color="FFC000"/>
              <w:right w:val="single" w:sz="4" w:space="0" w:color="FFC000"/>
            </w:tcBorders>
          </w:tcPr>
          <w:p>
            <w:pPr/>
          </w:p>
        </w:tc>
      </w:tr>
      <w:tr>
        <w:trPr>
          <w:trHeight w:val="205" w:hRule="exact"/>
        </w:trPr>
        <w:tc>
          <w:tcPr>
            <w:tcW w:w="3608" w:type="dxa"/>
            <w:tcBorders>
              <w:top w:val="nil" w:sz="6" w:space="0" w:color="auto"/>
              <w:left w:val="single" w:sz="4" w:space="0" w:color="FFC000"/>
              <w:bottom w:val="single" w:sz="4" w:space="0" w:color="FFC000"/>
              <w:right w:val="single" w:sz="4" w:space="0" w:color="FFC000"/>
            </w:tcBorders>
            <w:shd w:val="clear" w:color="auto" w:fill="FFF8E6"/>
          </w:tcPr>
          <w:p>
            <w:pPr/>
          </w:p>
        </w:tc>
        <w:tc>
          <w:tcPr>
            <w:tcW w:w="994" w:type="dxa"/>
            <w:vMerge/>
            <w:tcBorders>
              <w:left w:val="single" w:sz="9" w:space="0" w:color="FFF8E6"/>
              <w:bottom w:val="single" w:sz="4" w:space="0" w:color="FFC000"/>
              <w:right w:val="single" w:sz="4" w:space="0" w:color="FFC000"/>
            </w:tcBorders>
          </w:tcPr>
          <w:p>
            <w:pPr/>
          </w:p>
        </w:tc>
        <w:tc>
          <w:tcPr>
            <w:tcW w:w="1064" w:type="dxa"/>
            <w:vMerge/>
            <w:tcBorders>
              <w:left w:val="single" w:sz="4" w:space="0" w:color="FFC000"/>
              <w:bottom w:val="single" w:sz="4" w:space="0" w:color="FFC000"/>
              <w:right w:val="single" w:sz="4" w:space="0" w:color="FFC000"/>
            </w:tcBorders>
          </w:tcPr>
          <w:p>
            <w:pPr/>
          </w:p>
        </w:tc>
        <w:tc>
          <w:tcPr>
            <w:tcW w:w="994" w:type="dxa"/>
            <w:vMerge/>
            <w:tcBorders>
              <w:left w:val="single" w:sz="4" w:space="0" w:color="FFC000"/>
              <w:bottom w:val="single" w:sz="4" w:space="0" w:color="FFC000"/>
              <w:right w:val="single" w:sz="4" w:space="0" w:color="FFC000"/>
            </w:tcBorders>
          </w:tcPr>
          <w:p>
            <w:pPr/>
          </w:p>
        </w:tc>
        <w:tc>
          <w:tcPr>
            <w:tcW w:w="850" w:type="dxa"/>
            <w:vMerge/>
            <w:tcBorders>
              <w:left w:val="single" w:sz="4" w:space="0" w:color="FFC000"/>
              <w:bottom w:val="single" w:sz="4" w:space="0" w:color="FFC000"/>
              <w:right w:val="single" w:sz="4" w:space="0" w:color="FFC000"/>
            </w:tcBorders>
          </w:tcPr>
          <w:p>
            <w:pPr/>
          </w:p>
        </w:tc>
        <w:tc>
          <w:tcPr>
            <w:tcW w:w="710" w:type="dxa"/>
            <w:vMerge/>
            <w:tcBorders>
              <w:left w:val="single" w:sz="4" w:space="0" w:color="FFC000"/>
              <w:bottom w:val="single" w:sz="4" w:space="0" w:color="FFC000"/>
              <w:right w:val="single" w:sz="4" w:space="0" w:color="FFC000"/>
            </w:tcBorders>
          </w:tcPr>
          <w:p>
            <w:pPr/>
          </w:p>
        </w:tc>
        <w:tc>
          <w:tcPr>
            <w:tcW w:w="1217" w:type="dxa"/>
            <w:vMerge/>
            <w:tcBorders>
              <w:left w:val="single" w:sz="4" w:space="0" w:color="FFC000"/>
              <w:bottom w:val="single" w:sz="4" w:space="0" w:color="FFC000"/>
              <w:right w:val="single" w:sz="4" w:space="0" w:color="FFC000"/>
            </w:tcBorders>
          </w:tcPr>
          <w:p>
            <w:pPr/>
          </w:p>
        </w:tc>
      </w:tr>
      <w:tr>
        <w:trPr>
          <w:trHeight w:val="490" w:hRule="exact"/>
        </w:trPr>
        <w:tc>
          <w:tcPr>
            <w:tcW w:w="36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深圳市酷脉科技有限公司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60.00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6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深圳市爱享投资有限公司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100.00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6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深圳市爱保科技信息服务有限公司①</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服务业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35.00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205" w:hRule="exact"/>
        </w:trPr>
        <w:tc>
          <w:tcPr>
            <w:tcW w:w="3608" w:type="dxa"/>
            <w:tcBorders>
              <w:top w:val="single" w:sz="4" w:space="0" w:color="FFC000"/>
              <w:left w:val="single" w:sz="4" w:space="0" w:color="FFC000"/>
              <w:bottom w:val="nil" w:sz="6" w:space="0" w:color="auto"/>
              <w:right w:val="single" w:sz="4" w:space="0" w:color="FFC000"/>
            </w:tcBorders>
            <w:shd w:val="clear" w:color="auto" w:fill="FFF8E6"/>
          </w:tcPr>
          <w:p>
            <w:pPr/>
          </w:p>
        </w:tc>
        <w:tc>
          <w:tcPr>
            <w:tcW w:w="994" w:type="dxa"/>
            <w:vMerge w:val="restart"/>
            <w:tcBorders>
              <w:top w:val="single" w:sz="4" w:space="0" w:color="FFC000"/>
              <w:left w:val="single" w:sz="9" w:space="0" w:color="FFF8E6"/>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1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106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w:t>
            </w:r>
          </w:p>
        </w:tc>
        <w:tc>
          <w:tcPr>
            <w:tcW w:w="994"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服务业</w:t>
            </w:r>
          </w:p>
        </w:tc>
        <w:tc>
          <w:tcPr>
            <w:tcW w:w="85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right="19"/>
              <w:jc w:val="right"/>
              <w:rPr>
                <w:rFonts w:ascii="华文细黑" w:hAnsi="华文细黑" w:cs="华文细黑" w:eastAsia="华文细黑" w:hint="default"/>
                <w:sz w:val="18"/>
                <w:szCs w:val="18"/>
              </w:rPr>
            </w:pPr>
            <w:r>
              <w:rPr>
                <w:rFonts w:ascii="华文细黑"/>
                <w:sz w:val="18"/>
              </w:rPr>
              <w:t>---</w:t>
            </w:r>
          </w:p>
        </w:tc>
        <w:tc>
          <w:tcPr>
            <w:tcW w:w="710" w:type="dxa"/>
            <w:vMerge w:val="restart"/>
            <w:tcBorders>
              <w:top w:val="single" w:sz="4" w:space="0" w:color="FFC000"/>
              <w:left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29" w:right="0"/>
              <w:jc w:val="left"/>
              <w:rPr>
                <w:rFonts w:ascii="华文细黑" w:hAnsi="华文细黑" w:cs="华文细黑" w:eastAsia="华文细黑" w:hint="default"/>
                <w:sz w:val="18"/>
                <w:szCs w:val="18"/>
              </w:rPr>
            </w:pPr>
            <w:r>
              <w:rPr>
                <w:rFonts w:ascii="华文细黑"/>
                <w:sz w:val="18"/>
              </w:rPr>
              <w:t>35.00</w:t>
            </w:r>
          </w:p>
        </w:tc>
        <w:tc>
          <w:tcPr>
            <w:tcW w:w="1217" w:type="dxa"/>
            <w:vMerge w:val="restart"/>
            <w:tcBorders>
              <w:top w:val="single" w:sz="4" w:space="0" w:color="FFC000"/>
              <w:left w:val="single" w:sz="4" w:space="0" w:color="FFC000"/>
              <w:right w:val="single" w:sz="4" w:space="0" w:color="FFC000"/>
            </w:tcBorders>
          </w:tcPr>
          <w:p>
            <w:pPr>
              <w:pStyle w:val="TableParagraph"/>
              <w:spacing w:line="379" w:lineRule="auto" w:before="143"/>
              <w:ind w:left="24" w:right="1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非同一控制下 合并取得</w:t>
            </w:r>
          </w:p>
        </w:tc>
      </w:tr>
      <w:tr>
        <w:trPr>
          <w:trHeight w:val="480" w:hRule="exact"/>
        </w:trPr>
        <w:tc>
          <w:tcPr>
            <w:tcW w:w="3608"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北京威丰科技有限公司</w:t>
            </w:r>
          </w:p>
        </w:tc>
        <w:tc>
          <w:tcPr>
            <w:tcW w:w="994" w:type="dxa"/>
            <w:vMerge/>
            <w:tcBorders>
              <w:left w:val="single" w:sz="9" w:space="0" w:color="FFF8E6"/>
              <w:right w:val="single" w:sz="4" w:space="0" w:color="FFC000"/>
            </w:tcBorders>
          </w:tcPr>
          <w:p>
            <w:pPr/>
          </w:p>
        </w:tc>
        <w:tc>
          <w:tcPr>
            <w:tcW w:w="1064" w:type="dxa"/>
            <w:vMerge/>
            <w:tcBorders>
              <w:left w:val="single" w:sz="4" w:space="0" w:color="FFC000"/>
              <w:right w:val="single" w:sz="4" w:space="0" w:color="FFC000"/>
            </w:tcBorders>
          </w:tcPr>
          <w:p>
            <w:pPr/>
          </w:p>
        </w:tc>
        <w:tc>
          <w:tcPr>
            <w:tcW w:w="994" w:type="dxa"/>
            <w:vMerge/>
            <w:tcBorders>
              <w:left w:val="single" w:sz="4" w:space="0" w:color="FFC000"/>
              <w:right w:val="single" w:sz="4" w:space="0" w:color="FFC000"/>
            </w:tcBorders>
          </w:tcPr>
          <w:p>
            <w:pPr/>
          </w:p>
        </w:tc>
        <w:tc>
          <w:tcPr>
            <w:tcW w:w="850" w:type="dxa"/>
            <w:vMerge/>
            <w:tcBorders>
              <w:left w:val="single" w:sz="4" w:space="0" w:color="FFC000"/>
              <w:right w:val="single" w:sz="4" w:space="0" w:color="FFC000"/>
            </w:tcBorders>
          </w:tcPr>
          <w:p>
            <w:pPr/>
          </w:p>
        </w:tc>
        <w:tc>
          <w:tcPr>
            <w:tcW w:w="710" w:type="dxa"/>
            <w:vMerge/>
            <w:tcBorders>
              <w:left w:val="single" w:sz="4" w:space="0" w:color="FFC000"/>
              <w:right w:val="single" w:sz="4" w:space="0" w:color="FFC000"/>
            </w:tcBorders>
          </w:tcPr>
          <w:p>
            <w:pPr/>
          </w:p>
        </w:tc>
        <w:tc>
          <w:tcPr>
            <w:tcW w:w="1217" w:type="dxa"/>
            <w:vMerge/>
            <w:tcBorders>
              <w:left w:val="single" w:sz="4" w:space="0" w:color="FFC000"/>
              <w:right w:val="single" w:sz="4" w:space="0" w:color="FFC000"/>
            </w:tcBorders>
          </w:tcPr>
          <w:p>
            <w:pPr/>
          </w:p>
        </w:tc>
      </w:tr>
      <w:tr>
        <w:trPr>
          <w:trHeight w:val="205" w:hRule="exact"/>
        </w:trPr>
        <w:tc>
          <w:tcPr>
            <w:tcW w:w="3608" w:type="dxa"/>
            <w:tcBorders>
              <w:top w:val="nil" w:sz="6" w:space="0" w:color="auto"/>
              <w:left w:val="single" w:sz="4" w:space="0" w:color="FFC000"/>
              <w:bottom w:val="single" w:sz="4" w:space="0" w:color="FFC000"/>
              <w:right w:val="single" w:sz="4" w:space="0" w:color="FFC000"/>
            </w:tcBorders>
            <w:shd w:val="clear" w:color="auto" w:fill="FFF8E6"/>
          </w:tcPr>
          <w:p>
            <w:pPr/>
          </w:p>
        </w:tc>
        <w:tc>
          <w:tcPr>
            <w:tcW w:w="994" w:type="dxa"/>
            <w:vMerge/>
            <w:tcBorders>
              <w:left w:val="single" w:sz="9" w:space="0" w:color="FFF8E6"/>
              <w:bottom w:val="single" w:sz="4" w:space="0" w:color="FFC000"/>
              <w:right w:val="single" w:sz="4" w:space="0" w:color="FFC000"/>
            </w:tcBorders>
          </w:tcPr>
          <w:p>
            <w:pPr/>
          </w:p>
        </w:tc>
        <w:tc>
          <w:tcPr>
            <w:tcW w:w="1064" w:type="dxa"/>
            <w:vMerge/>
            <w:tcBorders>
              <w:left w:val="single" w:sz="4" w:space="0" w:color="FFC000"/>
              <w:bottom w:val="single" w:sz="4" w:space="0" w:color="FFC000"/>
              <w:right w:val="single" w:sz="4" w:space="0" w:color="FFC000"/>
            </w:tcBorders>
          </w:tcPr>
          <w:p>
            <w:pPr/>
          </w:p>
        </w:tc>
        <w:tc>
          <w:tcPr>
            <w:tcW w:w="994" w:type="dxa"/>
            <w:vMerge/>
            <w:tcBorders>
              <w:left w:val="single" w:sz="4" w:space="0" w:color="FFC000"/>
              <w:bottom w:val="single" w:sz="4" w:space="0" w:color="FFC000"/>
              <w:right w:val="single" w:sz="4" w:space="0" w:color="FFC000"/>
            </w:tcBorders>
          </w:tcPr>
          <w:p>
            <w:pPr/>
          </w:p>
        </w:tc>
        <w:tc>
          <w:tcPr>
            <w:tcW w:w="850" w:type="dxa"/>
            <w:vMerge/>
            <w:tcBorders>
              <w:left w:val="single" w:sz="4" w:space="0" w:color="FFC000"/>
              <w:bottom w:val="single" w:sz="4" w:space="0" w:color="FFC000"/>
              <w:right w:val="single" w:sz="4" w:space="0" w:color="FFC000"/>
            </w:tcBorders>
          </w:tcPr>
          <w:p>
            <w:pPr/>
          </w:p>
        </w:tc>
        <w:tc>
          <w:tcPr>
            <w:tcW w:w="710" w:type="dxa"/>
            <w:vMerge/>
            <w:tcBorders>
              <w:left w:val="single" w:sz="4" w:space="0" w:color="FFC000"/>
              <w:bottom w:val="single" w:sz="4" w:space="0" w:color="FFC000"/>
              <w:right w:val="single" w:sz="4" w:space="0" w:color="FFC000"/>
            </w:tcBorders>
          </w:tcPr>
          <w:p>
            <w:pPr/>
          </w:p>
        </w:tc>
        <w:tc>
          <w:tcPr>
            <w:tcW w:w="1217" w:type="dxa"/>
            <w:vMerge/>
            <w:tcBorders>
              <w:left w:val="single" w:sz="4" w:space="0" w:color="FFC000"/>
              <w:bottom w:val="single" w:sz="4" w:space="0" w:color="FFC000"/>
              <w:right w:val="single" w:sz="4" w:space="0" w:color="FFC000"/>
            </w:tcBorders>
          </w:tcPr>
          <w:p>
            <w:pPr/>
          </w:p>
        </w:tc>
      </w:tr>
      <w:tr>
        <w:trPr>
          <w:trHeight w:val="490" w:hRule="exact"/>
        </w:trPr>
        <w:tc>
          <w:tcPr>
            <w:tcW w:w="36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pacing w:val="-3"/>
                <w:sz w:val="18"/>
                <w:szCs w:val="18"/>
              </w:rPr>
              <w:t>共青城酷深投资管理合伙企业（有限合伙）②</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九江</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九江</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合伙</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34.00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6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pacing w:val="-3"/>
                <w:sz w:val="18"/>
                <w:szCs w:val="18"/>
              </w:rPr>
              <w:t>共青城酷粤投资管理合伙企业（有限合伙）②</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九江</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九江</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合伙</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36.00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6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pacing w:val="-3"/>
                <w:sz w:val="18"/>
                <w:szCs w:val="18"/>
              </w:rPr>
              <w:t>共青城酷湘投资管理合伙企业（有限合伙）②</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九江</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九江</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合伙</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40.00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6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pacing w:val="-3"/>
                <w:sz w:val="18"/>
                <w:szCs w:val="18"/>
              </w:rPr>
              <w:t>共青城优友投资管理合伙企业（有限合伙）②</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九江</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九江</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合伙</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890" w:hRule="exact"/>
        </w:trPr>
        <w:tc>
          <w:tcPr>
            <w:tcW w:w="36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22" w:right="266"/>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南京一号机商务信息咨询合伙企业</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有限合 伙</w:t>
            </w:r>
            <w:r>
              <w:rPr>
                <w:rFonts w:ascii="华文细黑" w:hAnsi="华文细黑" w:cs="华文细黑" w:eastAsia="华文细黑" w:hint="default"/>
                <w:sz w:val="18"/>
                <w:szCs w:val="18"/>
              </w:rPr>
              <w:t>)</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②</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九江</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九江</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合伙</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right="20"/>
              <w:jc w:val="right"/>
              <w:rPr>
                <w:rFonts w:ascii="华文细黑" w:hAnsi="华文细黑" w:cs="华文细黑" w:eastAsia="华文细黑" w:hint="default"/>
                <w:sz w:val="18"/>
                <w:szCs w:val="18"/>
              </w:rPr>
            </w:pPr>
            <w:r>
              <w:rPr>
                <w:rFonts w:ascii="华文细黑"/>
                <w:sz w:val="18"/>
              </w:rPr>
              <w:t>1.00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6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pacing w:val="-3"/>
                <w:sz w:val="18"/>
                <w:szCs w:val="18"/>
              </w:rPr>
              <w:t>深圳市彩梦物联有限合伙企业（有限合伙）②</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九江</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九江</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合伙</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46.51</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6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深圳市酷众科技有限公司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60.00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6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江西酷兜科技有限公司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九江</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九江</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100.00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6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江西赣江新区爱施德网络小额贷款有限公司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九江</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九江</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保险业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6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广州酷爱通讯器材有限责任公司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广州</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广州</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60.00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14.40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6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深圳市酷爱通讯科技有限公司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60.00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13.60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6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广州爱施德股权投资管理有限公司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广州</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广州</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投资</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100.00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6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深圳市一号机科技有限公司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55.00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0" w:hRule="exact"/>
        </w:trPr>
        <w:tc>
          <w:tcPr>
            <w:tcW w:w="36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南京一号机通讯设备有限公司③</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南京</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南京</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商业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22.60</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bl>
    <w:p>
      <w:pPr>
        <w:spacing w:after="0" w:line="240" w:lineRule="auto"/>
        <w:jc w:val="left"/>
        <w:rPr>
          <w:rFonts w:ascii="华文细黑" w:hAnsi="华文细黑" w:cs="华文细黑" w:eastAsia="华文细黑" w:hint="default"/>
          <w:sz w:val="18"/>
          <w:szCs w:val="18"/>
        </w:rPr>
        <w:sectPr>
          <w:pgSz w:w="11910" w:h="16840"/>
          <w:pgMar w:header="917" w:footer="1019" w:top="1100" w:bottom="1200" w:left="11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261" w:type="dxa"/>
        <w:tblLayout w:type="fixed"/>
        <w:tblCellMar>
          <w:top w:w="0" w:type="dxa"/>
          <w:left w:w="0" w:type="dxa"/>
          <w:bottom w:w="0" w:type="dxa"/>
          <w:right w:w="0" w:type="dxa"/>
        </w:tblCellMar>
        <w:tblLook w:val="01E0"/>
      </w:tblPr>
      <w:tblGrid>
        <w:gridCol w:w="3596"/>
        <w:gridCol w:w="994"/>
        <w:gridCol w:w="1064"/>
        <w:gridCol w:w="994"/>
        <w:gridCol w:w="850"/>
        <w:gridCol w:w="710"/>
        <w:gridCol w:w="1217"/>
      </w:tblGrid>
      <w:tr>
        <w:trPr>
          <w:trHeight w:val="251" w:hRule="exact"/>
        </w:trPr>
        <w:tc>
          <w:tcPr>
            <w:tcW w:w="3596" w:type="dxa"/>
            <w:tcBorders>
              <w:top w:val="single" w:sz="4" w:space="0" w:color="FFC000"/>
              <w:left w:val="single" w:sz="4" w:space="0" w:color="FFC000"/>
              <w:bottom w:val="nil" w:sz="6" w:space="0" w:color="auto"/>
              <w:right w:val="single" w:sz="4" w:space="0" w:color="FFC000"/>
            </w:tcBorders>
            <w:shd w:val="clear" w:color="auto" w:fill="FFF8E6"/>
          </w:tcPr>
          <w:p>
            <w:pPr/>
          </w:p>
        </w:tc>
        <w:tc>
          <w:tcPr>
            <w:tcW w:w="994" w:type="dxa"/>
            <w:tcBorders>
              <w:top w:val="single" w:sz="4" w:space="0" w:color="FFC000"/>
              <w:left w:val="single" w:sz="4" w:space="0" w:color="FFC000"/>
              <w:bottom w:val="nil" w:sz="6" w:space="0" w:color="auto"/>
              <w:right w:val="single" w:sz="4" w:space="0" w:color="FFC000"/>
            </w:tcBorders>
            <w:shd w:val="clear" w:color="auto" w:fill="FFF8E6"/>
          </w:tcPr>
          <w:p>
            <w:pPr/>
          </w:p>
        </w:tc>
        <w:tc>
          <w:tcPr>
            <w:tcW w:w="1064" w:type="dxa"/>
            <w:tcBorders>
              <w:top w:val="single" w:sz="4" w:space="0" w:color="FFC000"/>
              <w:left w:val="single" w:sz="4" w:space="0" w:color="FFC000"/>
              <w:bottom w:val="nil" w:sz="6" w:space="0" w:color="auto"/>
              <w:right w:val="single" w:sz="4" w:space="0" w:color="FFC000"/>
            </w:tcBorders>
            <w:shd w:val="clear" w:color="auto" w:fill="FFF8E6"/>
          </w:tcPr>
          <w:p>
            <w:pPr/>
          </w:p>
        </w:tc>
        <w:tc>
          <w:tcPr>
            <w:tcW w:w="994" w:type="dxa"/>
            <w:tcBorders>
              <w:top w:val="single" w:sz="4" w:space="0" w:color="FFC000"/>
              <w:left w:val="single" w:sz="4" w:space="0" w:color="FFC000"/>
              <w:bottom w:val="nil" w:sz="6" w:space="0" w:color="auto"/>
              <w:right w:val="single" w:sz="4" w:space="0" w:color="FFC000"/>
            </w:tcBorders>
            <w:shd w:val="clear" w:color="auto" w:fill="FFF8E6"/>
          </w:tcPr>
          <w:p>
            <w:pPr/>
          </w:p>
        </w:tc>
        <w:tc>
          <w:tcPr>
            <w:tcW w:w="1560"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7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持股比例（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）③</w:t>
            </w:r>
          </w:p>
        </w:tc>
        <w:tc>
          <w:tcPr>
            <w:tcW w:w="1217"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24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取得方式</w:t>
            </w:r>
          </w:p>
        </w:tc>
      </w:tr>
      <w:tr>
        <w:trPr>
          <w:trHeight w:val="239" w:hRule="exact"/>
        </w:trPr>
        <w:tc>
          <w:tcPr>
            <w:tcW w:w="3596"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right="1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子公司名称</w:t>
            </w:r>
          </w:p>
        </w:tc>
        <w:tc>
          <w:tcPr>
            <w:tcW w:w="994"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4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主要经营地</w:t>
            </w:r>
          </w:p>
        </w:tc>
        <w:tc>
          <w:tcPr>
            <w:tcW w:w="1064"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25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注册地</w:t>
            </w:r>
          </w:p>
        </w:tc>
        <w:tc>
          <w:tcPr>
            <w:tcW w:w="994"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13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业务性质</w:t>
            </w:r>
          </w:p>
        </w:tc>
        <w:tc>
          <w:tcPr>
            <w:tcW w:w="1560" w:type="dxa"/>
            <w:gridSpan w:val="2"/>
            <w:vMerge/>
            <w:tcBorders>
              <w:left w:val="single" w:sz="4" w:space="0" w:color="FFC000"/>
              <w:bottom w:val="single" w:sz="4" w:space="0" w:color="FFC000"/>
              <w:right w:val="single" w:sz="4" w:space="0" w:color="FFC000"/>
            </w:tcBorders>
            <w:shd w:val="clear" w:color="auto" w:fill="FFF8E6"/>
          </w:tcPr>
          <w:p>
            <w:pPr/>
          </w:p>
        </w:tc>
        <w:tc>
          <w:tcPr>
            <w:tcW w:w="1217" w:type="dxa"/>
            <w:vMerge/>
            <w:tcBorders>
              <w:left w:val="single" w:sz="4" w:space="0" w:color="FFC000"/>
              <w:bottom w:val="single" w:sz="4" w:space="0" w:color="FFC000"/>
              <w:right w:val="single" w:sz="4" w:space="0" w:color="FFC000"/>
            </w:tcBorders>
            <w:shd w:val="clear" w:color="auto" w:fill="FFF8E6"/>
          </w:tcPr>
          <w:p>
            <w:pPr/>
          </w:p>
        </w:tc>
      </w:tr>
      <w:tr>
        <w:trPr>
          <w:trHeight w:val="241" w:hRule="exact"/>
        </w:trPr>
        <w:tc>
          <w:tcPr>
            <w:tcW w:w="3596" w:type="dxa"/>
            <w:vMerge/>
            <w:tcBorders>
              <w:left w:val="single" w:sz="4" w:space="0" w:color="FFC000"/>
              <w:bottom w:val="nil" w:sz="6" w:space="0" w:color="auto"/>
              <w:right w:val="single" w:sz="4" w:space="0" w:color="FFC000"/>
            </w:tcBorders>
            <w:shd w:val="clear" w:color="auto" w:fill="FFF8E6"/>
          </w:tcPr>
          <w:p>
            <w:pPr/>
          </w:p>
        </w:tc>
        <w:tc>
          <w:tcPr>
            <w:tcW w:w="994" w:type="dxa"/>
            <w:vMerge/>
            <w:tcBorders>
              <w:left w:val="single" w:sz="4" w:space="0" w:color="FFC000"/>
              <w:bottom w:val="nil" w:sz="6" w:space="0" w:color="auto"/>
              <w:right w:val="single" w:sz="4" w:space="0" w:color="FFC000"/>
            </w:tcBorders>
            <w:shd w:val="clear" w:color="auto" w:fill="FFF8E6"/>
          </w:tcPr>
          <w:p>
            <w:pPr/>
          </w:p>
        </w:tc>
        <w:tc>
          <w:tcPr>
            <w:tcW w:w="1064" w:type="dxa"/>
            <w:vMerge/>
            <w:tcBorders>
              <w:left w:val="single" w:sz="4" w:space="0" w:color="FFC000"/>
              <w:bottom w:val="nil" w:sz="6" w:space="0" w:color="auto"/>
              <w:right w:val="single" w:sz="4" w:space="0" w:color="FFC000"/>
            </w:tcBorders>
            <w:shd w:val="clear" w:color="auto" w:fill="FFF8E6"/>
          </w:tcPr>
          <w:p>
            <w:pPr/>
          </w:p>
        </w:tc>
        <w:tc>
          <w:tcPr>
            <w:tcW w:w="994" w:type="dxa"/>
            <w:vMerge/>
            <w:tcBorders>
              <w:left w:val="single" w:sz="4" w:space="0" w:color="FFC000"/>
              <w:bottom w:val="nil" w:sz="6" w:space="0" w:color="auto"/>
              <w:right w:val="single" w:sz="4" w:space="0" w:color="FFC000"/>
            </w:tcBorders>
            <w:shd w:val="clear" w:color="auto" w:fill="FFF8E6"/>
          </w:tcPr>
          <w:p>
            <w:pPr/>
          </w:p>
        </w:tc>
        <w:tc>
          <w:tcPr>
            <w:tcW w:w="85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24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直接</w:t>
            </w:r>
          </w:p>
        </w:tc>
        <w:tc>
          <w:tcPr>
            <w:tcW w:w="71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17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间接</w:t>
            </w:r>
          </w:p>
        </w:tc>
        <w:tc>
          <w:tcPr>
            <w:tcW w:w="1217" w:type="dxa"/>
            <w:vMerge w:val="restart"/>
            <w:tcBorders>
              <w:top w:val="single" w:sz="4" w:space="0" w:color="FFC000"/>
              <w:left w:val="single" w:sz="4" w:space="0" w:color="FFC000"/>
              <w:right w:val="single" w:sz="4" w:space="0" w:color="FFC000"/>
            </w:tcBorders>
            <w:shd w:val="clear" w:color="auto" w:fill="FFF8E6"/>
          </w:tcPr>
          <w:p>
            <w:pPr/>
          </w:p>
        </w:tc>
      </w:tr>
      <w:tr>
        <w:trPr>
          <w:trHeight w:val="250" w:hRule="exact"/>
        </w:trPr>
        <w:tc>
          <w:tcPr>
            <w:tcW w:w="3596" w:type="dxa"/>
            <w:tcBorders>
              <w:top w:val="nil" w:sz="6" w:space="0" w:color="auto"/>
              <w:left w:val="single" w:sz="4" w:space="0" w:color="FFC000"/>
              <w:bottom w:val="single" w:sz="4" w:space="0" w:color="FFC000"/>
              <w:right w:val="single" w:sz="4" w:space="0" w:color="FFC000"/>
            </w:tcBorders>
            <w:shd w:val="clear" w:color="auto" w:fill="FFF8E6"/>
          </w:tcPr>
          <w:p>
            <w:pPr/>
          </w:p>
        </w:tc>
        <w:tc>
          <w:tcPr>
            <w:tcW w:w="994" w:type="dxa"/>
            <w:tcBorders>
              <w:top w:val="nil" w:sz="6" w:space="0" w:color="auto"/>
              <w:left w:val="single" w:sz="4" w:space="0" w:color="FFC000"/>
              <w:bottom w:val="single" w:sz="4" w:space="0" w:color="FFC000"/>
              <w:right w:val="single" w:sz="4" w:space="0" w:color="FFC000"/>
            </w:tcBorders>
            <w:shd w:val="clear" w:color="auto" w:fill="FFF8E6"/>
          </w:tcPr>
          <w:p>
            <w:pPr/>
          </w:p>
        </w:tc>
        <w:tc>
          <w:tcPr>
            <w:tcW w:w="1064" w:type="dxa"/>
            <w:tcBorders>
              <w:top w:val="nil" w:sz="6" w:space="0" w:color="auto"/>
              <w:left w:val="single" w:sz="4" w:space="0" w:color="FFC000"/>
              <w:bottom w:val="single" w:sz="4" w:space="0" w:color="FFC000"/>
              <w:right w:val="single" w:sz="4" w:space="0" w:color="FFC000"/>
            </w:tcBorders>
            <w:shd w:val="clear" w:color="auto" w:fill="FFF8E6"/>
          </w:tcPr>
          <w:p>
            <w:pPr/>
          </w:p>
        </w:tc>
        <w:tc>
          <w:tcPr>
            <w:tcW w:w="994" w:type="dxa"/>
            <w:tcBorders>
              <w:top w:val="nil" w:sz="6" w:space="0" w:color="auto"/>
              <w:left w:val="single" w:sz="4" w:space="0" w:color="FFC000"/>
              <w:bottom w:val="single" w:sz="4" w:space="0" w:color="FFC000"/>
              <w:right w:val="single" w:sz="4" w:space="0" w:color="FFC000"/>
            </w:tcBorders>
            <w:shd w:val="clear" w:color="auto" w:fill="FFF8E6"/>
          </w:tcPr>
          <w:p>
            <w:pPr/>
          </w:p>
        </w:tc>
        <w:tc>
          <w:tcPr>
            <w:tcW w:w="850" w:type="dxa"/>
            <w:vMerge/>
            <w:tcBorders>
              <w:left w:val="single" w:sz="4" w:space="0" w:color="FFC000"/>
              <w:bottom w:val="single" w:sz="4" w:space="0" w:color="FFC000"/>
              <w:right w:val="single" w:sz="4" w:space="0" w:color="FFC000"/>
            </w:tcBorders>
            <w:shd w:val="clear" w:color="auto" w:fill="FFF8E6"/>
          </w:tcPr>
          <w:p>
            <w:pPr/>
          </w:p>
        </w:tc>
        <w:tc>
          <w:tcPr>
            <w:tcW w:w="710" w:type="dxa"/>
            <w:vMerge/>
            <w:tcBorders>
              <w:left w:val="single" w:sz="4" w:space="0" w:color="FFC000"/>
              <w:bottom w:val="single" w:sz="4" w:space="0" w:color="FFC000"/>
              <w:right w:val="single" w:sz="4" w:space="0" w:color="FFC000"/>
            </w:tcBorders>
            <w:shd w:val="clear" w:color="auto" w:fill="FFF8E6"/>
          </w:tcPr>
          <w:p>
            <w:pPr/>
          </w:p>
        </w:tc>
        <w:tc>
          <w:tcPr>
            <w:tcW w:w="1217"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35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江西爱保保险代理有限公司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九江</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九江</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保险业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95.00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r>
        <w:trPr>
          <w:trHeight w:val="491" w:hRule="exact"/>
        </w:trPr>
        <w:tc>
          <w:tcPr>
            <w:tcW w:w="359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江西爱施德保险经纪有限公司</w:t>
            </w:r>
          </w:p>
        </w:tc>
        <w:tc>
          <w:tcPr>
            <w:tcW w:w="99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九江</w:t>
            </w:r>
          </w:p>
        </w:tc>
        <w:tc>
          <w:tcPr>
            <w:tcW w:w="106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九江</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保险业</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95.00</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2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设立取得</w:t>
            </w:r>
          </w:p>
        </w:tc>
      </w:tr>
    </w:tbl>
    <w:p>
      <w:pPr>
        <w:spacing w:line="240" w:lineRule="auto" w:before="5"/>
        <w:rPr>
          <w:rFonts w:ascii="Times New Roman" w:hAnsi="Times New Roman" w:cs="Times New Roman" w:eastAsia="Times New Roman" w:hint="default"/>
          <w:sz w:val="8"/>
          <w:szCs w:val="8"/>
        </w:rPr>
      </w:pPr>
    </w:p>
    <w:p>
      <w:pPr>
        <w:pStyle w:val="BodyText"/>
        <w:spacing w:line="324" w:lineRule="auto" w:before="10"/>
        <w:ind w:left="460" w:right="1434" w:firstLine="420"/>
        <w:jc w:val="both"/>
      </w:pPr>
      <w:r>
        <w:rPr>
          <w:spacing w:val="-1"/>
        </w:rPr>
        <w:t>注：①本公司之全资子公司深圳市爱享投资有限公司（以下简称“爱享投资”）持有深圳市爱</w:t>
      </w:r>
      <w:r>
        <w:rPr/>
        <w:t> </w:t>
      </w:r>
      <w:r>
        <w:rPr>
          <w:spacing w:val="-5"/>
        </w:rPr>
        <w:t>保科技信息服务有限公司（以下简称“爱保信息”）</w:t>
      </w:r>
      <w:r>
        <w:rPr>
          <w:rFonts w:ascii="华文细黑" w:hAnsi="华文细黑" w:cs="华文细黑" w:eastAsia="华文细黑" w:hint="default"/>
          <w:spacing w:val="-5"/>
        </w:rPr>
        <w:t>35%</w:t>
      </w:r>
      <w:r>
        <w:rPr>
          <w:spacing w:val="-5"/>
        </w:rPr>
        <w:t>的股份，公司董事会半数以上成员由爱享投</w:t>
      </w:r>
      <w:r>
        <w:rPr>
          <w:spacing w:val="-21"/>
        </w:rPr>
        <w:t> </w:t>
      </w:r>
      <w:r>
        <w:rPr>
          <w:spacing w:val="-21"/>
        </w:rPr>
      </w:r>
      <w:r>
        <w:rPr/>
        <w:t>资选派，足以对董事会的决议产生重大影响，且对公司的经营方针、决策和业务运营起核心作用。 故爱享投资控制爱保信息，将其纳入合并范围。</w:t>
      </w:r>
    </w:p>
    <w:p>
      <w:pPr>
        <w:pStyle w:val="BodyText"/>
        <w:spacing w:line="324" w:lineRule="auto" w:before="64"/>
        <w:ind w:left="460" w:right="1434" w:firstLine="420"/>
        <w:jc w:val="both"/>
      </w:pPr>
      <w:r>
        <w:rPr>
          <w:spacing w:val="-1"/>
        </w:rPr>
        <w:t>②爱享投资与公司部分核心人员共同投资设立共青城酷湘投资管理合伙企业（有限合伙）、共</w:t>
      </w:r>
      <w:r>
        <w:rPr/>
        <w:t> </w:t>
      </w:r>
      <w:r>
        <w:rPr>
          <w:spacing w:val="-5"/>
        </w:rPr>
        <w:t>青城酷粤投资管理合伙企业（有限合伙）、共青城酷深投资管理合伙企业（有限合伙）、共青城优友</w:t>
      </w:r>
      <w:r>
        <w:rPr>
          <w:spacing w:val="-51"/>
        </w:rPr>
        <w:t> </w:t>
      </w:r>
      <w:r>
        <w:rPr>
          <w:spacing w:val="-51"/>
        </w:rPr>
      </w:r>
      <w:r>
        <w:rPr>
          <w:spacing w:val="-5"/>
        </w:rPr>
        <w:t>投资管理合伙企业（有限合伙）、南京一号机商务信息咨询合伙企业（有限合伙）、深圳市彩梦物联</w:t>
      </w:r>
      <w:r>
        <w:rPr>
          <w:spacing w:val="-51"/>
        </w:rPr>
        <w:t> </w:t>
      </w:r>
      <w:r>
        <w:rPr>
          <w:spacing w:val="-51"/>
        </w:rPr>
      </w:r>
      <w:r>
        <w:rPr>
          <w:spacing w:val="-6"/>
        </w:rPr>
        <w:t>有限合伙企业（有限合伙）（以下简称“合伙企业”），系该等合伙企业的普通合伙人，执行合伙事</w:t>
      </w:r>
      <w:r>
        <w:rPr>
          <w:spacing w:val="-18"/>
        </w:rPr>
        <w:t> </w:t>
      </w:r>
      <w:r>
        <w:rPr>
          <w:spacing w:val="-18"/>
        </w:rPr>
      </w:r>
      <w:r>
        <w:rPr/>
        <w:t>务。该等合伙企业的合伙目的为与本公司共同对外投资，所投资的公司均由本公司直接控制，且该</w:t>
      </w:r>
      <w:r>
        <w:rPr/>
        <w:t> 等合伙企业除投资本公司控制的公司外无其他经营活动，所以，爱享投资可对该等合伙企业实施控 制。</w:t>
      </w:r>
    </w:p>
    <w:p>
      <w:pPr>
        <w:pStyle w:val="BodyText"/>
        <w:spacing w:line="324" w:lineRule="auto" w:before="63"/>
        <w:ind w:left="460" w:right="1437" w:firstLine="420"/>
        <w:jc w:val="both"/>
      </w:pPr>
      <w:r>
        <w:rPr/>
        <w:t>③南京一号机通讯设备有限公司是由本公司之控股子公司深圳市一号机科技有限公司、本公司 之间接控股子公司南京一号机商务信息咨询合伙企业（有限合伙）和南京一号机科技发展合伙企业</w:t>
      </w:r>
    </w:p>
    <w:p>
      <w:pPr>
        <w:pStyle w:val="BodyText"/>
        <w:spacing w:line="324" w:lineRule="auto" w:before="23"/>
        <w:ind w:left="460" w:right="1420"/>
        <w:jc w:val="left"/>
      </w:pPr>
      <w:r>
        <w:rPr/>
        <w:t>（有限合伙）共同投资设立的，持股比例分别为 </w:t>
      </w:r>
      <w:r>
        <w:rPr>
          <w:rFonts w:ascii="华文细黑" w:hAnsi="华文细黑" w:cs="华文细黑" w:eastAsia="华文细黑" w:hint="default"/>
        </w:rPr>
        <w:t>40%</w:t>
      </w:r>
      <w:r>
        <w:rPr/>
        <w:t>、</w:t>
      </w:r>
      <w:r>
        <w:rPr>
          <w:rFonts w:ascii="华文细黑" w:hAnsi="华文细黑" w:cs="华文细黑" w:eastAsia="华文细黑" w:hint="default"/>
        </w:rPr>
        <w:t>25%</w:t>
      </w:r>
      <w:r>
        <w:rPr/>
        <w:t>和</w:t>
      </w:r>
      <w:r>
        <w:rPr>
          <w:spacing w:val="-35"/>
        </w:rPr>
        <w:t> </w:t>
      </w:r>
      <w:r>
        <w:rPr>
          <w:rFonts w:ascii="华文细黑" w:hAnsi="华文细黑" w:cs="华文细黑" w:eastAsia="华文细黑" w:hint="default"/>
        </w:rPr>
        <w:t>35%</w:t>
      </w:r>
      <w:r>
        <w:rPr/>
        <w:t>，故对南京一号机通讯设备有限 公司实际控制，将其纳入合并范围。</w:t>
      </w:r>
    </w:p>
    <w:p>
      <w:pPr>
        <w:pStyle w:val="BodyText"/>
        <w:spacing w:line="240" w:lineRule="auto" w:before="64"/>
        <w:ind w:left="880" w:right="1217"/>
        <w:jc w:val="left"/>
      </w:pPr>
      <w:r>
        <w:rPr/>
        <w:t>④持股比例按照公司最终在该等子公司的净资产中所享有的权益比例填列。</w:t>
      </w:r>
    </w:p>
    <w:p>
      <w:pPr>
        <w:pStyle w:val="BodyText"/>
        <w:spacing w:line="240" w:lineRule="auto" w:before="144"/>
        <w:ind w:left="880" w:right="1217"/>
        <w:jc w:val="left"/>
      </w:pPr>
      <w:r>
        <w:rPr/>
        <w:t>（</w:t>
      </w:r>
      <w:r>
        <w:rPr>
          <w:rFonts w:ascii="华文细黑" w:hAnsi="华文细黑" w:cs="华文细黑" w:eastAsia="华文细黑" w:hint="default"/>
        </w:rPr>
        <w:t>2</w:t>
      </w:r>
      <w:r>
        <w:rPr/>
        <w:t>）重要的非全资子公司</w:t>
      </w:r>
    </w:p>
    <w:p>
      <w:pPr>
        <w:spacing w:line="240" w:lineRule="auto" w:before="5"/>
        <w:rPr>
          <w:rFonts w:ascii="华文细黑" w:hAnsi="华文细黑" w:cs="华文细黑" w:eastAsia="华文细黑" w:hint="default"/>
          <w:sz w:val="5"/>
          <w:szCs w:val="5"/>
        </w:rPr>
      </w:pPr>
    </w:p>
    <w:tbl>
      <w:tblPr>
        <w:tblW w:w="0" w:type="auto"/>
        <w:jc w:val="left"/>
        <w:tblInd w:w="182" w:type="dxa"/>
        <w:tblLayout w:type="fixed"/>
        <w:tblCellMar>
          <w:top w:w="0" w:type="dxa"/>
          <w:left w:w="0" w:type="dxa"/>
          <w:bottom w:w="0" w:type="dxa"/>
          <w:right w:w="0" w:type="dxa"/>
        </w:tblCellMar>
        <w:tblLook w:val="01E0"/>
      </w:tblPr>
      <w:tblGrid>
        <w:gridCol w:w="3272"/>
        <w:gridCol w:w="1431"/>
        <w:gridCol w:w="1560"/>
        <w:gridCol w:w="1560"/>
        <w:gridCol w:w="1560"/>
      </w:tblGrid>
      <w:tr>
        <w:trPr>
          <w:trHeight w:val="205" w:hRule="exact"/>
        </w:trPr>
        <w:tc>
          <w:tcPr>
            <w:tcW w:w="3272" w:type="dxa"/>
            <w:tcBorders>
              <w:top w:val="single" w:sz="4" w:space="0" w:color="FFC000"/>
              <w:left w:val="single" w:sz="4" w:space="0" w:color="FFC000"/>
              <w:bottom w:val="nil" w:sz="6" w:space="0" w:color="auto"/>
              <w:right w:val="single" w:sz="4" w:space="0" w:color="FFC000"/>
            </w:tcBorders>
            <w:shd w:val="clear" w:color="auto" w:fill="FFF8E6"/>
          </w:tcPr>
          <w:p>
            <w:pPr/>
          </w:p>
        </w:tc>
        <w:tc>
          <w:tcPr>
            <w:tcW w:w="1431" w:type="dxa"/>
            <w:vMerge w:val="restart"/>
            <w:tcBorders>
              <w:top w:val="single" w:sz="4" w:space="0" w:color="FFC000"/>
              <w:left w:val="single" w:sz="4" w:space="0" w:color="FFC000"/>
              <w:right w:val="single" w:sz="4" w:space="0" w:color="FFC000"/>
            </w:tcBorders>
            <w:shd w:val="clear" w:color="auto" w:fill="FFF8E6"/>
          </w:tcPr>
          <w:p>
            <w:pPr>
              <w:pStyle w:val="TableParagraph"/>
              <w:spacing w:line="376" w:lineRule="auto" w:before="144"/>
              <w:ind w:left="286" w:right="75" w:hanging="20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少数股东的持股 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1560" w:type="dxa"/>
            <w:vMerge w:val="restart"/>
            <w:tcBorders>
              <w:top w:val="single" w:sz="4" w:space="0" w:color="FFC000"/>
              <w:left w:val="single" w:sz="4" w:space="0" w:color="FFC000"/>
              <w:right w:val="single" w:sz="4" w:space="0" w:color="FFC000"/>
            </w:tcBorders>
            <w:shd w:val="clear" w:color="auto" w:fill="FFF8E6"/>
          </w:tcPr>
          <w:p>
            <w:pPr>
              <w:pStyle w:val="TableParagraph"/>
              <w:spacing w:line="376" w:lineRule="auto" w:before="144"/>
              <w:ind w:left="414" w:right="54" w:hanging="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本年归属于少数股 东的损益</w:t>
            </w:r>
          </w:p>
        </w:tc>
        <w:tc>
          <w:tcPr>
            <w:tcW w:w="1560" w:type="dxa"/>
            <w:vMerge w:val="restart"/>
            <w:tcBorders>
              <w:top w:val="single" w:sz="4" w:space="0" w:color="FFC000"/>
              <w:left w:val="single" w:sz="4" w:space="0" w:color="FFC000"/>
              <w:right w:val="single" w:sz="4" w:space="0" w:color="FFC000"/>
            </w:tcBorders>
            <w:shd w:val="clear" w:color="auto" w:fill="FFF8E6"/>
          </w:tcPr>
          <w:p>
            <w:pPr>
              <w:pStyle w:val="TableParagraph"/>
              <w:spacing w:line="376" w:lineRule="auto" w:before="144"/>
              <w:ind w:left="413" w:right="54" w:hanging="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本年向少数股东分 派的股利</w:t>
            </w:r>
          </w:p>
        </w:tc>
        <w:tc>
          <w:tcPr>
            <w:tcW w:w="1560" w:type="dxa"/>
            <w:vMerge w:val="restart"/>
            <w:tcBorders>
              <w:top w:val="single" w:sz="4" w:space="0" w:color="FFC000"/>
              <w:left w:val="single" w:sz="4" w:space="0" w:color="FFC000"/>
              <w:right w:val="single" w:sz="4" w:space="0" w:color="FFC000"/>
            </w:tcBorders>
            <w:shd w:val="clear" w:color="auto" w:fill="FFF8E6"/>
          </w:tcPr>
          <w:p>
            <w:pPr>
              <w:pStyle w:val="TableParagraph"/>
              <w:spacing w:line="376" w:lineRule="auto" w:before="144"/>
              <w:ind w:left="594" w:right="54" w:hanging="54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年末少数股东权益 余额</w:t>
            </w:r>
          </w:p>
        </w:tc>
      </w:tr>
      <w:tr>
        <w:trPr>
          <w:trHeight w:val="480" w:hRule="exact"/>
        </w:trPr>
        <w:tc>
          <w:tcPr>
            <w:tcW w:w="3272"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子公司名称</w:t>
            </w:r>
          </w:p>
        </w:tc>
        <w:tc>
          <w:tcPr>
            <w:tcW w:w="1431" w:type="dxa"/>
            <w:vMerge/>
            <w:tcBorders>
              <w:left w:val="single" w:sz="4" w:space="0" w:color="FFC000"/>
              <w:right w:val="single" w:sz="4" w:space="0" w:color="FFC000"/>
            </w:tcBorders>
            <w:shd w:val="clear" w:color="auto" w:fill="FFF8E6"/>
          </w:tcPr>
          <w:p>
            <w:pPr/>
          </w:p>
        </w:tc>
        <w:tc>
          <w:tcPr>
            <w:tcW w:w="1560" w:type="dxa"/>
            <w:vMerge/>
            <w:tcBorders>
              <w:left w:val="single" w:sz="4" w:space="0" w:color="FFC000"/>
              <w:right w:val="single" w:sz="4" w:space="0" w:color="FFC000"/>
            </w:tcBorders>
            <w:shd w:val="clear" w:color="auto" w:fill="FFF8E6"/>
          </w:tcPr>
          <w:p>
            <w:pPr/>
          </w:p>
        </w:tc>
        <w:tc>
          <w:tcPr>
            <w:tcW w:w="1560" w:type="dxa"/>
            <w:vMerge/>
            <w:tcBorders>
              <w:left w:val="single" w:sz="4" w:space="0" w:color="FFC000"/>
              <w:right w:val="single" w:sz="4" w:space="0" w:color="FFC000"/>
            </w:tcBorders>
            <w:shd w:val="clear" w:color="auto" w:fill="FFF8E6"/>
          </w:tcPr>
          <w:p>
            <w:pPr/>
          </w:p>
        </w:tc>
        <w:tc>
          <w:tcPr>
            <w:tcW w:w="1560" w:type="dxa"/>
            <w:vMerge/>
            <w:tcBorders>
              <w:left w:val="single" w:sz="4" w:space="0" w:color="FFC000"/>
              <w:right w:val="single" w:sz="4" w:space="0" w:color="FFC000"/>
            </w:tcBorders>
            <w:shd w:val="clear" w:color="auto" w:fill="FFF8E6"/>
          </w:tcPr>
          <w:p>
            <w:pPr/>
          </w:p>
        </w:tc>
      </w:tr>
      <w:tr>
        <w:trPr>
          <w:trHeight w:val="205" w:hRule="exact"/>
        </w:trPr>
        <w:tc>
          <w:tcPr>
            <w:tcW w:w="3272" w:type="dxa"/>
            <w:tcBorders>
              <w:top w:val="nil" w:sz="6" w:space="0" w:color="auto"/>
              <w:left w:val="single" w:sz="4" w:space="0" w:color="FFC000"/>
              <w:bottom w:val="single" w:sz="4" w:space="0" w:color="FFC000"/>
              <w:right w:val="single" w:sz="4" w:space="0" w:color="FFC000"/>
            </w:tcBorders>
            <w:shd w:val="clear" w:color="auto" w:fill="FFF8E6"/>
          </w:tcPr>
          <w:p>
            <w:pPr/>
          </w:p>
        </w:tc>
        <w:tc>
          <w:tcPr>
            <w:tcW w:w="1431" w:type="dxa"/>
            <w:vMerge/>
            <w:tcBorders>
              <w:left w:val="single" w:sz="4" w:space="0" w:color="FFC000"/>
              <w:bottom w:val="single" w:sz="4" w:space="0" w:color="FFC000"/>
              <w:right w:val="single" w:sz="4" w:space="0" w:color="FFC000"/>
            </w:tcBorders>
            <w:shd w:val="clear" w:color="auto" w:fill="FFF8E6"/>
          </w:tcPr>
          <w:p>
            <w:pPr/>
          </w:p>
        </w:tc>
        <w:tc>
          <w:tcPr>
            <w:tcW w:w="1560" w:type="dxa"/>
            <w:vMerge/>
            <w:tcBorders>
              <w:left w:val="single" w:sz="4" w:space="0" w:color="FFC000"/>
              <w:bottom w:val="single" w:sz="4" w:space="0" w:color="FFC000"/>
              <w:right w:val="single" w:sz="4" w:space="0" w:color="FFC000"/>
            </w:tcBorders>
            <w:shd w:val="clear" w:color="auto" w:fill="FFF8E6"/>
          </w:tcPr>
          <w:p>
            <w:pPr/>
          </w:p>
        </w:tc>
        <w:tc>
          <w:tcPr>
            <w:tcW w:w="1560" w:type="dxa"/>
            <w:vMerge/>
            <w:tcBorders>
              <w:left w:val="single" w:sz="4" w:space="0" w:color="FFC000"/>
              <w:bottom w:val="single" w:sz="4" w:space="0" w:color="FFC000"/>
              <w:right w:val="single" w:sz="4" w:space="0" w:color="FFC000"/>
            </w:tcBorders>
            <w:shd w:val="clear" w:color="auto" w:fill="FFF8E6"/>
          </w:tcPr>
          <w:p>
            <w:pPr/>
          </w:p>
        </w:tc>
        <w:tc>
          <w:tcPr>
            <w:tcW w:w="1560"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327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彩梦科技公司</w:t>
            </w:r>
          </w:p>
        </w:tc>
        <w:tc>
          <w:tcPr>
            <w:tcW w:w="143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15.00</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129,326.51</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6,049,801.31</w:t>
            </w:r>
          </w:p>
        </w:tc>
      </w:tr>
      <w:tr>
        <w:trPr>
          <w:trHeight w:val="491" w:hRule="exact"/>
        </w:trPr>
        <w:tc>
          <w:tcPr>
            <w:tcW w:w="327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深圳市优友金融服务有限公司</w:t>
            </w:r>
          </w:p>
        </w:tc>
        <w:tc>
          <w:tcPr>
            <w:tcW w:w="143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49.00</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19,240,300.09</w:t>
            </w:r>
          </w:p>
        </w:tc>
        <w:tc>
          <w:tcPr>
            <w:tcW w:w="1560" w:type="dxa"/>
            <w:tcBorders>
              <w:top w:val="single" w:sz="4" w:space="0" w:color="FFC000"/>
              <w:left w:val="single" w:sz="4" w:space="0" w:color="FFC000"/>
              <w:bottom w:val="single" w:sz="4" w:space="0" w:color="FFC000"/>
              <w:right w:val="single" w:sz="4" w:space="0" w:color="FFC000"/>
            </w:tcBorders>
          </w:tcPr>
          <w:p>
            <w:pP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38,828,160.64</w:t>
            </w:r>
          </w:p>
        </w:tc>
      </w:tr>
      <w:tr>
        <w:trPr>
          <w:trHeight w:val="490" w:hRule="exact"/>
        </w:trPr>
        <w:tc>
          <w:tcPr>
            <w:tcW w:w="327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深圳市优友互联有限公司</w:t>
            </w:r>
          </w:p>
        </w:tc>
        <w:tc>
          <w:tcPr>
            <w:tcW w:w="143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39.75</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4,390,499.76</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8,495,116.34</w:t>
            </w:r>
          </w:p>
        </w:tc>
      </w:tr>
      <w:tr>
        <w:trPr>
          <w:trHeight w:val="491" w:hRule="exact"/>
        </w:trPr>
        <w:tc>
          <w:tcPr>
            <w:tcW w:w="327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海南先锋网络小额贷款有限公司</w:t>
            </w:r>
          </w:p>
        </w:tc>
        <w:tc>
          <w:tcPr>
            <w:tcW w:w="1431"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49.00</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5,600,110.01</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132,235,912.90</w:t>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880" w:right="1217"/>
        <w:jc w:val="left"/>
      </w:pPr>
      <w:r>
        <w:rPr/>
        <w:t>（</w:t>
      </w:r>
      <w:r>
        <w:rPr>
          <w:rFonts w:ascii="华文细黑" w:hAnsi="华文细黑" w:cs="华文细黑" w:eastAsia="华文细黑" w:hint="default"/>
        </w:rPr>
        <w:t>3</w:t>
      </w:r>
      <w:r>
        <w:rPr/>
        <w:t>）重要的非全资子公司的主要财务信息</w:t>
      </w:r>
    </w:p>
    <w:p>
      <w:pPr>
        <w:spacing w:line="240" w:lineRule="auto" w:before="5"/>
        <w:rPr>
          <w:rFonts w:ascii="华文细黑" w:hAnsi="华文细黑" w:cs="华文细黑" w:eastAsia="华文细黑" w:hint="default"/>
          <w:sz w:val="5"/>
          <w:szCs w:val="5"/>
        </w:rPr>
      </w:pPr>
    </w:p>
    <w:tbl>
      <w:tblPr>
        <w:tblW w:w="0" w:type="auto"/>
        <w:jc w:val="left"/>
        <w:tblInd w:w="115" w:type="dxa"/>
        <w:tblLayout w:type="fixed"/>
        <w:tblCellMar>
          <w:top w:w="0" w:type="dxa"/>
          <w:left w:w="0" w:type="dxa"/>
          <w:bottom w:w="0" w:type="dxa"/>
          <w:right w:w="0" w:type="dxa"/>
        </w:tblCellMar>
        <w:tblLook w:val="01E0"/>
      </w:tblPr>
      <w:tblGrid>
        <w:gridCol w:w="1794"/>
        <w:gridCol w:w="1328"/>
        <w:gridCol w:w="1299"/>
        <w:gridCol w:w="1403"/>
        <w:gridCol w:w="1463"/>
        <w:gridCol w:w="1091"/>
        <w:gridCol w:w="1329"/>
      </w:tblGrid>
      <w:tr>
        <w:trPr>
          <w:trHeight w:val="250" w:hRule="exact"/>
        </w:trPr>
        <w:tc>
          <w:tcPr>
            <w:tcW w:w="1794" w:type="dxa"/>
            <w:tcBorders>
              <w:top w:val="single" w:sz="4" w:space="0" w:color="FFC000"/>
              <w:left w:val="single" w:sz="4" w:space="0" w:color="FFC000"/>
              <w:bottom w:val="nil" w:sz="6" w:space="0" w:color="auto"/>
              <w:right w:val="single" w:sz="4" w:space="0" w:color="FFC000"/>
            </w:tcBorders>
            <w:shd w:val="clear" w:color="auto" w:fill="FFF8E6"/>
          </w:tcPr>
          <w:p>
            <w:pPr/>
          </w:p>
        </w:tc>
        <w:tc>
          <w:tcPr>
            <w:tcW w:w="7913" w:type="dxa"/>
            <w:gridSpan w:val="6"/>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12"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235" w:hRule="exact"/>
        </w:trPr>
        <w:tc>
          <w:tcPr>
            <w:tcW w:w="1794"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43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子公司名称</w:t>
            </w:r>
          </w:p>
        </w:tc>
        <w:tc>
          <w:tcPr>
            <w:tcW w:w="7913" w:type="dxa"/>
            <w:gridSpan w:val="6"/>
            <w:vMerge/>
            <w:tcBorders>
              <w:left w:val="single" w:sz="4" w:space="0" w:color="FFC000"/>
              <w:bottom w:val="single" w:sz="4" w:space="0" w:color="FFC000"/>
              <w:right w:val="single" w:sz="4" w:space="0" w:color="FFC000"/>
            </w:tcBorders>
            <w:shd w:val="clear" w:color="auto" w:fill="FFF8E6"/>
          </w:tcPr>
          <w:p>
            <w:pPr/>
          </w:p>
        </w:tc>
      </w:tr>
      <w:tr>
        <w:trPr>
          <w:trHeight w:val="245" w:hRule="exact"/>
        </w:trPr>
        <w:tc>
          <w:tcPr>
            <w:tcW w:w="1794" w:type="dxa"/>
            <w:vMerge/>
            <w:tcBorders>
              <w:left w:val="single" w:sz="4" w:space="0" w:color="FFC000"/>
              <w:bottom w:val="nil" w:sz="6" w:space="0" w:color="auto"/>
              <w:right w:val="single" w:sz="4" w:space="0" w:color="FFC000"/>
            </w:tcBorders>
            <w:shd w:val="clear" w:color="auto" w:fill="FFF8E6"/>
          </w:tcPr>
          <w:p>
            <w:pPr/>
          </w:p>
        </w:tc>
        <w:tc>
          <w:tcPr>
            <w:tcW w:w="132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29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流动资产</w:t>
            </w:r>
          </w:p>
        </w:tc>
        <w:tc>
          <w:tcPr>
            <w:tcW w:w="129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19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非流动资产</w:t>
            </w:r>
          </w:p>
        </w:tc>
        <w:tc>
          <w:tcPr>
            <w:tcW w:w="1403"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33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资产合计</w:t>
            </w:r>
          </w:p>
        </w:tc>
        <w:tc>
          <w:tcPr>
            <w:tcW w:w="1463"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3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流动负债</w:t>
            </w:r>
          </w:p>
        </w:tc>
        <w:tc>
          <w:tcPr>
            <w:tcW w:w="1091"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8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非流动负债</w:t>
            </w:r>
          </w:p>
        </w:tc>
        <w:tc>
          <w:tcPr>
            <w:tcW w:w="132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3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负债合计</w:t>
            </w:r>
          </w:p>
        </w:tc>
      </w:tr>
      <w:tr>
        <w:trPr>
          <w:trHeight w:val="250" w:hRule="exact"/>
        </w:trPr>
        <w:tc>
          <w:tcPr>
            <w:tcW w:w="1794" w:type="dxa"/>
            <w:tcBorders>
              <w:top w:val="nil" w:sz="6" w:space="0" w:color="auto"/>
              <w:left w:val="single" w:sz="4" w:space="0" w:color="FFC000"/>
              <w:bottom w:val="single" w:sz="4" w:space="0" w:color="FFC000"/>
              <w:right w:val="single" w:sz="4" w:space="0" w:color="FFC000"/>
            </w:tcBorders>
            <w:shd w:val="clear" w:color="auto" w:fill="FFF8E6"/>
          </w:tcPr>
          <w:p>
            <w:pPr/>
          </w:p>
        </w:tc>
        <w:tc>
          <w:tcPr>
            <w:tcW w:w="1328" w:type="dxa"/>
            <w:vMerge/>
            <w:tcBorders>
              <w:left w:val="single" w:sz="4" w:space="0" w:color="FFC000"/>
              <w:bottom w:val="single" w:sz="4" w:space="0" w:color="FFC000"/>
              <w:right w:val="single" w:sz="4" w:space="0" w:color="FFC000"/>
            </w:tcBorders>
            <w:shd w:val="clear" w:color="auto" w:fill="FFF8E6"/>
          </w:tcPr>
          <w:p>
            <w:pPr/>
          </w:p>
        </w:tc>
        <w:tc>
          <w:tcPr>
            <w:tcW w:w="1299" w:type="dxa"/>
            <w:vMerge/>
            <w:tcBorders>
              <w:left w:val="single" w:sz="4" w:space="0" w:color="FFC000"/>
              <w:bottom w:val="single" w:sz="4" w:space="0" w:color="FFC000"/>
              <w:right w:val="single" w:sz="4" w:space="0" w:color="FFC000"/>
            </w:tcBorders>
            <w:shd w:val="clear" w:color="auto" w:fill="FFF8E6"/>
          </w:tcPr>
          <w:p>
            <w:pPr/>
          </w:p>
        </w:tc>
        <w:tc>
          <w:tcPr>
            <w:tcW w:w="1403" w:type="dxa"/>
            <w:vMerge/>
            <w:tcBorders>
              <w:left w:val="single" w:sz="4" w:space="0" w:color="FFC000"/>
              <w:bottom w:val="single" w:sz="4" w:space="0" w:color="FFC000"/>
              <w:right w:val="single" w:sz="4" w:space="0" w:color="FFC000"/>
            </w:tcBorders>
            <w:shd w:val="clear" w:color="auto" w:fill="FFF8E6"/>
          </w:tcPr>
          <w:p>
            <w:pPr/>
          </w:p>
        </w:tc>
        <w:tc>
          <w:tcPr>
            <w:tcW w:w="1463" w:type="dxa"/>
            <w:vMerge/>
            <w:tcBorders>
              <w:left w:val="single" w:sz="4" w:space="0" w:color="FFC000"/>
              <w:bottom w:val="single" w:sz="4" w:space="0" w:color="FFC000"/>
              <w:right w:val="single" w:sz="4" w:space="0" w:color="FFC000"/>
            </w:tcBorders>
            <w:shd w:val="clear" w:color="auto" w:fill="FFF8E6"/>
          </w:tcPr>
          <w:p>
            <w:pPr/>
          </w:p>
        </w:tc>
        <w:tc>
          <w:tcPr>
            <w:tcW w:w="1091" w:type="dxa"/>
            <w:vMerge/>
            <w:tcBorders>
              <w:left w:val="single" w:sz="4" w:space="0" w:color="FFC000"/>
              <w:bottom w:val="single" w:sz="4" w:space="0" w:color="FFC000"/>
              <w:right w:val="single" w:sz="4" w:space="0" w:color="FFC000"/>
            </w:tcBorders>
            <w:shd w:val="clear" w:color="auto" w:fill="FFF8E6"/>
          </w:tcPr>
          <w:p>
            <w:pPr/>
          </w:p>
        </w:tc>
        <w:tc>
          <w:tcPr>
            <w:tcW w:w="1329" w:type="dxa"/>
            <w:vMerge/>
            <w:tcBorders>
              <w:left w:val="single" w:sz="4" w:space="0" w:color="FFC000"/>
              <w:bottom w:val="single" w:sz="4" w:space="0" w:color="FFC000"/>
              <w:right w:val="single" w:sz="4" w:space="0" w:color="FFC000"/>
            </w:tcBorders>
            <w:shd w:val="clear" w:color="auto" w:fill="FFF8E6"/>
          </w:tcPr>
          <w:p>
            <w:pPr/>
          </w:p>
        </w:tc>
      </w:tr>
      <w:tr>
        <w:trPr>
          <w:trHeight w:val="491" w:hRule="exact"/>
        </w:trPr>
        <w:tc>
          <w:tcPr>
            <w:tcW w:w="179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彩梦科技公司</w:t>
            </w:r>
          </w:p>
        </w:tc>
        <w:tc>
          <w:tcPr>
            <w:tcW w:w="132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12"/>
                <w:szCs w:val="12"/>
              </w:rPr>
            </w:pPr>
          </w:p>
          <w:p>
            <w:pPr>
              <w:pStyle w:val="TableParagraph"/>
              <w:spacing w:line="240" w:lineRule="auto"/>
              <w:ind w:left="265" w:right="0"/>
              <w:jc w:val="left"/>
              <w:rPr>
                <w:rFonts w:ascii="华文细黑" w:hAnsi="华文细黑" w:cs="华文细黑" w:eastAsia="华文细黑" w:hint="default"/>
                <w:sz w:val="16"/>
                <w:szCs w:val="16"/>
              </w:rPr>
            </w:pPr>
            <w:r>
              <w:rPr>
                <w:rFonts w:ascii="华文细黑"/>
                <w:sz w:val="16"/>
              </w:rPr>
              <w:t>39,679,577.43</w:t>
            </w:r>
          </w:p>
        </w:tc>
        <w:tc>
          <w:tcPr>
            <w:tcW w:w="129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12"/>
                <w:szCs w:val="12"/>
              </w:rPr>
            </w:pPr>
          </w:p>
          <w:p>
            <w:pPr>
              <w:pStyle w:val="TableParagraph"/>
              <w:spacing w:line="240" w:lineRule="auto"/>
              <w:ind w:left="334" w:right="0"/>
              <w:jc w:val="left"/>
              <w:rPr>
                <w:rFonts w:ascii="华文细黑" w:hAnsi="华文细黑" w:cs="华文细黑" w:eastAsia="华文细黑" w:hint="default"/>
                <w:sz w:val="16"/>
                <w:szCs w:val="16"/>
              </w:rPr>
            </w:pPr>
            <w:r>
              <w:rPr>
                <w:rFonts w:ascii="华文细黑"/>
                <w:sz w:val="16"/>
              </w:rPr>
              <w:t>4,487,383.91</w:t>
            </w:r>
          </w:p>
        </w:tc>
        <w:tc>
          <w:tcPr>
            <w:tcW w:w="14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12"/>
                <w:szCs w:val="12"/>
              </w:rPr>
            </w:pPr>
          </w:p>
          <w:p>
            <w:pPr>
              <w:pStyle w:val="TableParagraph"/>
              <w:spacing w:line="240" w:lineRule="auto"/>
              <w:ind w:left="351" w:right="0"/>
              <w:jc w:val="left"/>
              <w:rPr>
                <w:rFonts w:ascii="华文细黑" w:hAnsi="华文细黑" w:cs="华文细黑" w:eastAsia="华文细黑" w:hint="default"/>
                <w:sz w:val="16"/>
                <w:szCs w:val="16"/>
              </w:rPr>
            </w:pPr>
            <w:r>
              <w:rPr>
                <w:rFonts w:ascii="华文细黑"/>
                <w:sz w:val="16"/>
              </w:rPr>
              <w:t>44,166,961.34</w:t>
            </w:r>
          </w:p>
        </w:tc>
        <w:tc>
          <w:tcPr>
            <w:tcW w:w="14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12"/>
                <w:szCs w:val="12"/>
              </w:rPr>
            </w:pPr>
          </w:p>
          <w:p>
            <w:pPr>
              <w:pStyle w:val="TableParagraph"/>
              <w:spacing w:line="240" w:lineRule="auto"/>
              <w:ind w:left="499" w:right="0"/>
              <w:jc w:val="left"/>
              <w:rPr>
                <w:rFonts w:ascii="华文细黑" w:hAnsi="华文细黑" w:cs="华文细黑" w:eastAsia="华文细黑" w:hint="default"/>
                <w:sz w:val="16"/>
                <w:szCs w:val="16"/>
              </w:rPr>
            </w:pPr>
            <w:r>
              <w:rPr>
                <w:rFonts w:ascii="华文细黑"/>
                <w:sz w:val="16"/>
              </w:rPr>
              <w:t>3,834,952.63</w:t>
            </w:r>
          </w:p>
        </w:tc>
        <w:tc>
          <w:tcPr>
            <w:tcW w:w="10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12"/>
                <w:szCs w:val="12"/>
              </w:rPr>
            </w:pPr>
          </w:p>
          <w:p>
            <w:pPr>
              <w:pStyle w:val="TableParagraph"/>
              <w:spacing w:line="240" w:lineRule="auto"/>
              <w:ind w:right="2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2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12"/>
                <w:szCs w:val="12"/>
              </w:rPr>
            </w:pPr>
          </w:p>
          <w:p>
            <w:pPr>
              <w:pStyle w:val="TableParagraph"/>
              <w:spacing w:line="240" w:lineRule="auto"/>
              <w:ind w:left="376" w:right="0"/>
              <w:jc w:val="left"/>
              <w:rPr>
                <w:rFonts w:ascii="华文细黑" w:hAnsi="华文细黑" w:cs="华文细黑" w:eastAsia="华文细黑" w:hint="default"/>
                <w:sz w:val="16"/>
                <w:szCs w:val="16"/>
              </w:rPr>
            </w:pPr>
            <w:r>
              <w:rPr>
                <w:rFonts w:ascii="华文细黑"/>
                <w:sz w:val="16"/>
              </w:rPr>
              <w:t>3,834,952.63</w:t>
            </w:r>
          </w:p>
        </w:tc>
      </w:tr>
    </w:tbl>
    <w:p>
      <w:pPr>
        <w:spacing w:after="0" w:line="240" w:lineRule="auto"/>
        <w:jc w:val="left"/>
        <w:rPr>
          <w:rFonts w:ascii="华文细黑" w:hAnsi="华文细黑" w:cs="华文细黑" w:eastAsia="华文细黑" w:hint="default"/>
          <w:sz w:val="16"/>
          <w:szCs w:val="16"/>
        </w:rPr>
        <w:sectPr>
          <w:pgSz w:w="11910" w:h="16840"/>
          <w:pgMar w:header="917" w:footer="1019" w:top="1100" w:bottom="1200" w:left="980" w:right="0"/>
        </w:sectPr>
      </w:pPr>
    </w:p>
    <w:p>
      <w:pPr>
        <w:spacing w:line="240" w:lineRule="auto" w:before="8"/>
        <w:rPr>
          <w:rFonts w:ascii="华文细黑" w:hAnsi="华文细黑" w:cs="华文细黑" w:eastAsia="华文细黑" w:hint="default"/>
          <w:sz w:val="23"/>
          <w:szCs w:val="23"/>
        </w:rPr>
      </w:pPr>
    </w:p>
    <w:tbl>
      <w:tblPr>
        <w:tblW w:w="0" w:type="auto"/>
        <w:jc w:val="left"/>
        <w:tblInd w:w="155" w:type="dxa"/>
        <w:tblLayout w:type="fixed"/>
        <w:tblCellMar>
          <w:top w:w="0" w:type="dxa"/>
          <w:left w:w="0" w:type="dxa"/>
          <w:bottom w:w="0" w:type="dxa"/>
          <w:right w:w="0" w:type="dxa"/>
        </w:tblCellMar>
        <w:tblLook w:val="01E0"/>
      </w:tblPr>
      <w:tblGrid>
        <w:gridCol w:w="1785"/>
        <w:gridCol w:w="1337"/>
        <w:gridCol w:w="1299"/>
        <w:gridCol w:w="1403"/>
        <w:gridCol w:w="1463"/>
        <w:gridCol w:w="1091"/>
        <w:gridCol w:w="1340"/>
      </w:tblGrid>
      <w:tr>
        <w:trPr>
          <w:trHeight w:val="490" w:hRule="exact"/>
        </w:trPr>
        <w:tc>
          <w:tcPr>
            <w:tcW w:w="17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43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子公司名称</w:t>
            </w:r>
          </w:p>
        </w:tc>
        <w:tc>
          <w:tcPr>
            <w:tcW w:w="7933" w:type="dxa"/>
            <w:gridSpan w:val="6"/>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891" w:hRule="exact"/>
        </w:trPr>
        <w:tc>
          <w:tcPr>
            <w:tcW w:w="17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4"/>
              <w:ind w:left="11" w:right="14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深圳市优友金融服务 有限公司</w:t>
            </w:r>
          </w:p>
        </w:tc>
        <w:tc>
          <w:tcPr>
            <w:tcW w:w="133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20"/>
              <w:jc w:val="right"/>
              <w:rPr>
                <w:rFonts w:ascii="华文细黑" w:hAnsi="华文细黑" w:cs="华文细黑" w:eastAsia="华文细黑" w:hint="default"/>
                <w:sz w:val="16"/>
                <w:szCs w:val="16"/>
              </w:rPr>
            </w:pPr>
            <w:r>
              <w:rPr>
                <w:rFonts w:ascii="华文细黑"/>
                <w:spacing w:val="-1"/>
                <w:sz w:val="16"/>
              </w:rPr>
              <w:t>983,832,800.23</w:t>
            </w:r>
          </w:p>
        </w:tc>
        <w:tc>
          <w:tcPr>
            <w:tcW w:w="129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20"/>
              <w:jc w:val="right"/>
              <w:rPr>
                <w:rFonts w:ascii="华文细黑" w:hAnsi="华文细黑" w:cs="华文细黑" w:eastAsia="华文细黑" w:hint="default"/>
                <w:sz w:val="16"/>
                <w:szCs w:val="16"/>
              </w:rPr>
            </w:pPr>
            <w:r>
              <w:rPr>
                <w:rFonts w:ascii="华文细黑"/>
                <w:spacing w:val="-1"/>
                <w:sz w:val="16"/>
              </w:rPr>
              <w:t>8,261,256.64</w:t>
            </w:r>
          </w:p>
        </w:tc>
        <w:tc>
          <w:tcPr>
            <w:tcW w:w="14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19"/>
              <w:jc w:val="right"/>
              <w:rPr>
                <w:rFonts w:ascii="华文细黑" w:hAnsi="华文细黑" w:cs="华文细黑" w:eastAsia="华文细黑" w:hint="default"/>
                <w:sz w:val="16"/>
                <w:szCs w:val="16"/>
              </w:rPr>
            </w:pPr>
            <w:r>
              <w:rPr>
                <w:rFonts w:ascii="华文细黑"/>
                <w:spacing w:val="-1"/>
                <w:sz w:val="16"/>
              </w:rPr>
              <w:t>992,094,056.87</w:t>
            </w:r>
          </w:p>
        </w:tc>
        <w:tc>
          <w:tcPr>
            <w:tcW w:w="14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19"/>
              <w:jc w:val="right"/>
              <w:rPr>
                <w:rFonts w:ascii="华文细黑" w:hAnsi="华文细黑" w:cs="华文细黑" w:eastAsia="华文细黑" w:hint="default"/>
                <w:sz w:val="16"/>
                <w:szCs w:val="16"/>
              </w:rPr>
            </w:pPr>
            <w:r>
              <w:rPr>
                <w:rFonts w:ascii="华文细黑"/>
                <w:spacing w:val="-1"/>
                <w:sz w:val="16"/>
              </w:rPr>
              <w:t>912,316,957.58</w:t>
            </w:r>
          </w:p>
        </w:tc>
        <w:tc>
          <w:tcPr>
            <w:tcW w:w="10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2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19"/>
              <w:jc w:val="right"/>
              <w:rPr>
                <w:rFonts w:ascii="华文细黑" w:hAnsi="华文细黑" w:cs="华文细黑" w:eastAsia="华文细黑" w:hint="default"/>
                <w:sz w:val="16"/>
                <w:szCs w:val="16"/>
              </w:rPr>
            </w:pPr>
            <w:r>
              <w:rPr>
                <w:rFonts w:ascii="华文细黑"/>
                <w:spacing w:val="-1"/>
                <w:sz w:val="16"/>
              </w:rPr>
              <w:t>912,316,957.58</w:t>
            </w:r>
          </w:p>
        </w:tc>
      </w:tr>
      <w:tr>
        <w:trPr>
          <w:trHeight w:val="890" w:hRule="exact"/>
        </w:trPr>
        <w:tc>
          <w:tcPr>
            <w:tcW w:w="17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14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深圳市优友互联有限 公司</w:t>
            </w:r>
          </w:p>
        </w:tc>
        <w:tc>
          <w:tcPr>
            <w:tcW w:w="133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19"/>
              <w:jc w:val="right"/>
              <w:rPr>
                <w:rFonts w:ascii="华文细黑" w:hAnsi="华文细黑" w:cs="华文细黑" w:eastAsia="华文细黑" w:hint="default"/>
                <w:sz w:val="16"/>
                <w:szCs w:val="16"/>
              </w:rPr>
            </w:pPr>
            <w:r>
              <w:rPr>
                <w:rFonts w:ascii="华文细黑"/>
                <w:spacing w:val="-1"/>
                <w:sz w:val="16"/>
              </w:rPr>
              <w:t>154,686,978.46</w:t>
            </w:r>
          </w:p>
        </w:tc>
        <w:tc>
          <w:tcPr>
            <w:tcW w:w="129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20"/>
              <w:jc w:val="right"/>
              <w:rPr>
                <w:rFonts w:ascii="华文细黑" w:hAnsi="华文细黑" w:cs="华文细黑" w:eastAsia="华文细黑" w:hint="default"/>
                <w:sz w:val="16"/>
                <w:szCs w:val="16"/>
              </w:rPr>
            </w:pPr>
            <w:r>
              <w:rPr>
                <w:rFonts w:ascii="华文细黑"/>
                <w:spacing w:val="-1"/>
                <w:sz w:val="16"/>
              </w:rPr>
              <w:t>8,513,608.64</w:t>
            </w:r>
          </w:p>
        </w:tc>
        <w:tc>
          <w:tcPr>
            <w:tcW w:w="14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19"/>
              <w:jc w:val="right"/>
              <w:rPr>
                <w:rFonts w:ascii="华文细黑" w:hAnsi="华文细黑" w:cs="华文细黑" w:eastAsia="华文细黑" w:hint="default"/>
                <w:sz w:val="16"/>
                <w:szCs w:val="16"/>
              </w:rPr>
            </w:pPr>
            <w:r>
              <w:rPr>
                <w:rFonts w:ascii="华文细黑"/>
                <w:spacing w:val="-1"/>
                <w:sz w:val="16"/>
              </w:rPr>
              <w:t>163,200,587.10</w:t>
            </w:r>
          </w:p>
        </w:tc>
        <w:tc>
          <w:tcPr>
            <w:tcW w:w="14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19"/>
              <w:jc w:val="right"/>
              <w:rPr>
                <w:rFonts w:ascii="华文细黑" w:hAnsi="华文细黑" w:cs="华文细黑" w:eastAsia="华文细黑" w:hint="default"/>
                <w:sz w:val="16"/>
                <w:szCs w:val="16"/>
              </w:rPr>
            </w:pPr>
            <w:r>
              <w:rPr>
                <w:rFonts w:ascii="华文细黑"/>
                <w:spacing w:val="-1"/>
                <w:sz w:val="16"/>
              </w:rPr>
              <w:t>141,829,225.25</w:t>
            </w:r>
          </w:p>
        </w:tc>
        <w:tc>
          <w:tcPr>
            <w:tcW w:w="10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2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19"/>
              <w:jc w:val="right"/>
              <w:rPr>
                <w:rFonts w:ascii="华文细黑" w:hAnsi="华文细黑" w:cs="华文细黑" w:eastAsia="华文细黑" w:hint="default"/>
                <w:sz w:val="16"/>
                <w:szCs w:val="16"/>
              </w:rPr>
            </w:pPr>
            <w:r>
              <w:rPr>
                <w:rFonts w:ascii="华文细黑"/>
                <w:spacing w:val="-1"/>
                <w:sz w:val="16"/>
              </w:rPr>
              <w:t>141,829,225.25</w:t>
            </w:r>
          </w:p>
        </w:tc>
      </w:tr>
      <w:tr>
        <w:trPr>
          <w:trHeight w:val="890" w:hRule="exact"/>
        </w:trPr>
        <w:tc>
          <w:tcPr>
            <w:tcW w:w="17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14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海南先锋网络小额贷 款有限公司</w:t>
            </w:r>
          </w:p>
        </w:tc>
        <w:tc>
          <w:tcPr>
            <w:tcW w:w="133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20"/>
              <w:jc w:val="right"/>
              <w:rPr>
                <w:rFonts w:ascii="华文细黑" w:hAnsi="华文细黑" w:cs="华文细黑" w:eastAsia="华文细黑" w:hint="default"/>
                <w:sz w:val="16"/>
                <w:szCs w:val="16"/>
              </w:rPr>
            </w:pPr>
            <w:r>
              <w:rPr>
                <w:rFonts w:ascii="华文细黑"/>
                <w:spacing w:val="-1"/>
                <w:sz w:val="16"/>
              </w:rPr>
              <w:t>23,089,351.81</w:t>
            </w:r>
          </w:p>
        </w:tc>
        <w:tc>
          <w:tcPr>
            <w:tcW w:w="129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19"/>
              <w:jc w:val="right"/>
              <w:rPr>
                <w:rFonts w:ascii="华文细黑" w:hAnsi="华文细黑" w:cs="华文细黑" w:eastAsia="华文细黑" w:hint="default"/>
                <w:sz w:val="16"/>
                <w:szCs w:val="16"/>
              </w:rPr>
            </w:pPr>
            <w:r>
              <w:rPr>
                <w:rFonts w:ascii="华文细黑"/>
                <w:spacing w:val="-1"/>
                <w:sz w:val="16"/>
              </w:rPr>
              <w:t>250,834,394.28</w:t>
            </w:r>
          </w:p>
        </w:tc>
        <w:tc>
          <w:tcPr>
            <w:tcW w:w="140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19"/>
              <w:jc w:val="right"/>
              <w:rPr>
                <w:rFonts w:ascii="华文细黑" w:hAnsi="华文细黑" w:cs="华文细黑" w:eastAsia="华文细黑" w:hint="default"/>
                <w:sz w:val="16"/>
                <w:szCs w:val="16"/>
              </w:rPr>
            </w:pPr>
            <w:r>
              <w:rPr>
                <w:rFonts w:ascii="华文细黑"/>
                <w:spacing w:val="-1"/>
                <w:sz w:val="16"/>
              </w:rPr>
              <w:t>273,923,746.09</w:t>
            </w:r>
          </w:p>
        </w:tc>
        <w:tc>
          <w:tcPr>
            <w:tcW w:w="146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20"/>
              <w:jc w:val="right"/>
              <w:rPr>
                <w:rFonts w:ascii="华文细黑" w:hAnsi="华文细黑" w:cs="华文细黑" w:eastAsia="华文细黑" w:hint="default"/>
                <w:sz w:val="16"/>
                <w:szCs w:val="16"/>
              </w:rPr>
            </w:pPr>
            <w:r>
              <w:rPr>
                <w:rFonts w:ascii="华文细黑"/>
                <w:spacing w:val="-1"/>
                <w:sz w:val="16"/>
              </w:rPr>
              <w:t>4,054,536.09</w:t>
            </w:r>
          </w:p>
        </w:tc>
        <w:tc>
          <w:tcPr>
            <w:tcW w:w="10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2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19"/>
              <w:jc w:val="right"/>
              <w:rPr>
                <w:rFonts w:ascii="华文细黑" w:hAnsi="华文细黑" w:cs="华文细黑" w:eastAsia="华文细黑" w:hint="default"/>
                <w:sz w:val="16"/>
                <w:szCs w:val="16"/>
              </w:rPr>
            </w:pPr>
            <w:r>
              <w:rPr>
                <w:rFonts w:ascii="华文细黑"/>
                <w:spacing w:val="-1"/>
                <w:sz w:val="16"/>
              </w:rPr>
              <w:t>4,054,536.09</w:t>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920" w:right="1416"/>
        <w:jc w:val="left"/>
      </w:pPr>
      <w:r>
        <w:rPr/>
        <w:t>（续）</w:t>
      </w:r>
    </w:p>
    <w:p>
      <w:pPr>
        <w:spacing w:line="240" w:lineRule="auto" w:before="5"/>
        <w:rPr>
          <w:rFonts w:ascii="华文细黑" w:hAnsi="华文细黑" w:cs="华文细黑" w:eastAsia="华文细黑" w:hint="default"/>
          <w:sz w:val="5"/>
          <w:szCs w:val="5"/>
        </w:rPr>
      </w:pPr>
    </w:p>
    <w:tbl>
      <w:tblPr>
        <w:tblW w:w="0" w:type="auto"/>
        <w:jc w:val="left"/>
        <w:tblInd w:w="131" w:type="dxa"/>
        <w:tblLayout w:type="fixed"/>
        <w:tblCellMar>
          <w:top w:w="0" w:type="dxa"/>
          <w:left w:w="0" w:type="dxa"/>
          <w:bottom w:w="0" w:type="dxa"/>
          <w:right w:w="0" w:type="dxa"/>
        </w:tblCellMar>
        <w:tblLook w:val="01E0"/>
      </w:tblPr>
      <w:tblGrid>
        <w:gridCol w:w="1605"/>
        <w:gridCol w:w="1415"/>
        <w:gridCol w:w="1287"/>
        <w:gridCol w:w="1414"/>
        <w:gridCol w:w="1416"/>
        <w:gridCol w:w="1135"/>
        <w:gridCol w:w="1494"/>
      </w:tblGrid>
      <w:tr>
        <w:trPr>
          <w:trHeight w:val="250" w:hRule="exact"/>
        </w:trPr>
        <w:tc>
          <w:tcPr>
            <w:tcW w:w="1605" w:type="dxa"/>
            <w:tcBorders>
              <w:top w:val="single" w:sz="4" w:space="0" w:color="FFC000"/>
              <w:left w:val="single" w:sz="4" w:space="0" w:color="FFC000"/>
              <w:bottom w:val="nil" w:sz="6" w:space="0" w:color="auto"/>
              <w:right w:val="single" w:sz="4" w:space="0" w:color="FFC000"/>
            </w:tcBorders>
            <w:shd w:val="clear" w:color="auto" w:fill="FFF8E6"/>
          </w:tcPr>
          <w:p>
            <w:pPr/>
          </w:p>
        </w:tc>
        <w:tc>
          <w:tcPr>
            <w:tcW w:w="8161" w:type="dxa"/>
            <w:gridSpan w:val="6"/>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12"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235" w:hRule="exact"/>
        </w:trPr>
        <w:tc>
          <w:tcPr>
            <w:tcW w:w="1605"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34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子公司名称</w:t>
            </w:r>
          </w:p>
        </w:tc>
        <w:tc>
          <w:tcPr>
            <w:tcW w:w="8161" w:type="dxa"/>
            <w:gridSpan w:val="6"/>
            <w:vMerge/>
            <w:tcBorders>
              <w:left w:val="single" w:sz="4" w:space="0" w:color="FFC000"/>
              <w:bottom w:val="single" w:sz="4" w:space="0" w:color="FFC000"/>
              <w:right w:val="single" w:sz="4" w:space="0" w:color="FFC000"/>
            </w:tcBorders>
            <w:shd w:val="clear" w:color="auto" w:fill="FFF8E6"/>
          </w:tcPr>
          <w:p>
            <w:pPr/>
          </w:p>
        </w:tc>
      </w:tr>
      <w:tr>
        <w:trPr>
          <w:trHeight w:val="245" w:hRule="exact"/>
        </w:trPr>
        <w:tc>
          <w:tcPr>
            <w:tcW w:w="1605" w:type="dxa"/>
            <w:vMerge/>
            <w:tcBorders>
              <w:left w:val="single" w:sz="4" w:space="0" w:color="FFC000"/>
              <w:bottom w:val="nil" w:sz="6" w:space="0" w:color="auto"/>
              <w:right w:val="single" w:sz="4" w:space="0" w:color="FFC000"/>
            </w:tcBorders>
            <w:shd w:val="clear" w:color="auto" w:fill="FFF8E6"/>
          </w:tcPr>
          <w:p>
            <w:pPr/>
          </w:p>
        </w:tc>
        <w:tc>
          <w:tcPr>
            <w:tcW w:w="1415"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34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流动资产</w:t>
            </w:r>
          </w:p>
        </w:tc>
        <w:tc>
          <w:tcPr>
            <w:tcW w:w="1287"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18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非流动资产</w:t>
            </w:r>
          </w:p>
        </w:tc>
        <w:tc>
          <w:tcPr>
            <w:tcW w:w="1414"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34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资产合计</w:t>
            </w:r>
          </w:p>
        </w:tc>
        <w:tc>
          <w:tcPr>
            <w:tcW w:w="1416"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34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流动负债</w:t>
            </w:r>
          </w:p>
        </w:tc>
        <w:tc>
          <w:tcPr>
            <w:tcW w:w="1135"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1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非流动负债</w:t>
            </w:r>
          </w:p>
        </w:tc>
        <w:tc>
          <w:tcPr>
            <w:tcW w:w="1494"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38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负债合计</w:t>
            </w:r>
          </w:p>
        </w:tc>
      </w:tr>
      <w:tr>
        <w:trPr>
          <w:trHeight w:val="250" w:hRule="exact"/>
        </w:trPr>
        <w:tc>
          <w:tcPr>
            <w:tcW w:w="1605" w:type="dxa"/>
            <w:tcBorders>
              <w:top w:val="nil" w:sz="6" w:space="0" w:color="auto"/>
              <w:left w:val="single" w:sz="4" w:space="0" w:color="FFC000"/>
              <w:bottom w:val="single" w:sz="4" w:space="0" w:color="FFC000"/>
              <w:right w:val="single" w:sz="4" w:space="0" w:color="FFC000"/>
            </w:tcBorders>
            <w:shd w:val="clear" w:color="auto" w:fill="FFF8E6"/>
          </w:tcPr>
          <w:p>
            <w:pPr/>
          </w:p>
        </w:tc>
        <w:tc>
          <w:tcPr>
            <w:tcW w:w="1415" w:type="dxa"/>
            <w:vMerge/>
            <w:tcBorders>
              <w:left w:val="single" w:sz="4" w:space="0" w:color="FFC000"/>
              <w:bottom w:val="single" w:sz="4" w:space="0" w:color="FFC000"/>
              <w:right w:val="single" w:sz="4" w:space="0" w:color="FFC000"/>
            </w:tcBorders>
            <w:shd w:val="clear" w:color="auto" w:fill="FFF8E6"/>
          </w:tcPr>
          <w:p>
            <w:pPr/>
          </w:p>
        </w:tc>
        <w:tc>
          <w:tcPr>
            <w:tcW w:w="1287" w:type="dxa"/>
            <w:vMerge/>
            <w:tcBorders>
              <w:left w:val="single" w:sz="4" w:space="0" w:color="FFC000"/>
              <w:bottom w:val="single" w:sz="4" w:space="0" w:color="FFC000"/>
              <w:right w:val="single" w:sz="4" w:space="0" w:color="FFC000"/>
            </w:tcBorders>
            <w:shd w:val="clear" w:color="auto" w:fill="FFF8E6"/>
          </w:tcPr>
          <w:p>
            <w:pPr/>
          </w:p>
        </w:tc>
        <w:tc>
          <w:tcPr>
            <w:tcW w:w="1414" w:type="dxa"/>
            <w:vMerge/>
            <w:tcBorders>
              <w:left w:val="single" w:sz="4" w:space="0" w:color="FFC000"/>
              <w:bottom w:val="single" w:sz="4" w:space="0" w:color="FFC000"/>
              <w:right w:val="single" w:sz="4" w:space="0" w:color="FFC000"/>
            </w:tcBorders>
            <w:shd w:val="clear" w:color="auto" w:fill="FFF8E6"/>
          </w:tcPr>
          <w:p>
            <w:pPr/>
          </w:p>
        </w:tc>
        <w:tc>
          <w:tcPr>
            <w:tcW w:w="1416" w:type="dxa"/>
            <w:vMerge/>
            <w:tcBorders>
              <w:left w:val="single" w:sz="4" w:space="0" w:color="FFC000"/>
              <w:bottom w:val="single" w:sz="4" w:space="0" w:color="FFC000"/>
              <w:right w:val="single" w:sz="4" w:space="0" w:color="FFC000"/>
            </w:tcBorders>
            <w:shd w:val="clear" w:color="auto" w:fill="FFF8E6"/>
          </w:tcPr>
          <w:p>
            <w:pPr/>
          </w:p>
        </w:tc>
        <w:tc>
          <w:tcPr>
            <w:tcW w:w="1135" w:type="dxa"/>
            <w:vMerge/>
            <w:tcBorders>
              <w:left w:val="single" w:sz="4" w:space="0" w:color="FFC000"/>
              <w:bottom w:val="single" w:sz="4" w:space="0" w:color="FFC000"/>
              <w:right w:val="single" w:sz="4" w:space="0" w:color="FFC000"/>
            </w:tcBorders>
            <w:shd w:val="clear" w:color="auto" w:fill="FFF8E6"/>
          </w:tcPr>
          <w:p>
            <w:pPr/>
          </w:p>
        </w:tc>
        <w:tc>
          <w:tcPr>
            <w:tcW w:w="1494" w:type="dxa"/>
            <w:vMerge/>
            <w:tcBorders>
              <w:left w:val="single" w:sz="4" w:space="0" w:color="FFC000"/>
              <w:bottom w:val="single" w:sz="4" w:space="0" w:color="FFC000"/>
              <w:right w:val="single" w:sz="4" w:space="0" w:color="FFC000"/>
            </w:tcBorders>
            <w:shd w:val="clear" w:color="auto" w:fill="FFF8E6"/>
          </w:tcPr>
          <w:p>
            <w:pPr/>
          </w:p>
        </w:tc>
      </w:tr>
      <w:tr>
        <w:trPr>
          <w:trHeight w:val="491" w:hRule="exact"/>
        </w:trPr>
        <w:tc>
          <w:tcPr>
            <w:tcW w:w="160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彩梦科技公司</w:t>
            </w:r>
          </w:p>
        </w:tc>
        <w:tc>
          <w:tcPr>
            <w:tcW w:w="141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12"/>
                <w:szCs w:val="12"/>
              </w:rPr>
            </w:pPr>
          </w:p>
          <w:p>
            <w:pPr>
              <w:pStyle w:val="TableParagraph"/>
              <w:spacing w:line="240" w:lineRule="auto"/>
              <w:ind w:right="20"/>
              <w:jc w:val="right"/>
              <w:rPr>
                <w:rFonts w:ascii="华文细黑" w:hAnsi="华文细黑" w:cs="华文细黑" w:eastAsia="华文细黑" w:hint="default"/>
                <w:sz w:val="16"/>
                <w:szCs w:val="16"/>
              </w:rPr>
            </w:pPr>
            <w:r>
              <w:rPr>
                <w:rFonts w:ascii="华文细黑"/>
                <w:spacing w:val="-1"/>
                <w:sz w:val="16"/>
              </w:rPr>
              <w:t>48,255,915.19</w:t>
            </w:r>
          </w:p>
        </w:tc>
        <w:tc>
          <w:tcPr>
            <w:tcW w:w="128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12"/>
                <w:szCs w:val="12"/>
              </w:rPr>
            </w:pPr>
          </w:p>
          <w:p>
            <w:pPr>
              <w:pStyle w:val="TableParagraph"/>
              <w:spacing w:line="240" w:lineRule="auto"/>
              <w:ind w:right="20"/>
              <w:jc w:val="right"/>
              <w:rPr>
                <w:rFonts w:ascii="华文细黑" w:hAnsi="华文细黑" w:cs="华文细黑" w:eastAsia="华文细黑" w:hint="default"/>
                <w:sz w:val="16"/>
                <w:szCs w:val="16"/>
              </w:rPr>
            </w:pPr>
            <w:r>
              <w:rPr>
                <w:rFonts w:ascii="华文细黑"/>
                <w:spacing w:val="-1"/>
                <w:sz w:val="16"/>
              </w:rPr>
              <w:t>4,483,308.04</w:t>
            </w:r>
          </w:p>
        </w:tc>
        <w:tc>
          <w:tcPr>
            <w:tcW w:w="14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12"/>
                <w:szCs w:val="12"/>
              </w:rPr>
            </w:pPr>
          </w:p>
          <w:p>
            <w:pPr>
              <w:pStyle w:val="TableParagraph"/>
              <w:spacing w:line="240" w:lineRule="auto"/>
              <w:ind w:right="21"/>
              <w:jc w:val="right"/>
              <w:rPr>
                <w:rFonts w:ascii="华文细黑" w:hAnsi="华文细黑" w:cs="华文细黑" w:eastAsia="华文细黑" w:hint="default"/>
                <w:sz w:val="16"/>
                <w:szCs w:val="16"/>
              </w:rPr>
            </w:pPr>
            <w:r>
              <w:rPr>
                <w:rFonts w:ascii="华文细黑"/>
                <w:spacing w:val="-1"/>
                <w:sz w:val="16"/>
              </w:rPr>
              <w:t>52,739,223.23</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12"/>
                <w:szCs w:val="12"/>
              </w:rPr>
            </w:pPr>
          </w:p>
          <w:p>
            <w:pPr>
              <w:pStyle w:val="TableParagraph"/>
              <w:spacing w:line="240" w:lineRule="auto"/>
              <w:ind w:right="20"/>
              <w:jc w:val="right"/>
              <w:rPr>
                <w:rFonts w:ascii="华文细黑" w:hAnsi="华文细黑" w:cs="华文细黑" w:eastAsia="华文细黑" w:hint="default"/>
                <w:sz w:val="16"/>
                <w:szCs w:val="16"/>
              </w:rPr>
            </w:pPr>
            <w:r>
              <w:rPr>
                <w:rFonts w:ascii="华文细黑"/>
                <w:spacing w:val="-1"/>
                <w:sz w:val="16"/>
              </w:rPr>
              <w:t>13,269,391.26</w:t>
            </w:r>
          </w:p>
        </w:tc>
        <w:tc>
          <w:tcPr>
            <w:tcW w:w="113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12"/>
                <w:szCs w:val="12"/>
              </w:rPr>
            </w:pPr>
          </w:p>
          <w:p>
            <w:pPr>
              <w:pStyle w:val="TableParagraph"/>
              <w:spacing w:line="240" w:lineRule="auto"/>
              <w:ind w:right="2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4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0"/>
              <w:ind w:right="0"/>
              <w:jc w:val="left"/>
              <w:rPr>
                <w:rFonts w:ascii="华文细黑" w:hAnsi="华文细黑" w:cs="华文细黑" w:eastAsia="华文细黑" w:hint="default"/>
                <w:sz w:val="12"/>
                <w:szCs w:val="12"/>
              </w:rPr>
            </w:pPr>
          </w:p>
          <w:p>
            <w:pPr>
              <w:pStyle w:val="TableParagraph"/>
              <w:spacing w:line="240" w:lineRule="auto"/>
              <w:ind w:right="20"/>
              <w:jc w:val="right"/>
              <w:rPr>
                <w:rFonts w:ascii="华文细黑" w:hAnsi="华文细黑" w:cs="华文细黑" w:eastAsia="华文细黑" w:hint="default"/>
                <w:sz w:val="16"/>
                <w:szCs w:val="16"/>
              </w:rPr>
            </w:pPr>
            <w:r>
              <w:rPr>
                <w:rFonts w:ascii="华文细黑"/>
                <w:spacing w:val="-1"/>
                <w:sz w:val="16"/>
              </w:rPr>
              <w:t>13,269,391.26</w:t>
            </w:r>
          </w:p>
        </w:tc>
      </w:tr>
      <w:tr>
        <w:trPr>
          <w:trHeight w:val="889" w:hRule="exact"/>
        </w:trPr>
        <w:tc>
          <w:tcPr>
            <w:tcW w:w="160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14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深圳市优友金融服 务有限公司</w:t>
            </w:r>
          </w:p>
        </w:tc>
        <w:tc>
          <w:tcPr>
            <w:tcW w:w="141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21"/>
              <w:jc w:val="right"/>
              <w:rPr>
                <w:rFonts w:ascii="华文细黑" w:hAnsi="华文细黑" w:cs="华文细黑" w:eastAsia="华文细黑" w:hint="default"/>
                <w:sz w:val="16"/>
                <w:szCs w:val="16"/>
              </w:rPr>
            </w:pPr>
            <w:r>
              <w:rPr>
                <w:rFonts w:ascii="华文细黑"/>
                <w:spacing w:val="-1"/>
                <w:sz w:val="16"/>
              </w:rPr>
              <w:t>1,615,543,213.03</w:t>
            </w:r>
          </w:p>
        </w:tc>
        <w:tc>
          <w:tcPr>
            <w:tcW w:w="128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20"/>
              <w:jc w:val="right"/>
              <w:rPr>
                <w:rFonts w:ascii="华文细黑" w:hAnsi="华文细黑" w:cs="华文细黑" w:eastAsia="华文细黑" w:hint="default"/>
                <w:sz w:val="16"/>
                <w:szCs w:val="16"/>
              </w:rPr>
            </w:pPr>
            <w:r>
              <w:rPr>
                <w:rFonts w:ascii="华文细黑"/>
                <w:spacing w:val="-1"/>
                <w:sz w:val="16"/>
              </w:rPr>
              <w:t>3,717,631.27</w:t>
            </w:r>
          </w:p>
        </w:tc>
        <w:tc>
          <w:tcPr>
            <w:tcW w:w="14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22"/>
              <w:jc w:val="right"/>
              <w:rPr>
                <w:rFonts w:ascii="华文细黑" w:hAnsi="华文细黑" w:cs="华文细黑" w:eastAsia="华文细黑" w:hint="default"/>
                <w:sz w:val="16"/>
                <w:szCs w:val="16"/>
              </w:rPr>
            </w:pPr>
            <w:r>
              <w:rPr>
                <w:rFonts w:ascii="华文细黑"/>
                <w:spacing w:val="-1"/>
                <w:sz w:val="16"/>
              </w:rPr>
              <w:t>1,619,260,844.30</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21"/>
              <w:jc w:val="right"/>
              <w:rPr>
                <w:rFonts w:ascii="华文细黑" w:hAnsi="华文细黑" w:cs="华文细黑" w:eastAsia="华文细黑" w:hint="default"/>
                <w:sz w:val="16"/>
                <w:szCs w:val="16"/>
              </w:rPr>
            </w:pPr>
            <w:r>
              <w:rPr>
                <w:rFonts w:ascii="华文细黑"/>
                <w:spacing w:val="-1"/>
                <w:sz w:val="16"/>
              </w:rPr>
              <w:t>1,579,496,933.60</w:t>
            </w:r>
          </w:p>
        </w:tc>
        <w:tc>
          <w:tcPr>
            <w:tcW w:w="113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2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4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21"/>
              <w:jc w:val="right"/>
              <w:rPr>
                <w:rFonts w:ascii="华文细黑" w:hAnsi="华文细黑" w:cs="华文细黑" w:eastAsia="华文细黑" w:hint="default"/>
                <w:sz w:val="16"/>
                <w:szCs w:val="16"/>
              </w:rPr>
            </w:pPr>
            <w:r>
              <w:rPr>
                <w:rFonts w:ascii="华文细黑"/>
                <w:spacing w:val="-1"/>
                <w:sz w:val="16"/>
              </w:rPr>
              <w:t>1,579,496,933.60</w:t>
            </w:r>
          </w:p>
        </w:tc>
      </w:tr>
      <w:tr>
        <w:trPr>
          <w:trHeight w:val="890" w:hRule="exact"/>
        </w:trPr>
        <w:tc>
          <w:tcPr>
            <w:tcW w:w="160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4"/>
              <w:ind w:left="11" w:right="14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深圳市优友互联有 限公司</w:t>
            </w:r>
          </w:p>
        </w:tc>
        <w:tc>
          <w:tcPr>
            <w:tcW w:w="141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19"/>
              <w:jc w:val="right"/>
              <w:rPr>
                <w:rFonts w:ascii="华文细黑" w:hAnsi="华文细黑" w:cs="华文细黑" w:eastAsia="华文细黑" w:hint="default"/>
                <w:sz w:val="16"/>
                <w:szCs w:val="16"/>
              </w:rPr>
            </w:pPr>
            <w:r>
              <w:rPr>
                <w:rFonts w:ascii="华文细黑"/>
                <w:spacing w:val="-1"/>
                <w:sz w:val="16"/>
              </w:rPr>
              <w:t>106,155,864.00</w:t>
            </w:r>
          </w:p>
        </w:tc>
        <w:tc>
          <w:tcPr>
            <w:tcW w:w="128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19"/>
              <w:jc w:val="right"/>
              <w:rPr>
                <w:rFonts w:ascii="华文细黑" w:hAnsi="华文细黑" w:cs="华文细黑" w:eastAsia="华文细黑" w:hint="default"/>
                <w:sz w:val="16"/>
                <w:szCs w:val="16"/>
              </w:rPr>
            </w:pPr>
            <w:r>
              <w:rPr>
                <w:rFonts w:ascii="华文细黑"/>
                <w:w w:val="95"/>
                <w:sz w:val="16"/>
              </w:rPr>
              <w:t>8,841,043.68</w:t>
            </w:r>
            <w:r>
              <w:rPr>
                <w:rFonts w:ascii="华文细黑"/>
                <w:sz w:val="16"/>
              </w:rPr>
            </w:r>
          </w:p>
        </w:tc>
        <w:tc>
          <w:tcPr>
            <w:tcW w:w="14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20"/>
              <w:jc w:val="right"/>
              <w:rPr>
                <w:rFonts w:ascii="华文细黑" w:hAnsi="华文细黑" w:cs="华文细黑" w:eastAsia="华文细黑" w:hint="default"/>
                <w:sz w:val="16"/>
                <w:szCs w:val="16"/>
              </w:rPr>
            </w:pPr>
            <w:r>
              <w:rPr>
                <w:rFonts w:ascii="华文细黑"/>
                <w:spacing w:val="-1"/>
                <w:sz w:val="16"/>
              </w:rPr>
              <w:t>114,996,907.68</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19"/>
              <w:jc w:val="right"/>
              <w:rPr>
                <w:rFonts w:ascii="华文细黑" w:hAnsi="华文细黑" w:cs="华文细黑" w:eastAsia="华文细黑" w:hint="default"/>
                <w:sz w:val="16"/>
                <w:szCs w:val="16"/>
              </w:rPr>
            </w:pPr>
            <w:r>
              <w:rPr>
                <w:rFonts w:ascii="华文细黑"/>
                <w:spacing w:val="-1"/>
                <w:sz w:val="16"/>
              </w:rPr>
              <w:t>104,670,828.24</w:t>
            </w:r>
          </w:p>
        </w:tc>
        <w:tc>
          <w:tcPr>
            <w:tcW w:w="113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2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4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19"/>
              <w:jc w:val="right"/>
              <w:rPr>
                <w:rFonts w:ascii="华文细黑" w:hAnsi="华文细黑" w:cs="华文细黑" w:eastAsia="华文细黑" w:hint="default"/>
                <w:sz w:val="16"/>
                <w:szCs w:val="16"/>
              </w:rPr>
            </w:pPr>
            <w:r>
              <w:rPr>
                <w:rFonts w:ascii="华文细黑"/>
                <w:spacing w:val="-1"/>
                <w:sz w:val="16"/>
              </w:rPr>
              <w:t>104,670,828.24</w:t>
            </w:r>
          </w:p>
        </w:tc>
      </w:tr>
      <w:tr>
        <w:trPr>
          <w:trHeight w:val="891" w:hRule="exact"/>
        </w:trPr>
        <w:tc>
          <w:tcPr>
            <w:tcW w:w="160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14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海南先锋网络小额 贷款有限公司</w:t>
            </w:r>
          </w:p>
        </w:tc>
        <w:tc>
          <w:tcPr>
            <w:tcW w:w="141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20"/>
              <w:jc w:val="right"/>
              <w:rPr>
                <w:rFonts w:ascii="华文细黑" w:hAnsi="华文细黑" w:cs="华文细黑" w:eastAsia="华文细黑" w:hint="default"/>
                <w:sz w:val="16"/>
                <w:szCs w:val="16"/>
              </w:rPr>
            </w:pPr>
            <w:r>
              <w:rPr>
                <w:rFonts w:ascii="华文细黑"/>
                <w:spacing w:val="-1"/>
                <w:sz w:val="16"/>
              </w:rPr>
              <w:t>80,574,616.35</w:t>
            </w:r>
          </w:p>
        </w:tc>
        <w:tc>
          <w:tcPr>
            <w:tcW w:w="128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19"/>
              <w:jc w:val="right"/>
              <w:rPr>
                <w:rFonts w:ascii="华文细黑" w:hAnsi="华文细黑" w:cs="华文细黑" w:eastAsia="华文细黑" w:hint="default"/>
                <w:sz w:val="16"/>
                <w:szCs w:val="16"/>
              </w:rPr>
            </w:pPr>
            <w:r>
              <w:rPr>
                <w:rFonts w:ascii="华文细黑"/>
                <w:spacing w:val="-1"/>
                <w:sz w:val="16"/>
              </w:rPr>
              <w:t>180,731,951.81</w:t>
            </w:r>
          </w:p>
        </w:tc>
        <w:tc>
          <w:tcPr>
            <w:tcW w:w="14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20"/>
              <w:jc w:val="right"/>
              <w:rPr>
                <w:rFonts w:ascii="华文细黑" w:hAnsi="华文细黑" w:cs="华文细黑" w:eastAsia="华文细黑" w:hint="default"/>
                <w:sz w:val="16"/>
                <w:szCs w:val="16"/>
              </w:rPr>
            </w:pPr>
            <w:r>
              <w:rPr>
                <w:rFonts w:ascii="华文细黑"/>
                <w:spacing w:val="-1"/>
                <w:sz w:val="16"/>
              </w:rPr>
              <w:t>261,306,568.16</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20"/>
              <w:jc w:val="right"/>
              <w:rPr>
                <w:rFonts w:ascii="华文细黑" w:hAnsi="华文细黑" w:cs="华文细黑" w:eastAsia="华文细黑" w:hint="default"/>
                <w:sz w:val="16"/>
                <w:szCs w:val="16"/>
              </w:rPr>
            </w:pPr>
            <w:r>
              <w:rPr>
                <w:rFonts w:ascii="华文细黑"/>
                <w:spacing w:val="-1"/>
                <w:sz w:val="16"/>
              </w:rPr>
              <w:t>2,866,154.09</w:t>
            </w:r>
          </w:p>
        </w:tc>
        <w:tc>
          <w:tcPr>
            <w:tcW w:w="113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2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4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6"/>
                <w:szCs w:val="16"/>
              </w:rPr>
            </w:pPr>
          </w:p>
          <w:p>
            <w:pPr>
              <w:pStyle w:val="TableParagraph"/>
              <w:spacing w:line="240" w:lineRule="auto" w:before="143"/>
              <w:ind w:right="19"/>
              <w:jc w:val="right"/>
              <w:rPr>
                <w:rFonts w:ascii="华文细黑" w:hAnsi="华文细黑" w:cs="华文细黑" w:eastAsia="华文细黑" w:hint="default"/>
                <w:sz w:val="16"/>
                <w:szCs w:val="16"/>
              </w:rPr>
            </w:pPr>
            <w:r>
              <w:rPr>
                <w:rFonts w:ascii="华文细黑"/>
                <w:spacing w:val="-1"/>
                <w:sz w:val="16"/>
              </w:rPr>
              <w:t>2,866,154.09</w:t>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920" w:right="1416"/>
        <w:jc w:val="left"/>
      </w:pPr>
      <w:r>
        <w:rPr/>
        <w:t>（续）</w:t>
      </w:r>
    </w:p>
    <w:p>
      <w:pPr>
        <w:spacing w:line="240" w:lineRule="auto" w:before="5"/>
        <w:rPr>
          <w:rFonts w:ascii="华文细黑" w:hAnsi="华文细黑" w:cs="华文细黑" w:eastAsia="华文细黑" w:hint="default"/>
          <w:sz w:val="5"/>
          <w:szCs w:val="5"/>
        </w:rPr>
      </w:pPr>
    </w:p>
    <w:tbl>
      <w:tblPr>
        <w:tblW w:w="0" w:type="auto"/>
        <w:jc w:val="left"/>
        <w:tblInd w:w="118" w:type="dxa"/>
        <w:tblLayout w:type="fixed"/>
        <w:tblCellMar>
          <w:top w:w="0" w:type="dxa"/>
          <w:left w:w="0" w:type="dxa"/>
          <w:bottom w:w="0" w:type="dxa"/>
          <w:right w:w="0" w:type="dxa"/>
        </w:tblCellMar>
        <w:tblLook w:val="01E0"/>
      </w:tblPr>
      <w:tblGrid>
        <w:gridCol w:w="726"/>
        <w:gridCol w:w="1254"/>
        <w:gridCol w:w="1018"/>
        <w:gridCol w:w="1097"/>
        <w:gridCol w:w="1140"/>
        <w:gridCol w:w="1235"/>
        <w:gridCol w:w="1012"/>
        <w:gridCol w:w="1111"/>
        <w:gridCol w:w="1198"/>
      </w:tblGrid>
      <w:tr>
        <w:trPr>
          <w:trHeight w:val="226" w:hRule="exact"/>
        </w:trPr>
        <w:tc>
          <w:tcPr>
            <w:tcW w:w="726" w:type="dxa"/>
            <w:vMerge w:val="restart"/>
            <w:tcBorders>
              <w:top w:val="single" w:sz="4" w:space="0" w:color="FFC000"/>
              <w:left w:val="single" w:sz="4" w:space="0" w:color="FFC000"/>
              <w:right w:val="single" w:sz="4" w:space="0" w:color="FFC000"/>
            </w:tcBorders>
            <w:shd w:val="clear" w:color="auto" w:fill="FFF8E6"/>
          </w:tcPr>
          <w:p>
            <w:pPr>
              <w:pStyle w:val="TableParagraph"/>
              <w:spacing w:line="440" w:lineRule="exact" w:before="9"/>
              <w:ind w:left="168" w:right="95" w:hanging="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子公司 名称</w:t>
            </w:r>
          </w:p>
        </w:tc>
        <w:tc>
          <w:tcPr>
            <w:tcW w:w="4509" w:type="dxa"/>
            <w:gridSpan w:val="4"/>
            <w:tcBorders>
              <w:top w:val="single" w:sz="4" w:space="0" w:color="FFC000"/>
              <w:left w:val="single" w:sz="4" w:space="0" w:color="FFC000"/>
              <w:bottom w:val="nil" w:sz="6" w:space="0" w:color="auto"/>
              <w:right w:val="single" w:sz="4" w:space="0" w:color="FFC000"/>
            </w:tcBorders>
            <w:shd w:val="clear" w:color="auto" w:fill="FFF8E6"/>
          </w:tcPr>
          <w:p>
            <w:pPr/>
          </w:p>
        </w:tc>
        <w:tc>
          <w:tcPr>
            <w:tcW w:w="4556" w:type="dxa"/>
            <w:gridSpan w:val="4"/>
            <w:tcBorders>
              <w:top w:val="single" w:sz="4" w:space="0" w:color="FFC000"/>
              <w:left w:val="single" w:sz="4" w:space="0" w:color="FFC000"/>
              <w:bottom w:val="nil" w:sz="6" w:space="0" w:color="auto"/>
              <w:right w:val="single" w:sz="4" w:space="0" w:color="FFC000"/>
            </w:tcBorders>
            <w:shd w:val="clear" w:color="auto" w:fill="FFF8E6"/>
          </w:tcPr>
          <w:p>
            <w:pPr/>
          </w:p>
        </w:tc>
      </w:tr>
      <w:tr>
        <w:trPr>
          <w:trHeight w:val="480" w:hRule="exact"/>
        </w:trPr>
        <w:tc>
          <w:tcPr>
            <w:tcW w:w="726" w:type="dxa"/>
            <w:vMerge/>
            <w:tcBorders>
              <w:left w:val="single" w:sz="4" w:space="0" w:color="FFC000"/>
              <w:right w:val="single" w:sz="4" w:space="0" w:color="FFC000"/>
            </w:tcBorders>
            <w:shd w:val="clear" w:color="auto" w:fill="FFF8E6"/>
          </w:tcPr>
          <w:p>
            <w:pPr/>
          </w:p>
        </w:tc>
        <w:tc>
          <w:tcPr>
            <w:tcW w:w="4509" w:type="dxa"/>
            <w:gridSpan w:val="4"/>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right="9"/>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4556" w:type="dxa"/>
            <w:gridSpan w:val="4"/>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right="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220" w:hRule="exact"/>
        </w:trPr>
        <w:tc>
          <w:tcPr>
            <w:tcW w:w="726" w:type="dxa"/>
            <w:vMerge/>
            <w:tcBorders>
              <w:left w:val="single" w:sz="4" w:space="0" w:color="FFC000"/>
              <w:bottom w:val="nil" w:sz="6" w:space="0" w:color="auto"/>
              <w:right w:val="single" w:sz="4" w:space="0" w:color="FFC000"/>
            </w:tcBorders>
            <w:shd w:val="clear" w:color="auto" w:fill="FFF8E6"/>
          </w:tcPr>
          <w:p>
            <w:pPr/>
          </w:p>
        </w:tc>
        <w:tc>
          <w:tcPr>
            <w:tcW w:w="4509" w:type="dxa"/>
            <w:gridSpan w:val="4"/>
            <w:tcBorders>
              <w:top w:val="nil" w:sz="6" w:space="0" w:color="auto"/>
              <w:left w:val="single" w:sz="4" w:space="0" w:color="FFC000"/>
              <w:bottom w:val="single" w:sz="4" w:space="0" w:color="FFC000"/>
              <w:right w:val="single" w:sz="4" w:space="0" w:color="FFC000"/>
            </w:tcBorders>
            <w:shd w:val="clear" w:color="auto" w:fill="FFF8E6"/>
          </w:tcPr>
          <w:p>
            <w:pPr/>
          </w:p>
        </w:tc>
        <w:tc>
          <w:tcPr>
            <w:tcW w:w="4556" w:type="dxa"/>
            <w:gridSpan w:val="4"/>
            <w:tcBorders>
              <w:top w:val="nil" w:sz="6" w:space="0" w:color="auto"/>
              <w:left w:val="single" w:sz="4" w:space="0" w:color="FFC000"/>
              <w:bottom w:val="single" w:sz="4" w:space="0" w:color="FFC000"/>
              <w:right w:val="single" w:sz="4" w:space="0" w:color="FFC000"/>
            </w:tcBorders>
            <w:shd w:val="clear" w:color="auto" w:fill="FFF8E6"/>
          </w:tcPr>
          <w:p>
            <w:pPr/>
          </w:p>
        </w:tc>
      </w:tr>
      <w:tr>
        <w:trPr>
          <w:trHeight w:val="210" w:hRule="exact"/>
        </w:trPr>
        <w:tc>
          <w:tcPr>
            <w:tcW w:w="726" w:type="dxa"/>
            <w:tcBorders>
              <w:top w:val="nil" w:sz="6" w:space="0" w:color="auto"/>
              <w:left w:val="single" w:sz="4" w:space="0" w:color="FFC000"/>
              <w:bottom w:val="nil" w:sz="6" w:space="0" w:color="auto"/>
              <w:right w:val="single" w:sz="4" w:space="0" w:color="FFC000"/>
            </w:tcBorders>
            <w:shd w:val="clear" w:color="auto" w:fill="FFF8E6"/>
          </w:tcPr>
          <w:p>
            <w:pPr/>
          </w:p>
        </w:tc>
        <w:tc>
          <w:tcPr>
            <w:tcW w:w="1254" w:type="dxa"/>
            <w:tcBorders>
              <w:top w:val="single" w:sz="4" w:space="0" w:color="FFC000"/>
              <w:left w:val="single" w:sz="4" w:space="0" w:color="FFC000"/>
              <w:bottom w:val="nil" w:sz="6" w:space="0" w:color="auto"/>
              <w:right w:val="single" w:sz="4" w:space="0" w:color="FFC000"/>
            </w:tcBorders>
            <w:shd w:val="clear" w:color="auto" w:fill="FFF8E6"/>
          </w:tcPr>
          <w:p>
            <w:pPr/>
          </w:p>
        </w:tc>
        <w:tc>
          <w:tcPr>
            <w:tcW w:w="1018" w:type="dxa"/>
            <w:tcBorders>
              <w:top w:val="single" w:sz="4" w:space="0" w:color="FFC000"/>
              <w:left w:val="single" w:sz="4" w:space="0" w:color="FFC000"/>
              <w:bottom w:val="nil" w:sz="6" w:space="0" w:color="auto"/>
              <w:right w:val="single" w:sz="4" w:space="0" w:color="FFC000"/>
            </w:tcBorders>
            <w:shd w:val="clear" w:color="auto" w:fill="FFF8E6"/>
          </w:tcPr>
          <w:p>
            <w:pPr/>
          </w:p>
        </w:tc>
        <w:tc>
          <w:tcPr>
            <w:tcW w:w="1097"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8"/>
              <w:ind w:left="453" w:right="93" w:hanging="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综合收益总 额</w:t>
            </w:r>
          </w:p>
        </w:tc>
        <w:tc>
          <w:tcPr>
            <w:tcW w:w="1140"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8"/>
              <w:ind w:left="385" w:right="23" w:hanging="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经营活动现金 流量</w:t>
            </w:r>
          </w:p>
        </w:tc>
        <w:tc>
          <w:tcPr>
            <w:tcW w:w="1235" w:type="dxa"/>
            <w:tcBorders>
              <w:top w:val="single" w:sz="4" w:space="0" w:color="FFC000"/>
              <w:left w:val="single" w:sz="4" w:space="0" w:color="FFC000"/>
              <w:bottom w:val="nil" w:sz="6" w:space="0" w:color="auto"/>
              <w:right w:val="single" w:sz="4" w:space="0" w:color="FFC000"/>
            </w:tcBorders>
            <w:shd w:val="clear" w:color="auto" w:fill="FFF8E6"/>
          </w:tcPr>
          <w:p>
            <w:pPr/>
          </w:p>
        </w:tc>
        <w:tc>
          <w:tcPr>
            <w:tcW w:w="1012" w:type="dxa"/>
            <w:tcBorders>
              <w:top w:val="single" w:sz="4" w:space="0" w:color="FFC000"/>
              <w:left w:val="single" w:sz="4" w:space="0" w:color="FFC000"/>
              <w:bottom w:val="nil" w:sz="6" w:space="0" w:color="auto"/>
              <w:right w:val="single" w:sz="4" w:space="0" w:color="FFC000"/>
            </w:tcBorders>
            <w:shd w:val="clear" w:color="auto" w:fill="FFF8E6"/>
          </w:tcPr>
          <w:p>
            <w:pPr/>
          </w:p>
        </w:tc>
        <w:tc>
          <w:tcPr>
            <w:tcW w:w="1111"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8"/>
              <w:ind w:left="459" w:right="101" w:hanging="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综合收益总 额</w:t>
            </w:r>
          </w:p>
        </w:tc>
        <w:tc>
          <w:tcPr>
            <w:tcW w:w="1198"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8"/>
              <w:ind w:left="413" w:right="53" w:hanging="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经营活动现金 流量</w:t>
            </w:r>
          </w:p>
        </w:tc>
      </w:tr>
      <w:tr>
        <w:trPr>
          <w:trHeight w:val="480" w:hRule="exact"/>
        </w:trPr>
        <w:tc>
          <w:tcPr>
            <w:tcW w:w="726" w:type="dxa"/>
            <w:tcBorders>
              <w:top w:val="nil" w:sz="6" w:space="0" w:color="auto"/>
              <w:left w:val="single" w:sz="4" w:space="0" w:color="FFC000"/>
              <w:bottom w:val="nil" w:sz="6" w:space="0" w:color="auto"/>
              <w:right w:val="single" w:sz="4" w:space="0" w:color="FFC000"/>
            </w:tcBorders>
            <w:shd w:val="clear" w:color="auto" w:fill="FFF8E6"/>
          </w:tcPr>
          <w:p>
            <w:pPr/>
          </w:p>
        </w:tc>
        <w:tc>
          <w:tcPr>
            <w:tcW w:w="1254"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26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营业收入</w:t>
            </w:r>
          </w:p>
        </w:tc>
        <w:tc>
          <w:tcPr>
            <w:tcW w:w="1018"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23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净利润</w:t>
            </w:r>
          </w:p>
        </w:tc>
        <w:tc>
          <w:tcPr>
            <w:tcW w:w="1097" w:type="dxa"/>
            <w:vMerge/>
            <w:tcBorders>
              <w:left w:val="single" w:sz="4" w:space="0" w:color="FFC000"/>
              <w:right w:val="single" w:sz="4" w:space="0" w:color="FFC000"/>
            </w:tcBorders>
            <w:shd w:val="clear" w:color="auto" w:fill="FFF8E6"/>
          </w:tcPr>
          <w:p>
            <w:pPr/>
          </w:p>
        </w:tc>
        <w:tc>
          <w:tcPr>
            <w:tcW w:w="1140" w:type="dxa"/>
            <w:vMerge/>
            <w:tcBorders>
              <w:left w:val="single" w:sz="4" w:space="0" w:color="FFC000"/>
              <w:right w:val="single" w:sz="4" w:space="0" w:color="FFC000"/>
            </w:tcBorders>
            <w:shd w:val="clear" w:color="auto" w:fill="FFF8E6"/>
          </w:tcPr>
          <w:p>
            <w:pPr/>
          </w:p>
        </w:tc>
        <w:tc>
          <w:tcPr>
            <w:tcW w:w="1235"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25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营业收入</w:t>
            </w:r>
          </w:p>
        </w:tc>
        <w:tc>
          <w:tcPr>
            <w:tcW w:w="1012"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23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净利润</w:t>
            </w:r>
          </w:p>
        </w:tc>
        <w:tc>
          <w:tcPr>
            <w:tcW w:w="1111" w:type="dxa"/>
            <w:vMerge/>
            <w:tcBorders>
              <w:left w:val="single" w:sz="4" w:space="0" w:color="FFC000"/>
              <w:right w:val="single" w:sz="4" w:space="0" w:color="FFC000"/>
            </w:tcBorders>
            <w:shd w:val="clear" w:color="auto" w:fill="FFF8E6"/>
          </w:tcPr>
          <w:p>
            <w:pPr/>
          </w:p>
        </w:tc>
        <w:tc>
          <w:tcPr>
            <w:tcW w:w="1198" w:type="dxa"/>
            <w:vMerge/>
            <w:tcBorders>
              <w:left w:val="single" w:sz="4" w:space="0" w:color="FFC000"/>
              <w:right w:val="single" w:sz="4" w:space="0" w:color="FFC000"/>
            </w:tcBorders>
            <w:shd w:val="clear" w:color="auto" w:fill="FFF8E6"/>
          </w:tcPr>
          <w:p>
            <w:pPr/>
          </w:p>
        </w:tc>
      </w:tr>
      <w:tr>
        <w:trPr>
          <w:trHeight w:val="205" w:hRule="exact"/>
        </w:trPr>
        <w:tc>
          <w:tcPr>
            <w:tcW w:w="726" w:type="dxa"/>
            <w:tcBorders>
              <w:top w:val="nil" w:sz="6" w:space="0" w:color="auto"/>
              <w:left w:val="single" w:sz="4" w:space="0" w:color="FFC000"/>
              <w:bottom w:val="single" w:sz="4" w:space="0" w:color="FFC000"/>
              <w:right w:val="single" w:sz="4" w:space="0" w:color="FFC000"/>
            </w:tcBorders>
            <w:shd w:val="clear" w:color="auto" w:fill="FFF8E6"/>
          </w:tcPr>
          <w:p>
            <w:pPr/>
          </w:p>
        </w:tc>
        <w:tc>
          <w:tcPr>
            <w:tcW w:w="1254" w:type="dxa"/>
            <w:tcBorders>
              <w:top w:val="nil" w:sz="6" w:space="0" w:color="auto"/>
              <w:left w:val="single" w:sz="4" w:space="0" w:color="FFC000"/>
              <w:bottom w:val="single" w:sz="4" w:space="0" w:color="FFC000"/>
              <w:right w:val="single" w:sz="4" w:space="0" w:color="FFC000"/>
            </w:tcBorders>
            <w:shd w:val="clear" w:color="auto" w:fill="FFF8E6"/>
          </w:tcPr>
          <w:p>
            <w:pPr/>
          </w:p>
        </w:tc>
        <w:tc>
          <w:tcPr>
            <w:tcW w:w="1018" w:type="dxa"/>
            <w:tcBorders>
              <w:top w:val="nil" w:sz="6" w:space="0" w:color="auto"/>
              <w:left w:val="single" w:sz="4" w:space="0" w:color="FFC000"/>
              <w:bottom w:val="single" w:sz="4" w:space="0" w:color="FFC000"/>
              <w:right w:val="single" w:sz="4" w:space="0" w:color="FFC000"/>
            </w:tcBorders>
            <w:shd w:val="clear" w:color="auto" w:fill="FFF8E6"/>
          </w:tcPr>
          <w:p>
            <w:pPr/>
          </w:p>
        </w:tc>
        <w:tc>
          <w:tcPr>
            <w:tcW w:w="1097" w:type="dxa"/>
            <w:vMerge/>
            <w:tcBorders>
              <w:left w:val="single" w:sz="4" w:space="0" w:color="FFC000"/>
              <w:bottom w:val="single" w:sz="4" w:space="0" w:color="FFC000"/>
              <w:right w:val="single" w:sz="4" w:space="0" w:color="FFC000"/>
            </w:tcBorders>
            <w:shd w:val="clear" w:color="auto" w:fill="FFF8E6"/>
          </w:tcPr>
          <w:p>
            <w:pPr/>
          </w:p>
        </w:tc>
        <w:tc>
          <w:tcPr>
            <w:tcW w:w="1140" w:type="dxa"/>
            <w:vMerge/>
            <w:tcBorders>
              <w:left w:val="single" w:sz="4" w:space="0" w:color="FFC000"/>
              <w:bottom w:val="single" w:sz="4" w:space="0" w:color="FFC000"/>
              <w:right w:val="single" w:sz="4" w:space="0" w:color="FFC000"/>
            </w:tcBorders>
            <w:shd w:val="clear" w:color="auto" w:fill="FFF8E6"/>
          </w:tcPr>
          <w:p>
            <w:pPr/>
          </w:p>
        </w:tc>
        <w:tc>
          <w:tcPr>
            <w:tcW w:w="1235" w:type="dxa"/>
            <w:tcBorders>
              <w:top w:val="nil" w:sz="6" w:space="0" w:color="auto"/>
              <w:left w:val="single" w:sz="4" w:space="0" w:color="FFC000"/>
              <w:bottom w:val="single" w:sz="4" w:space="0" w:color="FFC000"/>
              <w:right w:val="single" w:sz="4" w:space="0" w:color="FFC000"/>
            </w:tcBorders>
            <w:shd w:val="clear" w:color="auto" w:fill="FFF8E6"/>
          </w:tcPr>
          <w:p>
            <w:pPr/>
          </w:p>
        </w:tc>
        <w:tc>
          <w:tcPr>
            <w:tcW w:w="1012" w:type="dxa"/>
            <w:tcBorders>
              <w:top w:val="nil" w:sz="6" w:space="0" w:color="auto"/>
              <w:left w:val="single" w:sz="4" w:space="0" w:color="FFC000"/>
              <w:bottom w:val="single" w:sz="4" w:space="0" w:color="FFC000"/>
              <w:right w:val="single" w:sz="4" w:space="0" w:color="FFC000"/>
            </w:tcBorders>
            <w:shd w:val="clear" w:color="auto" w:fill="FFF8E6"/>
          </w:tcPr>
          <w:p>
            <w:pPr/>
          </w:p>
        </w:tc>
        <w:tc>
          <w:tcPr>
            <w:tcW w:w="1111" w:type="dxa"/>
            <w:vMerge/>
            <w:tcBorders>
              <w:left w:val="single" w:sz="4" w:space="0" w:color="FFC000"/>
              <w:bottom w:val="single" w:sz="4" w:space="0" w:color="FFC000"/>
              <w:right w:val="single" w:sz="4" w:space="0" w:color="FFC000"/>
            </w:tcBorders>
            <w:shd w:val="clear" w:color="auto" w:fill="FFF8E6"/>
          </w:tcPr>
          <w:p>
            <w:pPr/>
          </w:p>
        </w:tc>
        <w:tc>
          <w:tcPr>
            <w:tcW w:w="1198" w:type="dxa"/>
            <w:vMerge/>
            <w:tcBorders>
              <w:left w:val="single" w:sz="4" w:space="0" w:color="FFC000"/>
              <w:bottom w:val="single" w:sz="4" w:space="0" w:color="FFC000"/>
              <w:right w:val="single" w:sz="4" w:space="0" w:color="FFC000"/>
            </w:tcBorders>
            <w:shd w:val="clear" w:color="auto" w:fill="FFF8E6"/>
          </w:tcPr>
          <w:p>
            <w:pPr/>
          </w:p>
        </w:tc>
      </w:tr>
      <w:tr>
        <w:trPr>
          <w:trHeight w:val="889" w:hRule="exact"/>
        </w:trPr>
        <w:tc>
          <w:tcPr>
            <w:tcW w:w="72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16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彩梦科 技公司</w:t>
            </w:r>
          </w:p>
        </w:tc>
        <w:tc>
          <w:tcPr>
            <w:tcW w:w="125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4"/>
              <w:ind w:right="0"/>
              <w:jc w:val="left"/>
              <w:rPr>
                <w:rFonts w:ascii="华文细黑" w:hAnsi="华文细黑" w:cs="华文细黑" w:eastAsia="华文细黑" w:hint="default"/>
                <w:sz w:val="12"/>
                <w:szCs w:val="12"/>
              </w:rPr>
            </w:pPr>
          </w:p>
          <w:p>
            <w:pPr>
              <w:pStyle w:val="TableParagraph"/>
              <w:spacing w:line="240" w:lineRule="auto"/>
              <w:ind w:right="23"/>
              <w:jc w:val="right"/>
              <w:rPr>
                <w:rFonts w:ascii="华文细黑" w:hAnsi="华文细黑" w:cs="华文细黑" w:eastAsia="华文细黑" w:hint="default"/>
                <w:sz w:val="15"/>
                <w:szCs w:val="15"/>
              </w:rPr>
            </w:pPr>
            <w:r>
              <w:rPr>
                <w:rFonts w:ascii="华文细黑"/>
                <w:spacing w:val="-1"/>
                <w:sz w:val="15"/>
              </w:rPr>
              <w:t>32,731,506.68</w:t>
            </w:r>
          </w:p>
        </w:tc>
        <w:tc>
          <w:tcPr>
            <w:tcW w:w="10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4"/>
              <w:ind w:right="0"/>
              <w:jc w:val="left"/>
              <w:rPr>
                <w:rFonts w:ascii="华文细黑" w:hAnsi="华文细黑" w:cs="华文细黑" w:eastAsia="华文细黑" w:hint="default"/>
                <w:sz w:val="12"/>
                <w:szCs w:val="12"/>
              </w:rPr>
            </w:pPr>
          </w:p>
          <w:p>
            <w:pPr>
              <w:pStyle w:val="TableParagraph"/>
              <w:spacing w:line="240" w:lineRule="auto"/>
              <w:ind w:right="21"/>
              <w:jc w:val="right"/>
              <w:rPr>
                <w:rFonts w:ascii="华文细黑" w:hAnsi="华文细黑" w:cs="华文细黑" w:eastAsia="华文细黑" w:hint="default"/>
                <w:sz w:val="15"/>
                <w:szCs w:val="15"/>
              </w:rPr>
            </w:pPr>
            <w:r>
              <w:rPr>
                <w:rFonts w:ascii="华文细黑"/>
                <w:spacing w:val="-1"/>
                <w:sz w:val="15"/>
              </w:rPr>
              <w:t>862,176.74</w:t>
            </w:r>
          </w:p>
        </w:tc>
        <w:tc>
          <w:tcPr>
            <w:tcW w:w="10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4"/>
              <w:ind w:right="0"/>
              <w:jc w:val="left"/>
              <w:rPr>
                <w:rFonts w:ascii="华文细黑" w:hAnsi="华文细黑" w:cs="华文细黑" w:eastAsia="华文细黑" w:hint="default"/>
                <w:sz w:val="12"/>
                <w:szCs w:val="12"/>
              </w:rPr>
            </w:pPr>
          </w:p>
          <w:p>
            <w:pPr>
              <w:pStyle w:val="TableParagraph"/>
              <w:spacing w:line="240" w:lineRule="auto"/>
              <w:ind w:right="21"/>
              <w:jc w:val="right"/>
              <w:rPr>
                <w:rFonts w:ascii="华文细黑" w:hAnsi="华文细黑" w:cs="华文细黑" w:eastAsia="华文细黑" w:hint="default"/>
                <w:sz w:val="15"/>
                <w:szCs w:val="15"/>
              </w:rPr>
            </w:pPr>
            <w:r>
              <w:rPr>
                <w:rFonts w:ascii="华文细黑"/>
                <w:spacing w:val="-1"/>
                <w:sz w:val="15"/>
              </w:rPr>
              <w:t>862,176.74</w:t>
            </w:r>
          </w:p>
        </w:tc>
        <w:tc>
          <w:tcPr>
            <w:tcW w:w="11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4"/>
              <w:ind w:right="0"/>
              <w:jc w:val="left"/>
              <w:rPr>
                <w:rFonts w:ascii="华文细黑" w:hAnsi="华文细黑" w:cs="华文细黑" w:eastAsia="华文细黑" w:hint="default"/>
                <w:sz w:val="12"/>
                <w:szCs w:val="12"/>
              </w:rPr>
            </w:pPr>
          </w:p>
          <w:p>
            <w:pPr>
              <w:pStyle w:val="TableParagraph"/>
              <w:spacing w:line="240" w:lineRule="auto"/>
              <w:ind w:left="158" w:right="0"/>
              <w:jc w:val="center"/>
              <w:rPr>
                <w:rFonts w:ascii="华文细黑" w:hAnsi="华文细黑" w:cs="华文细黑" w:eastAsia="华文细黑" w:hint="default"/>
                <w:sz w:val="15"/>
                <w:szCs w:val="15"/>
              </w:rPr>
            </w:pPr>
            <w:r>
              <w:rPr>
                <w:rFonts w:ascii="华文细黑"/>
                <w:sz w:val="15"/>
              </w:rPr>
              <w:t>-2,032,793.66</w:t>
            </w:r>
          </w:p>
        </w:tc>
        <w:tc>
          <w:tcPr>
            <w:tcW w:w="123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4"/>
              <w:ind w:right="0"/>
              <w:jc w:val="left"/>
              <w:rPr>
                <w:rFonts w:ascii="华文细黑" w:hAnsi="华文细黑" w:cs="华文细黑" w:eastAsia="华文细黑" w:hint="default"/>
                <w:sz w:val="12"/>
                <w:szCs w:val="12"/>
              </w:rPr>
            </w:pPr>
          </w:p>
          <w:p>
            <w:pPr>
              <w:pStyle w:val="TableParagraph"/>
              <w:spacing w:line="240" w:lineRule="auto"/>
              <w:ind w:right="23"/>
              <w:jc w:val="right"/>
              <w:rPr>
                <w:rFonts w:ascii="华文细黑" w:hAnsi="华文细黑" w:cs="华文细黑" w:eastAsia="华文细黑" w:hint="default"/>
                <w:sz w:val="15"/>
                <w:szCs w:val="15"/>
              </w:rPr>
            </w:pPr>
            <w:r>
              <w:rPr>
                <w:rFonts w:ascii="华文细黑"/>
                <w:spacing w:val="-1"/>
                <w:sz w:val="15"/>
              </w:rPr>
              <w:t>52,082,771.29</w:t>
            </w:r>
          </w:p>
        </w:tc>
        <w:tc>
          <w:tcPr>
            <w:tcW w:w="101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4"/>
              <w:ind w:right="0"/>
              <w:jc w:val="left"/>
              <w:rPr>
                <w:rFonts w:ascii="华文细黑" w:hAnsi="华文细黑" w:cs="华文细黑" w:eastAsia="华文细黑" w:hint="default"/>
                <w:sz w:val="12"/>
                <w:szCs w:val="12"/>
              </w:rPr>
            </w:pPr>
          </w:p>
          <w:p>
            <w:pPr>
              <w:pStyle w:val="TableParagraph"/>
              <w:spacing w:line="240" w:lineRule="auto"/>
              <w:ind w:right="21"/>
              <w:jc w:val="right"/>
              <w:rPr>
                <w:rFonts w:ascii="华文细黑" w:hAnsi="华文细黑" w:cs="华文细黑" w:eastAsia="华文细黑" w:hint="default"/>
                <w:sz w:val="15"/>
                <w:szCs w:val="15"/>
              </w:rPr>
            </w:pPr>
            <w:r>
              <w:rPr>
                <w:rFonts w:ascii="华文细黑"/>
                <w:spacing w:val="-1"/>
                <w:sz w:val="15"/>
              </w:rPr>
              <w:t>-6,155,651.38</w:t>
            </w:r>
          </w:p>
        </w:tc>
        <w:tc>
          <w:tcPr>
            <w:tcW w:w="11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4"/>
              <w:ind w:right="0"/>
              <w:jc w:val="left"/>
              <w:rPr>
                <w:rFonts w:ascii="华文细黑" w:hAnsi="华文细黑" w:cs="华文细黑" w:eastAsia="华文细黑" w:hint="default"/>
                <w:sz w:val="12"/>
                <w:szCs w:val="12"/>
              </w:rPr>
            </w:pPr>
          </w:p>
          <w:p>
            <w:pPr>
              <w:pStyle w:val="TableParagraph"/>
              <w:spacing w:line="240" w:lineRule="auto"/>
              <w:ind w:right="22"/>
              <w:jc w:val="right"/>
              <w:rPr>
                <w:rFonts w:ascii="华文细黑" w:hAnsi="华文细黑" w:cs="华文细黑" w:eastAsia="华文细黑" w:hint="default"/>
                <w:sz w:val="15"/>
                <w:szCs w:val="15"/>
              </w:rPr>
            </w:pPr>
            <w:r>
              <w:rPr>
                <w:rFonts w:ascii="华文细黑"/>
                <w:spacing w:val="-1"/>
                <w:sz w:val="15"/>
              </w:rPr>
              <w:t>-6,155,651.38</w:t>
            </w:r>
          </w:p>
        </w:tc>
        <w:tc>
          <w:tcPr>
            <w:tcW w:w="119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14"/>
              <w:ind w:right="0"/>
              <w:jc w:val="left"/>
              <w:rPr>
                <w:rFonts w:ascii="华文细黑" w:hAnsi="华文细黑" w:cs="华文细黑" w:eastAsia="华文细黑" w:hint="default"/>
                <w:sz w:val="12"/>
                <w:szCs w:val="12"/>
              </w:rPr>
            </w:pPr>
          </w:p>
          <w:p>
            <w:pPr>
              <w:pStyle w:val="TableParagraph"/>
              <w:spacing w:line="240" w:lineRule="auto"/>
              <w:ind w:left="135" w:right="0"/>
              <w:jc w:val="center"/>
              <w:rPr>
                <w:rFonts w:ascii="华文细黑" w:hAnsi="华文细黑" w:cs="华文细黑" w:eastAsia="华文细黑" w:hint="default"/>
                <w:sz w:val="15"/>
                <w:szCs w:val="15"/>
              </w:rPr>
            </w:pPr>
            <w:r>
              <w:rPr>
                <w:rFonts w:ascii="华文细黑"/>
                <w:sz w:val="15"/>
              </w:rPr>
              <w:t>-19,860,467.12</w:t>
            </w:r>
          </w:p>
        </w:tc>
      </w:tr>
      <w:tr>
        <w:trPr>
          <w:trHeight w:val="2091" w:hRule="exact"/>
        </w:trPr>
        <w:tc>
          <w:tcPr>
            <w:tcW w:w="72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4"/>
              <w:ind w:left="11" w:right="162"/>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 优友金 融服务 有限公 司</w:t>
            </w:r>
          </w:p>
        </w:tc>
        <w:tc>
          <w:tcPr>
            <w:tcW w:w="125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7"/>
              <w:ind w:right="0"/>
              <w:jc w:val="left"/>
              <w:rPr>
                <w:rFonts w:ascii="华文细黑" w:hAnsi="华文细黑" w:cs="华文细黑" w:eastAsia="华文细黑" w:hint="default"/>
                <w:sz w:val="13"/>
                <w:szCs w:val="13"/>
              </w:rPr>
            </w:pPr>
          </w:p>
          <w:p>
            <w:pPr>
              <w:pStyle w:val="TableParagraph"/>
              <w:spacing w:line="240" w:lineRule="auto"/>
              <w:ind w:right="22"/>
              <w:jc w:val="right"/>
              <w:rPr>
                <w:rFonts w:ascii="华文细黑" w:hAnsi="华文细黑" w:cs="华文细黑" w:eastAsia="华文细黑" w:hint="default"/>
                <w:sz w:val="15"/>
                <w:szCs w:val="15"/>
              </w:rPr>
            </w:pPr>
            <w:r>
              <w:rPr>
                <w:rFonts w:ascii="华文细黑"/>
                <w:spacing w:val="-1"/>
                <w:sz w:val="15"/>
              </w:rPr>
              <w:t>7,713,571,787.71</w:t>
            </w:r>
          </w:p>
        </w:tc>
        <w:tc>
          <w:tcPr>
            <w:tcW w:w="10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7"/>
              <w:ind w:right="0"/>
              <w:jc w:val="left"/>
              <w:rPr>
                <w:rFonts w:ascii="华文细黑" w:hAnsi="华文细黑" w:cs="华文细黑" w:eastAsia="华文细黑" w:hint="default"/>
                <w:sz w:val="13"/>
                <w:szCs w:val="13"/>
              </w:rPr>
            </w:pPr>
          </w:p>
          <w:p>
            <w:pPr>
              <w:pStyle w:val="TableParagraph"/>
              <w:spacing w:line="240" w:lineRule="auto"/>
              <w:ind w:right="21"/>
              <w:jc w:val="right"/>
              <w:rPr>
                <w:rFonts w:ascii="华文细黑" w:hAnsi="华文细黑" w:cs="华文细黑" w:eastAsia="华文细黑" w:hint="default"/>
                <w:sz w:val="15"/>
                <w:szCs w:val="15"/>
              </w:rPr>
            </w:pPr>
            <w:r>
              <w:rPr>
                <w:rFonts w:ascii="华文细黑"/>
                <w:spacing w:val="-1"/>
                <w:sz w:val="15"/>
              </w:rPr>
              <w:t>39,265,918.56</w:t>
            </w:r>
          </w:p>
        </w:tc>
        <w:tc>
          <w:tcPr>
            <w:tcW w:w="10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7"/>
              <w:ind w:right="0"/>
              <w:jc w:val="left"/>
              <w:rPr>
                <w:rFonts w:ascii="华文细黑" w:hAnsi="华文细黑" w:cs="华文细黑" w:eastAsia="华文细黑" w:hint="default"/>
                <w:sz w:val="13"/>
                <w:szCs w:val="13"/>
              </w:rPr>
            </w:pPr>
          </w:p>
          <w:p>
            <w:pPr>
              <w:pStyle w:val="TableParagraph"/>
              <w:spacing w:line="240" w:lineRule="auto"/>
              <w:ind w:right="22"/>
              <w:jc w:val="right"/>
              <w:rPr>
                <w:rFonts w:ascii="华文细黑" w:hAnsi="华文细黑" w:cs="华文细黑" w:eastAsia="华文细黑" w:hint="default"/>
                <w:sz w:val="15"/>
                <w:szCs w:val="15"/>
              </w:rPr>
            </w:pPr>
            <w:r>
              <w:rPr>
                <w:rFonts w:ascii="华文细黑"/>
                <w:spacing w:val="-1"/>
                <w:sz w:val="15"/>
              </w:rPr>
              <w:t>39,477,233.47</w:t>
            </w:r>
          </w:p>
        </w:tc>
        <w:tc>
          <w:tcPr>
            <w:tcW w:w="11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7"/>
              <w:ind w:right="0"/>
              <w:jc w:val="left"/>
              <w:rPr>
                <w:rFonts w:ascii="华文细黑" w:hAnsi="华文细黑" w:cs="华文细黑" w:eastAsia="华文细黑" w:hint="default"/>
                <w:sz w:val="13"/>
                <w:szCs w:val="13"/>
              </w:rPr>
            </w:pPr>
          </w:p>
          <w:p>
            <w:pPr>
              <w:pStyle w:val="TableParagraph"/>
              <w:spacing w:line="240" w:lineRule="auto"/>
              <w:ind w:left="42" w:right="0"/>
              <w:jc w:val="center"/>
              <w:rPr>
                <w:rFonts w:ascii="华文细黑" w:hAnsi="华文细黑" w:cs="华文细黑" w:eastAsia="华文细黑" w:hint="default"/>
                <w:sz w:val="15"/>
                <w:szCs w:val="15"/>
              </w:rPr>
            </w:pPr>
            <w:r>
              <w:rPr>
                <w:rFonts w:ascii="华文细黑"/>
                <w:sz w:val="15"/>
              </w:rPr>
              <w:t>444,081,193.98</w:t>
            </w:r>
          </w:p>
        </w:tc>
        <w:tc>
          <w:tcPr>
            <w:tcW w:w="123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7"/>
              <w:ind w:right="0"/>
              <w:jc w:val="left"/>
              <w:rPr>
                <w:rFonts w:ascii="华文细黑" w:hAnsi="华文细黑" w:cs="华文细黑" w:eastAsia="华文细黑" w:hint="default"/>
                <w:sz w:val="13"/>
                <w:szCs w:val="13"/>
              </w:rPr>
            </w:pPr>
          </w:p>
          <w:p>
            <w:pPr>
              <w:pStyle w:val="TableParagraph"/>
              <w:spacing w:line="240" w:lineRule="auto"/>
              <w:ind w:right="22"/>
              <w:jc w:val="right"/>
              <w:rPr>
                <w:rFonts w:ascii="华文细黑" w:hAnsi="华文细黑" w:cs="华文细黑" w:eastAsia="华文细黑" w:hint="default"/>
                <w:sz w:val="15"/>
                <w:szCs w:val="15"/>
              </w:rPr>
            </w:pPr>
            <w:r>
              <w:rPr>
                <w:rFonts w:ascii="华文细黑"/>
                <w:spacing w:val="-1"/>
                <w:sz w:val="15"/>
              </w:rPr>
              <w:t>8,365,203,107.08</w:t>
            </w:r>
          </w:p>
        </w:tc>
        <w:tc>
          <w:tcPr>
            <w:tcW w:w="101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7"/>
              <w:ind w:right="0"/>
              <w:jc w:val="left"/>
              <w:rPr>
                <w:rFonts w:ascii="华文细黑" w:hAnsi="华文细黑" w:cs="华文细黑" w:eastAsia="华文细黑" w:hint="default"/>
                <w:sz w:val="13"/>
                <w:szCs w:val="13"/>
              </w:rPr>
            </w:pPr>
          </w:p>
          <w:p>
            <w:pPr>
              <w:pStyle w:val="TableParagraph"/>
              <w:spacing w:line="240" w:lineRule="auto"/>
              <w:ind w:right="22"/>
              <w:jc w:val="right"/>
              <w:rPr>
                <w:rFonts w:ascii="华文细黑" w:hAnsi="华文细黑" w:cs="华文细黑" w:eastAsia="华文细黑" w:hint="default"/>
                <w:sz w:val="15"/>
                <w:szCs w:val="15"/>
              </w:rPr>
            </w:pPr>
            <w:r>
              <w:rPr>
                <w:rFonts w:ascii="华文细黑"/>
                <w:spacing w:val="-1"/>
                <w:sz w:val="15"/>
              </w:rPr>
              <w:t>25,523,592.04</w:t>
            </w:r>
          </w:p>
        </w:tc>
        <w:tc>
          <w:tcPr>
            <w:tcW w:w="11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7"/>
              <w:ind w:right="0"/>
              <w:jc w:val="left"/>
              <w:rPr>
                <w:rFonts w:ascii="华文细黑" w:hAnsi="华文细黑" w:cs="华文细黑" w:eastAsia="华文细黑" w:hint="default"/>
                <w:sz w:val="13"/>
                <w:szCs w:val="13"/>
              </w:rPr>
            </w:pPr>
          </w:p>
          <w:p>
            <w:pPr>
              <w:pStyle w:val="TableParagraph"/>
              <w:spacing w:line="240" w:lineRule="auto"/>
              <w:ind w:right="23"/>
              <w:jc w:val="right"/>
              <w:rPr>
                <w:rFonts w:ascii="华文细黑" w:hAnsi="华文细黑" w:cs="华文细黑" w:eastAsia="华文细黑" w:hint="default"/>
                <w:sz w:val="15"/>
                <w:szCs w:val="15"/>
              </w:rPr>
            </w:pPr>
            <w:r>
              <w:rPr>
                <w:rFonts w:ascii="华文细黑"/>
                <w:spacing w:val="-1"/>
                <w:sz w:val="15"/>
              </w:rPr>
              <w:t>25,394,705.02</w:t>
            </w:r>
          </w:p>
        </w:tc>
        <w:tc>
          <w:tcPr>
            <w:tcW w:w="119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7"/>
              <w:ind w:right="0"/>
              <w:jc w:val="left"/>
              <w:rPr>
                <w:rFonts w:ascii="华文细黑" w:hAnsi="华文细黑" w:cs="华文细黑" w:eastAsia="华文细黑" w:hint="default"/>
                <w:sz w:val="13"/>
                <w:szCs w:val="13"/>
              </w:rPr>
            </w:pPr>
          </w:p>
          <w:p>
            <w:pPr>
              <w:pStyle w:val="TableParagraph"/>
              <w:spacing w:line="240" w:lineRule="auto"/>
              <w:ind w:left="53" w:right="0"/>
              <w:jc w:val="center"/>
              <w:rPr>
                <w:rFonts w:ascii="华文细黑" w:hAnsi="华文细黑" w:cs="华文细黑" w:eastAsia="华文细黑" w:hint="default"/>
                <w:sz w:val="15"/>
                <w:szCs w:val="15"/>
              </w:rPr>
            </w:pPr>
            <w:r>
              <w:rPr>
                <w:rFonts w:ascii="华文细黑"/>
                <w:sz w:val="15"/>
              </w:rPr>
              <w:t>-645,853,579.02</w:t>
            </w:r>
          </w:p>
        </w:tc>
      </w:tr>
      <w:tr>
        <w:trPr>
          <w:trHeight w:val="851" w:hRule="exact"/>
        </w:trPr>
        <w:tc>
          <w:tcPr>
            <w:tcW w:w="72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400" w:lineRule="exact" w:before="40"/>
              <w:ind w:left="11" w:right="16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 优友互</w:t>
            </w:r>
          </w:p>
        </w:tc>
        <w:tc>
          <w:tcPr>
            <w:tcW w:w="125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1"/>
                <w:szCs w:val="11"/>
              </w:rPr>
            </w:pPr>
          </w:p>
          <w:p>
            <w:pPr>
              <w:pStyle w:val="TableParagraph"/>
              <w:spacing w:line="240" w:lineRule="auto"/>
              <w:ind w:right="23"/>
              <w:jc w:val="right"/>
              <w:rPr>
                <w:rFonts w:ascii="华文细黑" w:hAnsi="华文细黑" w:cs="华文细黑" w:eastAsia="华文细黑" w:hint="default"/>
                <w:sz w:val="15"/>
                <w:szCs w:val="15"/>
              </w:rPr>
            </w:pPr>
            <w:r>
              <w:rPr>
                <w:rFonts w:ascii="华文细黑"/>
                <w:spacing w:val="-1"/>
                <w:sz w:val="15"/>
              </w:rPr>
              <w:t>153,287,987.24</w:t>
            </w:r>
          </w:p>
        </w:tc>
        <w:tc>
          <w:tcPr>
            <w:tcW w:w="10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1"/>
                <w:szCs w:val="11"/>
              </w:rPr>
            </w:pPr>
          </w:p>
          <w:p>
            <w:pPr>
              <w:pStyle w:val="TableParagraph"/>
              <w:spacing w:line="240" w:lineRule="auto"/>
              <w:ind w:right="21"/>
              <w:jc w:val="right"/>
              <w:rPr>
                <w:rFonts w:ascii="华文细黑" w:hAnsi="华文细黑" w:cs="华文细黑" w:eastAsia="华文细黑" w:hint="default"/>
                <w:sz w:val="15"/>
                <w:szCs w:val="15"/>
              </w:rPr>
            </w:pPr>
            <w:r>
              <w:rPr>
                <w:rFonts w:ascii="华文细黑"/>
                <w:spacing w:val="-1"/>
                <w:sz w:val="15"/>
              </w:rPr>
              <w:t>11,045,282.41</w:t>
            </w:r>
          </w:p>
        </w:tc>
        <w:tc>
          <w:tcPr>
            <w:tcW w:w="10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1"/>
                <w:szCs w:val="11"/>
              </w:rPr>
            </w:pPr>
          </w:p>
          <w:p>
            <w:pPr>
              <w:pStyle w:val="TableParagraph"/>
              <w:spacing w:line="240" w:lineRule="auto"/>
              <w:ind w:right="22"/>
              <w:jc w:val="right"/>
              <w:rPr>
                <w:rFonts w:ascii="华文细黑" w:hAnsi="华文细黑" w:cs="华文细黑" w:eastAsia="华文细黑" w:hint="default"/>
                <w:sz w:val="15"/>
                <w:szCs w:val="15"/>
              </w:rPr>
            </w:pPr>
            <w:r>
              <w:rPr>
                <w:rFonts w:ascii="华文细黑"/>
                <w:spacing w:val="-1"/>
                <w:sz w:val="15"/>
              </w:rPr>
              <w:t>11,045,282.41</w:t>
            </w:r>
          </w:p>
        </w:tc>
        <w:tc>
          <w:tcPr>
            <w:tcW w:w="11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1"/>
                <w:szCs w:val="11"/>
              </w:rPr>
            </w:pPr>
          </w:p>
          <w:p>
            <w:pPr>
              <w:pStyle w:val="TableParagraph"/>
              <w:spacing w:line="240" w:lineRule="auto"/>
              <w:ind w:left="126" w:right="0"/>
              <w:jc w:val="center"/>
              <w:rPr>
                <w:rFonts w:ascii="华文细黑" w:hAnsi="华文细黑" w:cs="华文细黑" w:eastAsia="华文细黑" w:hint="default"/>
                <w:sz w:val="15"/>
                <w:szCs w:val="15"/>
              </w:rPr>
            </w:pPr>
            <w:r>
              <w:rPr>
                <w:rFonts w:ascii="华文细黑"/>
                <w:sz w:val="15"/>
              </w:rPr>
              <w:t>13,796,413.55</w:t>
            </w:r>
          </w:p>
        </w:tc>
        <w:tc>
          <w:tcPr>
            <w:tcW w:w="123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1"/>
                <w:szCs w:val="11"/>
              </w:rPr>
            </w:pPr>
          </w:p>
          <w:p>
            <w:pPr>
              <w:pStyle w:val="TableParagraph"/>
              <w:spacing w:line="240" w:lineRule="auto"/>
              <w:ind w:right="23"/>
              <w:jc w:val="right"/>
              <w:rPr>
                <w:rFonts w:ascii="华文细黑" w:hAnsi="华文细黑" w:cs="华文细黑" w:eastAsia="华文细黑" w:hint="default"/>
                <w:sz w:val="15"/>
                <w:szCs w:val="15"/>
              </w:rPr>
            </w:pPr>
            <w:r>
              <w:rPr>
                <w:rFonts w:ascii="华文细黑"/>
                <w:spacing w:val="-1"/>
                <w:sz w:val="15"/>
              </w:rPr>
              <w:t>95,560,928.38</w:t>
            </w:r>
          </w:p>
        </w:tc>
        <w:tc>
          <w:tcPr>
            <w:tcW w:w="101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1"/>
                <w:szCs w:val="11"/>
              </w:rPr>
            </w:pPr>
          </w:p>
          <w:p>
            <w:pPr>
              <w:pStyle w:val="TableParagraph"/>
              <w:spacing w:line="240" w:lineRule="auto"/>
              <w:ind w:right="21"/>
              <w:jc w:val="right"/>
              <w:rPr>
                <w:rFonts w:ascii="华文细黑" w:hAnsi="华文细黑" w:cs="华文细黑" w:eastAsia="华文细黑" w:hint="default"/>
                <w:sz w:val="15"/>
                <w:szCs w:val="15"/>
              </w:rPr>
            </w:pPr>
            <w:r>
              <w:rPr>
                <w:rFonts w:ascii="华文细黑"/>
                <w:spacing w:val="-1"/>
                <w:sz w:val="15"/>
              </w:rPr>
              <w:t>400,887.41</w:t>
            </w:r>
          </w:p>
        </w:tc>
        <w:tc>
          <w:tcPr>
            <w:tcW w:w="11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1"/>
                <w:szCs w:val="11"/>
              </w:rPr>
            </w:pPr>
          </w:p>
          <w:p>
            <w:pPr>
              <w:pStyle w:val="TableParagraph"/>
              <w:spacing w:line="240" w:lineRule="auto"/>
              <w:ind w:right="22"/>
              <w:jc w:val="right"/>
              <w:rPr>
                <w:rFonts w:ascii="华文细黑" w:hAnsi="华文细黑" w:cs="华文细黑" w:eastAsia="华文细黑" w:hint="default"/>
                <w:sz w:val="15"/>
                <w:szCs w:val="15"/>
              </w:rPr>
            </w:pPr>
            <w:r>
              <w:rPr>
                <w:rFonts w:ascii="华文细黑"/>
                <w:spacing w:val="-1"/>
                <w:sz w:val="15"/>
              </w:rPr>
              <w:t>400,887.41</w:t>
            </w:r>
          </w:p>
        </w:tc>
        <w:tc>
          <w:tcPr>
            <w:tcW w:w="119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8"/>
              <w:ind w:right="0"/>
              <w:jc w:val="left"/>
              <w:rPr>
                <w:rFonts w:ascii="华文细黑" w:hAnsi="华文细黑" w:cs="华文细黑" w:eastAsia="华文细黑" w:hint="default"/>
                <w:sz w:val="11"/>
                <w:szCs w:val="11"/>
              </w:rPr>
            </w:pPr>
          </w:p>
          <w:p>
            <w:pPr>
              <w:pStyle w:val="TableParagraph"/>
              <w:spacing w:line="240" w:lineRule="auto"/>
              <w:ind w:left="269" w:right="0"/>
              <w:jc w:val="center"/>
              <w:rPr>
                <w:rFonts w:ascii="华文细黑" w:hAnsi="华文细黑" w:cs="华文细黑" w:eastAsia="华文细黑" w:hint="default"/>
                <w:sz w:val="15"/>
                <w:szCs w:val="15"/>
              </w:rPr>
            </w:pPr>
            <w:r>
              <w:rPr>
                <w:rFonts w:ascii="华文细黑"/>
                <w:sz w:val="15"/>
              </w:rPr>
              <w:t>6,207,095.03</w:t>
            </w:r>
          </w:p>
        </w:tc>
      </w:tr>
    </w:tbl>
    <w:p>
      <w:pPr>
        <w:spacing w:after="0" w:line="240" w:lineRule="auto"/>
        <w:jc w:val="center"/>
        <w:rPr>
          <w:rFonts w:ascii="华文细黑" w:hAnsi="华文细黑" w:cs="华文细黑" w:eastAsia="华文细黑" w:hint="default"/>
          <w:sz w:val="15"/>
          <w:szCs w:val="15"/>
        </w:rPr>
        <w:sectPr>
          <w:pgSz w:w="11910" w:h="16840"/>
          <w:pgMar w:header="917" w:footer="1019" w:top="1100" w:bottom="1200" w:left="940" w:right="0"/>
        </w:sectPr>
      </w:pPr>
    </w:p>
    <w:p>
      <w:pPr>
        <w:spacing w:line="240" w:lineRule="auto" w:before="8"/>
        <w:rPr>
          <w:rFonts w:ascii="华文细黑" w:hAnsi="华文细黑" w:cs="华文细黑" w:eastAsia="华文细黑" w:hint="default"/>
          <w:sz w:val="23"/>
          <w:szCs w:val="23"/>
        </w:rPr>
      </w:pPr>
    </w:p>
    <w:tbl>
      <w:tblPr>
        <w:tblW w:w="0" w:type="auto"/>
        <w:jc w:val="left"/>
        <w:tblInd w:w="118" w:type="dxa"/>
        <w:tblLayout w:type="fixed"/>
        <w:tblCellMar>
          <w:top w:w="0" w:type="dxa"/>
          <w:left w:w="0" w:type="dxa"/>
          <w:bottom w:w="0" w:type="dxa"/>
          <w:right w:w="0" w:type="dxa"/>
        </w:tblCellMar>
        <w:tblLook w:val="01E0"/>
      </w:tblPr>
      <w:tblGrid>
        <w:gridCol w:w="726"/>
        <w:gridCol w:w="1254"/>
        <w:gridCol w:w="1018"/>
        <w:gridCol w:w="1097"/>
        <w:gridCol w:w="1140"/>
        <w:gridCol w:w="1235"/>
        <w:gridCol w:w="1012"/>
        <w:gridCol w:w="1111"/>
        <w:gridCol w:w="1198"/>
      </w:tblGrid>
      <w:tr>
        <w:trPr>
          <w:trHeight w:val="226" w:hRule="exact"/>
        </w:trPr>
        <w:tc>
          <w:tcPr>
            <w:tcW w:w="726" w:type="dxa"/>
            <w:vMerge w:val="restart"/>
            <w:tcBorders>
              <w:top w:val="single" w:sz="4" w:space="0" w:color="FFC000"/>
              <w:left w:val="single" w:sz="4" w:space="0" w:color="FFC000"/>
              <w:right w:val="single" w:sz="4" w:space="0" w:color="FFC000"/>
            </w:tcBorders>
            <w:shd w:val="clear" w:color="auto" w:fill="FFF8E6"/>
          </w:tcPr>
          <w:p>
            <w:pPr>
              <w:pStyle w:val="TableParagraph"/>
              <w:spacing w:line="440" w:lineRule="exact" w:before="9"/>
              <w:ind w:left="168" w:right="95" w:hanging="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子公司 名称</w:t>
            </w:r>
          </w:p>
        </w:tc>
        <w:tc>
          <w:tcPr>
            <w:tcW w:w="4509" w:type="dxa"/>
            <w:gridSpan w:val="4"/>
            <w:tcBorders>
              <w:top w:val="single" w:sz="4" w:space="0" w:color="FFC000"/>
              <w:left w:val="single" w:sz="4" w:space="0" w:color="FFC000"/>
              <w:bottom w:val="nil" w:sz="6" w:space="0" w:color="auto"/>
              <w:right w:val="single" w:sz="4" w:space="0" w:color="FFC000"/>
            </w:tcBorders>
            <w:shd w:val="clear" w:color="auto" w:fill="FFF8E6"/>
          </w:tcPr>
          <w:p>
            <w:pPr/>
          </w:p>
        </w:tc>
        <w:tc>
          <w:tcPr>
            <w:tcW w:w="4556" w:type="dxa"/>
            <w:gridSpan w:val="4"/>
            <w:tcBorders>
              <w:top w:val="single" w:sz="4" w:space="0" w:color="FFC000"/>
              <w:left w:val="single" w:sz="4" w:space="0" w:color="FFC000"/>
              <w:bottom w:val="nil" w:sz="6" w:space="0" w:color="auto"/>
              <w:right w:val="single" w:sz="4" w:space="0" w:color="FFC000"/>
            </w:tcBorders>
            <w:shd w:val="clear" w:color="auto" w:fill="FFF8E6"/>
          </w:tcPr>
          <w:p>
            <w:pPr/>
          </w:p>
        </w:tc>
      </w:tr>
      <w:tr>
        <w:trPr>
          <w:trHeight w:val="480" w:hRule="exact"/>
        </w:trPr>
        <w:tc>
          <w:tcPr>
            <w:tcW w:w="726" w:type="dxa"/>
            <w:vMerge/>
            <w:tcBorders>
              <w:left w:val="single" w:sz="4" w:space="0" w:color="FFC000"/>
              <w:right w:val="single" w:sz="4" w:space="0" w:color="FFC000"/>
            </w:tcBorders>
            <w:shd w:val="clear" w:color="auto" w:fill="FFF8E6"/>
          </w:tcPr>
          <w:p>
            <w:pPr/>
          </w:p>
        </w:tc>
        <w:tc>
          <w:tcPr>
            <w:tcW w:w="4509" w:type="dxa"/>
            <w:gridSpan w:val="4"/>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right="9"/>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4556" w:type="dxa"/>
            <w:gridSpan w:val="4"/>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right="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224" w:hRule="exact"/>
        </w:trPr>
        <w:tc>
          <w:tcPr>
            <w:tcW w:w="726" w:type="dxa"/>
            <w:vMerge/>
            <w:tcBorders>
              <w:left w:val="single" w:sz="4" w:space="0" w:color="FFC000"/>
              <w:bottom w:val="single" w:sz="4" w:space="0" w:color="FFC000"/>
              <w:right w:val="single" w:sz="4" w:space="0" w:color="FFC000"/>
            </w:tcBorders>
            <w:shd w:val="clear" w:color="auto" w:fill="FFF8E6"/>
          </w:tcPr>
          <w:p>
            <w:pPr/>
          </w:p>
        </w:tc>
        <w:tc>
          <w:tcPr>
            <w:tcW w:w="4509" w:type="dxa"/>
            <w:gridSpan w:val="4"/>
            <w:tcBorders>
              <w:top w:val="nil" w:sz="6" w:space="0" w:color="auto"/>
              <w:left w:val="single" w:sz="4" w:space="0" w:color="FFC000"/>
              <w:bottom w:val="single" w:sz="4" w:space="0" w:color="FFC000"/>
              <w:right w:val="single" w:sz="4" w:space="0" w:color="FFC000"/>
            </w:tcBorders>
            <w:shd w:val="clear" w:color="auto" w:fill="FFF8E6"/>
          </w:tcPr>
          <w:p>
            <w:pPr/>
          </w:p>
        </w:tc>
        <w:tc>
          <w:tcPr>
            <w:tcW w:w="4556" w:type="dxa"/>
            <w:gridSpan w:val="4"/>
            <w:tcBorders>
              <w:top w:val="nil" w:sz="6" w:space="0" w:color="auto"/>
              <w:left w:val="single" w:sz="4" w:space="0" w:color="FFC000"/>
              <w:bottom w:val="single" w:sz="4" w:space="0" w:color="FFC000"/>
              <w:right w:val="single" w:sz="4" w:space="0" w:color="FFC000"/>
            </w:tcBorders>
            <w:shd w:val="clear" w:color="auto" w:fill="FFF8E6"/>
          </w:tcPr>
          <w:p>
            <w:pPr/>
          </w:p>
        </w:tc>
      </w:tr>
      <w:tr>
        <w:trPr>
          <w:trHeight w:val="850" w:hRule="exact"/>
        </w:trPr>
        <w:tc>
          <w:tcPr>
            <w:tcW w:w="72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03"/>
              <w:ind w:left="11" w:right="16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联有限 公司</w:t>
            </w:r>
          </w:p>
        </w:tc>
        <w:tc>
          <w:tcPr>
            <w:tcW w:w="1254" w:type="dxa"/>
            <w:tcBorders>
              <w:top w:val="single" w:sz="4" w:space="0" w:color="FFC000"/>
              <w:left w:val="single" w:sz="13" w:space="0" w:color="FFF8E6"/>
              <w:bottom w:val="single" w:sz="4" w:space="0" w:color="FFC000"/>
              <w:right w:val="single" w:sz="4" w:space="0" w:color="FFC000"/>
            </w:tcBorders>
          </w:tcPr>
          <w:p>
            <w:pPr/>
          </w:p>
        </w:tc>
        <w:tc>
          <w:tcPr>
            <w:tcW w:w="1018" w:type="dxa"/>
            <w:tcBorders>
              <w:top w:val="single" w:sz="4" w:space="0" w:color="FFC000"/>
              <w:left w:val="single" w:sz="4" w:space="0" w:color="FFC000"/>
              <w:bottom w:val="single" w:sz="4" w:space="0" w:color="FFC000"/>
              <w:right w:val="single" w:sz="4" w:space="0" w:color="FFC000"/>
            </w:tcBorders>
          </w:tcPr>
          <w:p>
            <w:pPr/>
          </w:p>
        </w:tc>
        <w:tc>
          <w:tcPr>
            <w:tcW w:w="1097" w:type="dxa"/>
            <w:tcBorders>
              <w:top w:val="single" w:sz="4" w:space="0" w:color="FFC000"/>
              <w:left w:val="single" w:sz="4" w:space="0" w:color="FFC000"/>
              <w:bottom w:val="single" w:sz="4" w:space="0" w:color="FFC000"/>
              <w:right w:val="single" w:sz="4" w:space="0" w:color="FFC000"/>
            </w:tcBorders>
          </w:tcPr>
          <w:p>
            <w:pPr/>
          </w:p>
        </w:tc>
        <w:tc>
          <w:tcPr>
            <w:tcW w:w="1140" w:type="dxa"/>
            <w:tcBorders>
              <w:top w:val="single" w:sz="4" w:space="0" w:color="FFC000"/>
              <w:left w:val="single" w:sz="4" w:space="0" w:color="FFC000"/>
              <w:bottom w:val="single" w:sz="4" w:space="0" w:color="FFC000"/>
              <w:right w:val="single" w:sz="4" w:space="0" w:color="FFC000"/>
            </w:tcBorders>
          </w:tcPr>
          <w:p>
            <w:pPr/>
          </w:p>
        </w:tc>
        <w:tc>
          <w:tcPr>
            <w:tcW w:w="1235" w:type="dxa"/>
            <w:tcBorders>
              <w:top w:val="single" w:sz="4" w:space="0" w:color="FFC000"/>
              <w:left w:val="single" w:sz="4" w:space="0" w:color="FFC000"/>
              <w:bottom w:val="single" w:sz="4" w:space="0" w:color="FFC000"/>
              <w:right w:val="single" w:sz="4" w:space="0" w:color="FFC000"/>
            </w:tcBorders>
          </w:tcPr>
          <w:p>
            <w:pPr/>
          </w:p>
        </w:tc>
        <w:tc>
          <w:tcPr>
            <w:tcW w:w="1012" w:type="dxa"/>
            <w:tcBorders>
              <w:top w:val="single" w:sz="4" w:space="0" w:color="FFC000"/>
              <w:left w:val="single" w:sz="4" w:space="0" w:color="FFC000"/>
              <w:bottom w:val="single" w:sz="4" w:space="0" w:color="FFC000"/>
              <w:right w:val="single" w:sz="4" w:space="0" w:color="FFC000"/>
            </w:tcBorders>
          </w:tcPr>
          <w:p>
            <w:pPr/>
          </w:p>
        </w:tc>
        <w:tc>
          <w:tcPr>
            <w:tcW w:w="1111" w:type="dxa"/>
            <w:tcBorders>
              <w:top w:val="single" w:sz="4" w:space="0" w:color="FFC000"/>
              <w:left w:val="single" w:sz="4" w:space="0" w:color="FFC000"/>
              <w:bottom w:val="single" w:sz="4" w:space="0" w:color="FFC000"/>
              <w:right w:val="single" w:sz="4" w:space="0" w:color="FFC000"/>
            </w:tcBorders>
          </w:tcPr>
          <w:p>
            <w:pPr/>
          </w:p>
        </w:tc>
        <w:tc>
          <w:tcPr>
            <w:tcW w:w="1198" w:type="dxa"/>
            <w:tcBorders>
              <w:top w:val="single" w:sz="4" w:space="0" w:color="FFC000"/>
              <w:left w:val="single" w:sz="4" w:space="0" w:color="FFC000"/>
              <w:bottom w:val="single" w:sz="4" w:space="0" w:color="FFC000"/>
              <w:right w:val="single" w:sz="4" w:space="0" w:color="FFC000"/>
            </w:tcBorders>
          </w:tcPr>
          <w:p>
            <w:pPr/>
          </w:p>
        </w:tc>
      </w:tr>
      <w:tr>
        <w:trPr>
          <w:trHeight w:val="2090" w:hRule="exact"/>
        </w:trPr>
        <w:tc>
          <w:tcPr>
            <w:tcW w:w="72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4"/>
              <w:ind w:left="11" w:right="162"/>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海南先 锋网络 小额贷 款有限 公司</w:t>
            </w:r>
          </w:p>
        </w:tc>
        <w:tc>
          <w:tcPr>
            <w:tcW w:w="125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7"/>
              <w:ind w:right="0"/>
              <w:jc w:val="left"/>
              <w:rPr>
                <w:rFonts w:ascii="华文细黑" w:hAnsi="华文细黑" w:cs="华文细黑" w:eastAsia="华文细黑" w:hint="default"/>
                <w:sz w:val="13"/>
                <w:szCs w:val="13"/>
              </w:rPr>
            </w:pPr>
          </w:p>
          <w:p>
            <w:pPr>
              <w:pStyle w:val="TableParagraph"/>
              <w:spacing w:line="240" w:lineRule="auto"/>
              <w:ind w:left="253" w:right="0"/>
              <w:jc w:val="left"/>
              <w:rPr>
                <w:rFonts w:ascii="华文细黑" w:hAnsi="华文细黑" w:cs="华文细黑" w:eastAsia="华文细黑" w:hint="default"/>
                <w:sz w:val="15"/>
                <w:szCs w:val="15"/>
              </w:rPr>
            </w:pPr>
            <w:r>
              <w:rPr>
                <w:rFonts w:ascii="华文细黑"/>
                <w:sz w:val="15"/>
              </w:rPr>
              <w:t>32,163,258.48</w:t>
            </w:r>
          </w:p>
        </w:tc>
        <w:tc>
          <w:tcPr>
            <w:tcW w:w="10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7"/>
              <w:ind w:right="0"/>
              <w:jc w:val="left"/>
              <w:rPr>
                <w:rFonts w:ascii="华文细黑" w:hAnsi="华文细黑" w:cs="华文细黑" w:eastAsia="华文细黑" w:hint="default"/>
                <w:sz w:val="13"/>
                <w:szCs w:val="13"/>
              </w:rPr>
            </w:pPr>
          </w:p>
          <w:p>
            <w:pPr>
              <w:pStyle w:val="TableParagraph"/>
              <w:spacing w:line="240" w:lineRule="auto"/>
              <w:ind w:left="29" w:right="0"/>
              <w:jc w:val="left"/>
              <w:rPr>
                <w:rFonts w:ascii="华文细黑" w:hAnsi="华文细黑" w:cs="华文细黑" w:eastAsia="华文细黑" w:hint="default"/>
                <w:sz w:val="15"/>
                <w:szCs w:val="15"/>
              </w:rPr>
            </w:pPr>
            <w:r>
              <w:rPr>
                <w:rFonts w:ascii="华文细黑"/>
                <w:sz w:val="15"/>
              </w:rPr>
              <w:t>11,428,795.93</w:t>
            </w:r>
          </w:p>
        </w:tc>
        <w:tc>
          <w:tcPr>
            <w:tcW w:w="109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7"/>
              <w:ind w:right="0"/>
              <w:jc w:val="left"/>
              <w:rPr>
                <w:rFonts w:ascii="华文细黑" w:hAnsi="华文细黑" w:cs="华文细黑" w:eastAsia="华文细黑" w:hint="default"/>
                <w:sz w:val="13"/>
                <w:szCs w:val="13"/>
              </w:rPr>
            </w:pPr>
          </w:p>
          <w:p>
            <w:pPr>
              <w:pStyle w:val="TableParagraph"/>
              <w:spacing w:line="240" w:lineRule="auto"/>
              <w:ind w:left="109" w:right="0"/>
              <w:jc w:val="left"/>
              <w:rPr>
                <w:rFonts w:ascii="华文细黑" w:hAnsi="华文细黑" w:cs="华文细黑" w:eastAsia="华文细黑" w:hint="default"/>
                <w:sz w:val="15"/>
                <w:szCs w:val="15"/>
              </w:rPr>
            </w:pPr>
            <w:r>
              <w:rPr>
                <w:rFonts w:ascii="华文细黑"/>
                <w:sz w:val="15"/>
              </w:rPr>
              <w:t>11,428,795.93</w:t>
            </w:r>
          </w:p>
        </w:tc>
        <w:tc>
          <w:tcPr>
            <w:tcW w:w="114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7"/>
              <w:ind w:right="0"/>
              <w:jc w:val="left"/>
              <w:rPr>
                <w:rFonts w:ascii="华文细黑" w:hAnsi="华文细黑" w:cs="华文细黑" w:eastAsia="华文细黑" w:hint="default"/>
                <w:sz w:val="13"/>
                <w:szCs w:val="13"/>
              </w:rPr>
            </w:pPr>
          </w:p>
          <w:p>
            <w:pPr>
              <w:pStyle w:val="TableParagraph"/>
              <w:spacing w:line="240" w:lineRule="auto"/>
              <w:ind w:left="100" w:right="0"/>
              <w:jc w:val="left"/>
              <w:rPr>
                <w:rFonts w:ascii="华文细黑" w:hAnsi="华文细黑" w:cs="华文细黑" w:eastAsia="华文细黑" w:hint="default"/>
                <w:sz w:val="15"/>
                <w:szCs w:val="15"/>
              </w:rPr>
            </w:pPr>
            <w:r>
              <w:rPr>
                <w:rFonts w:ascii="华文细黑"/>
                <w:sz w:val="15"/>
              </w:rPr>
              <w:t>-59,330,763.96</w:t>
            </w:r>
          </w:p>
        </w:tc>
        <w:tc>
          <w:tcPr>
            <w:tcW w:w="123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7"/>
              <w:ind w:right="0"/>
              <w:jc w:val="left"/>
              <w:rPr>
                <w:rFonts w:ascii="华文细黑" w:hAnsi="华文细黑" w:cs="华文细黑" w:eastAsia="华文细黑" w:hint="default"/>
                <w:sz w:val="13"/>
                <w:szCs w:val="13"/>
              </w:rPr>
            </w:pPr>
          </w:p>
          <w:p>
            <w:pPr>
              <w:pStyle w:val="TableParagraph"/>
              <w:spacing w:line="240" w:lineRule="auto"/>
              <w:ind w:left="245" w:right="0"/>
              <w:jc w:val="left"/>
              <w:rPr>
                <w:rFonts w:ascii="华文细黑" w:hAnsi="华文细黑" w:cs="华文细黑" w:eastAsia="华文细黑" w:hint="default"/>
                <w:sz w:val="15"/>
                <w:szCs w:val="15"/>
              </w:rPr>
            </w:pPr>
            <w:r>
              <w:rPr>
                <w:rFonts w:ascii="华文细黑"/>
                <w:sz w:val="15"/>
              </w:rPr>
              <w:t>29,164,418.38</w:t>
            </w:r>
          </w:p>
        </w:tc>
        <w:tc>
          <w:tcPr>
            <w:tcW w:w="101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7"/>
              <w:ind w:right="0"/>
              <w:jc w:val="left"/>
              <w:rPr>
                <w:rFonts w:ascii="华文细黑" w:hAnsi="华文细黑" w:cs="华文细黑" w:eastAsia="华文细黑" w:hint="default"/>
                <w:sz w:val="13"/>
                <w:szCs w:val="13"/>
              </w:rPr>
            </w:pPr>
          </w:p>
          <w:p>
            <w:pPr>
              <w:pStyle w:val="TableParagraph"/>
              <w:spacing w:line="240" w:lineRule="auto"/>
              <w:ind w:left="23" w:right="0"/>
              <w:jc w:val="left"/>
              <w:rPr>
                <w:rFonts w:ascii="华文细黑" w:hAnsi="华文细黑" w:cs="华文细黑" w:eastAsia="华文细黑" w:hint="default"/>
                <w:sz w:val="15"/>
                <w:szCs w:val="15"/>
              </w:rPr>
            </w:pPr>
            <w:r>
              <w:rPr>
                <w:rFonts w:ascii="华文细黑"/>
                <w:sz w:val="15"/>
              </w:rPr>
              <w:t>16,642,842.38</w:t>
            </w:r>
          </w:p>
        </w:tc>
        <w:tc>
          <w:tcPr>
            <w:tcW w:w="11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7"/>
              <w:ind w:right="0"/>
              <w:jc w:val="left"/>
              <w:rPr>
                <w:rFonts w:ascii="华文细黑" w:hAnsi="华文细黑" w:cs="华文细黑" w:eastAsia="华文细黑" w:hint="default"/>
                <w:sz w:val="13"/>
                <w:szCs w:val="13"/>
              </w:rPr>
            </w:pPr>
          </w:p>
          <w:p>
            <w:pPr>
              <w:pStyle w:val="TableParagraph"/>
              <w:spacing w:line="240" w:lineRule="auto"/>
              <w:ind w:left="122" w:right="0"/>
              <w:jc w:val="left"/>
              <w:rPr>
                <w:rFonts w:ascii="华文细黑" w:hAnsi="华文细黑" w:cs="华文细黑" w:eastAsia="华文细黑" w:hint="default"/>
                <w:sz w:val="15"/>
                <w:szCs w:val="15"/>
              </w:rPr>
            </w:pPr>
            <w:r>
              <w:rPr>
                <w:rFonts w:ascii="华文细黑"/>
                <w:sz w:val="15"/>
              </w:rPr>
              <w:t>16,642,842.38</w:t>
            </w:r>
          </w:p>
        </w:tc>
        <w:tc>
          <w:tcPr>
            <w:tcW w:w="119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ind w:right="0"/>
              <w:jc w:val="left"/>
              <w:rPr>
                <w:rFonts w:ascii="华文细黑" w:hAnsi="华文细黑" w:cs="华文细黑" w:eastAsia="华文细黑" w:hint="default"/>
                <w:sz w:val="14"/>
                <w:szCs w:val="14"/>
              </w:rPr>
            </w:pPr>
          </w:p>
          <w:p>
            <w:pPr>
              <w:pStyle w:val="TableParagraph"/>
              <w:spacing w:line="240" w:lineRule="auto" w:before="7"/>
              <w:ind w:right="0"/>
              <w:jc w:val="left"/>
              <w:rPr>
                <w:rFonts w:ascii="华文细黑" w:hAnsi="华文细黑" w:cs="华文细黑" w:eastAsia="华文细黑" w:hint="default"/>
                <w:sz w:val="13"/>
                <w:szCs w:val="13"/>
              </w:rPr>
            </w:pPr>
          </w:p>
          <w:p>
            <w:pPr>
              <w:pStyle w:val="TableParagraph"/>
              <w:spacing w:line="240" w:lineRule="auto"/>
              <w:ind w:left="209" w:right="0"/>
              <w:jc w:val="left"/>
              <w:rPr>
                <w:rFonts w:ascii="华文细黑" w:hAnsi="华文细黑" w:cs="华文细黑" w:eastAsia="华文细黑" w:hint="default"/>
                <w:sz w:val="15"/>
                <w:szCs w:val="15"/>
              </w:rPr>
            </w:pPr>
            <w:r>
              <w:rPr>
                <w:rFonts w:ascii="华文细黑"/>
                <w:sz w:val="15"/>
              </w:rPr>
              <w:t>33,066,534.59</w:t>
            </w:r>
          </w:p>
        </w:tc>
      </w:tr>
    </w:tbl>
    <w:p>
      <w:pPr>
        <w:spacing w:line="240" w:lineRule="auto" w:before="13"/>
        <w:rPr>
          <w:rFonts w:ascii="华文细黑" w:hAnsi="华文细黑" w:cs="华文细黑" w:eastAsia="华文细黑" w:hint="default"/>
          <w:sz w:val="6"/>
          <w:szCs w:val="6"/>
        </w:rPr>
      </w:pPr>
    </w:p>
    <w:p>
      <w:pPr>
        <w:pStyle w:val="Heading5"/>
        <w:spacing w:line="240" w:lineRule="auto"/>
        <w:ind w:left="920" w:right="1416"/>
        <w:jc w:val="left"/>
        <w:rPr>
          <w:b w:val="0"/>
          <w:bCs w:val="0"/>
        </w:rPr>
      </w:pPr>
      <w:bookmarkStart w:name="2、在合营企业或联营企业中的权益" w:id="325"/>
      <w:bookmarkEnd w:id="325"/>
      <w:r>
        <w:rPr>
          <w:b w:val="0"/>
          <w:bCs w:val="0"/>
        </w:rPr>
      </w:r>
      <w:r>
        <w:rPr>
          <w:rFonts w:ascii="华文细黑" w:hAnsi="华文细黑" w:cs="华文细黑" w:eastAsia="华文细黑" w:hint="default"/>
        </w:rPr>
        <w:t>2</w:t>
      </w:r>
      <w:r>
        <w:rPr/>
        <w:t>、在合营企业或联营企业中的权益</w:t>
      </w:r>
      <w:r>
        <w:rPr>
          <w:b w:val="0"/>
          <w:bCs w:val="0"/>
        </w:rPr>
      </w:r>
    </w:p>
    <w:p>
      <w:pPr>
        <w:pStyle w:val="BodyText"/>
        <w:spacing w:line="240" w:lineRule="auto" w:before="142"/>
        <w:ind w:left="920" w:right="1416"/>
        <w:jc w:val="left"/>
      </w:pPr>
      <w:r>
        <w:rPr/>
        <w:t>（</w:t>
      </w:r>
      <w:r>
        <w:rPr>
          <w:rFonts w:ascii="华文细黑" w:hAnsi="华文细黑" w:cs="华文细黑" w:eastAsia="华文细黑" w:hint="default"/>
        </w:rPr>
        <w:t>1</w:t>
      </w:r>
      <w:r>
        <w:rPr/>
        <w:t>）年末无合营企业。</w:t>
      </w:r>
    </w:p>
    <w:p>
      <w:pPr>
        <w:pStyle w:val="BodyText"/>
        <w:spacing w:line="240" w:lineRule="auto" w:before="144"/>
        <w:ind w:left="920" w:right="1416"/>
        <w:jc w:val="left"/>
      </w:pPr>
      <w:r>
        <w:rPr/>
        <w:t>（</w:t>
      </w:r>
      <w:r>
        <w:rPr>
          <w:rFonts w:ascii="华文细黑" w:hAnsi="华文细黑" w:cs="华文细黑" w:eastAsia="华文细黑" w:hint="default"/>
        </w:rPr>
        <w:t>2</w:t>
      </w:r>
      <w:r>
        <w:rPr/>
        <w:t>）年末无重要联营企业。</w:t>
      </w:r>
    </w:p>
    <w:p>
      <w:pPr>
        <w:pStyle w:val="BodyText"/>
        <w:spacing w:line="240" w:lineRule="auto" w:before="144"/>
        <w:ind w:left="920" w:right="1416"/>
        <w:jc w:val="left"/>
      </w:pPr>
      <w:r>
        <w:rPr/>
        <w:t>（</w:t>
      </w:r>
      <w:r>
        <w:rPr>
          <w:rFonts w:ascii="华文细黑" w:hAnsi="华文细黑" w:cs="华文细黑" w:eastAsia="华文细黑" w:hint="default"/>
        </w:rPr>
        <w:t>3</w:t>
      </w:r>
      <w:r>
        <w:rPr/>
        <w:t>）不重要的联营企业的汇总财务信息</w:t>
      </w:r>
    </w:p>
    <w:p>
      <w:pPr>
        <w:spacing w:line="240" w:lineRule="auto" w:before="5"/>
        <w:rPr>
          <w:rFonts w:ascii="华文细黑" w:hAnsi="华文细黑" w:cs="华文细黑" w:eastAsia="华文细黑" w:hint="default"/>
          <w:sz w:val="5"/>
          <w:szCs w:val="5"/>
        </w:rPr>
      </w:pPr>
    </w:p>
    <w:tbl>
      <w:tblPr>
        <w:tblW w:w="0" w:type="auto"/>
        <w:jc w:val="left"/>
        <w:tblInd w:w="460" w:type="dxa"/>
        <w:tblLayout w:type="fixed"/>
        <w:tblCellMar>
          <w:top w:w="0" w:type="dxa"/>
          <w:left w:w="0" w:type="dxa"/>
          <w:bottom w:w="0" w:type="dxa"/>
          <w:right w:w="0" w:type="dxa"/>
        </w:tblCellMar>
        <w:tblLook w:val="01E0"/>
      </w:tblPr>
      <w:tblGrid>
        <w:gridCol w:w="3900"/>
        <w:gridCol w:w="2578"/>
        <w:gridCol w:w="2630"/>
      </w:tblGrid>
      <w:tr>
        <w:trPr>
          <w:trHeight w:val="491" w:hRule="exact"/>
        </w:trPr>
        <w:tc>
          <w:tcPr>
            <w:tcW w:w="390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5"/>
              <w:ind w:right="1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5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43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本年发生额</w:t>
            </w:r>
          </w:p>
        </w:tc>
        <w:tc>
          <w:tcPr>
            <w:tcW w:w="263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46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上年发生额</w:t>
            </w:r>
          </w:p>
        </w:tc>
      </w:tr>
      <w:tr>
        <w:trPr>
          <w:trHeight w:val="490" w:hRule="exact"/>
        </w:trPr>
        <w:tc>
          <w:tcPr>
            <w:tcW w:w="390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联营企业：</w:t>
            </w:r>
          </w:p>
        </w:tc>
        <w:tc>
          <w:tcPr>
            <w:tcW w:w="2578"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630"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1" w:hRule="exact"/>
        </w:trPr>
        <w:tc>
          <w:tcPr>
            <w:tcW w:w="390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投资账面价值合计</w:t>
            </w:r>
          </w:p>
        </w:tc>
        <w:tc>
          <w:tcPr>
            <w:tcW w:w="2578"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32,738,065.61</w:t>
            </w:r>
          </w:p>
        </w:tc>
        <w:tc>
          <w:tcPr>
            <w:tcW w:w="26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30,331,713.93</w:t>
            </w:r>
          </w:p>
        </w:tc>
      </w:tr>
      <w:tr>
        <w:trPr>
          <w:trHeight w:val="490" w:hRule="exact"/>
        </w:trPr>
        <w:tc>
          <w:tcPr>
            <w:tcW w:w="390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下列各项按持股比例计算的合计数</w:t>
            </w:r>
          </w:p>
        </w:tc>
        <w:tc>
          <w:tcPr>
            <w:tcW w:w="2578"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630"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0" w:hRule="exact"/>
        </w:trPr>
        <w:tc>
          <w:tcPr>
            <w:tcW w:w="390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—净利润</w:t>
            </w:r>
          </w:p>
        </w:tc>
        <w:tc>
          <w:tcPr>
            <w:tcW w:w="2578"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-214,258.50</w:t>
            </w:r>
          </w:p>
        </w:tc>
        <w:tc>
          <w:tcPr>
            <w:tcW w:w="26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394,329.68</w:t>
            </w:r>
          </w:p>
        </w:tc>
      </w:tr>
      <w:tr>
        <w:trPr>
          <w:trHeight w:val="490" w:hRule="exact"/>
        </w:trPr>
        <w:tc>
          <w:tcPr>
            <w:tcW w:w="390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—其他综合收益</w:t>
            </w:r>
          </w:p>
        </w:tc>
        <w:tc>
          <w:tcPr>
            <w:tcW w:w="2578"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84"/>
              <w:ind w:right="19"/>
              <w:jc w:val="right"/>
              <w:rPr>
                <w:rFonts w:ascii="华文细黑" w:hAnsi="华文细黑" w:cs="华文细黑" w:eastAsia="华文细黑" w:hint="default"/>
                <w:sz w:val="18"/>
                <w:szCs w:val="18"/>
              </w:rPr>
            </w:pPr>
            <w:r>
              <w:rPr>
                <w:rFonts w:ascii="华文细黑"/>
                <w:sz w:val="18"/>
              </w:rPr>
              <w:t>---</w:t>
            </w:r>
          </w:p>
        </w:tc>
        <w:tc>
          <w:tcPr>
            <w:tcW w:w="26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390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—综合收益总额</w:t>
            </w:r>
          </w:p>
        </w:tc>
        <w:tc>
          <w:tcPr>
            <w:tcW w:w="2578"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b/>
                <w:w w:val="95"/>
                <w:sz w:val="18"/>
              </w:rPr>
              <w:t>-214,258.50</w:t>
            </w:r>
            <w:r>
              <w:rPr>
                <w:rFonts w:ascii="华文细黑"/>
                <w:sz w:val="18"/>
              </w:rPr>
            </w:r>
          </w:p>
        </w:tc>
        <w:tc>
          <w:tcPr>
            <w:tcW w:w="263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w w:val="95"/>
                <w:sz w:val="18"/>
              </w:rPr>
              <w:t>394,329.68</w:t>
            </w:r>
            <w:r>
              <w:rPr>
                <w:rFonts w:ascii="华文细黑"/>
                <w:sz w:val="18"/>
              </w:rPr>
            </w:r>
          </w:p>
        </w:tc>
      </w:tr>
    </w:tbl>
    <w:p>
      <w:pPr>
        <w:pStyle w:val="Heading4"/>
        <w:spacing w:line="240" w:lineRule="auto" w:before="31"/>
        <w:ind w:left="980" w:right="1416"/>
        <w:jc w:val="left"/>
        <w:rPr>
          <w:b w:val="0"/>
          <w:bCs w:val="0"/>
        </w:rPr>
      </w:pPr>
      <w:bookmarkStart w:name="九、与金融工具相关的风险" w:id="326"/>
      <w:bookmarkEnd w:id="326"/>
      <w:r>
        <w:rPr>
          <w:b w:val="0"/>
          <w:bCs w:val="0"/>
        </w:rPr>
      </w:r>
      <w:r>
        <w:rPr/>
        <w:t>九、与金融工具相关的风险</w:t>
      </w:r>
      <w:r>
        <w:rPr>
          <w:b w:val="0"/>
          <w:bCs w:val="0"/>
        </w:rPr>
      </w:r>
    </w:p>
    <w:p>
      <w:pPr>
        <w:pStyle w:val="BodyText"/>
        <w:spacing w:line="324" w:lineRule="auto" w:before="136"/>
        <w:ind w:left="500" w:right="1437" w:firstLine="420"/>
        <w:jc w:val="both"/>
      </w:pPr>
      <w:r>
        <w:rPr>
          <w:spacing w:val="-1"/>
        </w:rPr>
        <w:t>本公司的主要金融工具包括股权投资、债权投资、借款、应收账款、发放贷款及垫款、应付账</w:t>
      </w:r>
      <w:r>
        <w:rPr/>
        <w:t> 款、可转换债券等，各项金融工具的详细情况说明见本附注六相关项目。与这些金融工具有关的风 险，以及本公司为降低这些风险所采取的风险管理政策如下所述。本公司管理层对这些风险敞口进 行管理和监控以确保将上述风险控制在限定的范围之内。</w:t>
      </w:r>
    </w:p>
    <w:p>
      <w:pPr>
        <w:pStyle w:val="BodyText"/>
        <w:spacing w:line="324" w:lineRule="auto" w:before="63"/>
        <w:ind w:left="500" w:right="1434" w:firstLine="420"/>
        <w:jc w:val="both"/>
      </w:pPr>
      <w:r>
        <w:rPr/>
        <w:t>本公司采用敏感性分析技术分析风险变量的合理、可能变化对当期损益或股东权益可能产生的 影响。由于任何风险变量很少孤立地发生变化，而变量之间存在的相关性对某一风险变量的变化的 最终影响金额将产生重大作用，因此下述内容是在假设每一变量的变化是在独立的情况下进行的。</w:t>
      </w:r>
    </w:p>
    <w:p>
      <w:pPr>
        <w:spacing w:line="355" w:lineRule="auto" w:before="65"/>
        <w:ind w:left="920" w:right="1416" w:firstLine="0"/>
        <w:jc w:val="left"/>
        <w:rPr>
          <w:rFonts w:ascii="华文细黑" w:hAnsi="华文细黑" w:cs="华文细黑" w:eastAsia="华文细黑" w:hint="default"/>
          <w:sz w:val="21"/>
          <w:szCs w:val="21"/>
        </w:rPr>
      </w:pPr>
      <w:r>
        <w:rPr>
          <w:rFonts w:ascii="华文细黑" w:hAnsi="华文细黑" w:cs="华文细黑" w:eastAsia="华文细黑" w:hint="default"/>
          <w:b/>
          <w:bCs/>
          <w:sz w:val="21"/>
          <w:szCs w:val="21"/>
        </w:rPr>
        <w:t>（一）风险管理目标和政策</w:t>
      </w:r>
      <w:r>
        <w:rPr>
          <w:rFonts w:ascii="华文细黑" w:hAnsi="华文细黑" w:cs="华文细黑" w:eastAsia="华文细黑" w:hint="default"/>
          <w:b/>
          <w:bCs/>
          <w:w w:val="99"/>
          <w:sz w:val="21"/>
          <w:szCs w:val="21"/>
        </w:rPr>
        <w:t> </w:t>
      </w:r>
      <w:r>
        <w:rPr>
          <w:rFonts w:ascii="华文细黑" w:hAnsi="华文细黑" w:cs="华文细黑" w:eastAsia="华文细黑" w:hint="default"/>
          <w:sz w:val="21"/>
          <w:szCs w:val="21"/>
        </w:rPr>
        <w:t>本公司从事风险管理的目标是在风险和收益之间取得适当的平衡，将风险对本公司经营业绩的</w:t>
      </w:r>
    </w:p>
    <w:p>
      <w:pPr>
        <w:pStyle w:val="BodyText"/>
        <w:spacing w:line="292" w:lineRule="exact"/>
        <w:ind w:left="500" w:right="0"/>
        <w:jc w:val="left"/>
      </w:pPr>
      <w:r>
        <w:rPr/>
        <w:t>负面影响降低到最低水平，使股东及其其他权益投资者的利益最大化。基于该风险管理目标，本公</w:t>
      </w:r>
    </w:p>
    <w:p>
      <w:pPr>
        <w:spacing w:after="0" w:line="292" w:lineRule="exact"/>
        <w:jc w:val="left"/>
        <w:sectPr>
          <w:pgSz w:w="11910" w:h="16840"/>
          <w:pgMar w:header="917" w:footer="1019" w:top="1100" w:bottom="1200" w:left="940" w:right="0"/>
        </w:sectPr>
      </w:pPr>
    </w:p>
    <w:p>
      <w:pPr>
        <w:spacing w:line="240" w:lineRule="auto" w:before="9"/>
        <w:rPr>
          <w:rFonts w:ascii="华文细黑" w:hAnsi="华文细黑" w:cs="华文细黑" w:eastAsia="华文细黑" w:hint="default"/>
          <w:sz w:val="27"/>
          <w:szCs w:val="27"/>
        </w:rPr>
      </w:pPr>
    </w:p>
    <w:p>
      <w:pPr>
        <w:pStyle w:val="BodyText"/>
        <w:spacing w:line="324" w:lineRule="auto" w:before="10"/>
        <w:ind w:right="1437"/>
        <w:jc w:val="both"/>
      </w:pPr>
      <w:r>
        <w:rPr/>
        <w:t>司风险管理的基本策略是确定和分析本公司所面临的各种风险，建立适当的风险承受底线和进行风 险管理，并及时可靠地对各种风险进行监督，将风险控制在限定的范围之内。</w:t>
      </w:r>
    </w:p>
    <w:p>
      <w:pPr>
        <w:pStyle w:val="Heading5"/>
        <w:spacing w:line="240" w:lineRule="auto" w:before="64"/>
        <w:ind w:left="560" w:right="1246"/>
        <w:jc w:val="left"/>
        <w:rPr>
          <w:b w:val="0"/>
          <w:bCs w:val="0"/>
        </w:rPr>
      </w:pPr>
      <w:bookmarkStart w:name="1、市场风险" w:id="327"/>
      <w:bookmarkEnd w:id="327"/>
      <w:r>
        <w:rPr>
          <w:b w:val="0"/>
          <w:bCs w:val="0"/>
        </w:rPr>
      </w:r>
      <w:r>
        <w:rPr>
          <w:rFonts w:ascii="华文细黑" w:hAnsi="华文细黑" w:cs="华文细黑" w:eastAsia="华文细黑" w:hint="default"/>
        </w:rPr>
        <w:t>1</w:t>
      </w:r>
      <w:r>
        <w:rPr/>
        <w:t>、市场风险</w:t>
      </w:r>
      <w:r>
        <w:rPr>
          <w:b w:val="0"/>
          <w:bCs w:val="0"/>
        </w:rPr>
      </w:r>
    </w:p>
    <w:p>
      <w:pPr>
        <w:pStyle w:val="BodyText"/>
        <w:spacing w:line="355" w:lineRule="auto" w:before="144"/>
        <w:ind w:left="560" w:right="1246"/>
        <w:jc w:val="left"/>
      </w:pPr>
      <w:r>
        <w:rPr/>
        <w:t>（</w:t>
      </w:r>
      <w:r>
        <w:rPr>
          <w:rFonts w:ascii="华文细黑" w:hAnsi="华文细黑" w:cs="华文细黑" w:eastAsia="华文细黑" w:hint="default"/>
        </w:rPr>
        <w:t>1</w:t>
      </w:r>
      <w:r>
        <w:rPr/>
        <w:t>）外汇风险 </w:t>
      </w:r>
      <w:r>
        <w:rPr>
          <w:spacing w:val="-1"/>
        </w:rPr>
        <w:t>外汇风险指因汇率变动产生损失的风险。本公司承受外汇风险主要与港币、美元有关，除本公</w:t>
      </w:r>
    </w:p>
    <w:p>
      <w:pPr>
        <w:pStyle w:val="BodyText"/>
        <w:spacing w:line="324" w:lineRule="auto"/>
        <w:ind w:right="1438"/>
        <w:jc w:val="both"/>
      </w:pPr>
      <w:r>
        <w:rPr>
          <w:spacing w:val="-1"/>
        </w:rPr>
        <w:t>司的几个下属子企业以港币、美元进行采购和销售外，本公司的其他主要业务活动以人民币计价结</w:t>
      </w:r>
      <w:r>
        <w:rPr>
          <w:spacing w:val="-16"/>
        </w:rPr>
        <w:t> </w:t>
      </w:r>
      <w:r>
        <w:rPr>
          <w:spacing w:val="-16"/>
        </w:rPr>
      </w:r>
      <w:r>
        <w:rPr/>
        <w:t>算。于 </w:t>
      </w:r>
      <w:r>
        <w:rPr>
          <w:rFonts w:ascii="华文细黑" w:hAnsi="华文细黑" w:cs="华文细黑" w:eastAsia="华文细黑" w:hint="default"/>
        </w:rPr>
        <w:t>2018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31</w:t>
      </w:r>
      <w:r>
        <w:rPr>
          <w:rFonts w:ascii="华文细黑" w:hAnsi="华文细黑" w:cs="华文细黑" w:eastAsia="华文细黑" w:hint="default"/>
          <w:spacing w:val="5"/>
        </w:rPr>
        <w:t> </w:t>
      </w:r>
      <w:r>
        <w:rPr/>
        <w:t>日，除下表所述资产或负债为美元、港币余额外，本公司的资产及负债均 为人民币余额。该等外币余额的资产和负债产生的外汇风险可能对本公司的经营业绩产生影响。</w:t>
      </w:r>
    </w:p>
    <w:tbl>
      <w:tblPr>
        <w:tblW w:w="0" w:type="auto"/>
        <w:jc w:val="left"/>
        <w:tblInd w:w="135" w:type="dxa"/>
        <w:tblLayout w:type="fixed"/>
        <w:tblCellMar>
          <w:top w:w="0" w:type="dxa"/>
          <w:left w:w="0" w:type="dxa"/>
          <w:bottom w:w="0" w:type="dxa"/>
          <w:right w:w="0" w:type="dxa"/>
        </w:tblCellMar>
        <w:tblLook w:val="01E0"/>
      </w:tblPr>
      <w:tblGrid>
        <w:gridCol w:w="4548"/>
        <w:gridCol w:w="2402"/>
        <w:gridCol w:w="2098"/>
      </w:tblGrid>
      <w:tr>
        <w:trPr>
          <w:trHeight w:val="497" w:hRule="exact"/>
        </w:trPr>
        <w:tc>
          <w:tcPr>
            <w:tcW w:w="4548" w:type="dxa"/>
            <w:tcBorders>
              <w:top w:val="single" w:sz="4" w:space="0" w:color="FFC000"/>
              <w:left w:val="single" w:sz="4" w:space="0" w:color="FFC000"/>
              <w:bottom w:val="single" w:sz="10" w:space="0" w:color="FFFFFF"/>
              <w:right w:val="single" w:sz="4" w:space="0" w:color="FFC000"/>
            </w:tcBorders>
            <w:shd w:val="clear" w:color="auto" w:fill="FFF8E6"/>
          </w:tcPr>
          <w:p>
            <w:pPr>
              <w:pStyle w:val="TableParagraph"/>
              <w:spacing w:line="240" w:lineRule="auto" w:before="1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2402" w:type="dxa"/>
            <w:tcBorders>
              <w:top w:val="single" w:sz="4" w:space="0" w:color="FFC000"/>
              <w:left w:val="single" w:sz="4" w:space="0" w:color="FFC000"/>
              <w:bottom w:val="single" w:sz="10" w:space="0" w:color="FFFFFF"/>
              <w:right w:val="single" w:sz="4" w:space="0" w:color="FFC000"/>
            </w:tcBorders>
            <w:shd w:val="clear" w:color="auto" w:fill="FFF8E6"/>
          </w:tcPr>
          <w:p>
            <w:pPr>
              <w:pStyle w:val="TableParagraph"/>
              <w:spacing w:line="240" w:lineRule="auto" w:before="141"/>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年末数</w:t>
            </w:r>
          </w:p>
        </w:tc>
        <w:tc>
          <w:tcPr>
            <w:tcW w:w="2098" w:type="dxa"/>
            <w:tcBorders>
              <w:top w:val="single" w:sz="4" w:space="0" w:color="FFC000"/>
              <w:left w:val="single" w:sz="4" w:space="0" w:color="FFC000"/>
              <w:bottom w:val="single" w:sz="10" w:space="0" w:color="FFFFFF"/>
              <w:right w:val="single" w:sz="4" w:space="0" w:color="FFC000"/>
            </w:tcBorders>
            <w:shd w:val="clear" w:color="auto" w:fill="FFF8E6"/>
          </w:tcPr>
          <w:p>
            <w:pPr>
              <w:pStyle w:val="TableParagraph"/>
              <w:spacing w:line="240" w:lineRule="auto" w:before="141"/>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年初数</w:t>
            </w:r>
          </w:p>
        </w:tc>
      </w:tr>
      <w:tr>
        <w:trPr>
          <w:trHeight w:val="394" w:hRule="exact"/>
        </w:trPr>
        <w:tc>
          <w:tcPr>
            <w:tcW w:w="4548" w:type="dxa"/>
            <w:tcBorders>
              <w:top w:val="single" w:sz="10" w:space="0" w:color="FFFFFF"/>
              <w:left w:val="single" w:sz="4" w:space="0" w:color="FFC000"/>
              <w:bottom w:val="single" w:sz="4" w:space="0" w:color="FFC000"/>
              <w:right w:val="single" w:sz="4" w:space="0" w:color="FFC000"/>
            </w:tcBorders>
            <w:shd w:val="clear" w:color="auto" w:fill="FFF8E6"/>
          </w:tcPr>
          <w:p>
            <w:pPr>
              <w:pStyle w:val="TableParagraph"/>
              <w:spacing w:line="240" w:lineRule="auto" w:before="2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现金及现金等价物</w:t>
            </w:r>
          </w:p>
        </w:tc>
        <w:tc>
          <w:tcPr>
            <w:tcW w:w="2402" w:type="dxa"/>
            <w:tcBorders>
              <w:top w:val="single" w:sz="10" w:space="0" w:color="FFFFFF"/>
              <w:left w:val="single" w:sz="4" w:space="0" w:color="FFC000"/>
              <w:bottom w:val="single" w:sz="4" w:space="0" w:color="FFC000"/>
              <w:right w:val="single" w:sz="4" w:space="0" w:color="FFC000"/>
            </w:tcBorders>
            <w:shd w:val="clear" w:color="auto" w:fill="FFF8E6"/>
          </w:tcPr>
          <w:p>
            <w:pPr/>
          </w:p>
        </w:tc>
        <w:tc>
          <w:tcPr>
            <w:tcW w:w="2098" w:type="dxa"/>
            <w:tcBorders>
              <w:top w:val="single" w:sz="10" w:space="0" w:color="FFFFFF"/>
              <w:left w:val="single" w:sz="4" w:space="0" w:color="FFC000"/>
              <w:bottom w:val="single" w:sz="4" w:space="0" w:color="FFC000"/>
              <w:right w:val="single" w:sz="4" w:space="0" w:color="FFC000"/>
            </w:tcBorders>
            <w:shd w:val="clear" w:color="auto" w:fill="FFF8E6"/>
          </w:tcPr>
          <w:p>
            <w:pPr/>
          </w:p>
        </w:tc>
      </w:tr>
      <w:tr>
        <w:trPr>
          <w:trHeight w:val="497"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美元：</w:t>
            </w:r>
          </w:p>
        </w:tc>
        <w:tc>
          <w:tcPr>
            <w:tcW w:w="24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8"/>
              <w:ind w:right="100"/>
              <w:jc w:val="right"/>
              <w:rPr>
                <w:rFonts w:ascii="华文细黑" w:hAnsi="华文细黑" w:cs="华文细黑" w:eastAsia="华文细黑" w:hint="default"/>
                <w:sz w:val="18"/>
                <w:szCs w:val="18"/>
              </w:rPr>
            </w:pPr>
            <w:r>
              <w:rPr>
                <w:rFonts w:ascii="华文细黑"/>
                <w:sz w:val="18"/>
              </w:rPr>
              <w:t>1,781,986.67</w:t>
            </w:r>
          </w:p>
        </w:tc>
        <w:tc>
          <w:tcPr>
            <w:tcW w:w="209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8"/>
              <w:ind w:right="101"/>
              <w:jc w:val="right"/>
              <w:rPr>
                <w:rFonts w:ascii="华文细黑" w:hAnsi="华文细黑" w:cs="华文细黑" w:eastAsia="华文细黑" w:hint="default"/>
                <w:sz w:val="18"/>
                <w:szCs w:val="18"/>
              </w:rPr>
            </w:pPr>
            <w:r>
              <w:rPr>
                <w:rFonts w:ascii="华文细黑"/>
                <w:sz w:val="18"/>
              </w:rPr>
              <w:t>48,358,554.35</w:t>
            </w:r>
          </w:p>
        </w:tc>
      </w:tr>
      <w:tr>
        <w:trPr>
          <w:trHeight w:val="496"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港币：</w:t>
            </w:r>
          </w:p>
        </w:tc>
        <w:tc>
          <w:tcPr>
            <w:tcW w:w="24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1"/>
              <w:ind w:right="100"/>
              <w:jc w:val="right"/>
              <w:rPr>
                <w:rFonts w:ascii="华文细黑" w:hAnsi="华文细黑" w:cs="华文细黑" w:eastAsia="华文细黑" w:hint="default"/>
                <w:sz w:val="18"/>
                <w:szCs w:val="18"/>
              </w:rPr>
            </w:pPr>
            <w:r>
              <w:rPr>
                <w:rFonts w:ascii="华文细黑"/>
                <w:sz w:val="18"/>
              </w:rPr>
              <w:t>6,730,567.89</w:t>
            </w:r>
          </w:p>
        </w:tc>
        <w:tc>
          <w:tcPr>
            <w:tcW w:w="209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1"/>
              <w:ind w:right="101"/>
              <w:jc w:val="right"/>
              <w:rPr>
                <w:rFonts w:ascii="华文细黑" w:hAnsi="华文细黑" w:cs="华文细黑" w:eastAsia="华文细黑" w:hint="default"/>
                <w:sz w:val="18"/>
                <w:szCs w:val="18"/>
              </w:rPr>
            </w:pPr>
            <w:r>
              <w:rPr>
                <w:rFonts w:ascii="华文细黑"/>
                <w:sz w:val="18"/>
              </w:rPr>
              <w:t>12,632,454.69</w:t>
            </w:r>
          </w:p>
        </w:tc>
      </w:tr>
      <w:tr>
        <w:trPr>
          <w:trHeight w:val="480"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7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应收账款</w:t>
            </w:r>
          </w:p>
        </w:tc>
        <w:tc>
          <w:tcPr>
            <w:tcW w:w="2402"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098"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9"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美元：</w:t>
            </w:r>
          </w:p>
        </w:tc>
        <w:tc>
          <w:tcPr>
            <w:tcW w:w="24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101"/>
              <w:jc w:val="right"/>
              <w:rPr>
                <w:rFonts w:ascii="华文细黑" w:hAnsi="华文细黑" w:cs="华文细黑" w:eastAsia="华文细黑" w:hint="default"/>
                <w:sz w:val="18"/>
                <w:szCs w:val="18"/>
              </w:rPr>
            </w:pPr>
            <w:r>
              <w:rPr>
                <w:rFonts w:ascii="华文细黑"/>
                <w:sz w:val="18"/>
              </w:rPr>
              <w:t>11,094,942.15</w:t>
            </w:r>
          </w:p>
        </w:tc>
        <w:tc>
          <w:tcPr>
            <w:tcW w:w="209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101"/>
              <w:jc w:val="right"/>
              <w:rPr>
                <w:rFonts w:ascii="华文细黑" w:hAnsi="华文细黑" w:cs="华文细黑" w:eastAsia="华文细黑" w:hint="default"/>
                <w:sz w:val="18"/>
                <w:szCs w:val="18"/>
              </w:rPr>
            </w:pPr>
            <w:r>
              <w:rPr>
                <w:rFonts w:ascii="华文细黑"/>
                <w:w w:val="95"/>
                <w:sz w:val="18"/>
              </w:rPr>
              <w:t>257,947.35</w:t>
            </w:r>
          </w:p>
        </w:tc>
      </w:tr>
      <w:tr>
        <w:trPr>
          <w:trHeight w:val="485"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7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预付账款</w:t>
            </w:r>
          </w:p>
        </w:tc>
        <w:tc>
          <w:tcPr>
            <w:tcW w:w="2402"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098"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5"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美元：</w:t>
            </w:r>
          </w:p>
        </w:tc>
        <w:tc>
          <w:tcPr>
            <w:tcW w:w="24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2"/>
              <w:ind w:right="100"/>
              <w:jc w:val="right"/>
              <w:rPr>
                <w:rFonts w:ascii="华文细黑" w:hAnsi="华文细黑" w:cs="华文细黑" w:eastAsia="华文细黑" w:hint="default"/>
                <w:sz w:val="18"/>
                <w:szCs w:val="18"/>
              </w:rPr>
            </w:pPr>
            <w:r>
              <w:rPr>
                <w:rFonts w:ascii="华文细黑"/>
                <w:sz w:val="18"/>
              </w:rPr>
              <w:t>1,201,315.58</w:t>
            </w:r>
          </w:p>
        </w:tc>
        <w:tc>
          <w:tcPr>
            <w:tcW w:w="209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2"/>
              <w:ind w:right="101"/>
              <w:jc w:val="right"/>
              <w:rPr>
                <w:rFonts w:ascii="华文细黑" w:hAnsi="华文细黑" w:cs="华文细黑" w:eastAsia="华文细黑" w:hint="default"/>
                <w:sz w:val="18"/>
                <w:szCs w:val="18"/>
              </w:rPr>
            </w:pPr>
            <w:r>
              <w:rPr>
                <w:rFonts w:ascii="华文细黑"/>
                <w:sz w:val="18"/>
              </w:rPr>
              <w:t>34,918,010.36</w:t>
            </w:r>
          </w:p>
        </w:tc>
      </w:tr>
      <w:tr>
        <w:trPr>
          <w:trHeight w:val="480"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7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其他应收款：</w:t>
            </w:r>
          </w:p>
        </w:tc>
        <w:tc>
          <w:tcPr>
            <w:tcW w:w="2402"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098"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5"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美元：</w:t>
            </w:r>
          </w:p>
        </w:tc>
        <w:tc>
          <w:tcPr>
            <w:tcW w:w="24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101"/>
              <w:jc w:val="right"/>
              <w:rPr>
                <w:rFonts w:ascii="华文细黑" w:hAnsi="华文细黑" w:cs="华文细黑" w:eastAsia="华文细黑" w:hint="default"/>
                <w:sz w:val="18"/>
                <w:szCs w:val="18"/>
              </w:rPr>
            </w:pPr>
            <w:r>
              <w:rPr>
                <w:rFonts w:ascii="华文细黑"/>
                <w:w w:val="95"/>
                <w:sz w:val="18"/>
              </w:rPr>
              <w:t>255,989.11</w:t>
            </w:r>
          </w:p>
        </w:tc>
        <w:tc>
          <w:tcPr>
            <w:tcW w:w="209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101"/>
              <w:jc w:val="right"/>
              <w:rPr>
                <w:rFonts w:ascii="华文细黑" w:hAnsi="华文细黑" w:cs="华文细黑" w:eastAsia="华文细黑" w:hint="default"/>
                <w:sz w:val="18"/>
                <w:szCs w:val="18"/>
              </w:rPr>
            </w:pPr>
            <w:r>
              <w:rPr>
                <w:rFonts w:ascii="华文细黑"/>
                <w:sz w:val="18"/>
              </w:rPr>
              <w:t>6,979.64</w:t>
            </w:r>
          </w:p>
        </w:tc>
      </w:tr>
      <w:tr>
        <w:trPr>
          <w:trHeight w:val="495"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港币：</w:t>
            </w:r>
          </w:p>
        </w:tc>
        <w:tc>
          <w:tcPr>
            <w:tcW w:w="24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2"/>
              <w:ind w:right="100"/>
              <w:jc w:val="right"/>
              <w:rPr>
                <w:rFonts w:ascii="华文细黑" w:hAnsi="华文细黑" w:cs="华文细黑" w:eastAsia="华文细黑" w:hint="default"/>
                <w:sz w:val="18"/>
                <w:szCs w:val="18"/>
              </w:rPr>
            </w:pPr>
            <w:r>
              <w:rPr>
                <w:rFonts w:ascii="华文细黑"/>
                <w:sz w:val="18"/>
              </w:rPr>
              <w:t>---</w:t>
            </w:r>
          </w:p>
        </w:tc>
        <w:tc>
          <w:tcPr>
            <w:tcW w:w="209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2"/>
              <w:ind w:right="100"/>
              <w:jc w:val="right"/>
              <w:rPr>
                <w:rFonts w:ascii="华文细黑" w:hAnsi="华文细黑" w:cs="华文细黑" w:eastAsia="华文细黑" w:hint="default"/>
                <w:sz w:val="18"/>
                <w:szCs w:val="18"/>
              </w:rPr>
            </w:pPr>
            <w:r>
              <w:rPr>
                <w:rFonts w:ascii="华文细黑"/>
                <w:sz w:val="18"/>
              </w:rPr>
              <w:t>1,174,559.94</w:t>
            </w:r>
          </w:p>
        </w:tc>
      </w:tr>
      <w:tr>
        <w:trPr>
          <w:trHeight w:val="480"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7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可供出售金融资产</w:t>
            </w:r>
          </w:p>
        </w:tc>
        <w:tc>
          <w:tcPr>
            <w:tcW w:w="2402"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098"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500"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港币：</w:t>
            </w:r>
          </w:p>
        </w:tc>
        <w:tc>
          <w:tcPr>
            <w:tcW w:w="24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101"/>
              <w:jc w:val="right"/>
              <w:rPr>
                <w:rFonts w:ascii="华文细黑" w:hAnsi="华文细黑" w:cs="华文细黑" w:eastAsia="华文细黑" w:hint="default"/>
                <w:sz w:val="18"/>
                <w:szCs w:val="18"/>
              </w:rPr>
            </w:pPr>
            <w:r>
              <w:rPr>
                <w:rFonts w:ascii="华文细黑"/>
                <w:sz w:val="18"/>
              </w:rPr>
              <w:t>98,677,168.43</w:t>
            </w:r>
          </w:p>
        </w:tc>
        <w:tc>
          <w:tcPr>
            <w:tcW w:w="209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101"/>
              <w:jc w:val="right"/>
              <w:rPr>
                <w:rFonts w:ascii="华文细黑" w:hAnsi="华文细黑" w:cs="华文细黑" w:eastAsia="华文细黑" w:hint="default"/>
                <w:sz w:val="18"/>
                <w:szCs w:val="18"/>
              </w:rPr>
            </w:pPr>
            <w:r>
              <w:rPr>
                <w:rFonts w:ascii="华文细黑"/>
                <w:sz w:val="18"/>
              </w:rPr>
              <w:t>792,999,200.00</w:t>
            </w:r>
          </w:p>
        </w:tc>
      </w:tr>
      <w:tr>
        <w:trPr>
          <w:trHeight w:val="480"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7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短期借款</w:t>
            </w:r>
          </w:p>
        </w:tc>
        <w:tc>
          <w:tcPr>
            <w:tcW w:w="2402"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098"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9"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港币：</w:t>
            </w:r>
          </w:p>
        </w:tc>
        <w:tc>
          <w:tcPr>
            <w:tcW w:w="24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101"/>
              <w:jc w:val="right"/>
              <w:rPr>
                <w:rFonts w:ascii="华文细黑" w:hAnsi="华文细黑" w:cs="华文细黑" w:eastAsia="华文细黑" w:hint="default"/>
                <w:sz w:val="18"/>
                <w:szCs w:val="18"/>
              </w:rPr>
            </w:pPr>
            <w:r>
              <w:rPr>
                <w:rFonts w:ascii="华文细黑"/>
                <w:sz w:val="18"/>
              </w:rPr>
              <w:t>574,000,000.00</w:t>
            </w:r>
          </w:p>
        </w:tc>
        <w:tc>
          <w:tcPr>
            <w:tcW w:w="209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101"/>
              <w:jc w:val="right"/>
              <w:rPr>
                <w:rFonts w:ascii="华文细黑" w:hAnsi="华文细黑" w:cs="华文细黑" w:eastAsia="华文细黑" w:hint="default"/>
                <w:sz w:val="18"/>
                <w:szCs w:val="18"/>
              </w:rPr>
            </w:pPr>
            <w:r>
              <w:rPr>
                <w:rFonts w:ascii="华文细黑"/>
                <w:sz w:val="18"/>
              </w:rPr>
              <w:t>529,966,940.00</w:t>
            </w:r>
          </w:p>
        </w:tc>
      </w:tr>
      <w:tr>
        <w:trPr>
          <w:trHeight w:val="485"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7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应付账款</w:t>
            </w:r>
          </w:p>
        </w:tc>
        <w:tc>
          <w:tcPr>
            <w:tcW w:w="2402"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098"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5"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港币：</w:t>
            </w:r>
          </w:p>
        </w:tc>
        <w:tc>
          <w:tcPr>
            <w:tcW w:w="24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2"/>
              <w:ind w:right="100"/>
              <w:jc w:val="right"/>
              <w:rPr>
                <w:rFonts w:ascii="华文细黑" w:hAnsi="华文细黑" w:cs="华文细黑" w:eastAsia="华文细黑" w:hint="default"/>
                <w:sz w:val="18"/>
                <w:szCs w:val="18"/>
              </w:rPr>
            </w:pPr>
            <w:r>
              <w:rPr>
                <w:rFonts w:ascii="华文细黑"/>
                <w:sz w:val="18"/>
              </w:rPr>
              <w:t>1,475,344.12</w:t>
            </w:r>
          </w:p>
        </w:tc>
        <w:tc>
          <w:tcPr>
            <w:tcW w:w="209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2"/>
              <w:ind w:right="100"/>
              <w:jc w:val="right"/>
              <w:rPr>
                <w:rFonts w:ascii="华文细黑" w:hAnsi="华文细黑" w:cs="华文细黑" w:eastAsia="华文细黑" w:hint="default"/>
                <w:sz w:val="18"/>
                <w:szCs w:val="18"/>
              </w:rPr>
            </w:pPr>
            <w:r>
              <w:rPr>
                <w:rFonts w:ascii="华文细黑"/>
                <w:sz w:val="18"/>
              </w:rPr>
              <w:t>4,765,008.50</w:t>
            </w:r>
          </w:p>
        </w:tc>
      </w:tr>
      <w:tr>
        <w:trPr>
          <w:trHeight w:val="480"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7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其他应付款：</w:t>
            </w:r>
          </w:p>
        </w:tc>
        <w:tc>
          <w:tcPr>
            <w:tcW w:w="2402"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098"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5"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美元：</w:t>
            </w:r>
          </w:p>
        </w:tc>
        <w:tc>
          <w:tcPr>
            <w:tcW w:w="24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101"/>
              <w:jc w:val="right"/>
              <w:rPr>
                <w:rFonts w:ascii="华文细黑" w:hAnsi="华文细黑" w:cs="华文细黑" w:eastAsia="华文细黑" w:hint="default"/>
                <w:sz w:val="18"/>
                <w:szCs w:val="18"/>
              </w:rPr>
            </w:pPr>
            <w:r>
              <w:rPr>
                <w:rFonts w:ascii="华文细黑"/>
                <w:w w:val="95"/>
                <w:sz w:val="18"/>
              </w:rPr>
              <w:t>243,260.57</w:t>
            </w:r>
          </w:p>
        </w:tc>
        <w:tc>
          <w:tcPr>
            <w:tcW w:w="209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100"/>
              <w:jc w:val="right"/>
              <w:rPr>
                <w:rFonts w:ascii="华文细黑" w:hAnsi="华文细黑" w:cs="华文细黑" w:eastAsia="华文细黑" w:hint="default"/>
                <w:sz w:val="18"/>
                <w:szCs w:val="18"/>
              </w:rPr>
            </w:pPr>
            <w:r>
              <w:rPr>
                <w:rFonts w:ascii="华文细黑"/>
                <w:sz w:val="18"/>
              </w:rPr>
              <w:t>1,947,571.56</w:t>
            </w:r>
          </w:p>
        </w:tc>
      </w:tr>
      <w:tr>
        <w:trPr>
          <w:trHeight w:val="495"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1"/>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港币：</w:t>
            </w:r>
          </w:p>
        </w:tc>
        <w:tc>
          <w:tcPr>
            <w:tcW w:w="24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2"/>
              <w:ind w:right="100"/>
              <w:jc w:val="right"/>
              <w:rPr>
                <w:rFonts w:ascii="华文细黑" w:hAnsi="华文细黑" w:cs="华文细黑" w:eastAsia="华文细黑" w:hint="default"/>
                <w:sz w:val="18"/>
                <w:szCs w:val="18"/>
              </w:rPr>
            </w:pPr>
            <w:r>
              <w:rPr>
                <w:rFonts w:ascii="华文细黑"/>
                <w:sz w:val="18"/>
              </w:rPr>
              <w:t>1,158,060.00</w:t>
            </w:r>
          </w:p>
        </w:tc>
        <w:tc>
          <w:tcPr>
            <w:tcW w:w="209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2"/>
              <w:ind w:right="101"/>
              <w:jc w:val="right"/>
              <w:rPr>
                <w:rFonts w:ascii="华文细黑" w:hAnsi="华文细黑" w:cs="华文细黑" w:eastAsia="华文细黑" w:hint="default"/>
                <w:sz w:val="18"/>
                <w:szCs w:val="18"/>
              </w:rPr>
            </w:pPr>
            <w:r>
              <w:rPr>
                <w:rFonts w:ascii="华文细黑"/>
                <w:sz w:val="18"/>
              </w:rPr>
              <w:t>---</w:t>
            </w:r>
          </w:p>
        </w:tc>
      </w:tr>
      <w:tr>
        <w:trPr>
          <w:trHeight w:val="485"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7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预收账款</w:t>
            </w:r>
          </w:p>
        </w:tc>
        <w:tc>
          <w:tcPr>
            <w:tcW w:w="2402"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098" w:type="dxa"/>
            <w:tcBorders>
              <w:top w:val="single" w:sz="4" w:space="0" w:color="FFC000"/>
              <w:left w:val="single" w:sz="4" w:space="0" w:color="FFC000"/>
              <w:bottom w:val="single" w:sz="4" w:space="0" w:color="FFC000"/>
              <w:right w:val="single" w:sz="4" w:space="0" w:color="FFC000"/>
            </w:tcBorders>
            <w:shd w:val="clear" w:color="auto" w:fill="FFF8E6"/>
          </w:tcPr>
          <w:p>
            <w:pPr/>
          </w:p>
        </w:tc>
      </w:tr>
    </w:tbl>
    <w:p>
      <w:pPr>
        <w:spacing w:after="0"/>
        <w:sectPr>
          <w:pgSz w:w="11910" w:h="16840"/>
          <w:pgMar w:header="917" w:footer="1019" w:top="1100" w:bottom="1200" w:left="1300" w:right="0"/>
        </w:sectPr>
      </w:pPr>
    </w:p>
    <w:p>
      <w:pPr>
        <w:spacing w:line="240" w:lineRule="auto" w:before="8"/>
        <w:rPr>
          <w:rFonts w:ascii="华文细黑" w:hAnsi="华文细黑" w:cs="华文细黑" w:eastAsia="华文细黑" w:hint="default"/>
          <w:sz w:val="23"/>
          <w:szCs w:val="23"/>
        </w:rPr>
      </w:pPr>
    </w:p>
    <w:tbl>
      <w:tblPr>
        <w:tblW w:w="0" w:type="auto"/>
        <w:jc w:val="left"/>
        <w:tblInd w:w="135" w:type="dxa"/>
        <w:tblLayout w:type="fixed"/>
        <w:tblCellMar>
          <w:top w:w="0" w:type="dxa"/>
          <w:left w:w="0" w:type="dxa"/>
          <w:bottom w:w="0" w:type="dxa"/>
          <w:right w:w="0" w:type="dxa"/>
        </w:tblCellMar>
        <w:tblLook w:val="01E0"/>
      </w:tblPr>
      <w:tblGrid>
        <w:gridCol w:w="4548"/>
        <w:gridCol w:w="2402"/>
        <w:gridCol w:w="2098"/>
      </w:tblGrid>
      <w:tr>
        <w:trPr>
          <w:trHeight w:val="490"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240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年末数</w:t>
            </w:r>
          </w:p>
        </w:tc>
        <w:tc>
          <w:tcPr>
            <w:tcW w:w="209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年初数</w:t>
            </w:r>
          </w:p>
        </w:tc>
      </w:tr>
      <w:tr>
        <w:trPr>
          <w:trHeight w:val="490"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美元：</w:t>
            </w:r>
          </w:p>
        </w:tc>
        <w:tc>
          <w:tcPr>
            <w:tcW w:w="24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pacing w:val="-1"/>
                <w:sz w:val="18"/>
              </w:rPr>
              <w:t>16,249.92</w:t>
            </w:r>
          </w:p>
        </w:tc>
        <w:tc>
          <w:tcPr>
            <w:tcW w:w="209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14,812,536.24</w:t>
            </w:r>
          </w:p>
        </w:tc>
      </w:tr>
      <w:tr>
        <w:trPr>
          <w:trHeight w:val="495"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港币：</w:t>
            </w:r>
          </w:p>
        </w:tc>
        <w:tc>
          <w:tcPr>
            <w:tcW w:w="24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26,547.50</w:t>
            </w:r>
          </w:p>
        </w:tc>
        <w:tc>
          <w:tcPr>
            <w:tcW w:w="209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r>
      <w:tr>
        <w:trPr>
          <w:trHeight w:val="485"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7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应付利息：</w:t>
            </w:r>
          </w:p>
        </w:tc>
        <w:tc>
          <w:tcPr>
            <w:tcW w:w="2402"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098"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5"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港币：</w:t>
            </w:r>
          </w:p>
        </w:tc>
        <w:tc>
          <w:tcPr>
            <w:tcW w:w="24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w w:val="95"/>
                <w:sz w:val="18"/>
              </w:rPr>
              <w:t>597,605.76</w:t>
            </w:r>
          </w:p>
        </w:tc>
        <w:tc>
          <w:tcPr>
            <w:tcW w:w="209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w w:val="95"/>
                <w:sz w:val="18"/>
              </w:rPr>
              <w:t>599,520.50</w:t>
            </w:r>
          </w:p>
        </w:tc>
      </w:tr>
      <w:tr>
        <w:trPr>
          <w:trHeight w:val="480"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7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应交税费：</w:t>
            </w:r>
          </w:p>
        </w:tc>
        <w:tc>
          <w:tcPr>
            <w:tcW w:w="2402"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098"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6" w:hRule="exact"/>
        </w:trPr>
        <w:tc>
          <w:tcPr>
            <w:tcW w:w="4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港币：</w:t>
            </w:r>
          </w:p>
        </w:tc>
        <w:tc>
          <w:tcPr>
            <w:tcW w:w="24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100"/>
              <w:jc w:val="right"/>
              <w:rPr>
                <w:rFonts w:ascii="华文细黑" w:hAnsi="华文细黑" w:cs="华文细黑" w:eastAsia="华文细黑" w:hint="default"/>
                <w:sz w:val="18"/>
                <w:szCs w:val="18"/>
              </w:rPr>
            </w:pPr>
            <w:r>
              <w:rPr>
                <w:rFonts w:ascii="华文细黑"/>
                <w:sz w:val="18"/>
              </w:rPr>
              <w:t>---</w:t>
            </w:r>
          </w:p>
        </w:tc>
        <w:tc>
          <w:tcPr>
            <w:tcW w:w="209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101"/>
              <w:jc w:val="right"/>
              <w:rPr>
                <w:rFonts w:ascii="华文细黑" w:hAnsi="华文细黑" w:cs="华文细黑" w:eastAsia="华文细黑" w:hint="default"/>
                <w:sz w:val="18"/>
                <w:szCs w:val="18"/>
              </w:rPr>
            </w:pPr>
            <w:r>
              <w:rPr>
                <w:rFonts w:ascii="华文细黑"/>
                <w:sz w:val="18"/>
              </w:rPr>
              <w:t>16,640,382.89</w:t>
            </w:r>
          </w:p>
        </w:tc>
      </w:tr>
    </w:tbl>
    <w:p>
      <w:pPr>
        <w:spacing w:line="240" w:lineRule="auto" w:before="12"/>
        <w:rPr>
          <w:rFonts w:ascii="华文细黑" w:hAnsi="华文细黑" w:cs="华文细黑" w:eastAsia="华文细黑" w:hint="default"/>
          <w:sz w:val="6"/>
          <w:szCs w:val="6"/>
        </w:rPr>
      </w:pPr>
    </w:p>
    <w:p>
      <w:pPr>
        <w:pStyle w:val="BodyText"/>
        <w:spacing w:line="324" w:lineRule="auto" w:before="10"/>
        <w:ind w:right="1437" w:firstLine="420"/>
        <w:jc w:val="both"/>
      </w:pPr>
      <w:r>
        <w:rPr/>
        <w:t>本公司密切关注汇率变动对本公司外汇风险的影响。本公司目前并未采取任何措施规避外汇风 险。但管理层负责监控外汇风险，并将于需要时考虑对冲重大外汇风险。</w:t>
      </w:r>
    </w:p>
    <w:p>
      <w:pPr>
        <w:pStyle w:val="BodyText"/>
        <w:spacing w:line="357" w:lineRule="auto" w:before="64"/>
        <w:ind w:left="560" w:right="1338"/>
        <w:jc w:val="left"/>
      </w:pPr>
      <w:r>
        <w:rPr/>
        <w:t>（</w:t>
      </w:r>
      <w:r>
        <w:rPr>
          <w:rFonts w:ascii="华文细黑" w:hAnsi="华文细黑" w:cs="华文细黑" w:eastAsia="华文细黑" w:hint="default"/>
        </w:rPr>
        <w:t>2</w:t>
      </w:r>
      <w:r>
        <w:rPr/>
        <w:t>）利率风险－现金流量变动风险 本公司因利率变动引起金融工具现金流量变动的风险主要与浮动利率银行借款</w:t>
      </w:r>
      <w:r>
        <w:rPr>
          <w:rFonts w:ascii="华文细黑" w:hAnsi="华文细黑" w:cs="华文细黑" w:eastAsia="华文细黑" w:hint="default"/>
        </w:rPr>
        <w:t>(</w:t>
      </w:r>
      <w:r>
        <w:rPr/>
        <w:t>详见本附注六、</w:t>
      </w:r>
    </w:p>
    <w:p>
      <w:pPr>
        <w:pStyle w:val="BodyText"/>
        <w:spacing w:line="289" w:lineRule="exact"/>
        <w:ind w:right="1246"/>
        <w:jc w:val="left"/>
      </w:pPr>
      <w:r>
        <w:rPr/>
        <w:t>合并财务报表项目注释相关项目</w:t>
      </w:r>
      <w:r>
        <w:rPr>
          <w:rFonts w:ascii="华文细黑" w:hAnsi="华文细黑" w:cs="华文细黑" w:eastAsia="华文细黑" w:hint="default"/>
        </w:rPr>
        <w:t>)</w:t>
      </w:r>
      <w:r>
        <w:rPr/>
        <w:t>有关。本公司的政策是保持这些借款的浮动利率。</w:t>
      </w:r>
    </w:p>
    <w:p>
      <w:pPr>
        <w:pStyle w:val="BodyText"/>
        <w:spacing w:line="355" w:lineRule="auto" w:before="144"/>
        <w:ind w:left="560" w:right="1246"/>
        <w:jc w:val="left"/>
      </w:pPr>
      <w:r>
        <w:rPr/>
        <w:t>（</w:t>
      </w:r>
      <w:r>
        <w:rPr>
          <w:rFonts w:ascii="华文细黑" w:hAnsi="华文细黑" w:cs="华文细黑" w:eastAsia="华文细黑" w:hint="default"/>
        </w:rPr>
        <w:t>3</w:t>
      </w:r>
      <w:r>
        <w:rPr/>
        <w:t>）其他价格风险 </w:t>
      </w:r>
      <w:r>
        <w:rPr>
          <w:spacing w:val="4"/>
        </w:rPr>
        <w:t>本公司持有的分类为可供出售金融资产和交易性金融资产的投资在资产负债表日以公允价值</w:t>
      </w:r>
    </w:p>
    <w:p>
      <w:pPr>
        <w:spacing w:line="355" w:lineRule="auto" w:before="0"/>
        <w:ind w:left="560" w:right="5827" w:hanging="421"/>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计量。因此，本公司承担着证券市场变动的风险。 </w:t>
      </w:r>
      <w:bookmarkStart w:name="2、信用风险" w:id="328"/>
      <w:bookmarkEnd w:id="328"/>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、信用风险</w:t>
      </w:r>
      <w:r>
        <w:rPr>
          <w:rFonts w:ascii="华文细黑" w:hAnsi="华文细黑" w:cs="华文细黑" w:eastAsia="华文细黑" w:hint="default"/>
          <w:sz w:val="21"/>
          <w:szCs w:val="21"/>
        </w:rPr>
      </w:r>
    </w:p>
    <w:p>
      <w:pPr>
        <w:pStyle w:val="BodyText"/>
        <w:spacing w:line="324" w:lineRule="auto" w:before="35"/>
        <w:ind w:right="1438" w:firstLine="420"/>
        <w:jc w:val="both"/>
      </w:pPr>
      <w:r>
        <w:rPr>
          <w:rFonts w:ascii="华文细黑" w:hAnsi="华文细黑" w:cs="华文细黑" w:eastAsia="华文细黑" w:hint="default"/>
        </w:rPr>
        <w:t>2018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31</w:t>
      </w:r>
      <w:r>
        <w:rPr>
          <w:rFonts w:ascii="华文细黑" w:hAnsi="华文细黑" w:cs="华文细黑" w:eastAsia="华文细黑" w:hint="default"/>
          <w:spacing w:val="7"/>
        </w:rPr>
        <w:t> </w:t>
      </w:r>
      <w:r>
        <w:rPr/>
        <w:t>日，可能引起本公司财务损失的最大信用风险敞口主要来自于合同另一方未 能履行义务而导致本公司金融资产产生的损失以及本公司承担的财务担保，具体包括：</w:t>
      </w:r>
    </w:p>
    <w:p>
      <w:pPr>
        <w:pStyle w:val="BodyText"/>
        <w:spacing w:line="324" w:lineRule="auto" w:before="64"/>
        <w:ind w:right="1246" w:firstLine="420"/>
        <w:jc w:val="left"/>
      </w:pPr>
      <w:r>
        <w:rPr/>
        <w:t>合并资产负债表中已确认的金融资产的账面金额；对于以公允价值计量的金融工具而言，账面 </w:t>
      </w:r>
      <w:r>
        <w:rPr>
          <w:spacing w:val="-3"/>
        </w:rPr>
        <w:t>价值反映了其风险敞口，但并非最大风险敞口，其最大风险敞口将随着未来公允价值的变化而改变。</w:t>
      </w:r>
    </w:p>
    <w:p>
      <w:pPr>
        <w:pStyle w:val="BodyText"/>
        <w:spacing w:line="324" w:lineRule="auto" w:before="64"/>
        <w:ind w:right="1437" w:firstLine="420"/>
        <w:jc w:val="both"/>
      </w:pPr>
      <w:r>
        <w:rPr/>
        <w:t>为降低信用风险，本公司成立了一个小组负责确定信用额度、进行信用审批，并执行其他监控 程序以确保采取必要的措施回收过期债权。此外，本公司于每个资产负债表日审核每一单项应收款 的回收情况，以确保就无法回收的款项计提充分的坏账准备。因此，本公司管理层认为本公司所承 担的信用风险已经大为降低。</w:t>
      </w:r>
    </w:p>
    <w:p>
      <w:pPr>
        <w:pStyle w:val="BodyText"/>
        <w:spacing w:line="355" w:lineRule="auto" w:before="64"/>
        <w:ind w:left="560" w:right="2886"/>
        <w:jc w:val="left"/>
        <w:rPr>
          <w:rFonts w:ascii="华文细黑" w:hAnsi="华文细黑" w:cs="华文细黑" w:eastAsia="华文细黑" w:hint="default"/>
        </w:rPr>
      </w:pPr>
      <w:r>
        <w:rPr/>
        <w:t>本公司的流动资金存放在信用评级较高的银行，故流动资金的信用风险较低。 </w:t>
      </w:r>
      <w:bookmarkStart w:name="3、流动风险" w:id="329"/>
      <w:bookmarkEnd w:id="329"/>
      <w:r>
        <w:rPr/>
      </w:r>
      <w:r>
        <w:rPr>
          <w:rFonts w:ascii="华文细黑" w:hAnsi="华文细黑" w:cs="华文细黑" w:eastAsia="华文细黑" w:hint="default"/>
          <w:b/>
          <w:bCs/>
        </w:rPr>
        <w:t>3</w:t>
      </w:r>
      <w:r>
        <w:rPr>
          <w:rFonts w:ascii="华文细黑" w:hAnsi="华文细黑" w:cs="华文细黑" w:eastAsia="华文细黑" w:hint="default"/>
          <w:b/>
          <w:bCs/>
        </w:rPr>
        <w:t>、流动风险</w:t>
      </w:r>
      <w:r>
        <w:rPr>
          <w:rFonts w:ascii="华文细黑" w:hAnsi="华文细黑" w:cs="华文细黑" w:eastAsia="华文细黑" w:hint="default"/>
        </w:rPr>
      </w:r>
    </w:p>
    <w:p>
      <w:pPr>
        <w:pStyle w:val="BodyText"/>
        <w:spacing w:line="324" w:lineRule="auto" w:before="35"/>
        <w:ind w:right="1438" w:firstLine="420"/>
        <w:jc w:val="both"/>
      </w:pPr>
      <w:r>
        <w:rPr>
          <w:spacing w:val="-1"/>
        </w:rPr>
        <w:t>管理流动风险时，本公司保持管理层认为充分的现金及现金等价物并对其进行监控，以满足本</w:t>
      </w:r>
      <w:r>
        <w:rPr/>
        <w:t> </w:t>
      </w:r>
      <w:r>
        <w:rPr>
          <w:spacing w:val="-1"/>
        </w:rPr>
        <w:t>公司经营需要，并降低现金流量波动的影响。本公司管理层对银行借款的使用情况进行监控并确保</w:t>
      </w:r>
      <w:r>
        <w:rPr>
          <w:spacing w:val="-16"/>
        </w:rPr>
        <w:t> </w:t>
      </w:r>
      <w:r>
        <w:rPr>
          <w:spacing w:val="-16"/>
        </w:rPr>
      </w:r>
      <w:r>
        <w:rPr/>
        <w:t>遵守借款协议。</w:t>
      </w:r>
    </w:p>
    <w:p>
      <w:pPr>
        <w:pStyle w:val="BodyText"/>
        <w:spacing w:line="240" w:lineRule="auto" w:before="63"/>
        <w:ind w:left="560" w:right="1246"/>
        <w:jc w:val="left"/>
      </w:pPr>
      <w:r>
        <w:rPr/>
        <w:t>本公司将银行借款作为主要资金来源。</w:t>
      </w:r>
      <w:r>
        <w:rPr>
          <w:rFonts w:ascii="华文细黑" w:hAnsi="华文细黑" w:cs="华文细黑" w:eastAsia="华文细黑" w:hint="default"/>
        </w:rPr>
        <w:t>2018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31 </w:t>
      </w:r>
      <w:r>
        <w:rPr>
          <w:rFonts w:ascii="华文细黑" w:hAnsi="华文细黑" w:cs="华文细黑" w:eastAsia="华文细黑" w:hint="default"/>
          <w:spacing w:val="7"/>
        </w:rPr>
        <w:t> </w:t>
      </w:r>
      <w:r>
        <w:rPr/>
        <w:t>日，本公司尚未使用的银行授信额度</w:t>
      </w:r>
    </w:p>
    <w:p>
      <w:pPr>
        <w:pStyle w:val="BodyText"/>
        <w:spacing w:line="240" w:lineRule="auto" w:before="104"/>
        <w:ind w:right="1246"/>
        <w:jc w:val="left"/>
      </w:pPr>
      <w:r>
        <w:rPr/>
        <w:t>为人民币 </w:t>
      </w:r>
      <w:r>
        <w:rPr>
          <w:rFonts w:ascii="华文细黑" w:hAnsi="华文细黑" w:cs="华文细黑" w:eastAsia="华文细黑" w:hint="default"/>
        </w:rPr>
        <w:t>1,564,860.26</w:t>
      </w:r>
      <w:r>
        <w:rPr>
          <w:rFonts w:ascii="华文细黑" w:hAnsi="华文细黑" w:cs="华文细黑" w:eastAsia="华文细黑" w:hint="default"/>
          <w:spacing w:val="-2"/>
        </w:rPr>
        <w:t> </w:t>
      </w:r>
      <w:r>
        <w:rPr/>
        <w:t>万元。</w:t>
      </w:r>
    </w:p>
    <w:p>
      <w:pPr>
        <w:spacing w:after="0" w:line="240" w:lineRule="auto"/>
        <w:jc w:val="left"/>
        <w:sectPr>
          <w:pgSz w:w="11910" w:h="16840"/>
          <w:pgMar w:header="917" w:footer="1019" w:top="1100" w:bottom="1200" w:left="1300" w:right="0"/>
        </w:sectPr>
      </w:pPr>
    </w:p>
    <w:p>
      <w:pPr>
        <w:spacing w:line="240" w:lineRule="auto" w:before="0"/>
        <w:rPr>
          <w:rFonts w:ascii="华文细黑" w:hAnsi="华文细黑" w:cs="华文细黑" w:eastAsia="华文细黑" w:hint="default"/>
          <w:sz w:val="26"/>
          <w:szCs w:val="26"/>
        </w:rPr>
      </w:pPr>
    </w:p>
    <w:p>
      <w:pPr>
        <w:pStyle w:val="Heading4"/>
        <w:spacing w:line="336" w:lineRule="exact"/>
        <w:ind w:right="1246"/>
        <w:jc w:val="left"/>
        <w:rPr>
          <w:b w:val="0"/>
          <w:bCs w:val="0"/>
        </w:rPr>
      </w:pPr>
      <w:bookmarkStart w:name="十、公允价值的披露" w:id="330"/>
      <w:bookmarkEnd w:id="330"/>
      <w:r>
        <w:rPr>
          <w:b w:val="0"/>
          <w:bCs w:val="0"/>
        </w:rPr>
      </w:r>
      <w:r>
        <w:rPr/>
        <w:t>十、公允价值的披露</w:t>
      </w:r>
      <w:r>
        <w:rPr>
          <w:b w:val="0"/>
          <w:bCs w:val="0"/>
        </w:rPr>
      </w:r>
    </w:p>
    <w:p>
      <w:pPr>
        <w:pStyle w:val="Heading5"/>
        <w:spacing w:line="240" w:lineRule="auto" w:before="137"/>
        <w:ind w:left="560" w:right="1246"/>
        <w:jc w:val="left"/>
        <w:rPr>
          <w:b w:val="0"/>
          <w:bCs w:val="0"/>
        </w:rPr>
      </w:pPr>
      <w:bookmarkStart w:name="1、以公允价值计量的资产和负债的年末公允价值" w:id="331"/>
      <w:bookmarkEnd w:id="331"/>
      <w:r>
        <w:rPr>
          <w:b w:val="0"/>
          <w:bCs w:val="0"/>
        </w:rPr>
      </w:r>
      <w:r>
        <w:rPr>
          <w:rFonts w:ascii="华文细黑" w:hAnsi="华文细黑" w:cs="华文细黑" w:eastAsia="华文细黑" w:hint="default"/>
        </w:rPr>
        <w:t>1</w:t>
      </w:r>
      <w:r>
        <w:rPr/>
        <w:t>、以公允价值计量的资产和负债的年末公允价值</w:t>
      </w:r>
      <w:r>
        <w:rPr>
          <w:b w:val="0"/>
          <w:bCs w:val="0"/>
        </w:rPr>
      </w:r>
    </w:p>
    <w:p>
      <w:pPr>
        <w:spacing w:line="240" w:lineRule="auto" w:before="5"/>
        <w:rPr>
          <w:rFonts w:ascii="华文细黑" w:hAnsi="华文细黑" w:cs="华文细黑" w:eastAsia="华文细黑" w:hint="default"/>
          <w:b/>
          <w:bCs/>
          <w:sz w:val="5"/>
          <w:szCs w:val="5"/>
        </w:rPr>
      </w:pPr>
    </w:p>
    <w:tbl>
      <w:tblPr>
        <w:tblW w:w="0" w:type="auto"/>
        <w:jc w:val="left"/>
        <w:tblInd w:w="135" w:type="dxa"/>
        <w:tblLayout w:type="fixed"/>
        <w:tblCellMar>
          <w:top w:w="0" w:type="dxa"/>
          <w:left w:w="0" w:type="dxa"/>
          <w:bottom w:w="0" w:type="dxa"/>
          <w:right w:w="0" w:type="dxa"/>
        </w:tblCellMar>
        <w:tblLook w:val="01E0"/>
      </w:tblPr>
      <w:tblGrid>
        <w:gridCol w:w="3544"/>
        <w:gridCol w:w="1560"/>
        <w:gridCol w:w="1314"/>
        <w:gridCol w:w="1373"/>
        <w:gridCol w:w="1560"/>
      </w:tblGrid>
      <w:tr>
        <w:trPr>
          <w:trHeight w:val="491" w:hRule="exact"/>
        </w:trPr>
        <w:tc>
          <w:tcPr>
            <w:tcW w:w="3544"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12"/>
              <w:ind w:right="0"/>
              <w:jc w:val="left"/>
              <w:rPr>
                <w:rFonts w:ascii="华文细黑" w:hAnsi="华文细黑" w:cs="华文细黑" w:eastAsia="华文细黑" w:hint="default"/>
                <w:b/>
                <w:bCs/>
                <w:sz w:val="23"/>
                <w:szCs w:val="23"/>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5807" w:type="dxa"/>
            <w:gridSpan w:val="4"/>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5"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年末公允价值</w:t>
            </w:r>
          </w:p>
        </w:tc>
      </w:tr>
      <w:tr>
        <w:trPr>
          <w:trHeight w:val="890" w:hRule="exact"/>
        </w:trPr>
        <w:tc>
          <w:tcPr>
            <w:tcW w:w="3544" w:type="dxa"/>
            <w:vMerge/>
            <w:tcBorders>
              <w:left w:val="single" w:sz="4" w:space="0" w:color="FFC000"/>
              <w:bottom w:val="single" w:sz="4" w:space="0" w:color="FFC000"/>
              <w:right w:val="single" w:sz="4" w:space="0" w:color="FFC000"/>
            </w:tcBorders>
            <w:shd w:val="clear" w:color="auto" w:fill="FFF8E6"/>
          </w:tcPr>
          <w:p>
            <w:pPr/>
          </w:p>
        </w:tc>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504" w:right="144" w:hanging="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第一层次公允价 值计量</w:t>
            </w:r>
          </w:p>
        </w:tc>
        <w:tc>
          <w:tcPr>
            <w:tcW w:w="131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291" w:right="110"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第二层次公允 价值计量</w:t>
            </w:r>
          </w:p>
        </w:tc>
        <w:tc>
          <w:tcPr>
            <w:tcW w:w="137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320" w:right="141" w:hanging="18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第三层次公允 价值计量</w:t>
            </w:r>
          </w:p>
        </w:tc>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
              <w:ind w:right="0"/>
              <w:jc w:val="left"/>
              <w:rPr>
                <w:rFonts w:ascii="华文细黑" w:hAnsi="华文细黑" w:cs="华文细黑" w:eastAsia="华文细黑" w:hint="default"/>
                <w:b/>
                <w:bCs/>
                <w:sz w:val="24"/>
                <w:szCs w:val="24"/>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合计</w:t>
            </w:r>
          </w:p>
        </w:tc>
      </w:tr>
      <w:tr>
        <w:trPr>
          <w:trHeight w:val="490" w:hRule="exact"/>
        </w:trPr>
        <w:tc>
          <w:tcPr>
            <w:tcW w:w="35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一、持续的公允价值计量</w:t>
            </w:r>
          </w:p>
        </w:tc>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314"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373"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890" w:hRule="exact"/>
        </w:trPr>
        <w:tc>
          <w:tcPr>
            <w:tcW w:w="35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03" w:right="104"/>
              <w:jc w:val="left"/>
              <w:rPr>
                <w:rFonts w:ascii="华文细黑" w:hAnsi="华文细黑" w:cs="华文细黑" w:eastAsia="华文细黑" w:hint="default"/>
                <w:sz w:val="18"/>
                <w:szCs w:val="18"/>
              </w:rPr>
            </w:pPr>
            <w:r>
              <w:rPr>
                <w:rFonts w:ascii="华文细黑" w:hAnsi="华文细黑" w:cs="华文细黑" w:eastAsia="华文细黑" w:hint="default"/>
                <w:spacing w:val="4"/>
                <w:sz w:val="18"/>
                <w:szCs w:val="18"/>
              </w:rPr>
              <w:t>（一）以公允价值计量且其变动计入当期</w:t>
            </w:r>
            <w:r>
              <w:rPr>
                <w:rFonts w:ascii="华文细黑" w:hAnsi="华文细黑" w:cs="华文细黑" w:eastAsia="华文细黑" w:hint="default"/>
                <w:sz w:val="18"/>
                <w:szCs w:val="18"/>
              </w:rPr>
              <w:t> 损益的金融资产</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b/>
                <w:bCs/>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w:t>
            </w:r>
          </w:p>
        </w:tc>
        <w:tc>
          <w:tcPr>
            <w:tcW w:w="13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b/>
                <w:bCs/>
                <w:sz w:val="24"/>
                <w:szCs w:val="24"/>
              </w:rPr>
            </w:pPr>
          </w:p>
          <w:p>
            <w:pPr>
              <w:pStyle w:val="TableParagraph"/>
              <w:spacing w:line="240" w:lineRule="auto"/>
              <w:ind w:right="100"/>
              <w:jc w:val="right"/>
              <w:rPr>
                <w:rFonts w:ascii="华文细黑" w:hAnsi="华文细黑" w:cs="华文细黑" w:eastAsia="华文细黑" w:hint="default"/>
                <w:sz w:val="18"/>
                <w:szCs w:val="18"/>
              </w:rPr>
            </w:pPr>
            <w:r>
              <w:rPr>
                <w:rFonts w:ascii="华文细黑"/>
                <w:sz w:val="18"/>
              </w:rPr>
              <w:t>7,968,239.73</w:t>
            </w:r>
          </w:p>
        </w:tc>
        <w:tc>
          <w:tcPr>
            <w:tcW w:w="137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b/>
                <w:bCs/>
                <w:sz w:val="24"/>
                <w:szCs w:val="24"/>
              </w:rPr>
            </w:pPr>
          </w:p>
          <w:p>
            <w:pPr>
              <w:pStyle w:val="TableParagraph"/>
              <w:spacing w:line="240" w:lineRule="auto"/>
              <w:ind w:right="101"/>
              <w:jc w:val="right"/>
              <w:rPr>
                <w:rFonts w:ascii="华文细黑" w:hAnsi="华文细黑" w:cs="华文细黑" w:eastAsia="华文细黑" w:hint="default"/>
                <w:sz w:val="18"/>
                <w:szCs w:val="18"/>
              </w:rPr>
            </w:pPr>
            <w:r>
              <w:rPr>
                <w:rFonts w:ascii="华文细黑"/>
                <w:sz w:val="18"/>
              </w:rPr>
              <w:t>---</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b/>
                <w:bCs/>
                <w:sz w:val="24"/>
                <w:szCs w:val="24"/>
              </w:rPr>
            </w:pPr>
          </w:p>
          <w:p>
            <w:pPr>
              <w:pStyle w:val="TableParagraph"/>
              <w:spacing w:line="240" w:lineRule="auto"/>
              <w:ind w:right="100"/>
              <w:jc w:val="right"/>
              <w:rPr>
                <w:rFonts w:ascii="华文细黑" w:hAnsi="华文细黑" w:cs="华文细黑" w:eastAsia="华文细黑" w:hint="default"/>
                <w:sz w:val="18"/>
                <w:szCs w:val="18"/>
              </w:rPr>
            </w:pPr>
            <w:r>
              <w:rPr>
                <w:rFonts w:ascii="华文细黑"/>
                <w:spacing w:val="-1"/>
                <w:sz w:val="18"/>
              </w:rPr>
              <w:t>7,968,239.73</w:t>
            </w:r>
          </w:p>
        </w:tc>
      </w:tr>
      <w:tr>
        <w:trPr>
          <w:trHeight w:val="490" w:hRule="exact"/>
        </w:trPr>
        <w:tc>
          <w:tcPr>
            <w:tcW w:w="35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、结构性存款</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c>
          <w:tcPr>
            <w:tcW w:w="13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0"/>
              <w:jc w:val="right"/>
              <w:rPr>
                <w:rFonts w:ascii="华文细黑" w:hAnsi="华文细黑" w:cs="华文细黑" w:eastAsia="华文细黑" w:hint="default"/>
                <w:sz w:val="18"/>
                <w:szCs w:val="18"/>
              </w:rPr>
            </w:pPr>
            <w:r>
              <w:rPr>
                <w:rFonts w:ascii="华文细黑"/>
                <w:sz w:val="18"/>
              </w:rPr>
              <w:t>7,968,239.73</w:t>
            </w:r>
          </w:p>
        </w:tc>
        <w:tc>
          <w:tcPr>
            <w:tcW w:w="137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sz w:val="18"/>
              </w:rPr>
              <w:t>---</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0"/>
              <w:jc w:val="right"/>
              <w:rPr>
                <w:rFonts w:ascii="华文细黑" w:hAnsi="华文细黑" w:cs="华文细黑" w:eastAsia="华文细黑" w:hint="default"/>
                <w:sz w:val="18"/>
                <w:szCs w:val="18"/>
              </w:rPr>
            </w:pPr>
            <w:r>
              <w:rPr>
                <w:rFonts w:ascii="华文细黑"/>
                <w:sz w:val="18"/>
              </w:rPr>
              <w:t>7,968,239.73</w:t>
            </w:r>
          </w:p>
        </w:tc>
      </w:tr>
      <w:tr>
        <w:trPr>
          <w:trHeight w:val="490" w:hRule="exact"/>
        </w:trPr>
        <w:tc>
          <w:tcPr>
            <w:tcW w:w="35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（二）可供出售金融资产</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sz w:val="18"/>
              </w:rPr>
              <w:t>86,460,934.98</w:t>
            </w:r>
          </w:p>
        </w:tc>
        <w:tc>
          <w:tcPr>
            <w:tcW w:w="13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c>
          <w:tcPr>
            <w:tcW w:w="137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86,460,934.98</w:t>
            </w:r>
          </w:p>
        </w:tc>
      </w:tr>
      <w:tr>
        <w:trPr>
          <w:trHeight w:val="490" w:hRule="exact"/>
        </w:trPr>
        <w:tc>
          <w:tcPr>
            <w:tcW w:w="35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z w:val="18"/>
                <w:szCs w:val="18"/>
              </w:rPr>
              <w:t>、权益工具投资</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sz w:val="18"/>
              </w:rPr>
              <w:t>86,460,934.98</w:t>
            </w:r>
          </w:p>
        </w:tc>
        <w:tc>
          <w:tcPr>
            <w:tcW w:w="131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c>
          <w:tcPr>
            <w:tcW w:w="137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86,460,934.98</w:t>
            </w:r>
          </w:p>
        </w:tc>
      </w:tr>
      <w:tr>
        <w:trPr>
          <w:trHeight w:val="490" w:hRule="exact"/>
        </w:trPr>
        <w:tc>
          <w:tcPr>
            <w:tcW w:w="35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5"/>
              <w:ind w:left="103" w:right="0"/>
              <w:jc w:val="left"/>
              <w:rPr>
                <w:rFonts w:ascii="华文细黑" w:hAnsi="华文细黑" w:cs="华文细黑" w:eastAsia="华文细黑" w:hint="default"/>
                <w:sz w:val="18"/>
                <w:szCs w:val="18"/>
              </w:rPr>
            </w:pPr>
            <w:r>
              <w:rPr>
                <w:rFonts w:ascii="华文细黑" w:hAnsi="华文细黑" w:cs="华文细黑" w:eastAsia="华文细黑" w:hint="default"/>
                <w:b/>
                <w:bCs/>
                <w:sz w:val="18"/>
                <w:szCs w:val="18"/>
              </w:rPr>
              <w:t>持续以公允价值计量的资产总额</w:t>
            </w:r>
            <w:r>
              <w:rPr>
                <w:rFonts w:ascii="华文细黑" w:hAnsi="华文细黑" w:cs="华文细黑" w:eastAsia="华文细黑" w:hint="default"/>
                <w:sz w:val="18"/>
                <w:szCs w:val="18"/>
              </w:rPr>
            </w:r>
          </w:p>
        </w:tc>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b/>
                <w:w w:val="95"/>
                <w:sz w:val="18"/>
              </w:rPr>
              <w:t>86,460,934.98</w:t>
            </w:r>
            <w:r>
              <w:rPr>
                <w:rFonts w:ascii="华文细黑"/>
                <w:sz w:val="18"/>
              </w:rPr>
            </w:r>
          </w:p>
        </w:tc>
        <w:tc>
          <w:tcPr>
            <w:tcW w:w="131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b/>
                <w:w w:val="95"/>
                <w:sz w:val="18"/>
              </w:rPr>
              <w:t>7,968,239.73</w:t>
            </w:r>
            <w:r>
              <w:rPr>
                <w:rFonts w:ascii="华文细黑"/>
                <w:sz w:val="18"/>
              </w:rPr>
            </w:r>
          </w:p>
        </w:tc>
        <w:tc>
          <w:tcPr>
            <w:tcW w:w="137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b/>
                <w:w w:val="95"/>
                <w:sz w:val="18"/>
              </w:rPr>
              <w:t>94,429,174.71</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spacing w:line="355" w:lineRule="auto" w:before="10"/>
        <w:ind w:left="560" w:right="1425" w:firstLine="0"/>
        <w:jc w:val="left"/>
        <w:rPr>
          <w:rFonts w:ascii="华文细黑" w:hAnsi="华文细黑" w:cs="华文细黑" w:eastAsia="华文细黑" w:hint="default"/>
          <w:sz w:val="21"/>
          <w:szCs w:val="21"/>
        </w:rPr>
      </w:pPr>
      <w:bookmarkStart w:name="2、持续和非持续第一层次公允价值计量项目市价的确定依据" w:id="332"/>
      <w:bookmarkEnd w:id="332"/>
      <w:r>
        <w:rPr/>
      </w: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、持续和非持续第一层次公允价值计量项目市价的确定依据</w:t>
      </w:r>
      <w:r>
        <w:rPr>
          <w:rFonts w:ascii="华文细黑" w:hAnsi="华文细黑" w:cs="华文细黑" w:eastAsia="华文细黑" w:hint="default"/>
          <w:b/>
          <w:bCs/>
          <w:w w:val="99"/>
          <w:sz w:val="21"/>
          <w:szCs w:val="21"/>
        </w:rPr>
        <w:t> </w:t>
      </w:r>
      <w:r>
        <w:rPr>
          <w:rFonts w:ascii="华文细黑" w:hAnsi="华文细黑" w:cs="华文细黑" w:eastAsia="华文细黑" w:hint="default"/>
          <w:sz w:val="21"/>
          <w:szCs w:val="21"/>
        </w:rPr>
        <w:t>可供出售金融资产是根据香港联合交易所公开市场上市股票 </w:t>
      </w:r>
      <w:r>
        <w:rPr>
          <w:rFonts w:ascii="华文细黑" w:hAnsi="华文细黑" w:cs="华文细黑" w:eastAsia="华文细黑" w:hint="default"/>
          <w:sz w:val="21"/>
          <w:szCs w:val="21"/>
        </w:rPr>
        <w:t>2018 </w:t>
      </w:r>
      <w:r>
        <w:rPr>
          <w:rFonts w:ascii="华文细黑" w:hAnsi="华文细黑" w:cs="华文细黑" w:eastAsia="华文细黑" w:hint="default"/>
          <w:sz w:val="21"/>
          <w:szCs w:val="21"/>
        </w:rPr>
        <w:t>年 </w:t>
      </w:r>
      <w:r>
        <w:rPr>
          <w:rFonts w:ascii="华文细黑" w:hAnsi="华文细黑" w:cs="华文细黑" w:eastAsia="华文细黑" w:hint="default"/>
          <w:sz w:val="21"/>
          <w:szCs w:val="21"/>
        </w:rPr>
        <w:t>12 </w:t>
      </w:r>
      <w:r>
        <w:rPr>
          <w:rFonts w:ascii="华文细黑" w:hAnsi="华文细黑" w:cs="华文细黑" w:eastAsia="华文细黑" w:hint="default"/>
          <w:sz w:val="21"/>
          <w:szCs w:val="21"/>
        </w:rPr>
        <w:t>月 </w:t>
      </w:r>
      <w:r>
        <w:rPr>
          <w:rFonts w:ascii="华文细黑" w:hAnsi="华文细黑" w:cs="华文细黑" w:eastAsia="华文细黑" w:hint="default"/>
          <w:sz w:val="21"/>
          <w:szCs w:val="21"/>
        </w:rPr>
        <w:t>31</w:t>
      </w:r>
      <w:r>
        <w:rPr>
          <w:rFonts w:ascii="华文细黑" w:hAnsi="华文细黑" w:cs="华文细黑" w:eastAsia="华文细黑" w:hint="default"/>
          <w:spacing w:val="5"/>
          <w:sz w:val="21"/>
          <w:szCs w:val="21"/>
        </w:rPr>
        <w:t> </w:t>
      </w:r>
      <w:r>
        <w:rPr>
          <w:rFonts w:ascii="华文细黑" w:hAnsi="华文细黑" w:cs="华文细黑" w:eastAsia="华文细黑" w:hint="default"/>
          <w:sz w:val="21"/>
          <w:szCs w:val="21"/>
        </w:rPr>
        <w:t>日收盘价作为市</w:t>
      </w:r>
    </w:p>
    <w:p>
      <w:pPr>
        <w:pStyle w:val="BodyText"/>
        <w:spacing w:line="291" w:lineRule="exact"/>
        <w:ind w:right="1246"/>
        <w:jc w:val="left"/>
      </w:pPr>
      <w:r>
        <w:rPr/>
        <w:t>价依据。</w:t>
      </w:r>
    </w:p>
    <w:p>
      <w:pPr>
        <w:spacing w:line="357" w:lineRule="auto" w:before="144"/>
        <w:ind w:left="560" w:right="1416" w:firstLine="0"/>
        <w:jc w:val="left"/>
        <w:rPr>
          <w:rFonts w:ascii="华文细黑" w:hAnsi="华文细黑" w:cs="华文细黑" w:eastAsia="华文细黑" w:hint="default"/>
          <w:sz w:val="21"/>
          <w:szCs w:val="21"/>
        </w:rPr>
      </w:pPr>
      <w:bookmarkStart w:name="3、持续和非持续第二层次公允价值计量项目，采用的估值技术和重要参数的定性及定量信" w:id="333"/>
      <w:bookmarkEnd w:id="333"/>
      <w:r>
        <w:rPr/>
      </w:r>
      <w:r>
        <w:rPr>
          <w:rFonts w:ascii="华文细黑" w:hAnsi="华文细黑" w:cs="华文细黑" w:eastAsia="华文细黑" w:hint="default"/>
          <w:b/>
          <w:bCs/>
          <w:sz w:val="21"/>
          <w:szCs w:val="21"/>
        </w:rPr>
        <w:t>3</w:t>
      </w:r>
      <w:r>
        <w:rPr>
          <w:rFonts w:ascii="华文细黑" w:hAnsi="华文细黑" w:cs="华文细黑" w:eastAsia="华文细黑" w:hint="default"/>
          <w:b/>
          <w:bCs/>
          <w:sz w:val="21"/>
          <w:szCs w:val="21"/>
        </w:rPr>
        <w:t>、持续和非持续第二层次公允价值计量项目，采用的估值技术和重要参数的定性及定量信息</w:t>
      </w:r>
      <w:r>
        <w:rPr>
          <w:rFonts w:ascii="华文细黑" w:hAnsi="华文细黑" w:cs="华文细黑" w:eastAsia="华文细黑" w:hint="default"/>
          <w:b/>
          <w:bCs/>
          <w:w w:val="99"/>
          <w:sz w:val="21"/>
          <w:szCs w:val="21"/>
        </w:rPr>
        <w:t> </w:t>
      </w:r>
      <w:r>
        <w:rPr>
          <w:rFonts w:ascii="华文细黑" w:hAnsi="华文细黑" w:cs="华文细黑" w:eastAsia="华文细黑" w:hint="default"/>
          <w:sz w:val="21"/>
          <w:szCs w:val="21"/>
        </w:rPr>
        <w:t>结构性存款是以预期收益率预计未来现金流量，并按管理层基于对预期风险水平的最佳估计所</w:t>
      </w:r>
    </w:p>
    <w:p>
      <w:pPr>
        <w:spacing w:line="331" w:lineRule="auto" w:before="0"/>
        <w:ind w:left="620" w:right="5407" w:hanging="481"/>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确定的利率折现，以此作为其估值技术和主要输入值。 </w:t>
      </w:r>
      <w:bookmarkStart w:name="十一、关联方及关联交易" w:id="334"/>
      <w:bookmarkEnd w:id="334"/>
      <w:r>
        <w:rPr>
          <w:rFonts w:ascii="华文细黑" w:hAnsi="华文细黑" w:cs="华文细黑" w:eastAsia="华文细黑" w:hint="default"/>
          <w:sz w:val="21"/>
          <w:szCs w:val="21"/>
        </w:rPr>
      </w:r>
      <w:r>
        <w:rPr>
          <w:rFonts w:ascii="华文细黑" w:hAnsi="华文细黑" w:cs="华文细黑" w:eastAsia="华文细黑" w:hint="default"/>
          <w:b/>
          <w:bCs/>
          <w:sz w:val="24"/>
          <w:szCs w:val="24"/>
        </w:rPr>
        <w:t>十一、关联方及关联交易</w:t>
      </w:r>
      <w:r>
        <w:rPr>
          <w:rFonts w:ascii="华文细黑" w:hAnsi="华文细黑" w:cs="华文细黑" w:eastAsia="华文细黑" w:hint="default"/>
          <w:b/>
          <w:bCs/>
          <w:w w:val="99"/>
          <w:sz w:val="24"/>
          <w:szCs w:val="24"/>
        </w:rPr>
        <w:t> </w:t>
      </w:r>
      <w:bookmarkStart w:name="1、本公司的母公司情况" w:id="335"/>
      <w:bookmarkEnd w:id="335"/>
      <w:r>
        <w:rPr>
          <w:rFonts w:ascii="华文细黑" w:hAnsi="华文细黑" w:cs="华文细黑" w:eastAsia="华文细黑" w:hint="default"/>
          <w:b/>
          <w:bCs/>
          <w:w w:val="99"/>
          <w:sz w:val="24"/>
          <w:szCs w:val="24"/>
        </w:rPr>
      </w:r>
      <w:r>
        <w:rPr>
          <w:rFonts w:ascii="华文细黑" w:hAnsi="华文细黑" w:cs="华文细黑" w:eastAsia="华文细黑" w:hint="default"/>
          <w:b/>
          <w:bCs/>
          <w:sz w:val="21"/>
          <w:szCs w:val="21"/>
        </w:rPr>
        <w:t>1</w:t>
      </w:r>
      <w:r>
        <w:rPr>
          <w:rFonts w:ascii="华文细黑" w:hAnsi="华文细黑" w:cs="华文细黑" w:eastAsia="华文细黑" w:hint="default"/>
          <w:b/>
          <w:bCs/>
          <w:sz w:val="21"/>
          <w:szCs w:val="21"/>
        </w:rPr>
        <w:t>、本公司的母公司情况</w:t>
      </w:r>
      <w:r>
        <w:rPr>
          <w:rFonts w:ascii="华文细黑" w:hAnsi="华文细黑" w:cs="华文细黑" w:eastAsia="华文细黑" w:hint="default"/>
          <w:sz w:val="21"/>
          <w:szCs w:val="21"/>
        </w:rPr>
      </w:r>
    </w:p>
    <w:tbl>
      <w:tblPr>
        <w:tblW w:w="0" w:type="auto"/>
        <w:jc w:val="left"/>
        <w:tblInd w:w="135" w:type="dxa"/>
        <w:tblLayout w:type="fixed"/>
        <w:tblCellMar>
          <w:top w:w="0" w:type="dxa"/>
          <w:left w:w="0" w:type="dxa"/>
          <w:bottom w:w="0" w:type="dxa"/>
          <w:right w:w="0" w:type="dxa"/>
        </w:tblCellMar>
        <w:tblLook w:val="01E0"/>
      </w:tblPr>
      <w:tblGrid>
        <w:gridCol w:w="2978"/>
        <w:gridCol w:w="850"/>
        <w:gridCol w:w="1417"/>
        <w:gridCol w:w="1276"/>
        <w:gridCol w:w="1275"/>
        <w:gridCol w:w="1274"/>
      </w:tblGrid>
      <w:tr>
        <w:trPr>
          <w:trHeight w:val="406" w:hRule="exact"/>
        </w:trPr>
        <w:tc>
          <w:tcPr>
            <w:tcW w:w="2978" w:type="dxa"/>
            <w:tcBorders>
              <w:top w:val="single" w:sz="4" w:space="0" w:color="FFC000"/>
              <w:left w:val="single" w:sz="4" w:space="0" w:color="FFC000"/>
              <w:bottom w:val="nil" w:sz="6" w:space="0" w:color="auto"/>
              <w:right w:val="single" w:sz="4" w:space="0" w:color="FFC000"/>
            </w:tcBorders>
            <w:shd w:val="clear" w:color="auto" w:fill="FFF8E6"/>
          </w:tcPr>
          <w:p>
            <w:pPr/>
          </w:p>
        </w:tc>
        <w:tc>
          <w:tcPr>
            <w:tcW w:w="850" w:type="dxa"/>
            <w:tcBorders>
              <w:top w:val="single" w:sz="4" w:space="0" w:color="FFC000"/>
              <w:left w:val="single" w:sz="4" w:space="0" w:color="FFC000"/>
              <w:bottom w:val="nil" w:sz="6" w:space="0" w:color="auto"/>
              <w:right w:val="single" w:sz="4" w:space="0" w:color="FFC000"/>
            </w:tcBorders>
            <w:shd w:val="clear" w:color="auto" w:fill="FFF8E6"/>
          </w:tcPr>
          <w:p>
            <w:pPr/>
          </w:p>
        </w:tc>
        <w:tc>
          <w:tcPr>
            <w:tcW w:w="1417" w:type="dxa"/>
            <w:tcBorders>
              <w:top w:val="single" w:sz="4" w:space="0" w:color="FFC000"/>
              <w:left w:val="single" w:sz="4" w:space="0" w:color="FFC000"/>
              <w:bottom w:val="nil" w:sz="6" w:space="0" w:color="auto"/>
              <w:right w:val="single" w:sz="4" w:space="0" w:color="FFC000"/>
            </w:tcBorders>
            <w:shd w:val="clear" w:color="auto" w:fill="FFF8E6"/>
          </w:tcPr>
          <w:p>
            <w:pPr/>
          </w:p>
        </w:tc>
        <w:tc>
          <w:tcPr>
            <w:tcW w:w="1276" w:type="dxa"/>
            <w:tcBorders>
              <w:top w:val="single" w:sz="4" w:space="0" w:color="FFC000"/>
              <w:left w:val="single" w:sz="4" w:space="0" w:color="FFC000"/>
              <w:bottom w:val="nil" w:sz="6" w:space="0" w:color="auto"/>
              <w:right w:val="single" w:sz="4" w:space="0" w:color="FFC000"/>
            </w:tcBorders>
            <w:shd w:val="clear" w:color="auto" w:fill="FFF8E6"/>
          </w:tcPr>
          <w:p>
            <w:pPr/>
          </w:p>
        </w:tc>
        <w:tc>
          <w:tcPr>
            <w:tcW w:w="1275"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32"/>
              <w:ind w:left="92" w:right="9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母公司对本公 司的持股比例</w:t>
            </w:r>
          </w:p>
          <w:p>
            <w:pPr>
              <w:pStyle w:val="TableParagraph"/>
              <w:spacing w:line="240" w:lineRule="auto" w:before="32"/>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1274" w:type="dxa"/>
            <w:vMerge w:val="restart"/>
            <w:tcBorders>
              <w:top w:val="single" w:sz="4" w:space="0" w:color="FFC000"/>
              <w:left w:val="single" w:sz="4" w:space="0" w:color="FFC000"/>
              <w:right w:val="single" w:sz="4" w:space="0" w:color="FFC000"/>
            </w:tcBorders>
            <w:shd w:val="clear" w:color="auto" w:fill="FFF8E6"/>
          </w:tcPr>
          <w:p>
            <w:pPr>
              <w:pStyle w:val="TableParagraph"/>
              <w:spacing w:line="376" w:lineRule="auto" w:before="132"/>
              <w:ind w:left="91" w:right="9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母公司对本公 司的表决权比 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r>
      <w:tr>
        <w:trPr>
          <w:trHeight w:val="480" w:hRule="exact"/>
        </w:trPr>
        <w:tc>
          <w:tcPr>
            <w:tcW w:w="2978"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33"/>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母公司名称</w:t>
            </w:r>
          </w:p>
        </w:tc>
        <w:tc>
          <w:tcPr>
            <w:tcW w:w="850"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33"/>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注册地</w:t>
            </w:r>
          </w:p>
        </w:tc>
        <w:tc>
          <w:tcPr>
            <w:tcW w:w="1417"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33"/>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业务性质</w:t>
            </w:r>
          </w:p>
        </w:tc>
        <w:tc>
          <w:tcPr>
            <w:tcW w:w="1276"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33"/>
              <w:ind w:left="27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注册资本</w:t>
            </w:r>
          </w:p>
        </w:tc>
        <w:tc>
          <w:tcPr>
            <w:tcW w:w="1275" w:type="dxa"/>
            <w:vMerge/>
            <w:tcBorders>
              <w:left w:val="single" w:sz="4" w:space="0" w:color="FFC000"/>
              <w:right w:val="single" w:sz="4" w:space="0" w:color="FFC000"/>
            </w:tcBorders>
            <w:shd w:val="clear" w:color="auto" w:fill="FFF8E6"/>
          </w:tcPr>
          <w:p>
            <w:pPr/>
          </w:p>
        </w:tc>
        <w:tc>
          <w:tcPr>
            <w:tcW w:w="1274" w:type="dxa"/>
            <w:vMerge/>
            <w:tcBorders>
              <w:left w:val="single" w:sz="4" w:space="0" w:color="FFC000"/>
              <w:right w:val="single" w:sz="4" w:space="0" w:color="FFC000"/>
            </w:tcBorders>
            <w:shd w:val="clear" w:color="auto" w:fill="FFF8E6"/>
          </w:tcPr>
          <w:p>
            <w:pPr/>
          </w:p>
        </w:tc>
      </w:tr>
      <w:tr>
        <w:trPr>
          <w:trHeight w:val="404" w:hRule="exact"/>
        </w:trPr>
        <w:tc>
          <w:tcPr>
            <w:tcW w:w="2978" w:type="dxa"/>
            <w:tcBorders>
              <w:top w:val="nil" w:sz="6" w:space="0" w:color="auto"/>
              <w:left w:val="single" w:sz="4" w:space="0" w:color="FFC000"/>
              <w:bottom w:val="single" w:sz="4" w:space="0" w:color="FFC000"/>
              <w:right w:val="single" w:sz="4" w:space="0" w:color="FFC000"/>
            </w:tcBorders>
            <w:shd w:val="clear" w:color="auto" w:fill="FFF8E6"/>
          </w:tcPr>
          <w:p>
            <w:pPr/>
          </w:p>
        </w:tc>
        <w:tc>
          <w:tcPr>
            <w:tcW w:w="850" w:type="dxa"/>
            <w:tcBorders>
              <w:top w:val="nil" w:sz="6" w:space="0" w:color="auto"/>
              <w:left w:val="single" w:sz="4" w:space="0" w:color="FFC000"/>
              <w:bottom w:val="single" w:sz="4" w:space="0" w:color="FFC000"/>
              <w:right w:val="single" w:sz="4" w:space="0" w:color="FFC000"/>
            </w:tcBorders>
            <w:shd w:val="clear" w:color="auto" w:fill="FFF8E6"/>
          </w:tcPr>
          <w:p>
            <w:pPr/>
          </w:p>
        </w:tc>
        <w:tc>
          <w:tcPr>
            <w:tcW w:w="1417" w:type="dxa"/>
            <w:tcBorders>
              <w:top w:val="nil" w:sz="6" w:space="0" w:color="auto"/>
              <w:left w:val="single" w:sz="4" w:space="0" w:color="FFC000"/>
              <w:bottom w:val="single" w:sz="4" w:space="0" w:color="FFC000"/>
              <w:right w:val="single" w:sz="4" w:space="0" w:color="FFC000"/>
            </w:tcBorders>
            <w:shd w:val="clear" w:color="auto" w:fill="FFF8E6"/>
          </w:tcPr>
          <w:p>
            <w:pPr/>
          </w:p>
        </w:tc>
        <w:tc>
          <w:tcPr>
            <w:tcW w:w="1276" w:type="dxa"/>
            <w:tcBorders>
              <w:top w:val="nil" w:sz="6" w:space="0" w:color="auto"/>
              <w:left w:val="single" w:sz="4" w:space="0" w:color="FFC000"/>
              <w:bottom w:val="single" w:sz="4" w:space="0" w:color="FFC000"/>
              <w:right w:val="single" w:sz="4" w:space="0" w:color="FFC000"/>
            </w:tcBorders>
            <w:shd w:val="clear" w:color="auto" w:fill="FFF8E6"/>
          </w:tcPr>
          <w:p>
            <w:pPr/>
          </w:p>
        </w:tc>
        <w:tc>
          <w:tcPr>
            <w:tcW w:w="1275" w:type="dxa"/>
            <w:vMerge/>
            <w:tcBorders>
              <w:left w:val="single" w:sz="4" w:space="0" w:color="FFC000"/>
              <w:bottom w:val="single" w:sz="4" w:space="0" w:color="FFC000"/>
              <w:right w:val="single" w:sz="4" w:space="0" w:color="FFC000"/>
            </w:tcBorders>
            <w:shd w:val="clear" w:color="auto" w:fill="FFF8E6"/>
          </w:tcPr>
          <w:p>
            <w:pPr/>
          </w:p>
        </w:tc>
        <w:tc>
          <w:tcPr>
            <w:tcW w:w="1274"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29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3"/>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w:t>
            </w:r>
          </w:p>
        </w:tc>
        <w:tc>
          <w:tcPr>
            <w:tcW w:w="85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33"/>
              <w:ind w:right="1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3"/>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实业投资</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3"/>
              <w:ind w:right="22"/>
              <w:jc w:val="right"/>
              <w:rPr>
                <w:rFonts w:ascii="华文细黑" w:hAnsi="华文细黑" w:cs="华文细黑" w:eastAsia="华文细黑" w:hint="default"/>
                <w:sz w:val="18"/>
                <w:szCs w:val="18"/>
              </w:rPr>
            </w:pPr>
            <w:r>
              <w:rPr>
                <w:rFonts w:ascii="华文细黑"/>
                <w:sz w:val="18"/>
              </w:rPr>
              <w:t>20,000.00</w:t>
            </w:r>
          </w:p>
        </w:tc>
        <w:tc>
          <w:tcPr>
            <w:tcW w:w="127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3"/>
              <w:ind w:right="20"/>
              <w:jc w:val="right"/>
              <w:rPr>
                <w:rFonts w:ascii="华文细黑" w:hAnsi="华文细黑" w:cs="华文细黑" w:eastAsia="华文细黑" w:hint="default"/>
                <w:sz w:val="18"/>
                <w:szCs w:val="18"/>
              </w:rPr>
            </w:pPr>
            <w:r>
              <w:rPr>
                <w:rFonts w:ascii="华文细黑"/>
                <w:sz w:val="18"/>
              </w:rPr>
              <w:t>52.50</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3"/>
              <w:ind w:right="21"/>
              <w:jc w:val="right"/>
              <w:rPr>
                <w:rFonts w:ascii="华文细黑" w:hAnsi="华文细黑" w:cs="华文细黑" w:eastAsia="华文细黑" w:hint="default"/>
                <w:sz w:val="18"/>
                <w:szCs w:val="18"/>
              </w:rPr>
            </w:pPr>
            <w:r>
              <w:rPr>
                <w:rFonts w:ascii="华文细黑"/>
                <w:sz w:val="18"/>
              </w:rPr>
              <w:t>52.50</w:t>
            </w:r>
          </w:p>
        </w:tc>
      </w:tr>
      <w:tr>
        <w:trPr>
          <w:trHeight w:val="491" w:hRule="exact"/>
        </w:trPr>
        <w:tc>
          <w:tcPr>
            <w:tcW w:w="29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深圳市华夏风投资有限公司①</w:t>
            </w:r>
          </w:p>
        </w:tc>
        <w:tc>
          <w:tcPr>
            <w:tcW w:w="85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34"/>
              <w:ind w:right="1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深圳</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4"/>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实业投资</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4"/>
              <w:ind w:right="23"/>
              <w:jc w:val="right"/>
              <w:rPr>
                <w:rFonts w:ascii="华文细黑" w:hAnsi="华文细黑" w:cs="华文细黑" w:eastAsia="华文细黑" w:hint="default"/>
                <w:sz w:val="18"/>
                <w:szCs w:val="18"/>
              </w:rPr>
            </w:pPr>
            <w:r>
              <w:rPr>
                <w:rFonts w:ascii="华文细黑"/>
                <w:sz w:val="18"/>
              </w:rPr>
              <w:t>1,330.00</w:t>
            </w:r>
          </w:p>
        </w:tc>
        <w:tc>
          <w:tcPr>
            <w:tcW w:w="127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4"/>
              <w:ind w:right="20"/>
              <w:jc w:val="right"/>
              <w:rPr>
                <w:rFonts w:ascii="华文细黑" w:hAnsi="华文细黑" w:cs="华文细黑" w:eastAsia="华文细黑" w:hint="default"/>
                <w:sz w:val="18"/>
                <w:szCs w:val="18"/>
              </w:rPr>
            </w:pPr>
            <w:r>
              <w:rPr>
                <w:rFonts w:ascii="华文细黑"/>
                <w:sz w:val="18"/>
              </w:rPr>
              <w:t>44.25</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4"/>
              <w:ind w:right="22"/>
              <w:jc w:val="right"/>
              <w:rPr>
                <w:rFonts w:ascii="华文细黑" w:hAnsi="华文细黑" w:cs="华文细黑" w:eastAsia="华文细黑" w:hint="default"/>
                <w:sz w:val="18"/>
                <w:szCs w:val="18"/>
              </w:rPr>
            </w:pPr>
            <w:r>
              <w:rPr>
                <w:rFonts w:ascii="华文细黑"/>
                <w:w w:val="95"/>
                <w:sz w:val="18"/>
              </w:rPr>
              <w:t>66.54</w:t>
            </w:r>
          </w:p>
        </w:tc>
      </w:tr>
      <w:tr>
        <w:trPr>
          <w:trHeight w:val="490" w:hRule="exact"/>
        </w:trPr>
        <w:tc>
          <w:tcPr>
            <w:tcW w:w="297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3"/>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黄绍武②</w:t>
            </w:r>
          </w:p>
        </w:tc>
        <w:tc>
          <w:tcPr>
            <w:tcW w:w="850"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33"/>
              <w:ind w:right="10"/>
              <w:jc w:val="center"/>
              <w:rPr>
                <w:rFonts w:ascii="华文细黑" w:hAnsi="华文细黑" w:cs="华文细黑" w:eastAsia="华文细黑" w:hint="default"/>
                <w:sz w:val="18"/>
                <w:szCs w:val="18"/>
              </w:rPr>
            </w:pPr>
            <w:r>
              <w:rPr>
                <w:rFonts w:ascii="华文细黑"/>
                <w:sz w:val="18"/>
              </w:rPr>
              <w:t>---</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3"/>
              <w:ind w:left="1" w:right="0"/>
              <w:jc w:val="center"/>
              <w:rPr>
                <w:rFonts w:ascii="华文细黑" w:hAnsi="华文细黑" w:cs="华文细黑" w:eastAsia="华文细黑" w:hint="default"/>
                <w:sz w:val="18"/>
                <w:szCs w:val="18"/>
              </w:rPr>
            </w:pPr>
            <w:r>
              <w:rPr>
                <w:rFonts w:ascii="华文细黑"/>
                <w:sz w:val="18"/>
              </w:rPr>
              <w:t>---</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3"/>
              <w:ind w:right="20"/>
              <w:jc w:val="right"/>
              <w:rPr>
                <w:rFonts w:ascii="华文细黑" w:hAnsi="华文细黑" w:cs="华文细黑" w:eastAsia="华文细黑" w:hint="default"/>
                <w:sz w:val="18"/>
                <w:szCs w:val="18"/>
              </w:rPr>
            </w:pPr>
            <w:r>
              <w:rPr>
                <w:rFonts w:ascii="华文细黑"/>
                <w:sz w:val="18"/>
              </w:rPr>
              <w:t>---</w:t>
            </w:r>
          </w:p>
        </w:tc>
        <w:tc>
          <w:tcPr>
            <w:tcW w:w="127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3"/>
              <w:ind w:right="20"/>
              <w:jc w:val="right"/>
              <w:rPr>
                <w:rFonts w:ascii="华文细黑" w:hAnsi="华文细黑" w:cs="华文细黑" w:eastAsia="华文细黑" w:hint="default"/>
                <w:sz w:val="18"/>
                <w:szCs w:val="18"/>
              </w:rPr>
            </w:pPr>
            <w:r>
              <w:rPr>
                <w:rFonts w:ascii="华文细黑"/>
                <w:sz w:val="18"/>
              </w:rPr>
              <w:t>45.32</w:t>
            </w:r>
          </w:p>
        </w:tc>
        <w:tc>
          <w:tcPr>
            <w:tcW w:w="127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3"/>
              <w:ind w:right="22"/>
              <w:jc w:val="right"/>
              <w:rPr>
                <w:rFonts w:ascii="华文细黑" w:hAnsi="华文细黑" w:cs="华文细黑" w:eastAsia="华文细黑" w:hint="default"/>
                <w:sz w:val="18"/>
                <w:szCs w:val="18"/>
              </w:rPr>
            </w:pPr>
            <w:r>
              <w:rPr>
                <w:rFonts w:ascii="华文细黑"/>
                <w:w w:val="95"/>
                <w:sz w:val="18"/>
              </w:rPr>
              <w:t>67.70</w:t>
            </w:r>
          </w:p>
        </w:tc>
      </w:tr>
    </w:tbl>
    <w:p>
      <w:pPr>
        <w:spacing w:line="240" w:lineRule="auto" w:before="1"/>
        <w:rPr>
          <w:rFonts w:ascii="华文细黑" w:hAnsi="华文细黑" w:cs="华文细黑" w:eastAsia="华文细黑" w:hint="default"/>
          <w:b/>
          <w:bCs/>
          <w:sz w:val="6"/>
          <w:szCs w:val="6"/>
        </w:rPr>
      </w:pPr>
    </w:p>
    <w:p>
      <w:pPr>
        <w:pStyle w:val="BodyText"/>
        <w:spacing w:line="324" w:lineRule="auto" w:before="10"/>
        <w:ind w:right="1436" w:firstLine="420"/>
        <w:jc w:val="both"/>
      </w:pPr>
      <w:r>
        <w:rPr/>
        <w:t>注：①深圳市华夏风投资有限公司分别持有深圳市神州通投资集团有限公司与深圳市全球星投 资管理有限公司 </w:t>
      </w:r>
      <w:r>
        <w:rPr>
          <w:rFonts w:ascii="华文细黑" w:hAnsi="华文细黑" w:cs="华文细黑" w:eastAsia="华文细黑" w:hint="default"/>
        </w:rPr>
        <w:t>66.50%</w:t>
      </w:r>
      <w:r>
        <w:rPr/>
        <w:t>股权，通过深圳市神州通投资集团有限公司持有本公司</w:t>
      </w:r>
      <w:r>
        <w:rPr>
          <w:spacing w:val="-12"/>
        </w:rPr>
        <w:t> </w:t>
      </w:r>
      <w:r>
        <w:rPr>
          <w:rFonts w:ascii="华文细黑" w:hAnsi="华文细黑" w:cs="华文细黑" w:eastAsia="华文细黑" w:hint="default"/>
        </w:rPr>
        <w:t>34.91%</w:t>
      </w:r>
      <w:r>
        <w:rPr/>
        <w:t>股权，通过 深圳市全球星投资管理有限公司持有本公司 </w:t>
      </w:r>
      <w:r>
        <w:rPr>
          <w:rFonts w:ascii="华文细黑" w:hAnsi="华文细黑" w:cs="华文细黑" w:eastAsia="华文细黑" w:hint="default"/>
        </w:rPr>
        <w:t>9.34%</w:t>
      </w:r>
      <w:r>
        <w:rPr/>
        <w:t>股权，合计持有本公司</w:t>
      </w:r>
      <w:r>
        <w:rPr>
          <w:spacing w:val="1"/>
        </w:rPr>
        <w:t> </w:t>
      </w:r>
      <w:r>
        <w:rPr>
          <w:rFonts w:ascii="华文细黑" w:hAnsi="华文细黑" w:cs="华文细黑" w:eastAsia="华文细黑" w:hint="default"/>
        </w:rPr>
        <w:t>44.25%</w:t>
      </w:r>
      <w:r>
        <w:rPr/>
        <w:t>股权。</w:t>
      </w:r>
    </w:p>
    <w:p>
      <w:pPr>
        <w:pStyle w:val="BodyText"/>
        <w:spacing w:line="324" w:lineRule="auto" w:before="64"/>
        <w:ind w:right="1437" w:firstLine="420"/>
        <w:jc w:val="both"/>
      </w:pPr>
      <w:r>
        <w:rPr/>
        <w:t>②黄绍武直接及间接持有深圳市华夏风投资有限公司</w:t>
      </w:r>
      <w:r>
        <w:rPr>
          <w:spacing w:val="49"/>
        </w:rPr>
        <w:t> </w:t>
      </w:r>
      <w:r>
        <w:rPr>
          <w:rFonts w:ascii="华文细黑" w:hAnsi="华文细黑" w:cs="华文细黑" w:eastAsia="华文细黑" w:hint="default"/>
        </w:rPr>
        <w:t>99.80</w:t>
      </w:r>
      <w:r>
        <w:rPr/>
        <w:t>％股权，通过该公司间接持有本公 司 </w:t>
      </w:r>
      <w:r>
        <w:rPr>
          <w:rFonts w:ascii="华文细黑" w:hAnsi="华文细黑" w:cs="华文细黑" w:eastAsia="华文细黑" w:hint="default"/>
        </w:rPr>
        <w:t>44.16%</w:t>
      </w:r>
      <w:r>
        <w:rPr/>
        <w:t>股权；黄绍武直接持有本公司 </w:t>
      </w:r>
      <w:r>
        <w:rPr>
          <w:rFonts w:ascii="华文细黑" w:hAnsi="华文细黑" w:cs="华文细黑" w:eastAsia="华文细黑" w:hint="default"/>
        </w:rPr>
        <w:t>1.16%</w:t>
      </w:r>
      <w:r>
        <w:rPr/>
        <w:t>股权，合计持有本公司 </w:t>
      </w:r>
      <w:r>
        <w:rPr>
          <w:rFonts w:ascii="华文细黑" w:hAnsi="华文细黑" w:cs="华文细黑" w:eastAsia="华文细黑" w:hint="default"/>
        </w:rPr>
        <w:t>45.32%</w:t>
      </w:r>
      <w:r>
        <w:rPr/>
        <w:t>股权。</w:t>
      </w:r>
    </w:p>
    <w:p>
      <w:pPr>
        <w:spacing w:after="0" w:line="324" w:lineRule="auto"/>
        <w:jc w:val="both"/>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spacing w:line="355" w:lineRule="auto" w:before="10"/>
        <w:ind w:left="660" w:right="6580" w:firstLine="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③本公司最终控制方是黄绍武。 </w:t>
      </w:r>
      <w:bookmarkStart w:name="2、本公司的子公司情况" w:id="336"/>
      <w:bookmarkEnd w:id="336"/>
      <w:r>
        <w:rPr>
          <w:rFonts w:ascii="华文细黑" w:hAnsi="华文细黑" w:cs="华文细黑" w:eastAsia="华文细黑" w:hint="default"/>
          <w:sz w:val="21"/>
          <w:szCs w:val="21"/>
        </w:rPr>
      </w: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、本公司的子公司情况</w:t>
      </w:r>
      <w:r>
        <w:rPr>
          <w:rFonts w:ascii="华文细黑" w:hAnsi="华文细黑" w:cs="华文细黑" w:eastAsia="华文细黑" w:hint="default"/>
          <w:b/>
          <w:bCs/>
          <w:w w:val="99"/>
          <w:sz w:val="21"/>
          <w:szCs w:val="21"/>
        </w:rPr>
        <w:t> </w:t>
      </w:r>
      <w:r>
        <w:rPr>
          <w:rFonts w:ascii="华文细黑" w:hAnsi="华文细黑" w:cs="华文细黑" w:eastAsia="华文细黑" w:hint="default"/>
          <w:sz w:val="21"/>
          <w:szCs w:val="21"/>
        </w:rPr>
        <w:t>详见附注八、</w:t>
      </w:r>
      <w:r>
        <w:rPr>
          <w:rFonts w:ascii="华文细黑" w:hAnsi="华文细黑" w:cs="华文细黑" w:eastAsia="华文细黑" w:hint="default"/>
          <w:sz w:val="21"/>
          <w:szCs w:val="21"/>
        </w:rPr>
        <w:t>1</w:t>
      </w:r>
      <w:r>
        <w:rPr>
          <w:rFonts w:ascii="华文细黑" w:hAnsi="华文细黑" w:cs="华文细黑" w:eastAsia="华文细黑" w:hint="default"/>
          <w:sz w:val="21"/>
          <w:szCs w:val="21"/>
        </w:rPr>
        <w:t>、在子公司中的权益</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 </w:t>
      </w:r>
      <w:bookmarkStart w:name="3、本公司的合营和联营企业情况" w:id="337"/>
      <w:bookmarkEnd w:id="337"/>
      <w:r>
        <w:rPr>
          <w:rFonts w:ascii="华文细黑" w:hAnsi="华文细黑" w:cs="华文细黑" w:eastAsia="华文细黑" w:hint="default"/>
          <w:sz w:val="18"/>
          <w:szCs w:val="18"/>
        </w:rPr>
      </w:r>
      <w:r>
        <w:rPr>
          <w:rFonts w:ascii="华文细黑" w:hAnsi="华文细黑" w:cs="华文细黑" w:eastAsia="华文细黑" w:hint="default"/>
          <w:b/>
          <w:bCs/>
          <w:sz w:val="21"/>
          <w:szCs w:val="21"/>
        </w:rPr>
        <w:t>3</w:t>
      </w:r>
      <w:r>
        <w:rPr>
          <w:rFonts w:ascii="华文细黑" w:hAnsi="华文细黑" w:cs="华文细黑" w:eastAsia="华文细黑" w:hint="default"/>
          <w:b/>
          <w:bCs/>
          <w:sz w:val="21"/>
          <w:szCs w:val="21"/>
        </w:rPr>
        <w:t>、本公司的合营和联营企业情况</w:t>
      </w:r>
      <w:r>
        <w:rPr>
          <w:rFonts w:ascii="华文细黑" w:hAnsi="华文细黑" w:cs="华文细黑" w:eastAsia="华文细黑" w:hint="default"/>
          <w:sz w:val="21"/>
          <w:szCs w:val="21"/>
        </w:rPr>
      </w:r>
    </w:p>
    <w:p>
      <w:pPr>
        <w:pStyle w:val="BodyText"/>
        <w:spacing w:line="355" w:lineRule="auto" w:before="35"/>
        <w:ind w:left="660" w:right="2590" w:hanging="30"/>
        <w:jc w:val="left"/>
        <w:rPr>
          <w:rFonts w:ascii="华文细黑" w:hAnsi="华文细黑" w:cs="华文细黑" w:eastAsia="华文细黑" w:hint="default"/>
        </w:rPr>
      </w:pPr>
      <w:r>
        <w:rPr/>
        <w:pict>
          <v:shape style="position:absolute;margin-left:67.980003pt;margin-top:42.351688pt;width:460.45pt;height:319.05pt;mso-position-horizontal-relative:page;mso-position-vertical-relative:paragraph;z-index:152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976"/>
                    <w:gridCol w:w="5219"/>
                  </w:tblGrid>
                  <w:tr>
                    <w:trPr>
                      <w:trHeight w:val="490" w:hRule="exact"/>
                    </w:trPr>
                    <w:tc>
                      <w:tcPr>
                        <w:tcW w:w="39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3"/>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其他关联方名称</w:t>
                        </w:r>
                      </w:p>
                    </w:tc>
                    <w:tc>
                      <w:tcPr>
                        <w:tcW w:w="521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9"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其他关联方与本公司关系</w:t>
                        </w:r>
                      </w:p>
                    </w:tc>
                  </w:tr>
                  <w:tr>
                    <w:trPr>
                      <w:trHeight w:val="490" w:hRule="exact"/>
                    </w:trPr>
                    <w:tc>
                      <w:tcPr>
                        <w:tcW w:w="39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深圳市全球星投资管理有限公司</w:t>
                        </w:r>
                      </w:p>
                    </w:tc>
                    <w:tc>
                      <w:tcPr>
                        <w:tcW w:w="521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本公司股东</w:t>
                        </w:r>
                      </w:p>
                    </w:tc>
                  </w:tr>
                  <w:tr>
                    <w:trPr>
                      <w:trHeight w:val="490" w:hRule="exact"/>
                    </w:trPr>
                    <w:tc>
                      <w:tcPr>
                        <w:tcW w:w="39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上海酷武供应链管理股份有限公司（注）</w:t>
                        </w:r>
                      </w:p>
                    </w:tc>
                    <w:tc>
                      <w:tcPr>
                        <w:tcW w:w="521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与本公司受同一控制人控制</w:t>
                        </w:r>
                      </w:p>
                    </w:tc>
                  </w:tr>
                  <w:tr>
                    <w:trPr>
                      <w:trHeight w:val="490" w:hRule="exact"/>
                    </w:trPr>
                    <w:tc>
                      <w:tcPr>
                        <w:tcW w:w="39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深圳市神州通油茶营销有限公司</w:t>
                        </w:r>
                      </w:p>
                    </w:tc>
                    <w:tc>
                      <w:tcPr>
                        <w:tcW w:w="521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与本公司受同一控制人控制</w:t>
                        </w:r>
                      </w:p>
                    </w:tc>
                  </w:tr>
                  <w:tr>
                    <w:trPr>
                      <w:trHeight w:val="490" w:hRule="exact"/>
                    </w:trPr>
                    <w:tc>
                      <w:tcPr>
                        <w:tcW w:w="39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深圳市神州通在线科技有限公司</w:t>
                        </w:r>
                      </w:p>
                    </w:tc>
                    <w:tc>
                      <w:tcPr>
                        <w:tcW w:w="521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与本公司受同一控制人控制</w:t>
                        </w:r>
                      </w:p>
                    </w:tc>
                  </w:tr>
                  <w:tr>
                    <w:trPr>
                      <w:trHeight w:val="490" w:hRule="exact"/>
                    </w:trPr>
                    <w:tc>
                      <w:tcPr>
                        <w:tcW w:w="39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店商互联（北京）科技发展有限公司</w:t>
                        </w:r>
                      </w:p>
                    </w:tc>
                    <w:tc>
                      <w:tcPr>
                        <w:tcW w:w="521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本公司之全资子公司参股的企业</w:t>
                        </w:r>
                      </w:p>
                    </w:tc>
                  </w:tr>
                  <w:tr>
                    <w:trPr>
                      <w:trHeight w:val="490" w:hRule="exact"/>
                    </w:trPr>
                    <w:tc>
                      <w:tcPr>
                        <w:tcW w:w="39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黑龙江省宝润饮品有限责任公司</w:t>
                        </w:r>
                      </w:p>
                    </w:tc>
                    <w:tc>
                      <w:tcPr>
                        <w:tcW w:w="521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本公司之控股子公司的参股股东实际控制人控制的企业</w:t>
                        </w:r>
                      </w:p>
                    </w:tc>
                  </w:tr>
                  <w:tr>
                    <w:trPr>
                      <w:trHeight w:val="490" w:hRule="exact"/>
                    </w:trPr>
                    <w:tc>
                      <w:tcPr>
                        <w:tcW w:w="39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先锋智道（北京）科技有限公司</w:t>
                        </w:r>
                      </w:p>
                    </w:tc>
                    <w:tc>
                      <w:tcPr>
                        <w:tcW w:w="521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本公司之控股子公司的参股股东实际控制人控制的企业</w:t>
                        </w:r>
                      </w:p>
                    </w:tc>
                  </w:tr>
                  <w:tr>
                    <w:trPr>
                      <w:trHeight w:val="490" w:hRule="exact"/>
                    </w:trPr>
                    <w:tc>
                      <w:tcPr>
                        <w:tcW w:w="39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北京众达裕业贸易有限公司</w:t>
                        </w:r>
                      </w:p>
                    </w:tc>
                    <w:tc>
                      <w:tcPr>
                        <w:tcW w:w="521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本公司之控股子公司的参股股东实际控制人控制的企业</w:t>
                        </w:r>
                      </w:p>
                    </w:tc>
                  </w:tr>
                  <w:tr>
                    <w:trPr>
                      <w:trHeight w:val="490" w:hRule="exact"/>
                    </w:trPr>
                    <w:tc>
                      <w:tcPr>
                        <w:tcW w:w="39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星通行供应链管理有限公司</w:t>
                        </w:r>
                      </w:p>
                    </w:tc>
                    <w:tc>
                      <w:tcPr>
                        <w:tcW w:w="521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本公司之控股子公司的参股股东实际控制人控制的企业</w:t>
                        </w:r>
                      </w:p>
                    </w:tc>
                  </w:tr>
                  <w:tr>
                    <w:trPr>
                      <w:trHeight w:val="490" w:hRule="exact"/>
                    </w:trPr>
                    <w:tc>
                      <w:tcPr>
                        <w:tcW w:w="39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上海驿圆股权投资基金有限公司</w:t>
                        </w:r>
                      </w:p>
                    </w:tc>
                    <w:tc>
                      <w:tcPr>
                        <w:tcW w:w="521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本公司之控股子公司的参股股东实际控制人控制的企业</w:t>
                        </w:r>
                      </w:p>
                    </w:tc>
                  </w:tr>
                  <w:tr>
                    <w:trPr>
                      <w:trHeight w:val="490" w:hRule="exact"/>
                    </w:trPr>
                    <w:tc>
                      <w:tcPr>
                        <w:tcW w:w="39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深圳百禾商业保理有限公司</w:t>
                        </w:r>
                      </w:p>
                    </w:tc>
                    <w:tc>
                      <w:tcPr>
                        <w:tcW w:w="521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本公司之控股子公司的参股股东实际控制人控制的企业</w:t>
                        </w:r>
                      </w:p>
                    </w:tc>
                  </w:tr>
                  <w:tr>
                    <w:trPr>
                      <w:trHeight w:val="491" w:hRule="exact"/>
                    </w:trPr>
                    <w:tc>
                      <w:tcPr>
                        <w:tcW w:w="39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周友盟</w:t>
                        </w:r>
                      </w:p>
                    </w:tc>
                    <w:tc>
                      <w:tcPr>
                        <w:tcW w:w="521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本公司副董事长、总裁</w:t>
                        </w:r>
                      </w:p>
                    </w:tc>
                  </w:tr>
                </w:tbl>
                <w:p>
                  <w:pPr/>
                </w:p>
              </w:txbxContent>
            </v:textbox>
            <w10:wrap type="none"/>
          </v:shape>
        </w:pict>
      </w:r>
      <w:r>
        <w:rPr/>
        <w:t>本公司重要的合营和联营企业详见附注八、</w:t>
      </w:r>
      <w:r>
        <w:rPr>
          <w:rFonts w:ascii="华文细黑" w:hAnsi="华文细黑" w:cs="华文细黑" w:eastAsia="华文细黑" w:hint="default"/>
        </w:rPr>
        <w:t>2</w:t>
      </w:r>
      <w:r>
        <w:rPr/>
        <w:t>、在合营企业或联营企业中的权益。 </w:t>
      </w:r>
      <w:bookmarkStart w:name="4、其他关联方情况" w:id="338"/>
      <w:bookmarkEnd w:id="338"/>
      <w:r>
        <w:rPr/>
      </w:r>
      <w:r>
        <w:rPr>
          <w:rFonts w:ascii="华文细黑" w:hAnsi="华文细黑" w:cs="华文细黑" w:eastAsia="华文细黑" w:hint="default"/>
          <w:b/>
          <w:bCs/>
        </w:rPr>
        <w:t>4</w:t>
      </w:r>
      <w:r>
        <w:rPr>
          <w:rFonts w:ascii="华文细黑" w:hAnsi="华文细黑" w:cs="华文细黑" w:eastAsia="华文细黑" w:hint="default"/>
          <w:b/>
          <w:bCs/>
        </w:rPr>
        <w:t>、其他关联方情况</w:t>
      </w:r>
      <w:r>
        <w:rPr>
          <w:rFonts w:ascii="华文细黑" w:hAnsi="华文细黑" w:cs="华文细黑" w:eastAsia="华文细黑" w:hint="default"/>
        </w:rPr>
      </w: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7"/>
        <w:rPr>
          <w:rFonts w:ascii="华文细黑" w:hAnsi="华文细黑" w:cs="华文细黑" w:eastAsia="华文细黑" w:hint="default"/>
          <w:b/>
          <w:bCs/>
          <w:sz w:val="16"/>
          <w:szCs w:val="16"/>
        </w:rPr>
      </w:pPr>
    </w:p>
    <w:p>
      <w:pPr>
        <w:pStyle w:val="BodyText"/>
        <w:spacing w:line="324" w:lineRule="auto" w:before="10"/>
        <w:ind w:left="240" w:right="1246" w:firstLine="372"/>
        <w:jc w:val="left"/>
      </w:pPr>
      <w:r>
        <w:rPr/>
        <w:t>注：本公司之母公司已转让其持有的上海酷武供应链管理股份有限公司的股权，相关股权转让 协议已签订并公证，亦已在报告期末收到股权转让款。</w:t>
      </w:r>
    </w:p>
    <w:p>
      <w:pPr>
        <w:pStyle w:val="Heading5"/>
        <w:spacing w:line="240" w:lineRule="auto" w:before="64"/>
        <w:ind w:left="722" w:right="1246"/>
        <w:jc w:val="left"/>
        <w:rPr>
          <w:b w:val="0"/>
          <w:bCs w:val="0"/>
        </w:rPr>
      </w:pPr>
      <w:bookmarkStart w:name="5、关联方交易情况" w:id="339"/>
      <w:bookmarkEnd w:id="339"/>
      <w:r>
        <w:rPr>
          <w:b w:val="0"/>
          <w:bCs w:val="0"/>
        </w:rPr>
      </w:r>
      <w:r>
        <w:rPr>
          <w:rFonts w:ascii="华文细黑" w:hAnsi="华文细黑" w:cs="华文细黑" w:eastAsia="华文细黑" w:hint="default"/>
        </w:rPr>
        <w:t>5</w:t>
      </w:r>
      <w:r>
        <w:rPr/>
        <w:t>、关联方交易情况</w:t>
      </w:r>
      <w:r>
        <w:rPr>
          <w:b w:val="0"/>
          <w:bCs w:val="0"/>
        </w:rPr>
      </w:r>
    </w:p>
    <w:p>
      <w:pPr>
        <w:pStyle w:val="BodyText"/>
        <w:spacing w:line="240" w:lineRule="auto" w:before="144"/>
        <w:ind w:left="722" w:right="1246"/>
        <w:jc w:val="left"/>
      </w:pPr>
      <w:r>
        <w:rPr/>
        <w:t>（</w:t>
      </w:r>
      <w:r>
        <w:rPr>
          <w:rFonts w:ascii="华文细黑" w:hAnsi="华文细黑" w:cs="华文细黑" w:eastAsia="华文细黑" w:hint="default"/>
        </w:rPr>
        <w:t>1</w:t>
      </w:r>
      <w:r>
        <w:rPr/>
        <w:t>）购销商品、提供和接受劳务的关联交易</w:t>
      </w:r>
    </w:p>
    <w:p>
      <w:pPr>
        <w:pStyle w:val="BodyText"/>
        <w:spacing w:line="240" w:lineRule="auto" w:before="142"/>
        <w:ind w:left="660" w:right="1246"/>
        <w:jc w:val="left"/>
      </w:pPr>
      <w:r>
        <w:rPr/>
        <w:t>①采购商品</w:t>
      </w:r>
      <w:r>
        <w:rPr>
          <w:rFonts w:ascii="华文细黑" w:hAnsi="华文细黑" w:cs="华文细黑" w:eastAsia="华文细黑" w:hint="default"/>
        </w:rPr>
        <w:t>/</w:t>
      </w:r>
      <w:r>
        <w:rPr/>
        <w:t>接受劳务情况</w:t>
      </w:r>
    </w:p>
    <w:p>
      <w:pPr>
        <w:spacing w:line="240" w:lineRule="auto" w:before="6"/>
        <w:rPr>
          <w:rFonts w:ascii="华文细黑" w:hAnsi="华文细黑" w:cs="华文细黑" w:eastAsia="华文细黑" w:hint="default"/>
          <w:sz w:val="5"/>
          <w:szCs w:val="5"/>
        </w:rPr>
      </w:pPr>
    </w:p>
    <w:tbl>
      <w:tblPr>
        <w:tblW w:w="0" w:type="auto"/>
        <w:jc w:val="left"/>
        <w:tblInd w:w="105" w:type="dxa"/>
        <w:tblLayout w:type="fixed"/>
        <w:tblCellMar>
          <w:top w:w="0" w:type="dxa"/>
          <w:left w:w="0" w:type="dxa"/>
          <w:bottom w:w="0" w:type="dxa"/>
          <w:right w:w="0" w:type="dxa"/>
        </w:tblCellMar>
        <w:tblLook w:val="01E0"/>
      </w:tblPr>
      <w:tblGrid>
        <w:gridCol w:w="3948"/>
        <w:gridCol w:w="1852"/>
        <w:gridCol w:w="1700"/>
        <w:gridCol w:w="1700"/>
      </w:tblGrid>
      <w:tr>
        <w:trPr>
          <w:trHeight w:val="490" w:hRule="exact"/>
        </w:trPr>
        <w:tc>
          <w:tcPr>
            <w:tcW w:w="39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关联方</w:t>
            </w:r>
          </w:p>
        </w:tc>
        <w:tc>
          <w:tcPr>
            <w:tcW w:w="18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1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关联交易内容</w:t>
            </w:r>
          </w:p>
        </w:tc>
        <w:tc>
          <w:tcPr>
            <w:tcW w:w="170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39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170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39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490" w:hRule="exact"/>
        </w:trPr>
        <w:tc>
          <w:tcPr>
            <w:tcW w:w="39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深圳市神州通油茶营销有限公司</w:t>
            </w:r>
          </w:p>
        </w:tc>
        <w:tc>
          <w:tcPr>
            <w:tcW w:w="1852" w:type="dxa"/>
            <w:tcBorders>
              <w:top w:val="single" w:sz="22" w:space="0" w:color="FFF8E6"/>
              <w:left w:val="single" w:sz="13" w:space="0" w:color="FFF8E6"/>
              <w:bottom w:val="single" w:sz="4" w:space="0" w:color="FFC000"/>
              <w:right w:val="single" w:sz="4" w:space="0" w:color="FFC000"/>
            </w:tcBorders>
          </w:tcPr>
          <w:p>
            <w:pPr>
              <w:pStyle w:val="TableParagraph"/>
              <w:spacing w:line="240" w:lineRule="auto" w:before="123"/>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采购商品</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w w:val="95"/>
                <w:sz w:val="18"/>
              </w:rPr>
              <w:t>547,038.60</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w w:val="95"/>
                <w:sz w:val="18"/>
              </w:rPr>
              <w:t>224,329.82</w:t>
            </w:r>
          </w:p>
        </w:tc>
      </w:tr>
      <w:tr>
        <w:trPr>
          <w:trHeight w:val="490" w:hRule="exact"/>
        </w:trPr>
        <w:tc>
          <w:tcPr>
            <w:tcW w:w="39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上海酷武供应链管理股份有限公司及其子公司</w:t>
            </w:r>
          </w:p>
        </w:tc>
        <w:tc>
          <w:tcPr>
            <w:tcW w:w="185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接受劳务</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12,154,534.44</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14,039,284.22</w:t>
            </w:r>
          </w:p>
        </w:tc>
      </w:tr>
      <w:tr>
        <w:trPr>
          <w:trHeight w:val="490" w:hRule="exact"/>
        </w:trPr>
        <w:tc>
          <w:tcPr>
            <w:tcW w:w="39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深圳市神州通在线科技有限公司</w:t>
            </w:r>
          </w:p>
        </w:tc>
        <w:tc>
          <w:tcPr>
            <w:tcW w:w="185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接受劳务</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51,423.83</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39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深圳金石创新科技有限公司</w:t>
            </w:r>
          </w:p>
        </w:tc>
        <w:tc>
          <w:tcPr>
            <w:tcW w:w="185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接受劳务</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7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2,650,200.00</w:t>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200" w:right="0"/>
        </w:sectPr>
      </w:pPr>
    </w:p>
    <w:p>
      <w:pPr>
        <w:spacing w:line="240" w:lineRule="auto" w:before="10"/>
        <w:rPr>
          <w:rFonts w:ascii="华文细黑" w:hAnsi="华文细黑" w:cs="华文细黑" w:eastAsia="华文细黑" w:hint="default"/>
          <w:sz w:val="27"/>
          <w:szCs w:val="27"/>
        </w:rPr>
      </w:pPr>
    </w:p>
    <w:p>
      <w:pPr>
        <w:pStyle w:val="BodyText"/>
        <w:spacing w:line="240" w:lineRule="auto" w:before="10"/>
        <w:ind w:left="640" w:right="0"/>
        <w:jc w:val="left"/>
      </w:pPr>
      <w:r>
        <w:rPr/>
        <w:t>②出售商品</w:t>
      </w:r>
      <w:r>
        <w:rPr>
          <w:rFonts w:ascii="华文细黑" w:hAnsi="华文细黑" w:cs="华文细黑" w:eastAsia="华文细黑" w:hint="default"/>
        </w:rPr>
        <w:t>/</w:t>
      </w:r>
      <w:r>
        <w:rPr/>
        <w:t>提供劳务情况</w:t>
      </w:r>
    </w:p>
    <w:p>
      <w:pPr>
        <w:spacing w:line="240" w:lineRule="auto" w:before="5"/>
        <w:rPr>
          <w:rFonts w:ascii="华文细黑" w:hAnsi="华文细黑" w:cs="华文细黑" w:eastAsia="华文细黑" w:hint="default"/>
          <w:sz w:val="5"/>
          <w:szCs w:val="5"/>
        </w:rPr>
      </w:pPr>
    </w:p>
    <w:tbl>
      <w:tblPr>
        <w:tblW w:w="0" w:type="auto"/>
        <w:jc w:val="left"/>
        <w:tblInd w:w="116" w:type="dxa"/>
        <w:tblLayout w:type="fixed"/>
        <w:tblCellMar>
          <w:top w:w="0" w:type="dxa"/>
          <w:left w:w="0" w:type="dxa"/>
          <w:bottom w:w="0" w:type="dxa"/>
          <w:right w:w="0" w:type="dxa"/>
        </w:tblCellMar>
        <w:tblLook w:val="01E0"/>
      </w:tblPr>
      <w:tblGrid>
        <w:gridCol w:w="3431"/>
        <w:gridCol w:w="2446"/>
        <w:gridCol w:w="1691"/>
        <w:gridCol w:w="1547"/>
      </w:tblGrid>
      <w:tr>
        <w:trPr>
          <w:trHeight w:val="462" w:hRule="exact"/>
        </w:trPr>
        <w:tc>
          <w:tcPr>
            <w:tcW w:w="34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关联方</w:t>
            </w:r>
          </w:p>
        </w:tc>
        <w:tc>
          <w:tcPr>
            <w:tcW w:w="244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12"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关联交易内容</w:t>
            </w:r>
          </w:p>
        </w:tc>
        <w:tc>
          <w:tcPr>
            <w:tcW w:w="169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38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154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31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518" w:hRule="exact"/>
        </w:trPr>
        <w:tc>
          <w:tcPr>
            <w:tcW w:w="34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
              <w:ind w:right="0"/>
              <w:jc w:val="left"/>
              <w:rPr>
                <w:rFonts w:ascii="华文细黑" w:hAnsi="华文细黑" w:cs="华文细黑" w:eastAsia="华文细黑" w:hint="default"/>
                <w:sz w:val="12"/>
                <w:szCs w:val="12"/>
              </w:rPr>
            </w:pPr>
          </w:p>
          <w:p>
            <w:pPr>
              <w:pStyle w:val="TableParagraph"/>
              <w:spacing w:line="240" w:lineRule="auto"/>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深圳市神州通油茶营销有限公司</w:t>
            </w:r>
          </w:p>
        </w:tc>
        <w:tc>
          <w:tcPr>
            <w:tcW w:w="2446" w:type="dxa"/>
            <w:tcBorders>
              <w:top w:val="single" w:sz="22" w:space="0" w:color="FFF8E6"/>
              <w:left w:val="single" w:sz="13" w:space="0" w:color="FFF8E6"/>
              <w:bottom w:val="single" w:sz="4" w:space="0" w:color="FFC000"/>
              <w:right w:val="single" w:sz="4" w:space="0" w:color="FFC000"/>
            </w:tcBorders>
          </w:tcPr>
          <w:p>
            <w:pPr>
              <w:pStyle w:val="TableParagraph"/>
              <w:spacing w:line="240" w:lineRule="auto" w:before="149"/>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提供劳务</w:t>
            </w:r>
          </w:p>
        </w:tc>
        <w:tc>
          <w:tcPr>
            <w:tcW w:w="16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3"/>
              <w:ind w:right="0"/>
              <w:jc w:val="left"/>
              <w:rPr>
                <w:rFonts w:ascii="华文细黑" w:hAnsi="华文细黑" w:cs="华文细黑" w:eastAsia="华文细黑" w:hint="default"/>
                <w:sz w:val="12"/>
                <w:szCs w:val="12"/>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49,894.33</w:t>
            </w:r>
          </w:p>
        </w:tc>
        <w:tc>
          <w:tcPr>
            <w:tcW w:w="15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3"/>
              <w:ind w:right="0"/>
              <w:jc w:val="left"/>
              <w:rPr>
                <w:rFonts w:ascii="华文细黑" w:hAnsi="华文细黑" w:cs="华文细黑" w:eastAsia="华文细黑" w:hint="default"/>
                <w:sz w:val="12"/>
                <w:szCs w:val="12"/>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w w:val="95"/>
                <w:sz w:val="18"/>
              </w:rPr>
              <w:t>424,527.51</w:t>
            </w:r>
          </w:p>
        </w:tc>
      </w:tr>
      <w:tr>
        <w:trPr>
          <w:trHeight w:val="890" w:hRule="exact"/>
        </w:trPr>
        <w:tc>
          <w:tcPr>
            <w:tcW w:w="34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4"/>
              <w:ind w:left="12" w:right="16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上海酷武供应链管理股份有限公司及其子 公司</w:t>
            </w:r>
          </w:p>
        </w:tc>
        <w:tc>
          <w:tcPr>
            <w:tcW w:w="2446"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5"/>
              <w:ind w:right="0"/>
              <w:jc w:val="left"/>
              <w:rPr>
                <w:rFonts w:ascii="华文细黑" w:hAnsi="华文细黑" w:cs="华文细黑" w:eastAsia="华文细黑" w:hint="default"/>
                <w:sz w:val="24"/>
                <w:szCs w:val="24"/>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销售商品</w:t>
            </w:r>
          </w:p>
        </w:tc>
        <w:tc>
          <w:tcPr>
            <w:tcW w:w="16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23,706.90</w:t>
            </w:r>
          </w:p>
        </w:tc>
        <w:tc>
          <w:tcPr>
            <w:tcW w:w="15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r>
      <w:tr>
        <w:trPr>
          <w:trHeight w:val="890" w:hRule="exact"/>
        </w:trPr>
        <w:tc>
          <w:tcPr>
            <w:tcW w:w="34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2" w:right="167"/>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深圳市神州通投资集团有限公司及其他下 属子公司</w:t>
            </w:r>
          </w:p>
        </w:tc>
        <w:tc>
          <w:tcPr>
            <w:tcW w:w="2446"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提供劳务</w:t>
            </w:r>
          </w:p>
        </w:tc>
        <w:tc>
          <w:tcPr>
            <w:tcW w:w="16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46,160.94</w:t>
            </w:r>
          </w:p>
        </w:tc>
        <w:tc>
          <w:tcPr>
            <w:tcW w:w="15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51,899.24</w:t>
            </w:r>
          </w:p>
        </w:tc>
      </w:tr>
      <w:tr>
        <w:trPr>
          <w:trHeight w:val="490" w:hRule="exact"/>
        </w:trPr>
        <w:tc>
          <w:tcPr>
            <w:tcW w:w="34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先锋智道（北京）科技有限公司</w:t>
            </w:r>
          </w:p>
        </w:tc>
        <w:tc>
          <w:tcPr>
            <w:tcW w:w="2446"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发放贷款及垫款利息收入</w:t>
            </w:r>
          </w:p>
        </w:tc>
        <w:tc>
          <w:tcPr>
            <w:tcW w:w="16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1,426,886.81</w:t>
            </w:r>
          </w:p>
        </w:tc>
        <w:tc>
          <w:tcPr>
            <w:tcW w:w="15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1,415,094.36</w:t>
            </w:r>
          </w:p>
        </w:tc>
      </w:tr>
      <w:tr>
        <w:trPr>
          <w:trHeight w:val="490" w:hRule="exact"/>
        </w:trPr>
        <w:tc>
          <w:tcPr>
            <w:tcW w:w="34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黑龙江省宝润饮品有限责任公司</w:t>
            </w:r>
          </w:p>
        </w:tc>
        <w:tc>
          <w:tcPr>
            <w:tcW w:w="2446"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贷款及垫款利息收入</w:t>
            </w:r>
          </w:p>
        </w:tc>
        <w:tc>
          <w:tcPr>
            <w:tcW w:w="16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5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76,334.83</w:t>
            </w:r>
          </w:p>
        </w:tc>
      </w:tr>
      <w:tr>
        <w:trPr>
          <w:trHeight w:val="490" w:hRule="exact"/>
        </w:trPr>
        <w:tc>
          <w:tcPr>
            <w:tcW w:w="34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北京众达裕业贸易有限公司</w:t>
            </w:r>
          </w:p>
        </w:tc>
        <w:tc>
          <w:tcPr>
            <w:tcW w:w="2446"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贷款及垫款利息收入</w:t>
            </w:r>
          </w:p>
        </w:tc>
        <w:tc>
          <w:tcPr>
            <w:tcW w:w="16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15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357,704.43</w:t>
            </w:r>
          </w:p>
        </w:tc>
      </w:tr>
      <w:tr>
        <w:trPr>
          <w:trHeight w:val="490" w:hRule="exact"/>
        </w:trPr>
        <w:tc>
          <w:tcPr>
            <w:tcW w:w="34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星通行供应链管理有限公司</w:t>
            </w:r>
          </w:p>
        </w:tc>
        <w:tc>
          <w:tcPr>
            <w:tcW w:w="2446"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贷款及垫款利息收入</w:t>
            </w:r>
          </w:p>
        </w:tc>
        <w:tc>
          <w:tcPr>
            <w:tcW w:w="16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w:t>
            </w:r>
          </w:p>
        </w:tc>
        <w:tc>
          <w:tcPr>
            <w:tcW w:w="15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99,056.50</w:t>
            </w:r>
          </w:p>
        </w:tc>
      </w:tr>
      <w:tr>
        <w:trPr>
          <w:trHeight w:val="490" w:hRule="exact"/>
        </w:trPr>
        <w:tc>
          <w:tcPr>
            <w:tcW w:w="34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店商互联（北京）科技发展有限公司</w:t>
            </w:r>
          </w:p>
        </w:tc>
        <w:tc>
          <w:tcPr>
            <w:tcW w:w="2446"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贷款及垫款利息收入</w:t>
            </w:r>
          </w:p>
        </w:tc>
        <w:tc>
          <w:tcPr>
            <w:tcW w:w="16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w w:val="95"/>
                <w:sz w:val="18"/>
              </w:rPr>
              <w:t>270,197.88</w:t>
            </w:r>
          </w:p>
        </w:tc>
        <w:tc>
          <w:tcPr>
            <w:tcW w:w="15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851,890.75</w:t>
            </w:r>
          </w:p>
        </w:tc>
      </w:tr>
      <w:tr>
        <w:trPr>
          <w:trHeight w:val="490" w:hRule="exact"/>
        </w:trPr>
        <w:tc>
          <w:tcPr>
            <w:tcW w:w="34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上海驿圆股权投资基金有限公司</w:t>
            </w:r>
          </w:p>
        </w:tc>
        <w:tc>
          <w:tcPr>
            <w:tcW w:w="2446"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贷款及垫款利息收入</w:t>
            </w:r>
          </w:p>
        </w:tc>
        <w:tc>
          <w:tcPr>
            <w:tcW w:w="16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1,383,647.82</w:t>
            </w:r>
          </w:p>
        </w:tc>
        <w:tc>
          <w:tcPr>
            <w:tcW w:w="15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503,144.65</w:t>
            </w:r>
          </w:p>
        </w:tc>
      </w:tr>
      <w:tr>
        <w:trPr>
          <w:trHeight w:val="490" w:hRule="exact"/>
        </w:trPr>
        <w:tc>
          <w:tcPr>
            <w:tcW w:w="34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深圳百禾商业保理有限公司</w:t>
            </w:r>
          </w:p>
        </w:tc>
        <w:tc>
          <w:tcPr>
            <w:tcW w:w="2446"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贷款及垫款利息收入</w:t>
            </w:r>
          </w:p>
        </w:tc>
        <w:tc>
          <w:tcPr>
            <w:tcW w:w="16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w w:val="95"/>
                <w:sz w:val="18"/>
              </w:rPr>
              <w:t>904,088.06</w:t>
            </w:r>
          </w:p>
        </w:tc>
        <w:tc>
          <w:tcPr>
            <w:tcW w:w="15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511,006.29</w:t>
            </w:r>
          </w:p>
        </w:tc>
      </w:tr>
      <w:tr>
        <w:trPr>
          <w:trHeight w:val="491" w:hRule="exact"/>
        </w:trPr>
        <w:tc>
          <w:tcPr>
            <w:tcW w:w="34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周友盟</w:t>
            </w:r>
          </w:p>
        </w:tc>
        <w:tc>
          <w:tcPr>
            <w:tcW w:w="2446"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转让子公司股权</w:t>
            </w:r>
          </w:p>
        </w:tc>
        <w:tc>
          <w:tcPr>
            <w:tcW w:w="16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15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1,680,000.00</w:t>
            </w:r>
          </w:p>
        </w:tc>
      </w:tr>
      <w:tr>
        <w:trPr>
          <w:trHeight w:val="490" w:hRule="exact"/>
        </w:trPr>
        <w:tc>
          <w:tcPr>
            <w:tcW w:w="34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w:t>
            </w:r>
          </w:p>
        </w:tc>
        <w:tc>
          <w:tcPr>
            <w:tcW w:w="2446"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转让子公司股权</w:t>
            </w:r>
          </w:p>
        </w:tc>
        <w:tc>
          <w:tcPr>
            <w:tcW w:w="16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w:t>
            </w:r>
          </w:p>
        </w:tc>
        <w:tc>
          <w:tcPr>
            <w:tcW w:w="15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142,018,600.00</w:t>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580" w:right="0"/>
        <w:jc w:val="left"/>
      </w:pPr>
      <w:r>
        <w:rPr/>
        <w:t>（</w:t>
      </w:r>
      <w:r>
        <w:rPr>
          <w:rFonts w:ascii="华文细黑" w:hAnsi="华文细黑" w:cs="华文细黑" w:eastAsia="华文细黑" w:hint="default"/>
        </w:rPr>
        <w:t>2</w:t>
      </w:r>
      <w:r>
        <w:rPr/>
        <w:t>）关联担保情况</w:t>
      </w:r>
    </w:p>
    <w:p>
      <w:pPr>
        <w:pStyle w:val="BodyText"/>
        <w:spacing w:line="240" w:lineRule="auto" w:before="142"/>
        <w:ind w:left="580" w:right="0"/>
        <w:jc w:val="left"/>
      </w:pPr>
      <w:r>
        <w:rPr/>
        <w:t>①本公司作为担保方</w:t>
      </w:r>
    </w:p>
    <w:p>
      <w:pPr>
        <w:spacing w:line="240" w:lineRule="auto" w:before="6"/>
        <w:rPr>
          <w:rFonts w:ascii="华文细黑" w:hAnsi="华文细黑" w:cs="华文细黑" w:eastAsia="华文细黑" w:hint="default"/>
          <w:sz w:val="5"/>
          <w:szCs w:val="5"/>
        </w:rPr>
      </w:pPr>
    </w:p>
    <w:tbl>
      <w:tblPr>
        <w:tblW w:w="0" w:type="auto"/>
        <w:jc w:val="left"/>
        <w:tblInd w:w="171" w:type="dxa"/>
        <w:tblLayout w:type="fixed"/>
        <w:tblCellMar>
          <w:top w:w="0" w:type="dxa"/>
          <w:left w:w="0" w:type="dxa"/>
          <w:bottom w:w="0" w:type="dxa"/>
          <w:right w:w="0" w:type="dxa"/>
        </w:tblCellMar>
        <w:tblLook w:val="01E0"/>
      </w:tblPr>
      <w:tblGrid>
        <w:gridCol w:w="3375"/>
        <w:gridCol w:w="1855"/>
        <w:gridCol w:w="1276"/>
        <w:gridCol w:w="1277"/>
        <w:gridCol w:w="1447"/>
      </w:tblGrid>
      <w:tr>
        <w:trPr>
          <w:trHeight w:val="205" w:hRule="exact"/>
        </w:trPr>
        <w:tc>
          <w:tcPr>
            <w:tcW w:w="3375" w:type="dxa"/>
            <w:tcBorders>
              <w:top w:val="single" w:sz="4" w:space="0" w:color="FFC000"/>
              <w:left w:val="single" w:sz="4" w:space="0" w:color="FFC000"/>
              <w:bottom w:val="nil" w:sz="6" w:space="0" w:color="auto"/>
              <w:right w:val="single" w:sz="4" w:space="0" w:color="FFC000"/>
            </w:tcBorders>
            <w:shd w:val="clear" w:color="auto" w:fill="FFF8E6"/>
          </w:tcPr>
          <w:p>
            <w:pPr/>
          </w:p>
        </w:tc>
        <w:tc>
          <w:tcPr>
            <w:tcW w:w="1855" w:type="dxa"/>
            <w:tcBorders>
              <w:top w:val="single" w:sz="4" w:space="0" w:color="FFC000"/>
              <w:left w:val="single" w:sz="4" w:space="0" w:color="FFC000"/>
              <w:bottom w:val="nil" w:sz="6" w:space="0" w:color="auto"/>
              <w:right w:val="single" w:sz="4" w:space="0" w:color="FFC000"/>
            </w:tcBorders>
            <w:shd w:val="clear" w:color="auto" w:fill="FFF8E6"/>
          </w:tcPr>
          <w:p>
            <w:pPr/>
          </w:p>
        </w:tc>
        <w:tc>
          <w:tcPr>
            <w:tcW w:w="1276" w:type="dxa"/>
            <w:tcBorders>
              <w:top w:val="single" w:sz="4" w:space="0" w:color="FFC000"/>
              <w:left w:val="single" w:sz="4" w:space="0" w:color="FFC000"/>
              <w:bottom w:val="nil" w:sz="6" w:space="0" w:color="auto"/>
              <w:right w:val="single" w:sz="4" w:space="0" w:color="FFC000"/>
            </w:tcBorders>
            <w:shd w:val="clear" w:color="auto" w:fill="FFF8E6"/>
          </w:tcPr>
          <w:p>
            <w:pPr/>
          </w:p>
        </w:tc>
        <w:tc>
          <w:tcPr>
            <w:tcW w:w="1277" w:type="dxa"/>
            <w:tcBorders>
              <w:top w:val="single" w:sz="4" w:space="0" w:color="FFC000"/>
              <w:left w:val="single" w:sz="4" w:space="0" w:color="FFC000"/>
              <w:bottom w:val="nil" w:sz="6" w:space="0" w:color="auto"/>
              <w:right w:val="single" w:sz="4" w:space="0" w:color="FFC000"/>
            </w:tcBorders>
            <w:shd w:val="clear" w:color="auto" w:fill="FFF8E6"/>
          </w:tcPr>
          <w:p>
            <w:pPr/>
          </w:p>
        </w:tc>
        <w:tc>
          <w:tcPr>
            <w:tcW w:w="1447"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3"/>
              <w:ind w:left="448" w:right="86" w:hanging="36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担保是否已经履 行完毕</w:t>
            </w:r>
          </w:p>
        </w:tc>
      </w:tr>
      <w:tr>
        <w:trPr>
          <w:trHeight w:val="480" w:hRule="exact"/>
        </w:trPr>
        <w:tc>
          <w:tcPr>
            <w:tcW w:w="3375"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被担保方</w:t>
            </w:r>
          </w:p>
        </w:tc>
        <w:tc>
          <w:tcPr>
            <w:tcW w:w="1855"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56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担保金额</w:t>
            </w:r>
          </w:p>
        </w:tc>
        <w:tc>
          <w:tcPr>
            <w:tcW w:w="1276"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8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担保起始日</w:t>
            </w:r>
          </w:p>
        </w:tc>
        <w:tc>
          <w:tcPr>
            <w:tcW w:w="1277"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担保到期日</w:t>
            </w:r>
          </w:p>
        </w:tc>
        <w:tc>
          <w:tcPr>
            <w:tcW w:w="1447" w:type="dxa"/>
            <w:vMerge/>
            <w:tcBorders>
              <w:left w:val="single" w:sz="4" w:space="0" w:color="FFC000"/>
              <w:right w:val="single" w:sz="4" w:space="0" w:color="FFC000"/>
            </w:tcBorders>
            <w:shd w:val="clear" w:color="auto" w:fill="FFF8E6"/>
          </w:tcPr>
          <w:p>
            <w:pPr/>
          </w:p>
        </w:tc>
      </w:tr>
      <w:tr>
        <w:trPr>
          <w:trHeight w:val="204" w:hRule="exact"/>
        </w:trPr>
        <w:tc>
          <w:tcPr>
            <w:tcW w:w="3375" w:type="dxa"/>
            <w:tcBorders>
              <w:top w:val="nil" w:sz="6" w:space="0" w:color="auto"/>
              <w:left w:val="single" w:sz="4" w:space="0" w:color="FFC000"/>
              <w:bottom w:val="single" w:sz="4" w:space="0" w:color="FFC000"/>
              <w:right w:val="single" w:sz="4" w:space="0" w:color="FFC000"/>
            </w:tcBorders>
            <w:shd w:val="clear" w:color="auto" w:fill="FFF8E6"/>
          </w:tcPr>
          <w:p>
            <w:pPr/>
          </w:p>
        </w:tc>
        <w:tc>
          <w:tcPr>
            <w:tcW w:w="1855" w:type="dxa"/>
            <w:tcBorders>
              <w:top w:val="nil" w:sz="6" w:space="0" w:color="auto"/>
              <w:left w:val="single" w:sz="4" w:space="0" w:color="FFC000"/>
              <w:bottom w:val="single" w:sz="4" w:space="0" w:color="FFC000"/>
              <w:right w:val="single" w:sz="4" w:space="0" w:color="FFC000"/>
            </w:tcBorders>
            <w:shd w:val="clear" w:color="auto" w:fill="FFF8E6"/>
          </w:tcPr>
          <w:p>
            <w:pPr/>
          </w:p>
        </w:tc>
        <w:tc>
          <w:tcPr>
            <w:tcW w:w="1276" w:type="dxa"/>
            <w:tcBorders>
              <w:top w:val="nil" w:sz="6" w:space="0" w:color="auto"/>
              <w:left w:val="single" w:sz="4" w:space="0" w:color="FFC000"/>
              <w:bottom w:val="single" w:sz="4" w:space="0" w:color="FFC000"/>
              <w:right w:val="single" w:sz="4" w:space="0" w:color="FFC000"/>
            </w:tcBorders>
            <w:shd w:val="clear" w:color="auto" w:fill="FFF8E6"/>
          </w:tcPr>
          <w:p>
            <w:pPr/>
          </w:p>
        </w:tc>
        <w:tc>
          <w:tcPr>
            <w:tcW w:w="1277" w:type="dxa"/>
            <w:tcBorders>
              <w:top w:val="nil" w:sz="6" w:space="0" w:color="auto"/>
              <w:left w:val="single" w:sz="4" w:space="0" w:color="FFC000"/>
              <w:bottom w:val="single" w:sz="4" w:space="0" w:color="FFC000"/>
              <w:right w:val="single" w:sz="4" w:space="0" w:color="FFC000"/>
            </w:tcBorders>
            <w:shd w:val="clear" w:color="auto" w:fill="FFF8E6"/>
          </w:tcPr>
          <w:p>
            <w:pPr/>
          </w:p>
        </w:tc>
        <w:tc>
          <w:tcPr>
            <w:tcW w:w="1447" w:type="dxa"/>
            <w:vMerge/>
            <w:tcBorders>
              <w:left w:val="single" w:sz="4" w:space="0" w:color="FFC000"/>
              <w:bottom w:val="single" w:sz="4" w:space="0" w:color="FFC000"/>
              <w:right w:val="single" w:sz="4" w:space="0" w:color="FFC000"/>
            </w:tcBorders>
            <w:shd w:val="clear" w:color="auto" w:fill="FFF8E6"/>
          </w:tcPr>
          <w:p>
            <w:pPr/>
          </w:p>
        </w:tc>
      </w:tr>
      <w:tr>
        <w:trPr>
          <w:trHeight w:val="491" w:hRule="exact"/>
        </w:trPr>
        <w:tc>
          <w:tcPr>
            <w:tcW w:w="337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深圳市酷动数码有限公司</w:t>
            </w:r>
          </w:p>
        </w:tc>
        <w:tc>
          <w:tcPr>
            <w:tcW w:w="185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250,000,000.00</w:t>
            </w:r>
          </w:p>
        </w:tc>
        <w:tc>
          <w:tcPr>
            <w:tcW w:w="2553" w:type="dxa"/>
            <w:gridSpan w:val="2"/>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sz w:val="18"/>
              </w:rPr>
              <w:t>A</w:t>
            </w:r>
          </w:p>
        </w:tc>
        <w:tc>
          <w:tcPr>
            <w:tcW w:w="14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0" w:hRule="exact"/>
        </w:trPr>
        <w:tc>
          <w:tcPr>
            <w:tcW w:w="337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西藏酷爱通信有限公司</w:t>
            </w:r>
          </w:p>
        </w:tc>
        <w:tc>
          <w:tcPr>
            <w:tcW w:w="185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pacing w:val="-1"/>
                <w:sz w:val="18"/>
              </w:rPr>
              <w:t>1,000,000,000.00</w:t>
            </w:r>
          </w:p>
        </w:tc>
        <w:tc>
          <w:tcPr>
            <w:tcW w:w="2553" w:type="dxa"/>
            <w:gridSpan w:val="2"/>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sz w:val="18"/>
              </w:rPr>
              <w:t>B</w:t>
            </w:r>
          </w:p>
        </w:tc>
        <w:tc>
          <w:tcPr>
            <w:tcW w:w="14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0" w:hRule="exact"/>
        </w:trPr>
        <w:tc>
          <w:tcPr>
            <w:tcW w:w="337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深圳市酷动数码有限公司</w:t>
            </w:r>
          </w:p>
        </w:tc>
        <w:tc>
          <w:tcPr>
            <w:tcW w:w="185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250,000,000.00</w:t>
            </w:r>
          </w:p>
        </w:tc>
        <w:tc>
          <w:tcPr>
            <w:tcW w:w="2553" w:type="dxa"/>
            <w:gridSpan w:val="2"/>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sz w:val="18"/>
              </w:rPr>
              <w:t>C</w:t>
            </w:r>
          </w:p>
        </w:tc>
        <w:tc>
          <w:tcPr>
            <w:tcW w:w="14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1" w:hRule="exact"/>
        </w:trPr>
        <w:tc>
          <w:tcPr>
            <w:tcW w:w="337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深圳市酷动数码有限公司</w:t>
            </w:r>
          </w:p>
        </w:tc>
        <w:tc>
          <w:tcPr>
            <w:tcW w:w="185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50,000,000.00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05" w:right="0"/>
              <w:jc w:val="left"/>
              <w:rPr>
                <w:rFonts w:ascii="华文细黑" w:hAnsi="华文细黑" w:cs="华文细黑" w:eastAsia="华文细黑" w:hint="default"/>
                <w:sz w:val="18"/>
                <w:szCs w:val="18"/>
              </w:rPr>
            </w:pPr>
            <w:r>
              <w:rPr>
                <w:rFonts w:ascii="华文细黑"/>
                <w:sz w:val="18"/>
              </w:rPr>
              <w:t>2018/8/28</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sz w:val="18"/>
              </w:rPr>
              <w:t>2019/8/28</w:t>
            </w:r>
          </w:p>
        </w:tc>
        <w:tc>
          <w:tcPr>
            <w:tcW w:w="14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0" w:hRule="exact"/>
        </w:trPr>
        <w:tc>
          <w:tcPr>
            <w:tcW w:w="337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西藏酷爱通信有限公司</w:t>
            </w:r>
          </w:p>
        </w:tc>
        <w:tc>
          <w:tcPr>
            <w:tcW w:w="185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200,000,000.00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05" w:right="0"/>
              <w:jc w:val="left"/>
              <w:rPr>
                <w:rFonts w:ascii="华文细黑" w:hAnsi="华文细黑" w:cs="华文细黑" w:eastAsia="华文细黑" w:hint="default"/>
                <w:sz w:val="18"/>
                <w:szCs w:val="18"/>
              </w:rPr>
            </w:pPr>
            <w:r>
              <w:rPr>
                <w:rFonts w:ascii="华文细黑"/>
                <w:sz w:val="18"/>
              </w:rPr>
              <w:t>2018/3/15</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sz w:val="18"/>
              </w:rPr>
              <w:t>2019/3/15</w:t>
            </w:r>
          </w:p>
        </w:tc>
        <w:tc>
          <w:tcPr>
            <w:tcW w:w="14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0" w:hRule="exact"/>
        </w:trPr>
        <w:tc>
          <w:tcPr>
            <w:tcW w:w="337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爱施德（香港）有限公司</w:t>
            </w:r>
          </w:p>
        </w:tc>
        <w:tc>
          <w:tcPr>
            <w:tcW w:w="185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pacing w:val="-1"/>
                <w:sz w:val="18"/>
              </w:rPr>
              <w:t>HKD300,000,000.00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05" w:right="0"/>
              <w:jc w:val="left"/>
              <w:rPr>
                <w:rFonts w:ascii="华文细黑" w:hAnsi="华文细黑" w:cs="华文细黑" w:eastAsia="华文细黑" w:hint="default"/>
                <w:sz w:val="18"/>
                <w:szCs w:val="18"/>
              </w:rPr>
            </w:pPr>
            <w:r>
              <w:rPr>
                <w:rFonts w:ascii="华文细黑"/>
                <w:sz w:val="18"/>
              </w:rPr>
              <w:t>2018/3/16</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sz w:val="18"/>
              </w:rPr>
              <w:t>2019/3/16</w:t>
            </w:r>
          </w:p>
        </w:tc>
        <w:tc>
          <w:tcPr>
            <w:tcW w:w="14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1" w:hRule="exact"/>
        </w:trPr>
        <w:tc>
          <w:tcPr>
            <w:tcW w:w="337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6"/>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爱施德（香港）有限公司</w:t>
            </w:r>
          </w:p>
        </w:tc>
        <w:tc>
          <w:tcPr>
            <w:tcW w:w="185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6"/>
              <w:ind w:right="22"/>
              <w:jc w:val="right"/>
              <w:rPr>
                <w:rFonts w:ascii="华文细黑" w:hAnsi="华文细黑" w:cs="华文细黑" w:eastAsia="华文细黑" w:hint="default"/>
                <w:sz w:val="18"/>
                <w:szCs w:val="18"/>
              </w:rPr>
            </w:pPr>
            <w:r>
              <w:rPr>
                <w:rFonts w:ascii="华文细黑"/>
                <w:spacing w:val="-1"/>
                <w:sz w:val="18"/>
              </w:rPr>
              <w:t>HKD274,000,000.00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left="205" w:right="0"/>
              <w:jc w:val="left"/>
              <w:rPr>
                <w:rFonts w:ascii="华文细黑" w:hAnsi="华文细黑" w:cs="华文细黑" w:eastAsia="华文细黑" w:hint="default"/>
                <w:sz w:val="18"/>
                <w:szCs w:val="18"/>
              </w:rPr>
            </w:pPr>
            <w:r>
              <w:rPr>
                <w:rFonts w:ascii="华文细黑"/>
                <w:sz w:val="18"/>
              </w:rPr>
              <w:t>2018/6/13</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0"/>
              <w:jc w:val="center"/>
              <w:rPr>
                <w:rFonts w:ascii="华文细黑" w:hAnsi="华文细黑" w:cs="华文细黑" w:eastAsia="华文细黑" w:hint="default"/>
                <w:sz w:val="18"/>
                <w:szCs w:val="18"/>
              </w:rPr>
            </w:pPr>
            <w:r>
              <w:rPr>
                <w:rFonts w:ascii="华文细黑"/>
                <w:sz w:val="18"/>
              </w:rPr>
              <w:t>2019/6/13</w:t>
            </w:r>
          </w:p>
        </w:tc>
        <w:tc>
          <w:tcPr>
            <w:tcW w:w="14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0" w:hRule="exact"/>
        </w:trPr>
        <w:tc>
          <w:tcPr>
            <w:tcW w:w="337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深圳市酷动数码有限公司</w:t>
            </w:r>
          </w:p>
        </w:tc>
        <w:tc>
          <w:tcPr>
            <w:tcW w:w="1855"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30,000,000.00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05" w:right="0"/>
              <w:jc w:val="left"/>
              <w:rPr>
                <w:rFonts w:ascii="华文细黑" w:hAnsi="华文细黑" w:cs="华文细黑" w:eastAsia="华文细黑" w:hint="default"/>
                <w:sz w:val="18"/>
                <w:szCs w:val="18"/>
              </w:rPr>
            </w:pPr>
            <w:r>
              <w:rPr>
                <w:rFonts w:ascii="华文细黑"/>
                <w:sz w:val="18"/>
              </w:rPr>
              <w:t>2017/11/1</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2018/10/31</w:t>
            </w:r>
          </w:p>
        </w:tc>
        <w:tc>
          <w:tcPr>
            <w:tcW w:w="144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否，详见注</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D</w:t>
            </w:r>
          </w:p>
        </w:tc>
      </w:tr>
    </w:tbl>
    <w:p>
      <w:pPr>
        <w:spacing w:line="240" w:lineRule="auto" w:before="12"/>
        <w:rPr>
          <w:rFonts w:ascii="华文细黑" w:hAnsi="华文细黑" w:cs="华文细黑" w:eastAsia="华文细黑" w:hint="default"/>
          <w:sz w:val="6"/>
          <w:szCs w:val="6"/>
        </w:rPr>
      </w:pPr>
    </w:p>
    <w:p>
      <w:pPr>
        <w:pStyle w:val="BodyText"/>
        <w:spacing w:line="240" w:lineRule="auto" w:before="10"/>
        <w:ind w:left="580" w:right="0"/>
        <w:jc w:val="left"/>
      </w:pPr>
      <w:r>
        <w:rPr/>
        <w:t>注：</w:t>
      </w:r>
      <w:r>
        <w:rPr>
          <w:rFonts w:ascii="华文细黑" w:hAnsi="华文细黑" w:cs="华文细黑" w:eastAsia="华文细黑" w:hint="default"/>
        </w:rPr>
        <w:t>A.2018</w:t>
      </w:r>
      <w:r>
        <w:rPr>
          <w:rFonts w:ascii="华文细黑" w:hAnsi="华文细黑" w:cs="华文细黑" w:eastAsia="华文细黑" w:hint="default"/>
          <w:spacing w:val="-9"/>
        </w:rPr>
        <w:t> </w:t>
      </w:r>
      <w:r>
        <w:rPr/>
        <w:t>年</w:t>
      </w:r>
      <w:r>
        <w:rPr>
          <w:spacing w:val="-9"/>
        </w:rPr>
        <w:t> </w:t>
      </w:r>
      <w:r>
        <w:rPr>
          <w:rFonts w:ascii="华文细黑" w:hAnsi="华文细黑" w:cs="华文细黑" w:eastAsia="华文细黑" w:hint="default"/>
        </w:rPr>
        <w:t>7</w:t>
      </w:r>
      <w:r>
        <w:rPr>
          <w:rFonts w:ascii="华文细黑" w:hAnsi="华文细黑" w:cs="华文细黑" w:eastAsia="华文细黑" w:hint="default"/>
          <w:spacing w:val="-9"/>
        </w:rPr>
        <w:t> </w:t>
      </w:r>
      <w:r>
        <w:rPr/>
        <w:t>月</w:t>
      </w:r>
      <w:r>
        <w:rPr>
          <w:spacing w:val="-9"/>
        </w:rPr>
        <w:t> </w:t>
      </w:r>
      <w:r>
        <w:rPr>
          <w:rFonts w:ascii="华文细黑" w:hAnsi="华文细黑" w:cs="华文细黑" w:eastAsia="华文细黑" w:hint="default"/>
        </w:rPr>
        <w:t>17</w:t>
      </w:r>
      <w:r>
        <w:rPr>
          <w:rFonts w:ascii="华文细黑" w:hAnsi="华文细黑" w:cs="华文细黑" w:eastAsia="华文细黑" w:hint="default"/>
          <w:spacing w:val="-9"/>
        </w:rPr>
        <w:t> </w:t>
      </w:r>
      <w:r>
        <w:rPr/>
        <w:t>日，经公司第四届董事会第十八次（临时）会议决议，本公司为全资子</w:t>
      </w:r>
    </w:p>
    <w:p>
      <w:pPr>
        <w:spacing w:after="0" w:line="240" w:lineRule="auto"/>
        <w:jc w:val="left"/>
        <w:sectPr>
          <w:pgSz w:w="11910" w:h="16840"/>
          <w:pgMar w:header="917" w:footer="1019" w:top="1100" w:bottom="1200" w:left="1280" w:right="0"/>
        </w:sectPr>
      </w:pPr>
    </w:p>
    <w:p>
      <w:pPr>
        <w:spacing w:line="240" w:lineRule="auto" w:before="9"/>
        <w:rPr>
          <w:rFonts w:ascii="华文细黑" w:hAnsi="华文细黑" w:cs="华文细黑" w:eastAsia="华文细黑" w:hint="default"/>
          <w:sz w:val="27"/>
          <w:szCs w:val="27"/>
        </w:rPr>
      </w:pPr>
    </w:p>
    <w:p>
      <w:pPr>
        <w:pStyle w:val="BodyText"/>
        <w:spacing w:line="324" w:lineRule="auto" w:before="10"/>
        <w:ind w:right="1319"/>
        <w:jc w:val="left"/>
      </w:pPr>
      <w:r>
        <w:rPr/>
        <w:t>公司深圳市酷动数码有限公司向供应商苹果电脑贸易（上海）有限公司申请赊销额度提供担保，担 保总额不超过人民币 </w:t>
      </w:r>
      <w:r>
        <w:rPr>
          <w:rFonts w:ascii="华文细黑" w:hAnsi="华文细黑" w:cs="华文细黑" w:eastAsia="华文细黑" w:hint="default"/>
        </w:rPr>
        <w:t>25,000.00</w:t>
      </w:r>
      <w:r>
        <w:rPr>
          <w:rFonts w:ascii="华文细黑" w:hAnsi="华文细黑" w:cs="华文细黑" w:eastAsia="华文细黑" w:hint="default"/>
          <w:spacing w:val="21"/>
        </w:rPr>
        <w:t> </w:t>
      </w:r>
      <w:r>
        <w:rPr>
          <w:spacing w:val="-4"/>
        </w:rPr>
        <w:t>万元，担保期限为深圳市酷动数码有限公司与苹果电脑贸易（上海）</w:t>
      </w:r>
      <w:r>
        <w:rPr/>
        <w:t> 有限公司采购合同项下的最后付款到期日起三年。</w:t>
      </w:r>
    </w:p>
    <w:p>
      <w:pPr>
        <w:pStyle w:val="BodyText"/>
        <w:spacing w:line="324" w:lineRule="auto" w:before="63"/>
        <w:ind w:right="1437" w:firstLine="420"/>
        <w:jc w:val="both"/>
      </w:pPr>
      <w:r>
        <w:rPr>
          <w:rFonts w:ascii="华文细黑" w:hAnsi="华文细黑" w:cs="华文细黑" w:eastAsia="华文细黑" w:hint="default"/>
        </w:rPr>
        <w:t>B.2018 </w:t>
      </w:r>
      <w:r>
        <w:rPr/>
        <w:t>年 </w:t>
      </w:r>
      <w:r>
        <w:rPr>
          <w:rFonts w:ascii="华文细黑" w:hAnsi="华文细黑" w:cs="华文细黑" w:eastAsia="华文细黑" w:hint="default"/>
        </w:rPr>
        <w:t>7 </w:t>
      </w:r>
      <w:r>
        <w:rPr/>
        <w:t>月 </w:t>
      </w:r>
      <w:r>
        <w:rPr>
          <w:rFonts w:ascii="华文细黑" w:hAnsi="华文细黑" w:cs="华文细黑" w:eastAsia="华文细黑" w:hint="default"/>
        </w:rPr>
        <w:t>17</w:t>
      </w:r>
      <w:r>
        <w:rPr>
          <w:rFonts w:ascii="华文细黑" w:hAnsi="华文细黑" w:cs="华文细黑" w:eastAsia="华文细黑" w:hint="default"/>
          <w:spacing w:val="-2"/>
        </w:rPr>
        <w:t> </w:t>
      </w:r>
      <w:r>
        <w:rPr/>
        <w:t>日，经公司第四届董事会第十八次（临时）会议决议，本公司为全资子公司 西藏酷爱通信有限公司向供应商苹果电脑贸易（上海）有限公司申请赊销额度提供担保，担保总额 不超过人民币 </w:t>
      </w:r>
      <w:r>
        <w:rPr>
          <w:rFonts w:ascii="华文细黑" w:hAnsi="华文细黑" w:cs="华文细黑" w:eastAsia="华文细黑" w:hint="default"/>
        </w:rPr>
        <w:t>100,000.00</w:t>
      </w:r>
      <w:r>
        <w:rPr>
          <w:rFonts w:ascii="华文细黑" w:hAnsi="华文细黑" w:cs="华文细黑" w:eastAsia="华文细黑" w:hint="default"/>
          <w:spacing w:val="50"/>
        </w:rPr>
        <w:t> </w:t>
      </w:r>
      <w:r>
        <w:rPr/>
        <w:t>万元，担保期限为西藏酷爱通信有限公司与苹果电脑贸易（上海）有限 公司采购合同项下的最后付款到期日起三年。</w:t>
      </w:r>
    </w:p>
    <w:p>
      <w:pPr>
        <w:pStyle w:val="BodyText"/>
        <w:spacing w:line="324" w:lineRule="auto" w:before="64"/>
        <w:ind w:right="1436" w:firstLine="420"/>
        <w:jc w:val="both"/>
      </w:pPr>
      <w:r>
        <w:rPr>
          <w:rFonts w:ascii="华文细黑" w:hAnsi="华文细黑" w:cs="华文细黑" w:eastAsia="华文细黑" w:hint="default"/>
        </w:rPr>
        <w:t>C.2018</w:t>
      </w:r>
      <w:r>
        <w:rPr>
          <w:rFonts w:ascii="华文细黑" w:hAnsi="华文细黑" w:cs="华文细黑" w:eastAsia="华文细黑" w:hint="default"/>
          <w:spacing w:val="-10"/>
        </w:rPr>
        <w:t> </w:t>
      </w:r>
      <w:r>
        <w:rPr/>
        <w:t>年</w:t>
      </w:r>
      <w:r>
        <w:rPr>
          <w:spacing w:val="-10"/>
        </w:rPr>
        <w:t> </w:t>
      </w:r>
      <w:r>
        <w:rPr>
          <w:rFonts w:ascii="华文细黑" w:hAnsi="华文细黑" w:cs="华文细黑" w:eastAsia="华文细黑" w:hint="default"/>
        </w:rPr>
        <w:t>7</w:t>
      </w:r>
      <w:r>
        <w:rPr>
          <w:rFonts w:ascii="华文细黑" w:hAnsi="华文细黑" w:cs="华文细黑" w:eastAsia="华文细黑" w:hint="default"/>
          <w:spacing w:val="-10"/>
        </w:rPr>
        <w:t> </w:t>
      </w:r>
      <w:r>
        <w:rPr/>
        <w:t>月</w:t>
      </w:r>
      <w:r>
        <w:rPr>
          <w:spacing w:val="-10"/>
        </w:rPr>
        <w:t> </w:t>
      </w:r>
      <w:r>
        <w:rPr>
          <w:rFonts w:ascii="华文细黑" w:hAnsi="华文细黑" w:cs="华文细黑" w:eastAsia="华文细黑" w:hint="default"/>
        </w:rPr>
        <w:t>17</w:t>
      </w:r>
      <w:r>
        <w:rPr>
          <w:rFonts w:ascii="华文细黑" w:hAnsi="华文细黑" w:cs="华文细黑" w:eastAsia="华文细黑" w:hint="default"/>
          <w:spacing w:val="-10"/>
        </w:rPr>
        <w:t> </w:t>
      </w:r>
      <w:r>
        <w:rPr/>
        <w:t>日，经公司第四届董事会第十八次（临时）会议决议，本公司全资子公司西 藏酷爱通信有限公司为全资子公司深圳市酷动数码有限公司向供应商苹果电脑贸易（上海）有限公 司申请赊销额度提供担保，担保总额不超过人民币 </w:t>
      </w:r>
      <w:r>
        <w:rPr>
          <w:rFonts w:ascii="华文细黑" w:hAnsi="华文细黑" w:cs="华文细黑" w:eastAsia="华文细黑" w:hint="default"/>
        </w:rPr>
        <w:t>25,000.00</w:t>
      </w:r>
      <w:r>
        <w:rPr>
          <w:rFonts w:ascii="华文细黑" w:hAnsi="华文细黑" w:cs="华文细黑" w:eastAsia="华文细黑" w:hint="default"/>
          <w:spacing w:val="10"/>
        </w:rPr>
        <w:t> </w:t>
      </w:r>
      <w:r>
        <w:rPr/>
        <w:t>万元，担保期限为西藏酷爱通信有限 公司与苹果电脑贸易（上海）有限公司采购合同项下的最后付款到期日起三年。</w:t>
      </w:r>
    </w:p>
    <w:p>
      <w:pPr>
        <w:pStyle w:val="BodyText"/>
        <w:spacing w:line="240" w:lineRule="auto" w:before="64"/>
        <w:ind w:left="560" w:right="1246"/>
        <w:jc w:val="left"/>
      </w:pPr>
      <w:r>
        <w:rPr>
          <w:rFonts w:ascii="华文细黑" w:hAnsi="华文细黑" w:cs="华文细黑" w:eastAsia="华文细黑" w:hint="default"/>
        </w:rPr>
        <w:t>D.</w:t>
      </w:r>
      <w:r>
        <w:rPr/>
        <w:t>担保期间为自合同生效之日起至主合同项下债务履行期限届满之日起两年。</w:t>
      </w:r>
    </w:p>
    <w:p>
      <w:pPr>
        <w:pStyle w:val="BodyText"/>
        <w:spacing w:line="240" w:lineRule="auto" w:before="142"/>
        <w:ind w:left="560" w:right="1246"/>
        <w:jc w:val="left"/>
      </w:pPr>
      <w:r>
        <w:rPr/>
        <w:t>②本公司作为被担保方</w:t>
      </w:r>
    </w:p>
    <w:p>
      <w:pPr>
        <w:spacing w:line="240" w:lineRule="auto" w:before="6"/>
        <w:rPr>
          <w:rFonts w:ascii="华文细黑" w:hAnsi="华文细黑" w:cs="华文细黑" w:eastAsia="华文细黑" w:hint="default"/>
          <w:sz w:val="5"/>
          <w:szCs w:val="5"/>
        </w:rPr>
      </w:pPr>
    </w:p>
    <w:tbl>
      <w:tblPr>
        <w:tblW w:w="0" w:type="auto"/>
        <w:jc w:val="left"/>
        <w:tblInd w:w="151" w:type="dxa"/>
        <w:tblLayout w:type="fixed"/>
        <w:tblCellMar>
          <w:top w:w="0" w:type="dxa"/>
          <w:left w:w="0" w:type="dxa"/>
          <w:bottom w:w="0" w:type="dxa"/>
          <w:right w:w="0" w:type="dxa"/>
        </w:tblCellMar>
        <w:tblLook w:val="01E0"/>
      </w:tblPr>
      <w:tblGrid>
        <w:gridCol w:w="3517"/>
        <w:gridCol w:w="1574"/>
        <w:gridCol w:w="1418"/>
        <w:gridCol w:w="1559"/>
        <w:gridCol w:w="1162"/>
      </w:tblGrid>
      <w:tr>
        <w:trPr>
          <w:trHeight w:val="205" w:hRule="exact"/>
        </w:trPr>
        <w:tc>
          <w:tcPr>
            <w:tcW w:w="3517" w:type="dxa"/>
            <w:tcBorders>
              <w:top w:val="single" w:sz="4" w:space="0" w:color="FFC000"/>
              <w:left w:val="single" w:sz="4" w:space="0" w:color="FFC000"/>
              <w:bottom w:val="nil" w:sz="6" w:space="0" w:color="auto"/>
              <w:right w:val="single" w:sz="4" w:space="0" w:color="FFC000"/>
            </w:tcBorders>
            <w:shd w:val="clear" w:color="auto" w:fill="FFF8E6"/>
          </w:tcPr>
          <w:p>
            <w:pPr/>
          </w:p>
        </w:tc>
        <w:tc>
          <w:tcPr>
            <w:tcW w:w="1574" w:type="dxa"/>
            <w:tcBorders>
              <w:top w:val="single" w:sz="4" w:space="0" w:color="FFC000"/>
              <w:left w:val="single" w:sz="4" w:space="0" w:color="FFC000"/>
              <w:bottom w:val="nil" w:sz="6" w:space="0" w:color="auto"/>
              <w:right w:val="single" w:sz="4" w:space="0" w:color="FFC000"/>
            </w:tcBorders>
            <w:shd w:val="clear" w:color="auto" w:fill="FFF8E6"/>
          </w:tcPr>
          <w:p>
            <w:pPr/>
          </w:p>
        </w:tc>
        <w:tc>
          <w:tcPr>
            <w:tcW w:w="1418" w:type="dxa"/>
            <w:tcBorders>
              <w:top w:val="single" w:sz="4" w:space="0" w:color="FFC000"/>
              <w:left w:val="single" w:sz="4" w:space="0" w:color="FFC000"/>
              <w:bottom w:val="nil" w:sz="6" w:space="0" w:color="auto"/>
              <w:right w:val="single" w:sz="4" w:space="0" w:color="FFC000"/>
            </w:tcBorders>
            <w:shd w:val="clear" w:color="auto" w:fill="FFF8E6"/>
          </w:tcPr>
          <w:p>
            <w:pPr/>
          </w:p>
        </w:tc>
        <w:tc>
          <w:tcPr>
            <w:tcW w:w="1559" w:type="dxa"/>
            <w:tcBorders>
              <w:top w:val="single" w:sz="4" w:space="0" w:color="FFC000"/>
              <w:left w:val="single" w:sz="4" w:space="0" w:color="FFC000"/>
              <w:bottom w:val="nil" w:sz="6" w:space="0" w:color="auto"/>
              <w:right w:val="single" w:sz="4" w:space="0" w:color="FFC000"/>
            </w:tcBorders>
            <w:shd w:val="clear" w:color="auto" w:fill="FFF8E6"/>
          </w:tcPr>
          <w:p>
            <w:pPr/>
          </w:p>
        </w:tc>
        <w:tc>
          <w:tcPr>
            <w:tcW w:w="1162"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3"/>
              <w:ind w:left="215" w:right="35"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担保是否已经 履行完毕</w:t>
            </w:r>
          </w:p>
        </w:tc>
      </w:tr>
      <w:tr>
        <w:trPr>
          <w:trHeight w:val="480" w:hRule="exact"/>
        </w:trPr>
        <w:tc>
          <w:tcPr>
            <w:tcW w:w="3517"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担保方</w:t>
            </w:r>
          </w:p>
        </w:tc>
        <w:tc>
          <w:tcPr>
            <w:tcW w:w="1574"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42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担保金额</w:t>
            </w:r>
          </w:p>
        </w:tc>
        <w:tc>
          <w:tcPr>
            <w:tcW w:w="1418"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25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担保起始日</w:t>
            </w:r>
          </w:p>
        </w:tc>
        <w:tc>
          <w:tcPr>
            <w:tcW w:w="1559"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担保到期日</w:t>
            </w:r>
          </w:p>
        </w:tc>
        <w:tc>
          <w:tcPr>
            <w:tcW w:w="1162" w:type="dxa"/>
            <w:vMerge/>
            <w:tcBorders>
              <w:left w:val="single" w:sz="4" w:space="0" w:color="FFC000"/>
              <w:right w:val="single" w:sz="4" w:space="0" w:color="FFC000"/>
            </w:tcBorders>
            <w:shd w:val="clear" w:color="auto" w:fill="FFF8E6"/>
          </w:tcPr>
          <w:p>
            <w:pPr/>
          </w:p>
        </w:tc>
      </w:tr>
      <w:tr>
        <w:trPr>
          <w:trHeight w:val="205" w:hRule="exact"/>
        </w:trPr>
        <w:tc>
          <w:tcPr>
            <w:tcW w:w="3517" w:type="dxa"/>
            <w:tcBorders>
              <w:top w:val="nil" w:sz="6" w:space="0" w:color="auto"/>
              <w:left w:val="single" w:sz="4" w:space="0" w:color="FFC000"/>
              <w:bottom w:val="single" w:sz="4" w:space="0" w:color="FFC000"/>
              <w:right w:val="single" w:sz="4" w:space="0" w:color="FFC000"/>
            </w:tcBorders>
            <w:shd w:val="clear" w:color="auto" w:fill="FFF8E6"/>
          </w:tcPr>
          <w:p>
            <w:pPr/>
          </w:p>
        </w:tc>
        <w:tc>
          <w:tcPr>
            <w:tcW w:w="1574" w:type="dxa"/>
            <w:tcBorders>
              <w:top w:val="nil" w:sz="6" w:space="0" w:color="auto"/>
              <w:left w:val="single" w:sz="4" w:space="0" w:color="FFC000"/>
              <w:bottom w:val="single" w:sz="4" w:space="0" w:color="FFC000"/>
              <w:right w:val="single" w:sz="4" w:space="0" w:color="FFC000"/>
            </w:tcBorders>
            <w:shd w:val="clear" w:color="auto" w:fill="FFF8E6"/>
          </w:tcPr>
          <w:p>
            <w:pPr/>
          </w:p>
        </w:tc>
        <w:tc>
          <w:tcPr>
            <w:tcW w:w="1418" w:type="dxa"/>
            <w:tcBorders>
              <w:top w:val="nil" w:sz="6" w:space="0" w:color="auto"/>
              <w:left w:val="single" w:sz="4" w:space="0" w:color="FFC000"/>
              <w:bottom w:val="single" w:sz="4" w:space="0" w:color="FFC000"/>
              <w:right w:val="single" w:sz="4" w:space="0" w:color="FFC000"/>
            </w:tcBorders>
            <w:shd w:val="clear" w:color="auto" w:fill="FFF8E6"/>
          </w:tcPr>
          <w:p>
            <w:pPr/>
          </w:p>
        </w:tc>
        <w:tc>
          <w:tcPr>
            <w:tcW w:w="1559" w:type="dxa"/>
            <w:tcBorders>
              <w:top w:val="nil" w:sz="6" w:space="0" w:color="auto"/>
              <w:left w:val="single" w:sz="4" w:space="0" w:color="FFC000"/>
              <w:bottom w:val="single" w:sz="4" w:space="0" w:color="FFC000"/>
              <w:right w:val="single" w:sz="4" w:space="0" w:color="FFC000"/>
            </w:tcBorders>
            <w:shd w:val="clear" w:color="auto" w:fill="FFF8E6"/>
          </w:tcPr>
          <w:p>
            <w:pPr/>
          </w:p>
        </w:tc>
        <w:tc>
          <w:tcPr>
            <w:tcW w:w="1162"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35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w:t>
            </w:r>
          </w:p>
        </w:tc>
        <w:tc>
          <w:tcPr>
            <w:tcW w:w="1574"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pacing w:val="-1"/>
                <w:sz w:val="18"/>
              </w:rPr>
              <w:t>1,400,000,000.00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76" w:right="0"/>
              <w:jc w:val="left"/>
              <w:rPr>
                <w:rFonts w:ascii="华文细黑" w:hAnsi="华文细黑" w:cs="华文细黑" w:eastAsia="华文细黑" w:hint="default"/>
                <w:sz w:val="18"/>
                <w:szCs w:val="18"/>
              </w:rPr>
            </w:pPr>
            <w:r>
              <w:rPr>
                <w:rFonts w:ascii="华文细黑"/>
                <w:sz w:val="18"/>
              </w:rPr>
              <w:t>2018/6/28</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2019/6/27</w:t>
            </w:r>
          </w:p>
        </w:tc>
        <w:tc>
          <w:tcPr>
            <w:tcW w:w="11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48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1" w:hRule="exact"/>
        </w:trPr>
        <w:tc>
          <w:tcPr>
            <w:tcW w:w="35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w:t>
            </w:r>
          </w:p>
        </w:tc>
        <w:tc>
          <w:tcPr>
            <w:tcW w:w="1574"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pacing w:val="-1"/>
                <w:sz w:val="18"/>
              </w:rPr>
              <w:t>2,000,000,000.00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325" w:right="0"/>
              <w:jc w:val="left"/>
              <w:rPr>
                <w:rFonts w:ascii="华文细黑" w:hAnsi="华文细黑" w:cs="华文细黑" w:eastAsia="华文细黑" w:hint="default"/>
                <w:sz w:val="18"/>
                <w:szCs w:val="18"/>
              </w:rPr>
            </w:pPr>
            <w:r>
              <w:rPr>
                <w:rFonts w:ascii="华文细黑"/>
                <w:sz w:val="18"/>
              </w:rPr>
              <w:t>2018/9/5</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sz w:val="18"/>
              </w:rPr>
              <w:t>2019/9/5</w:t>
            </w:r>
          </w:p>
        </w:tc>
        <w:tc>
          <w:tcPr>
            <w:tcW w:w="11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48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0" w:hRule="exact"/>
        </w:trPr>
        <w:tc>
          <w:tcPr>
            <w:tcW w:w="35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w:t>
            </w:r>
          </w:p>
        </w:tc>
        <w:tc>
          <w:tcPr>
            <w:tcW w:w="1574"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800,000,000.00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5" w:right="0"/>
              <w:jc w:val="left"/>
              <w:rPr>
                <w:rFonts w:ascii="华文细黑" w:hAnsi="华文细黑" w:cs="华文细黑" w:eastAsia="华文细黑" w:hint="default"/>
                <w:sz w:val="18"/>
                <w:szCs w:val="18"/>
              </w:rPr>
            </w:pPr>
            <w:r>
              <w:rPr>
                <w:rFonts w:ascii="华文细黑"/>
                <w:sz w:val="18"/>
              </w:rPr>
              <w:t>2017/11/21</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sz w:val="18"/>
              </w:rPr>
              <w:t>2018/11/20</w:t>
            </w:r>
          </w:p>
        </w:tc>
        <w:tc>
          <w:tcPr>
            <w:tcW w:w="11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48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0" w:hRule="exact"/>
        </w:trPr>
        <w:tc>
          <w:tcPr>
            <w:tcW w:w="35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w:t>
            </w:r>
          </w:p>
        </w:tc>
        <w:tc>
          <w:tcPr>
            <w:tcW w:w="1574"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700,000,000.00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5" w:right="0"/>
              <w:jc w:val="left"/>
              <w:rPr>
                <w:rFonts w:ascii="华文细黑" w:hAnsi="华文细黑" w:cs="华文细黑" w:eastAsia="华文细黑" w:hint="default"/>
                <w:sz w:val="18"/>
                <w:szCs w:val="18"/>
              </w:rPr>
            </w:pPr>
            <w:r>
              <w:rPr>
                <w:rFonts w:ascii="华文细黑"/>
                <w:sz w:val="18"/>
              </w:rPr>
              <w:t>2017/11/15</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2018/11/12</w:t>
            </w:r>
          </w:p>
        </w:tc>
        <w:tc>
          <w:tcPr>
            <w:tcW w:w="11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48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0" w:hRule="exact"/>
        </w:trPr>
        <w:tc>
          <w:tcPr>
            <w:tcW w:w="35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w:t>
            </w:r>
          </w:p>
        </w:tc>
        <w:tc>
          <w:tcPr>
            <w:tcW w:w="1574"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600,000,000.00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325" w:right="0"/>
              <w:jc w:val="left"/>
              <w:rPr>
                <w:rFonts w:ascii="华文细黑" w:hAnsi="华文细黑" w:cs="华文细黑" w:eastAsia="华文细黑" w:hint="default"/>
                <w:sz w:val="18"/>
                <w:szCs w:val="18"/>
              </w:rPr>
            </w:pPr>
            <w:r>
              <w:rPr>
                <w:rFonts w:ascii="华文细黑"/>
                <w:sz w:val="18"/>
              </w:rPr>
              <w:t>2018/3/6</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2019/2/10</w:t>
            </w:r>
          </w:p>
        </w:tc>
        <w:tc>
          <w:tcPr>
            <w:tcW w:w="11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48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0" w:hRule="exact"/>
        </w:trPr>
        <w:tc>
          <w:tcPr>
            <w:tcW w:w="35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w:t>
            </w:r>
          </w:p>
        </w:tc>
        <w:tc>
          <w:tcPr>
            <w:tcW w:w="1574"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260,000,000.00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76" w:right="0"/>
              <w:jc w:val="left"/>
              <w:rPr>
                <w:rFonts w:ascii="华文细黑" w:hAnsi="华文细黑" w:cs="华文细黑" w:eastAsia="华文细黑" w:hint="default"/>
                <w:sz w:val="18"/>
                <w:szCs w:val="18"/>
              </w:rPr>
            </w:pPr>
            <w:r>
              <w:rPr>
                <w:rFonts w:ascii="华文细黑"/>
                <w:sz w:val="18"/>
              </w:rPr>
              <w:t>2018/5/15</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sz w:val="18"/>
              </w:rPr>
              <w:t>2019/3/30</w:t>
            </w:r>
          </w:p>
        </w:tc>
        <w:tc>
          <w:tcPr>
            <w:tcW w:w="11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48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0" w:hRule="exact"/>
        </w:trPr>
        <w:tc>
          <w:tcPr>
            <w:tcW w:w="35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w:t>
            </w:r>
          </w:p>
        </w:tc>
        <w:tc>
          <w:tcPr>
            <w:tcW w:w="1574"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700,000,000.00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5" w:right="0"/>
              <w:jc w:val="left"/>
              <w:rPr>
                <w:rFonts w:ascii="华文细黑" w:hAnsi="华文细黑" w:cs="华文细黑" w:eastAsia="华文细黑" w:hint="default"/>
                <w:sz w:val="18"/>
                <w:szCs w:val="18"/>
              </w:rPr>
            </w:pPr>
            <w:r>
              <w:rPr>
                <w:rFonts w:ascii="华文细黑"/>
                <w:sz w:val="18"/>
              </w:rPr>
              <w:t>2018/10/25</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2019/10/24</w:t>
            </w:r>
          </w:p>
        </w:tc>
        <w:tc>
          <w:tcPr>
            <w:tcW w:w="11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48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0" w:hRule="exact"/>
        </w:trPr>
        <w:tc>
          <w:tcPr>
            <w:tcW w:w="35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w:t>
            </w:r>
          </w:p>
        </w:tc>
        <w:tc>
          <w:tcPr>
            <w:tcW w:w="1574"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pacing w:val="-1"/>
                <w:sz w:val="18"/>
              </w:rPr>
              <w:t>1,200,000,000.00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76" w:right="0"/>
              <w:jc w:val="left"/>
              <w:rPr>
                <w:rFonts w:ascii="华文细黑" w:hAnsi="华文细黑" w:cs="华文细黑" w:eastAsia="华文细黑" w:hint="default"/>
                <w:sz w:val="18"/>
                <w:szCs w:val="18"/>
              </w:rPr>
            </w:pPr>
            <w:r>
              <w:rPr>
                <w:rFonts w:ascii="华文细黑"/>
                <w:sz w:val="18"/>
              </w:rPr>
              <w:t>2018/8/15</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2019/8/15</w:t>
            </w:r>
          </w:p>
        </w:tc>
        <w:tc>
          <w:tcPr>
            <w:tcW w:w="11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48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0" w:hRule="exact"/>
        </w:trPr>
        <w:tc>
          <w:tcPr>
            <w:tcW w:w="35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w:t>
            </w:r>
          </w:p>
        </w:tc>
        <w:tc>
          <w:tcPr>
            <w:tcW w:w="1574"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380,000,000.00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5" w:right="0"/>
              <w:jc w:val="left"/>
              <w:rPr>
                <w:rFonts w:ascii="华文细黑" w:hAnsi="华文细黑" w:cs="华文细黑" w:eastAsia="华文细黑" w:hint="default"/>
                <w:sz w:val="18"/>
                <w:szCs w:val="18"/>
              </w:rPr>
            </w:pPr>
            <w:r>
              <w:rPr>
                <w:rFonts w:ascii="华文细黑"/>
                <w:sz w:val="18"/>
              </w:rPr>
              <w:t>2017/10/24</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sz w:val="18"/>
              </w:rPr>
              <w:t>2018/10/24</w:t>
            </w:r>
          </w:p>
        </w:tc>
        <w:tc>
          <w:tcPr>
            <w:tcW w:w="11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48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0" w:hRule="exact"/>
        </w:trPr>
        <w:tc>
          <w:tcPr>
            <w:tcW w:w="35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w:t>
            </w:r>
          </w:p>
        </w:tc>
        <w:tc>
          <w:tcPr>
            <w:tcW w:w="1574"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200,000,000.00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76" w:right="0"/>
              <w:jc w:val="left"/>
              <w:rPr>
                <w:rFonts w:ascii="华文细黑" w:hAnsi="华文细黑" w:cs="华文细黑" w:eastAsia="华文细黑" w:hint="default"/>
                <w:sz w:val="18"/>
                <w:szCs w:val="18"/>
              </w:rPr>
            </w:pPr>
            <w:r>
              <w:rPr>
                <w:rFonts w:ascii="华文细黑"/>
                <w:sz w:val="18"/>
              </w:rPr>
              <w:t>2018/7/24</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2019/7/24</w:t>
            </w:r>
          </w:p>
        </w:tc>
        <w:tc>
          <w:tcPr>
            <w:tcW w:w="11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48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0" w:hRule="exact"/>
        </w:trPr>
        <w:tc>
          <w:tcPr>
            <w:tcW w:w="35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w:t>
            </w:r>
          </w:p>
        </w:tc>
        <w:tc>
          <w:tcPr>
            <w:tcW w:w="1574"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700,000,000.00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76" w:right="0"/>
              <w:jc w:val="left"/>
              <w:rPr>
                <w:rFonts w:ascii="华文细黑" w:hAnsi="华文细黑" w:cs="华文细黑" w:eastAsia="华文细黑" w:hint="default"/>
                <w:sz w:val="18"/>
                <w:szCs w:val="18"/>
              </w:rPr>
            </w:pPr>
            <w:r>
              <w:rPr>
                <w:rFonts w:ascii="华文细黑"/>
                <w:sz w:val="18"/>
              </w:rPr>
              <w:t>2018/5/31</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2019/5/31</w:t>
            </w:r>
          </w:p>
        </w:tc>
        <w:tc>
          <w:tcPr>
            <w:tcW w:w="11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48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0" w:hRule="exact"/>
        </w:trPr>
        <w:tc>
          <w:tcPr>
            <w:tcW w:w="35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w:t>
            </w:r>
          </w:p>
        </w:tc>
        <w:tc>
          <w:tcPr>
            <w:tcW w:w="1574"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600,000,000.00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5" w:right="0"/>
              <w:jc w:val="left"/>
              <w:rPr>
                <w:rFonts w:ascii="华文细黑" w:hAnsi="华文细黑" w:cs="华文细黑" w:eastAsia="华文细黑" w:hint="default"/>
                <w:sz w:val="18"/>
                <w:szCs w:val="18"/>
              </w:rPr>
            </w:pPr>
            <w:r>
              <w:rPr>
                <w:rFonts w:ascii="华文细黑"/>
                <w:sz w:val="18"/>
              </w:rPr>
              <w:t>2017/12/12</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sz w:val="18"/>
              </w:rPr>
              <w:t>2018/12/12</w:t>
            </w:r>
          </w:p>
        </w:tc>
        <w:tc>
          <w:tcPr>
            <w:tcW w:w="11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48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0" w:hRule="exact"/>
        </w:trPr>
        <w:tc>
          <w:tcPr>
            <w:tcW w:w="35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w:t>
            </w:r>
          </w:p>
        </w:tc>
        <w:tc>
          <w:tcPr>
            <w:tcW w:w="1574"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330,000,000.00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325" w:right="0"/>
              <w:jc w:val="left"/>
              <w:rPr>
                <w:rFonts w:ascii="华文细黑" w:hAnsi="华文细黑" w:cs="华文细黑" w:eastAsia="华文细黑" w:hint="default"/>
                <w:sz w:val="18"/>
                <w:szCs w:val="18"/>
              </w:rPr>
            </w:pPr>
            <w:r>
              <w:rPr>
                <w:rFonts w:ascii="华文细黑"/>
                <w:sz w:val="18"/>
              </w:rPr>
              <w:t>2018/7/4</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sz w:val="18"/>
              </w:rPr>
              <w:t>2019/7/3</w:t>
            </w:r>
          </w:p>
        </w:tc>
        <w:tc>
          <w:tcPr>
            <w:tcW w:w="11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48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0" w:hRule="exact"/>
        </w:trPr>
        <w:tc>
          <w:tcPr>
            <w:tcW w:w="35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w:t>
            </w:r>
          </w:p>
        </w:tc>
        <w:tc>
          <w:tcPr>
            <w:tcW w:w="1574"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720,000,000.00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325" w:right="0"/>
              <w:jc w:val="left"/>
              <w:rPr>
                <w:rFonts w:ascii="华文细黑" w:hAnsi="华文细黑" w:cs="华文细黑" w:eastAsia="华文细黑" w:hint="default"/>
                <w:sz w:val="18"/>
                <w:szCs w:val="18"/>
              </w:rPr>
            </w:pPr>
            <w:r>
              <w:rPr>
                <w:rFonts w:ascii="华文细黑"/>
                <w:sz w:val="18"/>
              </w:rPr>
              <w:t>2018/8/7</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sz w:val="18"/>
              </w:rPr>
              <w:t>2019/8/7</w:t>
            </w:r>
          </w:p>
        </w:tc>
        <w:tc>
          <w:tcPr>
            <w:tcW w:w="11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48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0" w:hRule="exact"/>
        </w:trPr>
        <w:tc>
          <w:tcPr>
            <w:tcW w:w="35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w:t>
            </w:r>
          </w:p>
        </w:tc>
        <w:tc>
          <w:tcPr>
            <w:tcW w:w="1574"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200,000,000.00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25" w:right="0"/>
              <w:jc w:val="left"/>
              <w:rPr>
                <w:rFonts w:ascii="华文细黑" w:hAnsi="华文细黑" w:cs="华文细黑" w:eastAsia="华文细黑" w:hint="default"/>
                <w:sz w:val="18"/>
                <w:szCs w:val="18"/>
              </w:rPr>
            </w:pPr>
            <w:r>
              <w:rPr>
                <w:rFonts w:ascii="华文细黑"/>
                <w:sz w:val="18"/>
              </w:rPr>
              <w:t>2018/10/25</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sz w:val="18"/>
              </w:rPr>
              <w:t>2019/9/27</w:t>
            </w:r>
          </w:p>
        </w:tc>
        <w:tc>
          <w:tcPr>
            <w:tcW w:w="11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48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bl>
    <w:p>
      <w:pPr>
        <w:spacing w:after="0" w:line="240" w:lineRule="auto"/>
        <w:jc w:val="left"/>
        <w:rPr>
          <w:rFonts w:ascii="华文细黑" w:hAnsi="华文细黑" w:cs="华文细黑" w:eastAsia="华文细黑" w:hint="default"/>
          <w:sz w:val="18"/>
          <w:szCs w:val="18"/>
        </w:rPr>
        <w:sectPr>
          <w:pgSz w:w="11910" w:h="16840"/>
          <w:pgMar w:header="917" w:footer="1019" w:top="1100" w:bottom="1200" w:left="1300" w:right="0"/>
        </w:sectPr>
      </w:pPr>
    </w:p>
    <w:p>
      <w:pPr>
        <w:spacing w:line="240" w:lineRule="auto" w:before="8"/>
        <w:rPr>
          <w:rFonts w:ascii="华文细黑" w:hAnsi="华文细黑" w:cs="华文细黑" w:eastAsia="华文细黑" w:hint="default"/>
          <w:sz w:val="23"/>
          <w:szCs w:val="23"/>
        </w:rPr>
      </w:pPr>
    </w:p>
    <w:tbl>
      <w:tblPr>
        <w:tblW w:w="0" w:type="auto"/>
        <w:jc w:val="left"/>
        <w:tblInd w:w="251" w:type="dxa"/>
        <w:tblLayout w:type="fixed"/>
        <w:tblCellMar>
          <w:top w:w="0" w:type="dxa"/>
          <w:left w:w="0" w:type="dxa"/>
          <w:bottom w:w="0" w:type="dxa"/>
          <w:right w:w="0" w:type="dxa"/>
        </w:tblCellMar>
        <w:tblLook w:val="01E0"/>
      </w:tblPr>
      <w:tblGrid>
        <w:gridCol w:w="3517"/>
        <w:gridCol w:w="1574"/>
        <w:gridCol w:w="1418"/>
        <w:gridCol w:w="1559"/>
        <w:gridCol w:w="1162"/>
      </w:tblGrid>
      <w:tr>
        <w:trPr>
          <w:trHeight w:val="205" w:hRule="exact"/>
        </w:trPr>
        <w:tc>
          <w:tcPr>
            <w:tcW w:w="3517" w:type="dxa"/>
            <w:tcBorders>
              <w:top w:val="single" w:sz="4" w:space="0" w:color="FFC000"/>
              <w:left w:val="single" w:sz="4" w:space="0" w:color="FFC000"/>
              <w:bottom w:val="nil" w:sz="6" w:space="0" w:color="auto"/>
              <w:right w:val="single" w:sz="4" w:space="0" w:color="FFC000"/>
            </w:tcBorders>
            <w:shd w:val="clear" w:color="auto" w:fill="FFF8E6"/>
          </w:tcPr>
          <w:p>
            <w:pPr/>
          </w:p>
        </w:tc>
        <w:tc>
          <w:tcPr>
            <w:tcW w:w="1574" w:type="dxa"/>
            <w:tcBorders>
              <w:top w:val="single" w:sz="4" w:space="0" w:color="FFC000"/>
              <w:left w:val="single" w:sz="4" w:space="0" w:color="FFC000"/>
              <w:bottom w:val="nil" w:sz="6" w:space="0" w:color="auto"/>
              <w:right w:val="single" w:sz="4" w:space="0" w:color="FFC000"/>
            </w:tcBorders>
            <w:shd w:val="clear" w:color="auto" w:fill="FFF8E6"/>
          </w:tcPr>
          <w:p>
            <w:pPr/>
          </w:p>
        </w:tc>
        <w:tc>
          <w:tcPr>
            <w:tcW w:w="1418" w:type="dxa"/>
            <w:tcBorders>
              <w:top w:val="single" w:sz="4" w:space="0" w:color="FFC000"/>
              <w:left w:val="single" w:sz="4" w:space="0" w:color="FFC000"/>
              <w:bottom w:val="nil" w:sz="6" w:space="0" w:color="auto"/>
              <w:right w:val="single" w:sz="4" w:space="0" w:color="FFC000"/>
            </w:tcBorders>
            <w:shd w:val="clear" w:color="auto" w:fill="FFF8E6"/>
          </w:tcPr>
          <w:p>
            <w:pPr/>
          </w:p>
        </w:tc>
        <w:tc>
          <w:tcPr>
            <w:tcW w:w="1559" w:type="dxa"/>
            <w:tcBorders>
              <w:top w:val="single" w:sz="4" w:space="0" w:color="FFC000"/>
              <w:left w:val="single" w:sz="4" w:space="0" w:color="FFC000"/>
              <w:bottom w:val="nil" w:sz="6" w:space="0" w:color="auto"/>
              <w:right w:val="single" w:sz="4" w:space="0" w:color="FFC000"/>
            </w:tcBorders>
            <w:shd w:val="clear" w:color="auto" w:fill="FFF8E6"/>
          </w:tcPr>
          <w:p>
            <w:pPr/>
          </w:p>
        </w:tc>
        <w:tc>
          <w:tcPr>
            <w:tcW w:w="1162"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3"/>
              <w:ind w:left="215" w:right="35"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担保是否已经 履行完毕</w:t>
            </w:r>
          </w:p>
        </w:tc>
      </w:tr>
      <w:tr>
        <w:trPr>
          <w:trHeight w:val="480" w:hRule="exact"/>
        </w:trPr>
        <w:tc>
          <w:tcPr>
            <w:tcW w:w="3517"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担保方</w:t>
            </w:r>
          </w:p>
        </w:tc>
        <w:tc>
          <w:tcPr>
            <w:tcW w:w="1574"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42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担保金额</w:t>
            </w:r>
          </w:p>
        </w:tc>
        <w:tc>
          <w:tcPr>
            <w:tcW w:w="1418"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25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担保起始日</w:t>
            </w:r>
          </w:p>
        </w:tc>
        <w:tc>
          <w:tcPr>
            <w:tcW w:w="1559"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32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担保到期日</w:t>
            </w:r>
          </w:p>
        </w:tc>
        <w:tc>
          <w:tcPr>
            <w:tcW w:w="1162" w:type="dxa"/>
            <w:vMerge/>
            <w:tcBorders>
              <w:left w:val="single" w:sz="4" w:space="0" w:color="FFC000"/>
              <w:right w:val="single" w:sz="4" w:space="0" w:color="FFC000"/>
            </w:tcBorders>
            <w:shd w:val="clear" w:color="auto" w:fill="FFF8E6"/>
          </w:tcPr>
          <w:p>
            <w:pPr/>
          </w:p>
        </w:tc>
      </w:tr>
      <w:tr>
        <w:trPr>
          <w:trHeight w:val="205" w:hRule="exact"/>
        </w:trPr>
        <w:tc>
          <w:tcPr>
            <w:tcW w:w="3517" w:type="dxa"/>
            <w:tcBorders>
              <w:top w:val="nil" w:sz="6" w:space="0" w:color="auto"/>
              <w:left w:val="single" w:sz="4" w:space="0" w:color="FFC000"/>
              <w:bottom w:val="single" w:sz="4" w:space="0" w:color="FFC000"/>
              <w:right w:val="single" w:sz="4" w:space="0" w:color="FFC000"/>
            </w:tcBorders>
            <w:shd w:val="clear" w:color="auto" w:fill="FFF8E6"/>
          </w:tcPr>
          <w:p>
            <w:pPr/>
          </w:p>
        </w:tc>
        <w:tc>
          <w:tcPr>
            <w:tcW w:w="1574" w:type="dxa"/>
            <w:tcBorders>
              <w:top w:val="nil" w:sz="6" w:space="0" w:color="auto"/>
              <w:left w:val="single" w:sz="4" w:space="0" w:color="FFC000"/>
              <w:bottom w:val="single" w:sz="4" w:space="0" w:color="FFC000"/>
              <w:right w:val="single" w:sz="4" w:space="0" w:color="FFC000"/>
            </w:tcBorders>
            <w:shd w:val="clear" w:color="auto" w:fill="FFF8E6"/>
          </w:tcPr>
          <w:p>
            <w:pPr/>
          </w:p>
        </w:tc>
        <w:tc>
          <w:tcPr>
            <w:tcW w:w="1418" w:type="dxa"/>
            <w:tcBorders>
              <w:top w:val="nil" w:sz="6" w:space="0" w:color="auto"/>
              <w:left w:val="single" w:sz="4" w:space="0" w:color="FFC000"/>
              <w:bottom w:val="single" w:sz="4" w:space="0" w:color="FFC000"/>
              <w:right w:val="single" w:sz="4" w:space="0" w:color="FFC000"/>
            </w:tcBorders>
            <w:shd w:val="clear" w:color="auto" w:fill="FFF8E6"/>
          </w:tcPr>
          <w:p>
            <w:pPr/>
          </w:p>
        </w:tc>
        <w:tc>
          <w:tcPr>
            <w:tcW w:w="1559" w:type="dxa"/>
            <w:tcBorders>
              <w:top w:val="nil" w:sz="6" w:space="0" w:color="auto"/>
              <w:left w:val="single" w:sz="4" w:space="0" w:color="FFC000"/>
              <w:bottom w:val="single" w:sz="4" w:space="0" w:color="FFC000"/>
              <w:right w:val="single" w:sz="4" w:space="0" w:color="FFC000"/>
            </w:tcBorders>
            <w:shd w:val="clear" w:color="auto" w:fill="FFF8E6"/>
          </w:tcPr>
          <w:p>
            <w:pPr/>
          </w:p>
        </w:tc>
        <w:tc>
          <w:tcPr>
            <w:tcW w:w="1162"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35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w:t>
            </w:r>
          </w:p>
        </w:tc>
        <w:tc>
          <w:tcPr>
            <w:tcW w:w="1574"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900,000,000.00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25" w:right="0"/>
              <w:jc w:val="left"/>
              <w:rPr>
                <w:rFonts w:ascii="华文细黑" w:hAnsi="华文细黑" w:cs="华文细黑" w:eastAsia="华文细黑" w:hint="default"/>
                <w:sz w:val="18"/>
                <w:szCs w:val="18"/>
              </w:rPr>
            </w:pPr>
            <w:r>
              <w:rPr>
                <w:rFonts w:ascii="华文细黑"/>
                <w:sz w:val="18"/>
              </w:rPr>
              <w:t>2018/12/11</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345" w:right="0"/>
              <w:jc w:val="left"/>
              <w:rPr>
                <w:rFonts w:ascii="华文细黑" w:hAnsi="华文细黑" w:cs="华文细黑" w:eastAsia="华文细黑" w:hint="default"/>
                <w:sz w:val="18"/>
                <w:szCs w:val="18"/>
              </w:rPr>
            </w:pPr>
            <w:r>
              <w:rPr>
                <w:rFonts w:ascii="华文细黑"/>
                <w:sz w:val="18"/>
              </w:rPr>
              <w:t>2019/6/30</w:t>
            </w:r>
          </w:p>
        </w:tc>
        <w:tc>
          <w:tcPr>
            <w:tcW w:w="11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48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0" w:hRule="exact"/>
        </w:trPr>
        <w:tc>
          <w:tcPr>
            <w:tcW w:w="35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w:t>
            </w:r>
          </w:p>
        </w:tc>
        <w:tc>
          <w:tcPr>
            <w:tcW w:w="1574"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500,000,000.00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325" w:right="0"/>
              <w:jc w:val="left"/>
              <w:rPr>
                <w:rFonts w:ascii="华文细黑" w:hAnsi="华文细黑" w:cs="华文细黑" w:eastAsia="华文细黑" w:hint="default"/>
                <w:sz w:val="18"/>
                <w:szCs w:val="18"/>
              </w:rPr>
            </w:pPr>
            <w:r>
              <w:rPr>
                <w:rFonts w:ascii="华文细黑"/>
                <w:sz w:val="18"/>
              </w:rPr>
              <w:t>2018/1/4</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96" w:right="0"/>
              <w:jc w:val="left"/>
              <w:rPr>
                <w:rFonts w:ascii="华文细黑" w:hAnsi="华文细黑" w:cs="华文细黑" w:eastAsia="华文细黑" w:hint="default"/>
                <w:sz w:val="18"/>
                <w:szCs w:val="18"/>
              </w:rPr>
            </w:pPr>
            <w:r>
              <w:rPr>
                <w:rFonts w:ascii="华文细黑"/>
                <w:sz w:val="18"/>
              </w:rPr>
              <w:t>2018/12/14</w:t>
            </w:r>
          </w:p>
        </w:tc>
        <w:tc>
          <w:tcPr>
            <w:tcW w:w="11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48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0" w:hRule="exact"/>
        </w:trPr>
        <w:tc>
          <w:tcPr>
            <w:tcW w:w="35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深圳市神州通投资集团有限公司</w:t>
            </w:r>
          </w:p>
        </w:tc>
        <w:tc>
          <w:tcPr>
            <w:tcW w:w="1574"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100,000,000.00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76" w:right="0"/>
              <w:jc w:val="left"/>
              <w:rPr>
                <w:rFonts w:ascii="华文细黑" w:hAnsi="华文细黑" w:cs="华文细黑" w:eastAsia="华文细黑" w:hint="default"/>
                <w:sz w:val="18"/>
                <w:szCs w:val="18"/>
              </w:rPr>
            </w:pPr>
            <w:r>
              <w:rPr>
                <w:rFonts w:ascii="华文细黑"/>
                <w:sz w:val="18"/>
              </w:rPr>
              <w:t>2018/1/19</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345" w:right="0"/>
              <w:jc w:val="left"/>
              <w:rPr>
                <w:rFonts w:ascii="华文细黑" w:hAnsi="华文细黑" w:cs="华文细黑" w:eastAsia="华文细黑" w:hint="default"/>
                <w:sz w:val="18"/>
                <w:szCs w:val="18"/>
              </w:rPr>
            </w:pPr>
            <w:r>
              <w:rPr>
                <w:rFonts w:ascii="华文细黑"/>
                <w:sz w:val="18"/>
              </w:rPr>
              <w:t>2020/1/19</w:t>
            </w:r>
          </w:p>
        </w:tc>
        <w:tc>
          <w:tcPr>
            <w:tcW w:w="116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48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60" w:right="1246"/>
        <w:jc w:val="left"/>
      </w:pPr>
      <w:r>
        <w:rPr/>
        <w:t>（</w:t>
      </w:r>
      <w:r>
        <w:rPr>
          <w:rFonts w:ascii="华文细黑" w:hAnsi="华文细黑" w:cs="华文细黑" w:eastAsia="华文细黑" w:hint="default"/>
        </w:rPr>
        <w:t>3</w:t>
      </w:r>
      <w:r>
        <w:rPr/>
        <w:t>）关联方资金拆借</w:t>
      </w:r>
    </w:p>
    <w:p>
      <w:pPr>
        <w:spacing w:line="240" w:lineRule="auto" w:before="6"/>
        <w:rPr>
          <w:rFonts w:ascii="华文细黑" w:hAnsi="华文细黑" w:cs="华文细黑" w:eastAsia="华文细黑" w:hint="default"/>
          <w:sz w:val="5"/>
          <w:szCs w:val="5"/>
        </w:rPr>
      </w:pPr>
    </w:p>
    <w:tbl>
      <w:tblPr>
        <w:tblW w:w="0" w:type="auto"/>
        <w:jc w:val="left"/>
        <w:tblInd w:w="105" w:type="dxa"/>
        <w:tblLayout w:type="fixed"/>
        <w:tblCellMar>
          <w:top w:w="0" w:type="dxa"/>
          <w:left w:w="0" w:type="dxa"/>
          <w:bottom w:w="0" w:type="dxa"/>
          <w:right w:w="0" w:type="dxa"/>
        </w:tblCellMar>
        <w:tblLook w:val="01E0"/>
      </w:tblPr>
      <w:tblGrid>
        <w:gridCol w:w="3663"/>
        <w:gridCol w:w="1319"/>
        <w:gridCol w:w="1276"/>
        <w:gridCol w:w="1134"/>
        <w:gridCol w:w="2269"/>
      </w:tblGrid>
      <w:tr>
        <w:trPr>
          <w:trHeight w:val="493" w:hRule="exact"/>
        </w:trPr>
        <w:tc>
          <w:tcPr>
            <w:tcW w:w="36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关联方</w:t>
            </w:r>
          </w:p>
        </w:tc>
        <w:tc>
          <w:tcPr>
            <w:tcW w:w="131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30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拆借金额</w:t>
            </w:r>
          </w:p>
        </w:tc>
        <w:tc>
          <w:tcPr>
            <w:tcW w:w="12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3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起始日</w:t>
            </w:r>
          </w:p>
        </w:tc>
        <w:tc>
          <w:tcPr>
            <w:tcW w:w="11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到期日</w:t>
            </w:r>
          </w:p>
        </w:tc>
        <w:tc>
          <w:tcPr>
            <w:tcW w:w="226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说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明</w:t>
            </w:r>
          </w:p>
        </w:tc>
      </w:tr>
      <w:tr>
        <w:trPr>
          <w:trHeight w:val="491" w:hRule="exact"/>
        </w:trPr>
        <w:tc>
          <w:tcPr>
            <w:tcW w:w="36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6"/>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拆出：</w:t>
            </w:r>
          </w:p>
        </w:tc>
        <w:tc>
          <w:tcPr>
            <w:tcW w:w="1319"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276"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134"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269"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0" w:hRule="exact"/>
        </w:trPr>
        <w:tc>
          <w:tcPr>
            <w:tcW w:w="36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先锋智道（北京）科技有限公司</w:t>
            </w:r>
          </w:p>
        </w:tc>
        <w:tc>
          <w:tcPr>
            <w:tcW w:w="1319"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10,000,000.00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2"/>
              <w:jc w:val="right"/>
              <w:rPr>
                <w:rFonts w:ascii="华文细黑" w:hAnsi="华文细黑" w:cs="华文细黑" w:eastAsia="华文细黑" w:hint="default"/>
                <w:sz w:val="18"/>
                <w:szCs w:val="18"/>
              </w:rPr>
            </w:pPr>
            <w:r>
              <w:rPr>
                <w:rFonts w:ascii="华文细黑"/>
                <w:spacing w:val="-1"/>
                <w:sz w:val="18"/>
              </w:rPr>
              <w:t>2018-5-17</w:t>
            </w:r>
            <w:r>
              <w:rPr>
                <w:rFonts w:ascii="华文细黑"/>
                <w:sz w:val="18"/>
              </w:rPr>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2019-5-17</w:t>
            </w:r>
          </w:p>
        </w:tc>
        <w:tc>
          <w:tcPr>
            <w:tcW w:w="2269" w:type="dxa"/>
            <w:tcBorders>
              <w:top w:val="single" w:sz="4" w:space="0" w:color="FFC000"/>
              <w:left w:val="single" w:sz="4" w:space="0" w:color="FFC000"/>
              <w:bottom w:val="single" w:sz="4" w:space="0" w:color="FFC000"/>
              <w:right w:val="single" w:sz="4" w:space="0" w:color="FFC000"/>
            </w:tcBorders>
          </w:tcPr>
          <w:p>
            <w:pPr/>
          </w:p>
        </w:tc>
      </w:tr>
      <w:tr>
        <w:trPr>
          <w:trHeight w:val="490" w:hRule="exact"/>
        </w:trPr>
        <w:tc>
          <w:tcPr>
            <w:tcW w:w="36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店商互联（北京）科技发展有限公司</w:t>
            </w:r>
          </w:p>
        </w:tc>
        <w:tc>
          <w:tcPr>
            <w:tcW w:w="1319"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right="19"/>
              <w:jc w:val="right"/>
              <w:rPr>
                <w:rFonts w:ascii="华文细黑" w:hAnsi="华文细黑" w:cs="华文细黑" w:eastAsia="华文细黑" w:hint="default"/>
                <w:sz w:val="18"/>
                <w:szCs w:val="18"/>
              </w:rPr>
            </w:pPr>
            <w:r>
              <w:rPr>
                <w:rFonts w:ascii="华文细黑"/>
                <w:sz w:val="18"/>
              </w:rPr>
              <w:t>7,268,320.00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73"/>
              <w:jc w:val="right"/>
              <w:rPr>
                <w:rFonts w:ascii="华文细黑" w:hAnsi="华文细黑" w:cs="华文细黑" w:eastAsia="华文细黑" w:hint="default"/>
                <w:sz w:val="18"/>
                <w:szCs w:val="18"/>
              </w:rPr>
            </w:pPr>
            <w:r>
              <w:rPr>
                <w:rFonts w:ascii="华文细黑"/>
                <w:spacing w:val="-1"/>
                <w:sz w:val="18"/>
              </w:rPr>
              <w:t>2017-12-20</w:t>
            </w:r>
            <w:r>
              <w:rPr>
                <w:rFonts w:ascii="华文细黑"/>
                <w:sz w:val="18"/>
              </w:rPr>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sz w:val="18"/>
              </w:rPr>
              <w:t>2018-4-26</w:t>
            </w:r>
          </w:p>
        </w:tc>
        <w:tc>
          <w:tcPr>
            <w:tcW w:w="226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已全额计提准备</w:t>
            </w:r>
          </w:p>
        </w:tc>
      </w:tr>
      <w:tr>
        <w:trPr>
          <w:trHeight w:val="490" w:hRule="exact"/>
        </w:trPr>
        <w:tc>
          <w:tcPr>
            <w:tcW w:w="366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上海驿圆股权投资基金有限公司</w:t>
            </w:r>
          </w:p>
        </w:tc>
        <w:tc>
          <w:tcPr>
            <w:tcW w:w="1319"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10,000,000.00</w:t>
            </w:r>
          </w:p>
        </w:tc>
        <w:tc>
          <w:tcPr>
            <w:tcW w:w="127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2"/>
              <w:jc w:val="right"/>
              <w:rPr>
                <w:rFonts w:ascii="华文细黑" w:hAnsi="华文细黑" w:cs="华文细黑" w:eastAsia="华文细黑" w:hint="default"/>
                <w:sz w:val="18"/>
                <w:szCs w:val="18"/>
              </w:rPr>
            </w:pPr>
            <w:r>
              <w:rPr>
                <w:rFonts w:ascii="华文细黑"/>
                <w:spacing w:val="-1"/>
                <w:sz w:val="18"/>
              </w:rPr>
              <w:t>2017-8-23</w:t>
            </w:r>
            <w:r>
              <w:rPr>
                <w:rFonts w:ascii="华文细黑"/>
                <w:sz w:val="18"/>
              </w:rPr>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sz w:val="18"/>
              </w:rPr>
              <w:t>2018-8-23</w:t>
            </w:r>
          </w:p>
        </w:tc>
        <w:tc>
          <w:tcPr>
            <w:tcW w:w="226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次级；展期协议尚未完成</w:t>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60" w:right="1246"/>
        <w:jc w:val="left"/>
      </w:pPr>
      <w:r>
        <w:rPr/>
        <w:t>（</w:t>
      </w:r>
      <w:r>
        <w:rPr>
          <w:rFonts w:ascii="华文细黑" w:hAnsi="华文细黑" w:cs="华文细黑" w:eastAsia="华文细黑" w:hint="default"/>
        </w:rPr>
        <w:t>4</w:t>
      </w:r>
      <w:r>
        <w:rPr/>
        <w:t>）关键管理人员报酬</w:t>
      </w:r>
    </w:p>
    <w:p>
      <w:pPr>
        <w:spacing w:line="240" w:lineRule="auto" w:before="5"/>
        <w:rPr>
          <w:rFonts w:ascii="华文细黑" w:hAnsi="华文细黑" w:cs="华文细黑" w:eastAsia="华文细黑" w:hint="default"/>
          <w:sz w:val="5"/>
          <w:szCs w:val="5"/>
        </w:rPr>
      </w:pPr>
    </w:p>
    <w:tbl>
      <w:tblPr>
        <w:tblW w:w="0" w:type="auto"/>
        <w:jc w:val="left"/>
        <w:tblInd w:w="106" w:type="dxa"/>
        <w:tblLayout w:type="fixed"/>
        <w:tblCellMar>
          <w:top w:w="0" w:type="dxa"/>
          <w:left w:w="0" w:type="dxa"/>
          <w:bottom w:w="0" w:type="dxa"/>
          <w:right w:w="0" w:type="dxa"/>
        </w:tblCellMar>
        <w:tblLook w:val="01E0"/>
      </w:tblPr>
      <w:tblGrid>
        <w:gridCol w:w="3804"/>
        <w:gridCol w:w="3146"/>
        <w:gridCol w:w="2441"/>
      </w:tblGrid>
      <w:tr>
        <w:trPr>
          <w:trHeight w:val="491" w:hRule="exact"/>
        </w:trPr>
        <w:tc>
          <w:tcPr>
            <w:tcW w:w="38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314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3"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244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76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490" w:hRule="exact"/>
        </w:trPr>
        <w:tc>
          <w:tcPr>
            <w:tcW w:w="38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关键管理人员报酬</w:t>
            </w:r>
          </w:p>
        </w:tc>
        <w:tc>
          <w:tcPr>
            <w:tcW w:w="3146" w:type="dxa"/>
            <w:tcBorders>
              <w:top w:val="single" w:sz="4" w:space="0" w:color="FFC000"/>
              <w:left w:val="single" w:sz="14" w:space="0" w:color="FFF8E6"/>
              <w:bottom w:val="single" w:sz="4" w:space="0" w:color="FFC000"/>
              <w:right w:val="single" w:sz="4" w:space="0" w:color="FFC000"/>
            </w:tcBorders>
          </w:tcPr>
          <w:p>
            <w:pPr>
              <w:pStyle w:val="TableParagraph"/>
              <w:spacing w:line="240" w:lineRule="auto" w:before="144"/>
              <w:ind w:left="1952" w:right="0"/>
              <w:jc w:val="left"/>
              <w:rPr>
                <w:rFonts w:ascii="华文细黑" w:hAnsi="华文细黑" w:cs="华文细黑" w:eastAsia="华文细黑" w:hint="default"/>
                <w:sz w:val="18"/>
                <w:szCs w:val="18"/>
              </w:rPr>
            </w:pPr>
            <w:r>
              <w:rPr>
                <w:rFonts w:ascii="华文细黑"/>
                <w:sz w:val="18"/>
              </w:rPr>
              <w:t>11,267,785.39</w:t>
            </w:r>
          </w:p>
        </w:tc>
        <w:tc>
          <w:tcPr>
            <w:tcW w:w="24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1257" w:right="0"/>
              <w:jc w:val="left"/>
              <w:rPr>
                <w:rFonts w:ascii="华文细黑" w:hAnsi="华文细黑" w:cs="华文细黑" w:eastAsia="华文细黑" w:hint="default"/>
                <w:sz w:val="18"/>
                <w:szCs w:val="18"/>
              </w:rPr>
            </w:pPr>
            <w:r>
              <w:rPr>
                <w:rFonts w:ascii="华文细黑"/>
                <w:sz w:val="18"/>
              </w:rPr>
              <w:t>17,937,593.06</w:t>
            </w:r>
          </w:p>
        </w:tc>
      </w:tr>
    </w:tbl>
    <w:p>
      <w:pPr>
        <w:spacing w:line="240" w:lineRule="auto" w:before="14"/>
        <w:rPr>
          <w:rFonts w:ascii="华文细黑" w:hAnsi="华文细黑" w:cs="华文细黑" w:eastAsia="华文细黑" w:hint="default"/>
          <w:sz w:val="6"/>
          <w:szCs w:val="6"/>
        </w:rPr>
      </w:pPr>
    </w:p>
    <w:p>
      <w:pPr>
        <w:pStyle w:val="Heading5"/>
        <w:spacing w:line="240" w:lineRule="auto"/>
        <w:ind w:left="722" w:right="1246"/>
        <w:jc w:val="left"/>
        <w:rPr>
          <w:b w:val="0"/>
          <w:bCs w:val="0"/>
        </w:rPr>
      </w:pPr>
      <w:bookmarkStart w:name="6、关联方应收应付款项" w:id="340"/>
      <w:bookmarkEnd w:id="340"/>
      <w:r>
        <w:rPr>
          <w:b w:val="0"/>
          <w:bCs w:val="0"/>
        </w:rPr>
      </w:r>
      <w:r>
        <w:rPr>
          <w:rFonts w:ascii="华文细黑" w:hAnsi="华文细黑" w:cs="华文细黑" w:eastAsia="华文细黑" w:hint="default"/>
        </w:rPr>
        <w:t>6</w:t>
      </w:r>
      <w:r>
        <w:rPr/>
        <w:t>、关联方应收应付款项</w:t>
      </w:r>
      <w:r>
        <w:rPr>
          <w:b w:val="0"/>
          <w:bCs w:val="0"/>
        </w:rPr>
      </w:r>
    </w:p>
    <w:p>
      <w:pPr>
        <w:pStyle w:val="BodyText"/>
        <w:spacing w:line="240" w:lineRule="auto" w:before="142"/>
        <w:ind w:left="722" w:right="1246"/>
        <w:jc w:val="left"/>
      </w:pPr>
      <w:r>
        <w:rPr/>
        <w:t>（</w:t>
      </w:r>
      <w:r>
        <w:rPr>
          <w:rFonts w:ascii="华文细黑" w:hAnsi="华文细黑" w:cs="华文细黑" w:eastAsia="华文细黑" w:hint="default"/>
        </w:rPr>
        <w:t>1</w:t>
      </w:r>
      <w:r>
        <w:rPr/>
        <w:t>）应收项目</w:t>
      </w:r>
    </w:p>
    <w:p>
      <w:pPr>
        <w:spacing w:line="240" w:lineRule="auto" w:before="6"/>
        <w:rPr>
          <w:rFonts w:ascii="华文细黑" w:hAnsi="华文细黑" w:cs="华文细黑" w:eastAsia="华文细黑" w:hint="default"/>
          <w:sz w:val="5"/>
          <w:szCs w:val="5"/>
        </w:rPr>
      </w:pPr>
    </w:p>
    <w:tbl>
      <w:tblPr>
        <w:tblW w:w="0" w:type="auto"/>
        <w:jc w:val="left"/>
        <w:tblInd w:w="105" w:type="dxa"/>
        <w:tblLayout w:type="fixed"/>
        <w:tblCellMar>
          <w:top w:w="0" w:type="dxa"/>
          <w:left w:w="0" w:type="dxa"/>
          <w:bottom w:w="0" w:type="dxa"/>
          <w:right w:w="0" w:type="dxa"/>
        </w:tblCellMar>
        <w:tblLook w:val="01E0"/>
      </w:tblPr>
      <w:tblGrid>
        <w:gridCol w:w="3831"/>
        <w:gridCol w:w="1487"/>
        <w:gridCol w:w="1418"/>
        <w:gridCol w:w="1418"/>
        <w:gridCol w:w="1222"/>
      </w:tblGrid>
      <w:tr>
        <w:trPr>
          <w:trHeight w:val="250" w:hRule="exact"/>
        </w:trPr>
        <w:tc>
          <w:tcPr>
            <w:tcW w:w="3831" w:type="dxa"/>
            <w:tcBorders>
              <w:top w:val="single" w:sz="4" w:space="0" w:color="FFC000"/>
              <w:left w:val="single" w:sz="4" w:space="0" w:color="FFC000"/>
              <w:bottom w:val="nil" w:sz="6" w:space="0" w:color="auto"/>
              <w:right w:val="single" w:sz="4" w:space="0" w:color="FFC000"/>
            </w:tcBorders>
            <w:shd w:val="clear" w:color="auto" w:fill="FFF8E6"/>
          </w:tcPr>
          <w:p>
            <w:pPr/>
          </w:p>
        </w:tc>
        <w:tc>
          <w:tcPr>
            <w:tcW w:w="2906"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16"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639"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241" w:hRule="exact"/>
        </w:trPr>
        <w:tc>
          <w:tcPr>
            <w:tcW w:w="3831"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3"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项目名称</w:t>
            </w:r>
          </w:p>
        </w:tc>
        <w:tc>
          <w:tcPr>
            <w:tcW w:w="2906" w:type="dxa"/>
            <w:gridSpan w:val="2"/>
            <w:vMerge/>
            <w:tcBorders>
              <w:left w:val="single" w:sz="4" w:space="0" w:color="FFC000"/>
              <w:bottom w:val="single" w:sz="4" w:space="0" w:color="FFC000"/>
              <w:right w:val="single" w:sz="4" w:space="0" w:color="FFC000"/>
            </w:tcBorders>
            <w:shd w:val="clear" w:color="auto" w:fill="FFF8E6"/>
          </w:tcPr>
          <w:p>
            <w:pPr/>
          </w:p>
        </w:tc>
        <w:tc>
          <w:tcPr>
            <w:tcW w:w="2639" w:type="dxa"/>
            <w:gridSpan w:val="2"/>
            <w:vMerge/>
            <w:tcBorders>
              <w:left w:val="single" w:sz="4" w:space="0" w:color="FFC000"/>
              <w:bottom w:val="single" w:sz="4" w:space="0" w:color="FFC000"/>
              <w:right w:val="single" w:sz="4" w:space="0" w:color="FFC000"/>
            </w:tcBorders>
            <w:shd w:val="clear" w:color="auto" w:fill="FFF8E6"/>
          </w:tcPr>
          <w:p>
            <w:pPr/>
          </w:p>
        </w:tc>
      </w:tr>
      <w:tr>
        <w:trPr>
          <w:trHeight w:val="239" w:hRule="exact"/>
        </w:trPr>
        <w:tc>
          <w:tcPr>
            <w:tcW w:w="3831" w:type="dxa"/>
            <w:vMerge/>
            <w:tcBorders>
              <w:left w:val="single" w:sz="4" w:space="0" w:color="FFC000"/>
              <w:bottom w:val="nil" w:sz="6" w:space="0" w:color="auto"/>
              <w:right w:val="single" w:sz="4" w:space="0" w:color="FFC000"/>
            </w:tcBorders>
            <w:shd w:val="clear" w:color="auto" w:fill="FFF8E6"/>
          </w:tcPr>
          <w:p>
            <w:pPr/>
          </w:p>
        </w:tc>
        <w:tc>
          <w:tcPr>
            <w:tcW w:w="1487"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38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141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34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w:t>
            </w:r>
          </w:p>
        </w:tc>
        <w:tc>
          <w:tcPr>
            <w:tcW w:w="141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34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122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24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w:t>
            </w:r>
          </w:p>
        </w:tc>
      </w:tr>
      <w:tr>
        <w:trPr>
          <w:trHeight w:val="251" w:hRule="exact"/>
        </w:trPr>
        <w:tc>
          <w:tcPr>
            <w:tcW w:w="3831" w:type="dxa"/>
            <w:tcBorders>
              <w:top w:val="nil" w:sz="6" w:space="0" w:color="auto"/>
              <w:left w:val="single" w:sz="4" w:space="0" w:color="FFC000"/>
              <w:bottom w:val="single" w:sz="4" w:space="0" w:color="FFFFFF"/>
              <w:right w:val="single" w:sz="4" w:space="0" w:color="FFC000"/>
            </w:tcBorders>
            <w:shd w:val="clear" w:color="auto" w:fill="FFF8E6"/>
          </w:tcPr>
          <w:p>
            <w:pPr/>
          </w:p>
        </w:tc>
        <w:tc>
          <w:tcPr>
            <w:tcW w:w="1487" w:type="dxa"/>
            <w:vMerge/>
            <w:tcBorders>
              <w:left w:val="single" w:sz="4" w:space="0" w:color="FFC000"/>
              <w:bottom w:val="single" w:sz="4" w:space="0" w:color="FFFFFF"/>
              <w:right w:val="single" w:sz="4" w:space="0" w:color="FFC000"/>
            </w:tcBorders>
            <w:shd w:val="clear" w:color="auto" w:fill="FFF8E6"/>
          </w:tcPr>
          <w:p>
            <w:pPr/>
          </w:p>
        </w:tc>
        <w:tc>
          <w:tcPr>
            <w:tcW w:w="1418" w:type="dxa"/>
            <w:vMerge/>
            <w:tcBorders>
              <w:left w:val="single" w:sz="4" w:space="0" w:color="FFC000"/>
              <w:bottom w:val="single" w:sz="4" w:space="0" w:color="FFFFFF"/>
              <w:right w:val="single" w:sz="4" w:space="0" w:color="FFC000"/>
            </w:tcBorders>
            <w:shd w:val="clear" w:color="auto" w:fill="FFF8E6"/>
          </w:tcPr>
          <w:p>
            <w:pPr/>
          </w:p>
        </w:tc>
        <w:tc>
          <w:tcPr>
            <w:tcW w:w="1418" w:type="dxa"/>
            <w:vMerge/>
            <w:tcBorders>
              <w:left w:val="single" w:sz="4" w:space="0" w:color="FFC000"/>
              <w:bottom w:val="single" w:sz="4" w:space="0" w:color="FFFFFF"/>
              <w:right w:val="single" w:sz="4" w:space="0" w:color="FFC000"/>
            </w:tcBorders>
            <w:shd w:val="clear" w:color="auto" w:fill="FFF8E6"/>
          </w:tcPr>
          <w:p>
            <w:pPr/>
          </w:p>
        </w:tc>
        <w:tc>
          <w:tcPr>
            <w:tcW w:w="1222" w:type="dxa"/>
            <w:vMerge/>
            <w:tcBorders>
              <w:left w:val="single" w:sz="4" w:space="0" w:color="FFC000"/>
              <w:bottom w:val="single" w:sz="4" w:space="0" w:color="FFFFFF"/>
              <w:right w:val="single" w:sz="4" w:space="0" w:color="FFC000"/>
            </w:tcBorders>
            <w:shd w:val="clear" w:color="auto" w:fill="FFF8E6"/>
          </w:tcPr>
          <w:p>
            <w:pPr/>
          </w:p>
        </w:tc>
      </w:tr>
      <w:tr>
        <w:trPr>
          <w:trHeight w:val="462" w:hRule="exact"/>
        </w:trPr>
        <w:tc>
          <w:tcPr>
            <w:tcW w:w="3831" w:type="dxa"/>
            <w:tcBorders>
              <w:top w:val="single" w:sz="4" w:space="0" w:color="FFFFFF"/>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应收账款：</w:t>
            </w:r>
          </w:p>
        </w:tc>
        <w:tc>
          <w:tcPr>
            <w:tcW w:w="1487" w:type="dxa"/>
            <w:tcBorders>
              <w:top w:val="single" w:sz="4" w:space="0" w:color="FFFFFF"/>
              <w:left w:val="single" w:sz="4" w:space="0" w:color="FFC000"/>
              <w:bottom w:val="single" w:sz="4" w:space="0" w:color="FFC000"/>
              <w:right w:val="single" w:sz="4" w:space="0" w:color="FFC000"/>
            </w:tcBorders>
            <w:shd w:val="clear" w:color="auto" w:fill="FFF8E6"/>
          </w:tcPr>
          <w:p>
            <w:pPr/>
          </w:p>
        </w:tc>
        <w:tc>
          <w:tcPr>
            <w:tcW w:w="1418" w:type="dxa"/>
            <w:tcBorders>
              <w:top w:val="single" w:sz="4" w:space="0" w:color="FFFFFF"/>
              <w:left w:val="single" w:sz="4" w:space="0" w:color="FFC000"/>
              <w:bottom w:val="single" w:sz="4" w:space="0" w:color="FFC000"/>
              <w:right w:val="single" w:sz="4" w:space="0" w:color="FFC000"/>
            </w:tcBorders>
            <w:shd w:val="clear" w:color="auto" w:fill="FFF8E6"/>
          </w:tcPr>
          <w:p>
            <w:pPr/>
          </w:p>
        </w:tc>
        <w:tc>
          <w:tcPr>
            <w:tcW w:w="1418" w:type="dxa"/>
            <w:tcBorders>
              <w:top w:val="single" w:sz="4" w:space="0" w:color="FFFFFF"/>
              <w:left w:val="single" w:sz="4" w:space="0" w:color="FFC000"/>
              <w:bottom w:val="single" w:sz="4" w:space="0" w:color="FFC000"/>
              <w:right w:val="single" w:sz="4" w:space="0" w:color="FFC000"/>
            </w:tcBorders>
            <w:shd w:val="clear" w:color="auto" w:fill="FFF8E6"/>
          </w:tcPr>
          <w:p>
            <w:pPr/>
          </w:p>
        </w:tc>
        <w:tc>
          <w:tcPr>
            <w:tcW w:w="1222" w:type="dxa"/>
            <w:tcBorders>
              <w:top w:val="single" w:sz="4" w:space="0" w:color="FFFFFF"/>
              <w:left w:val="single" w:sz="4" w:space="0" w:color="FFC000"/>
              <w:bottom w:val="single" w:sz="4" w:space="0" w:color="FFC000"/>
              <w:right w:val="single" w:sz="4" w:space="0" w:color="FFC000"/>
            </w:tcBorders>
            <w:shd w:val="clear" w:color="auto" w:fill="FFF8E6"/>
          </w:tcPr>
          <w:p>
            <w:pPr/>
          </w:p>
        </w:tc>
      </w:tr>
      <w:tr>
        <w:trPr>
          <w:trHeight w:val="518" w:hRule="exact"/>
        </w:trPr>
        <w:tc>
          <w:tcPr>
            <w:tcW w:w="38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
              <w:ind w:right="0"/>
              <w:jc w:val="left"/>
              <w:rPr>
                <w:rFonts w:ascii="华文细黑" w:hAnsi="华文细黑" w:cs="华文细黑" w:eastAsia="华文细黑" w:hint="default"/>
                <w:sz w:val="12"/>
                <w:szCs w:val="12"/>
              </w:rPr>
            </w:pPr>
          </w:p>
          <w:p>
            <w:pPr>
              <w:pStyle w:val="TableParagraph"/>
              <w:spacing w:line="240" w:lineRule="auto"/>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深圳市神州通油茶营销有限公司</w:t>
            </w:r>
          </w:p>
        </w:tc>
        <w:tc>
          <w:tcPr>
            <w:tcW w:w="1487" w:type="dxa"/>
            <w:tcBorders>
              <w:top w:val="single" w:sz="26" w:space="0" w:color="FFF8E6"/>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50,000.00</w:t>
            </w:r>
          </w:p>
        </w:tc>
        <w:tc>
          <w:tcPr>
            <w:tcW w:w="1418" w:type="dxa"/>
            <w:tcBorders>
              <w:top w:val="single" w:sz="26" w:space="0" w:color="FFF8E6"/>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418" w:type="dxa"/>
            <w:tcBorders>
              <w:top w:val="single" w:sz="26" w:space="0" w:color="FFF8E6"/>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w:t>
            </w:r>
          </w:p>
        </w:tc>
        <w:tc>
          <w:tcPr>
            <w:tcW w:w="1222" w:type="dxa"/>
            <w:tcBorders>
              <w:top w:val="single" w:sz="26" w:space="0" w:color="FFF8E6"/>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38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2"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148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50,000.00</w:t>
            </w:r>
            <w:r>
              <w:rPr>
                <w:rFonts w:ascii="华文细黑"/>
                <w:sz w:val="18"/>
              </w:rPr>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c>
          <w:tcPr>
            <w:tcW w:w="12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r>
      <w:tr>
        <w:trPr>
          <w:trHeight w:val="490" w:hRule="exact"/>
        </w:trPr>
        <w:tc>
          <w:tcPr>
            <w:tcW w:w="38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发放贷款及垫款：</w:t>
            </w:r>
          </w:p>
        </w:tc>
        <w:tc>
          <w:tcPr>
            <w:tcW w:w="1487"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418"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418"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222"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0" w:hRule="exact"/>
        </w:trPr>
        <w:tc>
          <w:tcPr>
            <w:tcW w:w="38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先锋智道（北京）科技有限公司</w:t>
            </w:r>
          </w:p>
        </w:tc>
        <w:tc>
          <w:tcPr>
            <w:tcW w:w="148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10,000,000.00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150,000.00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10,000,000.00</w:t>
            </w:r>
          </w:p>
        </w:tc>
        <w:tc>
          <w:tcPr>
            <w:tcW w:w="12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w w:val="95"/>
                <w:sz w:val="18"/>
              </w:rPr>
              <w:t>150,000.00</w:t>
            </w:r>
          </w:p>
        </w:tc>
      </w:tr>
      <w:tr>
        <w:trPr>
          <w:trHeight w:val="490" w:hRule="exact"/>
        </w:trPr>
        <w:tc>
          <w:tcPr>
            <w:tcW w:w="38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店商互联（北京）科技发展有限公司</w:t>
            </w:r>
          </w:p>
        </w:tc>
        <w:tc>
          <w:tcPr>
            <w:tcW w:w="148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7,268,320.00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7,268,320.00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9,973,755.60</w:t>
            </w:r>
          </w:p>
        </w:tc>
        <w:tc>
          <w:tcPr>
            <w:tcW w:w="12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w w:val="95"/>
                <w:sz w:val="18"/>
              </w:rPr>
              <w:t>149,606.33</w:t>
            </w:r>
          </w:p>
        </w:tc>
      </w:tr>
      <w:tr>
        <w:trPr>
          <w:trHeight w:val="490" w:hRule="exact"/>
        </w:trPr>
        <w:tc>
          <w:tcPr>
            <w:tcW w:w="38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上海驿圆股权投资基金有限公司</w:t>
            </w:r>
          </w:p>
        </w:tc>
        <w:tc>
          <w:tcPr>
            <w:tcW w:w="148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10,000,000.00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3,000,000.00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10,000,000.00</w:t>
            </w:r>
          </w:p>
        </w:tc>
        <w:tc>
          <w:tcPr>
            <w:tcW w:w="12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w w:val="95"/>
                <w:sz w:val="18"/>
              </w:rPr>
              <w:t>150,000.00</w:t>
            </w:r>
          </w:p>
        </w:tc>
      </w:tr>
      <w:tr>
        <w:trPr>
          <w:trHeight w:val="491" w:hRule="exact"/>
        </w:trPr>
        <w:tc>
          <w:tcPr>
            <w:tcW w:w="38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深圳百禾商业保理有限公司</w:t>
            </w:r>
          </w:p>
        </w:tc>
        <w:tc>
          <w:tcPr>
            <w:tcW w:w="148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10,000,000.00</w:t>
            </w:r>
          </w:p>
        </w:tc>
        <w:tc>
          <w:tcPr>
            <w:tcW w:w="12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w w:val="95"/>
                <w:sz w:val="18"/>
              </w:rPr>
              <w:t>150,000.00</w:t>
            </w:r>
          </w:p>
        </w:tc>
      </w:tr>
      <w:tr>
        <w:trPr>
          <w:trHeight w:val="490" w:hRule="exact"/>
        </w:trPr>
        <w:tc>
          <w:tcPr>
            <w:tcW w:w="38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2"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148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b/>
                <w:w w:val="95"/>
                <w:sz w:val="18"/>
              </w:rPr>
              <w:t>27,268,320.00</w:t>
            </w:r>
            <w:r>
              <w:rPr>
                <w:rFonts w:ascii="华文细黑"/>
                <w:sz w:val="18"/>
              </w:rPr>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b/>
                <w:w w:val="95"/>
                <w:sz w:val="18"/>
              </w:rPr>
              <w:t>10,418,320.00</w:t>
            </w:r>
            <w:r>
              <w:rPr>
                <w:rFonts w:ascii="华文细黑"/>
                <w:sz w:val="18"/>
              </w:rPr>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39,973,755.60</w:t>
            </w:r>
            <w:r>
              <w:rPr>
                <w:rFonts w:ascii="华文细黑"/>
                <w:sz w:val="18"/>
              </w:rPr>
            </w:r>
          </w:p>
        </w:tc>
        <w:tc>
          <w:tcPr>
            <w:tcW w:w="12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599,606.33</w:t>
            </w:r>
            <w:r>
              <w:rPr>
                <w:rFonts w:ascii="华文细黑"/>
                <w:sz w:val="18"/>
              </w:rPr>
            </w:r>
          </w:p>
        </w:tc>
      </w:tr>
      <w:tr>
        <w:trPr>
          <w:trHeight w:val="490" w:hRule="exact"/>
        </w:trPr>
        <w:tc>
          <w:tcPr>
            <w:tcW w:w="383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应收利息：</w:t>
            </w:r>
          </w:p>
        </w:tc>
        <w:tc>
          <w:tcPr>
            <w:tcW w:w="1487"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418"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418"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1222" w:type="dxa"/>
            <w:tcBorders>
              <w:top w:val="single" w:sz="4" w:space="0" w:color="FFC000"/>
              <w:left w:val="single" w:sz="4" w:space="0" w:color="FFC000"/>
              <w:bottom w:val="single" w:sz="4" w:space="0" w:color="FFC000"/>
              <w:right w:val="single" w:sz="4" w:space="0" w:color="FFC000"/>
            </w:tcBorders>
            <w:shd w:val="clear" w:color="auto" w:fill="FFF8E6"/>
          </w:tcPr>
          <w:p>
            <w:pPr/>
          </w:p>
        </w:tc>
      </w:tr>
    </w:tbl>
    <w:p>
      <w:pPr>
        <w:spacing w:after="0"/>
        <w:sectPr>
          <w:pgSz w:w="11910" w:h="16840"/>
          <w:pgMar w:header="917" w:footer="1019" w:top="1100" w:bottom="1200" w:left="1200" w:right="0"/>
        </w:sectPr>
      </w:pPr>
    </w:p>
    <w:p>
      <w:pPr>
        <w:spacing w:line="240" w:lineRule="auto" w:before="8"/>
        <w:rPr>
          <w:rFonts w:ascii="华文细黑" w:hAnsi="华文细黑" w:cs="华文细黑" w:eastAsia="华文细黑" w:hint="default"/>
          <w:sz w:val="23"/>
          <w:szCs w:val="23"/>
        </w:rPr>
      </w:pPr>
    </w:p>
    <w:tbl>
      <w:tblPr>
        <w:tblW w:w="0" w:type="auto"/>
        <w:jc w:val="left"/>
        <w:tblInd w:w="105" w:type="dxa"/>
        <w:tblLayout w:type="fixed"/>
        <w:tblCellMar>
          <w:top w:w="0" w:type="dxa"/>
          <w:left w:w="0" w:type="dxa"/>
          <w:bottom w:w="0" w:type="dxa"/>
          <w:right w:w="0" w:type="dxa"/>
        </w:tblCellMar>
        <w:tblLook w:val="01E0"/>
      </w:tblPr>
      <w:tblGrid>
        <w:gridCol w:w="3837"/>
        <w:gridCol w:w="1482"/>
        <w:gridCol w:w="1418"/>
        <w:gridCol w:w="1418"/>
        <w:gridCol w:w="1222"/>
      </w:tblGrid>
      <w:tr>
        <w:trPr>
          <w:trHeight w:val="251" w:hRule="exact"/>
        </w:trPr>
        <w:tc>
          <w:tcPr>
            <w:tcW w:w="3837" w:type="dxa"/>
            <w:tcBorders>
              <w:top w:val="single" w:sz="4" w:space="0" w:color="FFC000"/>
              <w:left w:val="single" w:sz="4" w:space="0" w:color="FFC000"/>
              <w:bottom w:val="nil" w:sz="6" w:space="0" w:color="auto"/>
              <w:right w:val="single" w:sz="4" w:space="0" w:color="FFC000"/>
            </w:tcBorders>
            <w:shd w:val="clear" w:color="auto" w:fill="FFF8E6"/>
          </w:tcPr>
          <w:p>
            <w:pPr/>
          </w:p>
        </w:tc>
        <w:tc>
          <w:tcPr>
            <w:tcW w:w="2900"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10"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639"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239" w:hRule="exact"/>
        </w:trPr>
        <w:tc>
          <w:tcPr>
            <w:tcW w:w="3837"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项目名称</w:t>
            </w:r>
          </w:p>
        </w:tc>
        <w:tc>
          <w:tcPr>
            <w:tcW w:w="2900" w:type="dxa"/>
            <w:gridSpan w:val="2"/>
            <w:vMerge/>
            <w:tcBorders>
              <w:left w:val="single" w:sz="4" w:space="0" w:color="FFC000"/>
              <w:bottom w:val="single" w:sz="4" w:space="0" w:color="FFC000"/>
              <w:right w:val="single" w:sz="4" w:space="0" w:color="FFC000"/>
            </w:tcBorders>
            <w:shd w:val="clear" w:color="auto" w:fill="FFF8E6"/>
          </w:tcPr>
          <w:p>
            <w:pPr/>
          </w:p>
        </w:tc>
        <w:tc>
          <w:tcPr>
            <w:tcW w:w="2639" w:type="dxa"/>
            <w:gridSpan w:val="2"/>
            <w:vMerge/>
            <w:tcBorders>
              <w:left w:val="single" w:sz="4" w:space="0" w:color="FFC000"/>
              <w:bottom w:val="single" w:sz="4" w:space="0" w:color="FFC000"/>
              <w:right w:val="single" w:sz="4" w:space="0" w:color="FFC000"/>
            </w:tcBorders>
            <w:shd w:val="clear" w:color="auto" w:fill="FFF8E6"/>
          </w:tcPr>
          <w:p>
            <w:pPr/>
          </w:p>
        </w:tc>
      </w:tr>
      <w:tr>
        <w:trPr>
          <w:trHeight w:val="241" w:hRule="exact"/>
        </w:trPr>
        <w:tc>
          <w:tcPr>
            <w:tcW w:w="3837" w:type="dxa"/>
            <w:vMerge/>
            <w:tcBorders>
              <w:left w:val="single" w:sz="4" w:space="0" w:color="FFC000"/>
              <w:bottom w:val="nil" w:sz="6" w:space="0" w:color="auto"/>
              <w:right w:val="single" w:sz="4" w:space="0" w:color="FFC000"/>
            </w:tcBorders>
            <w:shd w:val="clear" w:color="auto" w:fill="FFF8E6"/>
          </w:tcPr>
          <w:p>
            <w:pPr/>
          </w:p>
        </w:tc>
        <w:tc>
          <w:tcPr>
            <w:tcW w:w="148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38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141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34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w:t>
            </w:r>
          </w:p>
        </w:tc>
        <w:tc>
          <w:tcPr>
            <w:tcW w:w="141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34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122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24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w:t>
            </w:r>
          </w:p>
        </w:tc>
      </w:tr>
      <w:tr>
        <w:trPr>
          <w:trHeight w:val="250" w:hRule="exact"/>
        </w:trPr>
        <w:tc>
          <w:tcPr>
            <w:tcW w:w="3837" w:type="dxa"/>
            <w:tcBorders>
              <w:top w:val="nil" w:sz="6" w:space="0" w:color="auto"/>
              <w:left w:val="single" w:sz="4" w:space="0" w:color="FFC000"/>
              <w:bottom w:val="single" w:sz="4" w:space="0" w:color="FFC000"/>
              <w:right w:val="single" w:sz="4" w:space="0" w:color="FFC000"/>
            </w:tcBorders>
            <w:shd w:val="clear" w:color="auto" w:fill="FFF8E6"/>
          </w:tcPr>
          <w:p>
            <w:pPr/>
          </w:p>
        </w:tc>
        <w:tc>
          <w:tcPr>
            <w:tcW w:w="1482" w:type="dxa"/>
            <w:vMerge/>
            <w:tcBorders>
              <w:left w:val="single" w:sz="4" w:space="0" w:color="FFC000"/>
              <w:bottom w:val="single" w:sz="4" w:space="0" w:color="FFC000"/>
              <w:right w:val="single" w:sz="4" w:space="0" w:color="FFC000"/>
            </w:tcBorders>
            <w:shd w:val="clear" w:color="auto" w:fill="FFF8E6"/>
          </w:tcPr>
          <w:p>
            <w:pPr/>
          </w:p>
        </w:tc>
        <w:tc>
          <w:tcPr>
            <w:tcW w:w="1418" w:type="dxa"/>
            <w:vMerge/>
            <w:tcBorders>
              <w:left w:val="single" w:sz="4" w:space="0" w:color="FFC000"/>
              <w:bottom w:val="single" w:sz="4" w:space="0" w:color="FFC000"/>
              <w:right w:val="single" w:sz="4" w:space="0" w:color="FFC000"/>
            </w:tcBorders>
            <w:shd w:val="clear" w:color="auto" w:fill="FFF8E6"/>
          </w:tcPr>
          <w:p>
            <w:pPr/>
          </w:p>
        </w:tc>
        <w:tc>
          <w:tcPr>
            <w:tcW w:w="1418" w:type="dxa"/>
            <w:vMerge/>
            <w:tcBorders>
              <w:left w:val="single" w:sz="4" w:space="0" w:color="FFC000"/>
              <w:bottom w:val="single" w:sz="4" w:space="0" w:color="FFC000"/>
              <w:right w:val="single" w:sz="4" w:space="0" w:color="FFC000"/>
            </w:tcBorders>
            <w:shd w:val="clear" w:color="auto" w:fill="FFF8E6"/>
          </w:tcPr>
          <w:p>
            <w:pPr/>
          </w:p>
        </w:tc>
        <w:tc>
          <w:tcPr>
            <w:tcW w:w="1222"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383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先锋智道（北京）科技有限公司</w:t>
            </w:r>
          </w:p>
        </w:tc>
        <w:tc>
          <w:tcPr>
            <w:tcW w:w="148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54,166.67</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41,666.67</w:t>
            </w:r>
          </w:p>
        </w:tc>
        <w:tc>
          <w:tcPr>
            <w:tcW w:w="12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383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店商互联（北京）科技发展有限公司</w:t>
            </w:r>
          </w:p>
        </w:tc>
        <w:tc>
          <w:tcPr>
            <w:tcW w:w="148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218,049.60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218,049.60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87,257.50</w:t>
            </w:r>
          </w:p>
        </w:tc>
        <w:tc>
          <w:tcPr>
            <w:tcW w:w="12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383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上海驿圆股权投资基金有限公司</w:t>
            </w:r>
          </w:p>
        </w:tc>
        <w:tc>
          <w:tcPr>
            <w:tcW w:w="148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pacing w:val="-1"/>
                <w:sz w:val="18"/>
              </w:rPr>
              <w:t>33,333.33</w:t>
            </w:r>
          </w:p>
        </w:tc>
        <w:tc>
          <w:tcPr>
            <w:tcW w:w="12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383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深圳百禾商业保理有限公司</w:t>
            </w:r>
          </w:p>
        </w:tc>
        <w:tc>
          <w:tcPr>
            <w:tcW w:w="148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41,666.67</w:t>
            </w:r>
          </w:p>
        </w:tc>
        <w:tc>
          <w:tcPr>
            <w:tcW w:w="12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383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148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272,216.27</w:t>
            </w:r>
            <w:r>
              <w:rPr>
                <w:rFonts w:ascii="华文细黑"/>
                <w:sz w:val="18"/>
              </w:rPr>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218,049.60</w:t>
            </w:r>
            <w:r>
              <w:rPr>
                <w:rFonts w:ascii="华文细黑"/>
                <w:sz w:val="18"/>
              </w:rPr>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203,924.17</w:t>
            </w:r>
            <w:r>
              <w:rPr>
                <w:rFonts w:ascii="华文细黑"/>
                <w:sz w:val="18"/>
              </w:rPr>
            </w:r>
          </w:p>
        </w:tc>
        <w:tc>
          <w:tcPr>
            <w:tcW w:w="12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722" w:right="1246"/>
        <w:jc w:val="left"/>
      </w:pPr>
      <w:r>
        <w:rPr/>
        <w:t>（</w:t>
      </w:r>
      <w:r>
        <w:rPr>
          <w:rFonts w:ascii="华文细黑" w:hAnsi="华文细黑" w:cs="华文细黑" w:eastAsia="华文细黑" w:hint="default"/>
        </w:rPr>
        <w:t>2</w:t>
      </w:r>
      <w:r>
        <w:rPr/>
        <w:t>）应付项目</w:t>
      </w:r>
    </w:p>
    <w:p>
      <w:pPr>
        <w:spacing w:line="240" w:lineRule="auto" w:before="5"/>
        <w:rPr>
          <w:rFonts w:ascii="华文细黑" w:hAnsi="华文细黑" w:cs="华文细黑" w:eastAsia="华文细黑" w:hint="default"/>
          <w:sz w:val="5"/>
          <w:szCs w:val="5"/>
        </w:rPr>
      </w:pPr>
    </w:p>
    <w:tbl>
      <w:tblPr>
        <w:tblW w:w="0" w:type="auto"/>
        <w:jc w:val="left"/>
        <w:tblInd w:w="105" w:type="dxa"/>
        <w:tblLayout w:type="fixed"/>
        <w:tblCellMar>
          <w:top w:w="0" w:type="dxa"/>
          <w:left w:w="0" w:type="dxa"/>
          <w:bottom w:w="0" w:type="dxa"/>
          <w:right w:w="0" w:type="dxa"/>
        </w:tblCellMar>
        <w:tblLook w:val="01E0"/>
      </w:tblPr>
      <w:tblGrid>
        <w:gridCol w:w="3919"/>
        <w:gridCol w:w="2623"/>
        <w:gridCol w:w="2834"/>
      </w:tblGrid>
      <w:tr>
        <w:trPr>
          <w:trHeight w:val="490" w:hRule="exact"/>
        </w:trPr>
        <w:tc>
          <w:tcPr>
            <w:tcW w:w="3919" w:type="dxa"/>
            <w:tcBorders>
              <w:top w:val="single" w:sz="4" w:space="0" w:color="FFC000"/>
              <w:left w:val="single" w:sz="4" w:space="0" w:color="FFC000"/>
              <w:bottom w:val="single" w:sz="4" w:space="0" w:color="FFFFFF"/>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项目名称</w:t>
            </w:r>
          </w:p>
        </w:tc>
        <w:tc>
          <w:tcPr>
            <w:tcW w:w="2623" w:type="dxa"/>
            <w:tcBorders>
              <w:top w:val="single" w:sz="4" w:space="0" w:color="FFC000"/>
              <w:left w:val="single" w:sz="4" w:space="0" w:color="FFC000"/>
              <w:bottom w:val="single" w:sz="4" w:space="0" w:color="FFFFFF"/>
              <w:right w:val="single" w:sz="4" w:space="0" w:color="FFC000"/>
            </w:tcBorders>
            <w:shd w:val="clear" w:color="auto" w:fill="FFF8E6"/>
          </w:tcPr>
          <w:p>
            <w:pPr>
              <w:pStyle w:val="TableParagraph"/>
              <w:spacing w:line="240" w:lineRule="auto" w:before="144"/>
              <w:ind w:left="9"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834" w:type="dxa"/>
            <w:tcBorders>
              <w:top w:val="single" w:sz="4" w:space="0" w:color="FFC000"/>
              <w:left w:val="single" w:sz="4" w:space="0" w:color="FFC000"/>
              <w:bottom w:val="single" w:sz="4" w:space="0" w:color="FFFFFF"/>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63" w:hRule="exact"/>
        </w:trPr>
        <w:tc>
          <w:tcPr>
            <w:tcW w:w="3919" w:type="dxa"/>
            <w:tcBorders>
              <w:top w:val="single" w:sz="4" w:space="0" w:color="FFFFFF"/>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应付账款：</w:t>
            </w:r>
          </w:p>
        </w:tc>
        <w:tc>
          <w:tcPr>
            <w:tcW w:w="2623" w:type="dxa"/>
            <w:tcBorders>
              <w:top w:val="single" w:sz="4" w:space="0" w:color="FFFFFF"/>
              <w:left w:val="single" w:sz="4" w:space="0" w:color="FFC000"/>
              <w:bottom w:val="single" w:sz="4" w:space="0" w:color="FFC000"/>
              <w:right w:val="single" w:sz="4" w:space="0" w:color="FFC000"/>
            </w:tcBorders>
            <w:shd w:val="clear" w:color="auto" w:fill="FFF8E6"/>
          </w:tcPr>
          <w:p>
            <w:pPr/>
          </w:p>
        </w:tc>
        <w:tc>
          <w:tcPr>
            <w:tcW w:w="2834" w:type="dxa"/>
            <w:tcBorders>
              <w:top w:val="single" w:sz="4" w:space="0" w:color="FFFFFF"/>
              <w:left w:val="single" w:sz="4" w:space="0" w:color="FFC000"/>
              <w:bottom w:val="single" w:sz="4" w:space="0" w:color="FFC000"/>
              <w:right w:val="single" w:sz="4" w:space="0" w:color="FFC000"/>
            </w:tcBorders>
            <w:shd w:val="clear" w:color="auto" w:fill="FFF8E6"/>
          </w:tcPr>
          <w:p>
            <w:pPr/>
          </w:p>
        </w:tc>
      </w:tr>
      <w:tr>
        <w:trPr>
          <w:trHeight w:val="518" w:hRule="exact"/>
        </w:trPr>
        <w:tc>
          <w:tcPr>
            <w:tcW w:w="391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
              <w:ind w:right="0"/>
              <w:jc w:val="left"/>
              <w:rPr>
                <w:rFonts w:ascii="华文细黑" w:hAnsi="华文细黑" w:cs="华文细黑" w:eastAsia="华文细黑" w:hint="default"/>
                <w:sz w:val="12"/>
                <w:szCs w:val="12"/>
              </w:rPr>
            </w:pPr>
          </w:p>
          <w:p>
            <w:pPr>
              <w:pStyle w:val="TableParagraph"/>
              <w:spacing w:line="240" w:lineRule="auto"/>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上海酷武供应链管理股份有限公司</w:t>
            </w:r>
          </w:p>
        </w:tc>
        <w:tc>
          <w:tcPr>
            <w:tcW w:w="2623" w:type="dxa"/>
            <w:tcBorders>
              <w:top w:val="single" w:sz="25" w:space="0" w:color="FFF8E6"/>
              <w:left w:val="single" w:sz="10"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1,141,362.39</w:t>
            </w:r>
          </w:p>
        </w:tc>
        <w:tc>
          <w:tcPr>
            <w:tcW w:w="2834" w:type="dxa"/>
            <w:tcBorders>
              <w:top w:val="single" w:sz="25" w:space="0" w:color="FFF8E6"/>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364,383.78</w:t>
            </w:r>
          </w:p>
        </w:tc>
      </w:tr>
      <w:tr>
        <w:trPr>
          <w:trHeight w:val="490" w:hRule="exact"/>
        </w:trPr>
        <w:tc>
          <w:tcPr>
            <w:tcW w:w="391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623"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1,141,362.39</w:t>
            </w:r>
            <w:r>
              <w:rPr>
                <w:rFonts w:ascii="华文细黑"/>
                <w:sz w:val="18"/>
              </w:rPr>
            </w:r>
          </w:p>
        </w:tc>
        <w:tc>
          <w:tcPr>
            <w:tcW w:w="28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364,383.78</w:t>
            </w:r>
            <w:r>
              <w:rPr>
                <w:rFonts w:ascii="华文细黑"/>
                <w:sz w:val="18"/>
              </w:rPr>
            </w:r>
          </w:p>
        </w:tc>
      </w:tr>
    </w:tbl>
    <w:p>
      <w:pPr>
        <w:pStyle w:val="Heading4"/>
        <w:spacing w:line="240" w:lineRule="auto" w:before="31"/>
        <w:ind w:left="720" w:right="1246"/>
        <w:jc w:val="left"/>
        <w:rPr>
          <w:b w:val="0"/>
          <w:bCs w:val="0"/>
        </w:rPr>
      </w:pPr>
      <w:bookmarkStart w:name="十二、承诺及或有事项" w:id="341"/>
      <w:bookmarkEnd w:id="341"/>
      <w:r>
        <w:rPr>
          <w:b w:val="0"/>
          <w:bCs w:val="0"/>
        </w:rPr>
      </w:r>
      <w:r>
        <w:rPr/>
        <w:t>十二、承诺及或有事项</w:t>
      </w:r>
      <w:r>
        <w:rPr>
          <w:b w:val="0"/>
          <w:bCs w:val="0"/>
        </w:rPr>
      </w:r>
    </w:p>
    <w:p>
      <w:pPr>
        <w:pStyle w:val="Heading5"/>
        <w:spacing w:line="240" w:lineRule="auto" w:before="139"/>
        <w:ind w:left="779" w:right="1246"/>
        <w:jc w:val="left"/>
        <w:rPr>
          <w:b w:val="0"/>
          <w:bCs w:val="0"/>
        </w:rPr>
      </w:pPr>
      <w:bookmarkStart w:name="1、重大承诺事项" w:id="342"/>
      <w:bookmarkEnd w:id="342"/>
      <w:r>
        <w:rPr>
          <w:b w:val="0"/>
          <w:bCs w:val="0"/>
        </w:rPr>
      </w:r>
      <w:r>
        <w:rPr>
          <w:rFonts w:ascii="华文细黑" w:hAnsi="华文细黑" w:cs="华文细黑" w:eastAsia="华文细黑" w:hint="default"/>
        </w:rPr>
        <w:t>1</w:t>
      </w:r>
      <w:r>
        <w:rPr/>
        <w:t>、重大承诺事项</w:t>
      </w:r>
      <w:r>
        <w:rPr>
          <w:b w:val="0"/>
          <w:bCs w:val="0"/>
        </w:rPr>
      </w:r>
    </w:p>
    <w:p>
      <w:pPr>
        <w:pStyle w:val="BodyText"/>
        <w:spacing w:line="240" w:lineRule="auto" w:before="143"/>
        <w:ind w:left="779" w:right="1246"/>
        <w:jc w:val="left"/>
      </w:pPr>
      <w:r>
        <w:rPr/>
        <w:t>（</w:t>
      </w:r>
      <w:r>
        <w:rPr>
          <w:rFonts w:ascii="华文细黑" w:hAnsi="华文细黑" w:cs="华文细黑" w:eastAsia="华文细黑" w:hint="default"/>
        </w:rPr>
        <w:t>1</w:t>
      </w:r>
      <w:r>
        <w:rPr/>
        <w:t>）资本承诺</w:t>
      </w:r>
    </w:p>
    <w:p>
      <w:pPr>
        <w:spacing w:line="240" w:lineRule="auto" w:before="5"/>
        <w:rPr>
          <w:rFonts w:ascii="华文细黑" w:hAnsi="华文细黑" w:cs="华文细黑" w:eastAsia="华文细黑" w:hint="default"/>
          <w:sz w:val="5"/>
          <w:szCs w:val="5"/>
        </w:rPr>
      </w:pPr>
    </w:p>
    <w:tbl>
      <w:tblPr>
        <w:tblW w:w="0" w:type="auto"/>
        <w:jc w:val="left"/>
        <w:tblInd w:w="154" w:type="dxa"/>
        <w:tblLayout w:type="fixed"/>
        <w:tblCellMar>
          <w:top w:w="0" w:type="dxa"/>
          <w:left w:w="0" w:type="dxa"/>
          <w:bottom w:w="0" w:type="dxa"/>
          <w:right w:w="0" w:type="dxa"/>
        </w:tblCellMar>
        <w:tblLook w:val="01E0"/>
      </w:tblPr>
      <w:tblGrid>
        <w:gridCol w:w="4246"/>
        <w:gridCol w:w="2384"/>
        <w:gridCol w:w="2568"/>
      </w:tblGrid>
      <w:tr>
        <w:trPr>
          <w:trHeight w:val="491" w:hRule="exact"/>
        </w:trPr>
        <w:tc>
          <w:tcPr>
            <w:tcW w:w="424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23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5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0" w:hRule="exact"/>
        </w:trPr>
        <w:tc>
          <w:tcPr>
            <w:tcW w:w="424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已签约但尚未于财务报表中确认的</w:t>
            </w:r>
          </w:p>
        </w:tc>
        <w:tc>
          <w:tcPr>
            <w:tcW w:w="2384"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568"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0" w:hRule="exact"/>
        </w:trPr>
        <w:tc>
          <w:tcPr>
            <w:tcW w:w="424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—对外投资承诺</w:t>
            </w:r>
          </w:p>
        </w:tc>
        <w:tc>
          <w:tcPr>
            <w:tcW w:w="238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126"/>
              <w:jc w:val="right"/>
              <w:rPr>
                <w:rFonts w:ascii="华文细黑" w:hAnsi="华文细黑" w:cs="华文细黑" w:eastAsia="华文细黑" w:hint="default"/>
                <w:sz w:val="18"/>
                <w:szCs w:val="18"/>
              </w:rPr>
            </w:pPr>
            <w:r>
              <w:rPr>
                <w:rFonts w:ascii="华文细黑"/>
                <w:sz w:val="18"/>
              </w:rPr>
              <w:t>22,000,000.00</w:t>
            </w:r>
          </w:p>
        </w:tc>
        <w:tc>
          <w:tcPr>
            <w:tcW w:w="25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25"/>
              <w:jc w:val="right"/>
              <w:rPr>
                <w:rFonts w:ascii="华文细黑" w:hAnsi="华文细黑" w:cs="华文细黑" w:eastAsia="华文细黑" w:hint="default"/>
                <w:sz w:val="18"/>
                <w:szCs w:val="18"/>
              </w:rPr>
            </w:pPr>
            <w:r>
              <w:rPr>
                <w:rFonts w:ascii="华文细黑"/>
                <w:sz w:val="18"/>
              </w:rPr>
              <w:t>22,000,000.00</w:t>
            </w:r>
          </w:p>
        </w:tc>
      </w:tr>
      <w:tr>
        <w:trPr>
          <w:trHeight w:val="490" w:hRule="exact"/>
        </w:trPr>
        <w:tc>
          <w:tcPr>
            <w:tcW w:w="424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38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126"/>
              <w:jc w:val="right"/>
              <w:rPr>
                <w:rFonts w:ascii="华文细黑" w:hAnsi="华文细黑" w:cs="华文细黑" w:eastAsia="华文细黑" w:hint="default"/>
                <w:sz w:val="18"/>
                <w:szCs w:val="18"/>
              </w:rPr>
            </w:pPr>
            <w:r>
              <w:rPr>
                <w:rFonts w:ascii="华文细黑"/>
                <w:b/>
                <w:w w:val="95"/>
                <w:sz w:val="18"/>
              </w:rPr>
              <w:t>22,000,000.00</w:t>
            </w:r>
            <w:r>
              <w:rPr>
                <w:rFonts w:ascii="华文细黑"/>
                <w:sz w:val="18"/>
              </w:rPr>
            </w:r>
          </w:p>
        </w:tc>
        <w:tc>
          <w:tcPr>
            <w:tcW w:w="25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25"/>
              <w:jc w:val="right"/>
              <w:rPr>
                <w:rFonts w:ascii="华文细黑" w:hAnsi="华文细黑" w:cs="华文细黑" w:eastAsia="华文细黑" w:hint="default"/>
                <w:sz w:val="18"/>
                <w:szCs w:val="18"/>
              </w:rPr>
            </w:pPr>
            <w:r>
              <w:rPr>
                <w:rFonts w:ascii="华文细黑"/>
                <w:b/>
                <w:w w:val="95"/>
                <w:sz w:val="18"/>
              </w:rPr>
              <w:t>22,000,000.00</w:t>
            </w:r>
            <w:r>
              <w:rPr>
                <w:rFonts w:ascii="华文细黑"/>
                <w:sz w:val="18"/>
              </w:rPr>
            </w:r>
          </w:p>
        </w:tc>
      </w:tr>
    </w:tbl>
    <w:p>
      <w:pPr>
        <w:spacing w:line="240" w:lineRule="auto" w:before="12"/>
        <w:rPr>
          <w:rFonts w:ascii="华文细黑" w:hAnsi="华文细黑" w:cs="华文细黑" w:eastAsia="华文细黑" w:hint="default"/>
          <w:sz w:val="6"/>
          <w:szCs w:val="6"/>
        </w:rPr>
      </w:pPr>
    </w:p>
    <w:p>
      <w:pPr>
        <w:pStyle w:val="BodyText"/>
        <w:spacing w:line="324" w:lineRule="auto" w:before="10"/>
        <w:ind w:left="240" w:right="1437" w:firstLine="514"/>
        <w:jc w:val="both"/>
      </w:pPr>
      <w:r>
        <w:rPr>
          <w:rFonts w:ascii="华文细黑" w:hAnsi="华文细黑" w:cs="华文细黑" w:eastAsia="华文细黑" w:hint="default"/>
        </w:rPr>
        <w:t>2015 </w:t>
      </w:r>
      <w:r>
        <w:rPr/>
        <w:t>年 </w:t>
      </w:r>
      <w:r>
        <w:rPr>
          <w:rFonts w:ascii="华文细黑" w:hAnsi="华文细黑" w:cs="华文细黑" w:eastAsia="华文细黑" w:hint="default"/>
        </w:rPr>
        <w:t>9</w:t>
      </w:r>
      <w:r>
        <w:rPr>
          <w:rFonts w:ascii="华文细黑" w:hAnsi="华文细黑" w:cs="华文细黑" w:eastAsia="华文细黑" w:hint="default"/>
          <w:spacing w:val="11"/>
        </w:rPr>
        <w:t> </w:t>
      </w:r>
      <w:r>
        <w:rPr>
          <w:spacing w:val="-6"/>
        </w:rPr>
        <w:t>月，公司同意作为发起人之一与张礼庆共同设立“国鑫基金管理有限公司”，拟以货</w:t>
      </w:r>
      <w:r>
        <w:rPr/>
        <w:t> 币出资 </w:t>
      </w:r>
      <w:r>
        <w:rPr>
          <w:rFonts w:ascii="华文细黑" w:hAnsi="华文细黑" w:cs="华文细黑" w:eastAsia="华文细黑" w:hint="default"/>
        </w:rPr>
        <w:t>4,000 </w:t>
      </w:r>
      <w:r>
        <w:rPr/>
        <w:t>万元人民币，持股比例 </w:t>
      </w:r>
      <w:r>
        <w:rPr>
          <w:rFonts w:ascii="华文细黑" w:hAnsi="华文细黑" w:cs="华文细黑" w:eastAsia="华文细黑" w:hint="default"/>
        </w:rPr>
        <w:t>40%</w:t>
      </w:r>
      <w:r>
        <w:rPr/>
        <w:t>，占注册资本总额的</w:t>
      </w:r>
      <w:r>
        <w:rPr>
          <w:spacing w:val="-8"/>
        </w:rPr>
        <w:t> </w:t>
      </w:r>
      <w:r>
        <w:rPr>
          <w:rFonts w:ascii="华文细黑" w:hAnsi="华文细黑" w:cs="华文细黑" w:eastAsia="华文细黑" w:hint="default"/>
        </w:rPr>
        <w:t>40%</w:t>
      </w:r>
      <w:r>
        <w:rPr/>
        <w:t>。国鑫基金管理有限公司已于 </w:t>
      </w:r>
      <w:r>
        <w:rPr>
          <w:rFonts w:ascii="华文细黑" w:hAnsi="华文细黑" w:cs="华文细黑" w:eastAsia="华文细黑" w:hint="default"/>
        </w:rPr>
        <w:t>2015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28 </w:t>
      </w:r>
      <w:r>
        <w:rPr>
          <w:rFonts w:ascii="华文细黑" w:hAnsi="华文细黑" w:cs="华文细黑" w:eastAsia="华文细黑" w:hint="default"/>
          <w:spacing w:val="7"/>
        </w:rPr>
        <w:t> </w:t>
      </w:r>
      <w:r>
        <w:rPr/>
        <w:t>日向中国证券监督管理委员会提交了《公募基金管理公司设立、公募基金管理人</w:t>
      </w:r>
    </w:p>
    <w:p>
      <w:pPr>
        <w:pStyle w:val="BodyText"/>
        <w:spacing w:line="324" w:lineRule="auto" w:before="23"/>
        <w:ind w:left="240" w:right="1424"/>
        <w:jc w:val="left"/>
      </w:pPr>
      <w:r>
        <w:rPr>
          <w:spacing w:val="-5"/>
        </w:rPr>
        <w:t>资格审批》的申请材料，申请材料已经接受。截止 </w:t>
      </w:r>
      <w:r>
        <w:rPr>
          <w:rFonts w:ascii="华文细黑" w:hAnsi="华文细黑" w:cs="华文细黑" w:eastAsia="华文细黑" w:hint="default"/>
        </w:rPr>
        <w:t>2018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31 </w:t>
      </w:r>
      <w:r>
        <w:rPr>
          <w:spacing w:val="-4"/>
        </w:rPr>
        <w:t>日，公司已缴纳筹备经费</w:t>
      </w:r>
      <w:r>
        <w:rPr>
          <w:spacing w:val="9"/>
        </w:rPr>
        <w:t> </w:t>
      </w:r>
      <w:r>
        <w:rPr>
          <w:rFonts w:ascii="华文细黑" w:hAnsi="华文细黑" w:cs="华文细黑" w:eastAsia="华文细黑" w:hint="default"/>
        </w:rPr>
        <w:t>1,800 </w:t>
      </w:r>
      <w:r>
        <w:rPr/>
        <w:t>万元。</w:t>
      </w:r>
    </w:p>
    <w:p>
      <w:pPr>
        <w:pStyle w:val="BodyText"/>
        <w:spacing w:line="357" w:lineRule="auto" w:before="63"/>
        <w:ind w:left="660" w:right="3096" w:firstLine="93"/>
        <w:jc w:val="left"/>
      </w:pPr>
      <w:r>
        <w:rPr/>
        <w:pict>
          <v:shape style="position:absolute;margin-left:70.050003pt;margin-top:43.811737pt;width:455.55pt;height:74pt;mso-position-horizontal-relative:page;mso-position-vertical-relative:paragraph;z-index:15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166"/>
                    <w:gridCol w:w="2373"/>
                    <w:gridCol w:w="2557"/>
                  </w:tblGrid>
                  <w:tr>
                    <w:trPr>
                      <w:trHeight w:val="490" w:hRule="exact"/>
                    </w:trPr>
                    <w:tc>
                      <w:tcPr>
                        <w:tcW w:w="416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237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55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9"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0" w:hRule="exact"/>
                    </w:trPr>
                    <w:tc>
                      <w:tcPr>
                        <w:tcW w:w="416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不可撤销经营租赁的最低租赁付款额：</w:t>
                        </w:r>
                      </w:p>
                    </w:tc>
                    <w:tc>
                      <w:tcPr>
                        <w:tcW w:w="2373" w:type="dxa"/>
                        <w:tcBorders>
                          <w:top w:val="single" w:sz="4" w:space="0" w:color="FFC000"/>
                          <w:left w:val="single" w:sz="4" w:space="0" w:color="FFC000"/>
                          <w:bottom w:val="single" w:sz="4" w:space="0" w:color="FFC000"/>
                          <w:right w:val="single" w:sz="4" w:space="0" w:color="FFC000"/>
                        </w:tcBorders>
                        <w:shd w:val="clear" w:color="auto" w:fill="FFF8E6"/>
                      </w:tcPr>
                      <w:p>
                        <w:pPr/>
                      </w:p>
                    </w:tc>
                    <w:tc>
                      <w:tcPr>
                        <w:tcW w:w="2557"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490" w:hRule="exact"/>
                    </w:trPr>
                    <w:tc>
                      <w:tcPr>
                        <w:tcW w:w="416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资产负债表日后第 </w:t>
                        </w:r>
                        <w:r>
                          <w:rPr>
                            <w:rFonts w:ascii="华文细黑" w:hAnsi="华文细黑" w:cs="华文细黑" w:eastAsia="华文细黑" w:hint="default"/>
                            <w:sz w:val="18"/>
                            <w:szCs w:val="18"/>
                          </w:rPr>
                          <w:t>1</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年</w:t>
                        </w:r>
                      </w:p>
                    </w:tc>
                    <w:tc>
                      <w:tcPr>
                        <w:tcW w:w="2373"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left="1075" w:right="0"/>
                          <w:jc w:val="left"/>
                          <w:rPr>
                            <w:rFonts w:ascii="华文细黑" w:hAnsi="华文细黑" w:cs="华文细黑" w:eastAsia="华文细黑" w:hint="default"/>
                            <w:sz w:val="18"/>
                            <w:szCs w:val="18"/>
                          </w:rPr>
                        </w:pPr>
                        <w:r>
                          <w:rPr>
                            <w:rFonts w:ascii="华文细黑"/>
                            <w:sz w:val="18"/>
                          </w:rPr>
                          <w:t>54,481,052.08</w:t>
                        </w:r>
                      </w:p>
                    </w:tc>
                    <w:tc>
                      <w:tcPr>
                        <w:tcW w:w="255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1283" w:right="0"/>
                          <w:jc w:val="left"/>
                          <w:rPr>
                            <w:rFonts w:ascii="华文细黑" w:hAnsi="华文细黑" w:cs="华文细黑" w:eastAsia="华文细黑" w:hint="default"/>
                            <w:sz w:val="18"/>
                            <w:szCs w:val="18"/>
                          </w:rPr>
                        </w:pPr>
                        <w:r>
                          <w:rPr>
                            <w:rFonts w:ascii="华文细黑"/>
                            <w:sz w:val="18"/>
                          </w:rPr>
                          <w:t>38,835,553.44</w:t>
                        </w:r>
                      </w:p>
                    </w:tc>
                  </w:tr>
                </w:tbl>
                <w:p>
                  <w:pPr/>
                </w:p>
              </w:txbxContent>
            </v:textbox>
            <w10:wrap type="none"/>
          </v:shape>
        </w:pict>
      </w:r>
      <w:r>
        <w:rPr/>
        <w:t>（</w:t>
      </w:r>
      <w:r>
        <w:rPr>
          <w:rFonts w:ascii="华文细黑" w:hAnsi="华文细黑" w:cs="华文细黑" w:eastAsia="华文细黑" w:hint="default"/>
        </w:rPr>
        <w:t>2</w:t>
      </w:r>
      <w:r>
        <w:rPr/>
        <w:t>）经营租赁承诺 至资产负债表日止，本公司对外签订的不可撤销的经营租赁合约情况如下：</w:t>
      </w:r>
    </w:p>
    <w:p>
      <w:pPr>
        <w:spacing w:after="0" w:line="357" w:lineRule="auto"/>
        <w:jc w:val="left"/>
        <w:sectPr>
          <w:pgSz w:w="11910" w:h="16840"/>
          <w:pgMar w:header="917" w:footer="1019" w:top="1100" w:bottom="1200" w:left="1200" w:right="0"/>
        </w:sectPr>
      </w:pPr>
    </w:p>
    <w:p>
      <w:pPr>
        <w:spacing w:line="240" w:lineRule="auto" w:before="8"/>
        <w:rPr>
          <w:rFonts w:ascii="华文细黑" w:hAnsi="华文细黑" w:cs="华文细黑" w:eastAsia="华文细黑" w:hint="default"/>
          <w:sz w:val="23"/>
          <w:szCs w:val="23"/>
        </w:rPr>
      </w:pPr>
    </w:p>
    <w:tbl>
      <w:tblPr>
        <w:tblW w:w="0" w:type="auto"/>
        <w:jc w:val="left"/>
        <w:tblInd w:w="101" w:type="dxa"/>
        <w:tblLayout w:type="fixed"/>
        <w:tblCellMar>
          <w:top w:w="0" w:type="dxa"/>
          <w:left w:w="0" w:type="dxa"/>
          <w:bottom w:w="0" w:type="dxa"/>
          <w:right w:w="0" w:type="dxa"/>
        </w:tblCellMar>
        <w:tblLook w:val="01E0"/>
      </w:tblPr>
      <w:tblGrid>
        <w:gridCol w:w="4155"/>
        <w:gridCol w:w="2384"/>
        <w:gridCol w:w="2568"/>
      </w:tblGrid>
      <w:tr>
        <w:trPr>
          <w:trHeight w:val="490" w:hRule="exact"/>
        </w:trPr>
        <w:tc>
          <w:tcPr>
            <w:tcW w:w="415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803"/>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23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56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0" w:hRule="exact"/>
        </w:trPr>
        <w:tc>
          <w:tcPr>
            <w:tcW w:w="415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资产负债表日后第 </w:t>
            </w:r>
            <w:r>
              <w:rPr>
                <w:rFonts w:ascii="华文细黑" w:hAnsi="华文细黑" w:cs="华文细黑" w:eastAsia="华文细黑" w:hint="default"/>
                <w:sz w:val="18"/>
                <w:szCs w:val="18"/>
              </w:rPr>
              <w:t>2</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年</w:t>
            </w:r>
          </w:p>
        </w:tc>
        <w:tc>
          <w:tcPr>
            <w:tcW w:w="238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126"/>
              <w:jc w:val="right"/>
              <w:rPr>
                <w:rFonts w:ascii="华文细黑" w:hAnsi="华文细黑" w:cs="华文细黑" w:eastAsia="华文细黑" w:hint="default"/>
                <w:sz w:val="18"/>
                <w:szCs w:val="18"/>
              </w:rPr>
            </w:pPr>
            <w:r>
              <w:rPr>
                <w:rFonts w:ascii="华文细黑"/>
                <w:sz w:val="18"/>
              </w:rPr>
              <w:t>33,103,083.83</w:t>
            </w:r>
          </w:p>
        </w:tc>
        <w:tc>
          <w:tcPr>
            <w:tcW w:w="25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26"/>
              <w:jc w:val="right"/>
              <w:rPr>
                <w:rFonts w:ascii="华文细黑" w:hAnsi="华文细黑" w:cs="华文细黑" w:eastAsia="华文细黑" w:hint="default"/>
                <w:sz w:val="18"/>
                <w:szCs w:val="18"/>
              </w:rPr>
            </w:pPr>
            <w:r>
              <w:rPr>
                <w:rFonts w:ascii="华文细黑"/>
                <w:sz w:val="18"/>
              </w:rPr>
              <w:t>26,545,167.74</w:t>
            </w:r>
          </w:p>
        </w:tc>
      </w:tr>
      <w:tr>
        <w:trPr>
          <w:trHeight w:val="490" w:hRule="exact"/>
        </w:trPr>
        <w:tc>
          <w:tcPr>
            <w:tcW w:w="415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资产负债表日后第 </w:t>
            </w:r>
            <w:r>
              <w:rPr>
                <w:rFonts w:ascii="华文细黑" w:hAnsi="华文细黑" w:cs="华文细黑" w:eastAsia="华文细黑" w:hint="default"/>
                <w:sz w:val="18"/>
                <w:szCs w:val="18"/>
              </w:rPr>
              <w:t>3</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年</w:t>
            </w:r>
          </w:p>
        </w:tc>
        <w:tc>
          <w:tcPr>
            <w:tcW w:w="238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126"/>
              <w:jc w:val="right"/>
              <w:rPr>
                <w:rFonts w:ascii="华文细黑" w:hAnsi="华文细黑" w:cs="华文细黑" w:eastAsia="华文细黑" w:hint="default"/>
                <w:sz w:val="18"/>
                <w:szCs w:val="18"/>
              </w:rPr>
            </w:pPr>
            <w:r>
              <w:rPr>
                <w:rFonts w:ascii="华文细黑"/>
                <w:sz w:val="18"/>
              </w:rPr>
              <w:t>18,886,734.41</w:t>
            </w:r>
          </w:p>
        </w:tc>
        <w:tc>
          <w:tcPr>
            <w:tcW w:w="25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26"/>
              <w:jc w:val="right"/>
              <w:rPr>
                <w:rFonts w:ascii="华文细黑" w:hAnsi="华文细黑" w:cs="华文细黑" w:eastAsia="华文细黑" w:hint="default"/>
                <w:sz w:val="18"/>
                <w:szCs w:val="18"/>
              </w:rPr>
            </w:pPr>
            <w:r>
              <w:rPr>
                <w:rFonts w:ascii="华文细黑"/>
                <w:sz w:val="18"/>
              </w:rPr>
              <w:t>12,723,855.99</w:t>
            </w:r>
          </w:p>
        </w:tc>
      </w:tr>
      <w:tr>
        <w:trPr>
          <w:trHeight w:val="490" w:hRule="exact"/>
        </w:trPr>
        <w:tc>
          <w:tcPr>
            <w:tcW w:w="415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以后年度</w:t>
            </w:r>
          </w:p>
        </w:tc>
        <w:tc>
          <w:tcPr>
            <w:tcW w:w="238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126"/>
              <w:jc w:val="right"/>
              <w:rPr>
                <w:rFonts w:ascii="华文细黑" w:hAnsi="华文细黑" w:cs="华文细黑" w:eastAsia="华文细黑" w:hint="default"/>
                <w:sz w:val="18"/>
                <w:szCs w:val="18"/>
              </w:rPr>
            </w:pPr>
            <w:r>
              <w:rPr>
                <w:rFonts w:ascii="华文细黑"/>
                <w:spacing w:val="-1"/>
                <w:sz w:val="18"/>
              </w:rPr>
              <w:t>24,221,317.31</w:t>
            </w:r>
          </w:p>
        </w:tc>
        <w:tc>
          <w:tcPr>
            <w:tcW w:w="25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26"/>
              <w:jc w:val="right"/>
              <w:rPr>
                <w:rFonts w:ascii="华文细黑" w:hAnsi="华文细黑" w:cs="华文细黑" w:eastAsia="华文细黑" w:hint="default"/>
                <w:sz w:val="18"/>
                <w:szCs w:val="18"/>
              </w:rPr>
            </w:pPr>
            <w:r>
              <w:rPr>
                <w:rFonts w:ascii="华文细黑"/>
                <w:sz w:val="18"/>
              </w:rPr>
              <w:t>30,002,254.40</w:t>
            </w:r>
          </w:p>
        </w:tc>
      </w:tr>
      <w:tr>
        <w:trPr>
          <w:trHeight w:val="490" w:hRule="exact"/>
        </w:trPr>
        <w:tc>
          <w:tcPr>
            <w:tcW w:w="415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847"/>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38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127"/>
              <w:jc w:val="right"/>
              <w:rPr>
                <w:rFonts w:ascii="华文细黑" w:hAnsi="华文细黑" w:cs="华文细黑" w:eastAsia="华文细黑" w:hint="default"/>
                <w:sz w:val="18"/>
                <w:szCs w:val="18"/>
              </w:rPr>
            </w:pPr>
            <w:r>
              <w:rPr>
                <w:rFonts w:ascii="华文细黑"/>
                <w:b/>
                <w:w w:val="95"/>
                <w:sz w:val="18"/>
              </w:rPr>
              <w:t>130,692,187.63</w:t>
            </w:r>
            <w:r>
              <w:rPr>
                <w:rFonts w:ascii="华文细黑"/>
                <w:sz w:val="18"/>
              </w:rPr>
            </w:r>
          </w:p>
        </w:tc>
        <w:tc>
          <w:tcPr>
            <w:tcW w:w="256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27"/>
              <w:jc w:val="right"/>
              <w:rPr>
                <w:rFonts w:ascii="华文细黑" w:hAnsi="华文细黑" w:cs="华文细黑" w:eastAsia="华文细黑" w:hint="default"/>
                <w:sz w:val="18"/>
                <w:szCs w:val="18"/>
              </w:rPr>
            </w:pPr>
            <w:r>
              <w:rPr>
                <w:rFonts w:ascii="华文细黑"/>
                <w:b/>
                <w:w w:val="95"/>
                <w:sz w:val="18"/>
              </w:rPr>
              <w:t>108,106,831.57</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22" w:right="1246"/>
        <w:jc w:val="left"/>
      </w:pPr>
      <w:r>
        <w:rPr/>
        <w:t>（</w:t>
      </w:r>
      <w:r>
        <w:rPr>
          <w:rFonts w:ascii="华文细黑" w:hAnsi="华文细黑" w:cs="华文细黑" w:eastAsia="华文细黑" w:hint="default"/>
        </w:rPr>
        <w:t>3</w:t>
      </w:r>
      <w:r>
        <w:rPr/>
        <w:t>）其他承诺事项</w:t>
      </w:r>
    </w:p>
    <w:p>
      <w:pPr>
        <w:spacing w:line="240" w:lineRule="auto" w:before="13"/>
        <w:rPr>
          <w:rFonts w:ascii="华文细黑" w:hAnsi="华文细黑" w:cs="华文细黑" w:eastAsia="华文细黑" w:hint="default"/>
          <w:sz w:val="6"/>
          <w:szCs w:val="6"/>
        </w:rPr>
      </w:pPr>
    </w:p>
    <w:tbl>
      <w:tblPr>
        <w:tblW w:w="0" w:type="auto"/>
        <w:jc w:val="left"/>
        <w:tblInd w:w="129" w:type="dxa"/>
        <w:tblLayout w:type="fixed"/>
        <w:tblCellMar>
          <w:top w:w="0" w:type="dxa"/>
          <w:left w:w="0" w:type="dxa"/>
          <w:bottom w:w="0" w:type="dxa"/>
          <w:right w:w="0" w:type="dxa"/>
        </w:tblCellMar>
        <w:tblLook w:val="01E0"/>
      </w:tblPr>
      <w:tblGrid>
        <w:gridCol w:w="2777"/>
        <w:gridCol w:w="2852"/>
        <w:gridCol w:w="2285"/>
        <w:gridCol w:w="1134"/>
      </w:tblGrid>
      <w:tr>
        <w:trPr>
          <w:trHeight w:val="535" w:hRule="exact"/>
        </w:trPr>
        <w:tc>
          <w:tcPr>
            <w:tcW w:w="27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right="0"/>
              <w:jc w:val="left"/>
              <w:rPr>
                <w:rFonts w:ascii="华文细黑" w:hAnsi="华文细黑" w:cs="华文细黑" w:eastAsia="华文细黑" w:hint="default"/>
                <w:sz w:val="11"/>
                <w:szCs w:val="11"/>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子企业名称</w:t>
            </w:r>
          </w:p>
        </w:tc>
        <w:tc>
          <w:tcPr>
            <w:tcW w:w="285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right="0"/>
              <w:jc w:val="left"/>
              <w:rPr>
                <w:rFonts w:ascii="华文细黑" w:hAnsi="华文细黑" w:cs="华文细黑" w:eastAsia="华文细黑" w:hint="default"/>
                <w:sz w:val="11"/>
                <w:szCs w:val="11"/>
              </w:rPr>
            </w:pPr>
          </w:p>
          <w:p>
            <w:pPr>
              <w:pStyle w:val="TableParagraph"/>
              <w:spacing w:line="240" w:lineRule="auto"/>
              <w:ind w:left="10"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认缴方</w:t>
            </w:r>
          </w:p>
        </w:tc>
        <w:tc>
          <w:tcPr>
            <w:tcW w:w="22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right="0"/>
              <w:jc w:val="left"/>
              <w:rPr>
                <w:rFonts w:ascii="华文细黑" w:hAnsi="华文细黑" w:cs="华文细黑" w:eastAsia="华文细黑" w:hint="default"/>
                <w:sz w:val="11"/>
                <w:szCs w:val="11"/>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已认缴但未出资的金额</w:t>
            </w:r>
          </w:p>
        </w:tc>
        <w:tc>
          <w:tcPr>
            <w:tcW w:w="113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2"/>
              <w:ind w:right="0"/>
              <w:jc w:val="left"/>
              <w:rPr>
                <w:rFonts w:ascii="华文细黑" w:hAnsi="华文细黑" w:cs="华文细黑" w:eastAsia="华文细黑" w:hint="default"/>
                <w:sz w:val="11"/>
                <w:szCs w:val="11"/>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拟出资方式</w:t>
            </w:r>
          </w:p>
        </w:tc>
      </w:tr>
      <w:tr>
        <w:trPr>
          <w:trHeight w:val="513" w:hRule="exact"/>
        </w:trPr>
        <w:tc>
          <w:tcPr>
            <w:tcW w:w="27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11"/>
                <w:szCs w:val="11"/>
              </w:rPr>
            </w:pPr>
          </w:p>
          <w:p>
            <w:pPr>
              <w:pStyle w:val="TableParagraph"/>
              <w:spacing w:line="240" w:lineRule="auto"/>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壹号电子商务有限公司</w:t>
            </w:r>
          </w:p>
        </w:tc>
        <w:tc>
          <w:tcPr>
            <w:tcW w:w="2852" w:type="dxa"/>
            <w:tcBorders>
              <w:top w:val="single" w:sz="18" w:space="0" w:color="FFF8E6"/>
              <w:left w:val="single" w:sz="9" w:space="0" w:color="FFF8E6"/>
              <w:bottom w:val="single" w:sz="4" w:space="0" w:color="FFC000"/>
              <w:right w:val="single" w:sz="4" w:space="0" w:color="FFC000"/>
            </w:tcBorders>
          </w:tcPr>
          <w:p>
            <w:pPr>
              <w:pStyle w:val="TableParagraph"/>
              <w:spacing w:line="240" w:lineRule="auto" w:before="150"/>
              <w:ind w:left="4"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本公司</w:t>
            </w:r>
          </w:p>
        </w:tc>
        <w:tc>
          <w:tcPr>
            <w:tcW w:w="2285" w:type="dxa"/>
            <w:tcBorders>
              <w:top w:val="single" w:sz="18" w:space="0" w:color="FFF8E6"/>
              <w:left w:val="single" w:sz="4" w:space="0" w:color="FFC000"/>
              <w:bottom w:val="single" w:sz="4" w:space="0" w:color="FFC000"/>
              <w:right w:val="single" w:sz="4" w:space="0" w:color="FFC000"/>
            </w:tcBorders>
          </w:tcPr>
          <w:p>
            <w:pPr>
              <w:pStyle w:val="TableParagraph"/>
              <w:spacing w:line="240" w:lineRule="auto" w:before="15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4100</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万元</w:t>
            </w:r>
          </w:p>
        </w:tc>
        <w:tc>
          <w:tcPr>
            <w:tcW w:w="1134" w:type="dxa"/>
            <w:tcBorders>
              <w:top w:val="single" w:sz="18" w:space="0" w:color="FFF8E6"/>
              <w:left w:val="single" w:sz="4" w:space="0" w:color="FFC000"/>
              <w:bottom w:val="single" w:sz="4" w:space="0" w:color="FFC000"/>
              <w:right w:val="single" w:sz="4" w:space="0" w:color="FFC000"/>
            </w:tcBorders>
          </w:tcPr>
          <w:p>
            <w:pPr>
              <w:pStyle w:val="TableParagraph"/>
              <w:spacing w:line="240" w:lineRule="auto" w:before="150"/>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r>
      <w:tr>
        <w:trPr>
          <w:trHeight w:val="490" w:hRule="exact"/>
        </w:trPr>
        <w:tc>
          <w:tcPr>
            <w:tcW w:w="27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爱施德（香港）有限公司</w:t>
            </w:r>
          </w:p>
        </w:tc>
        <w:tc>
          <w:tcPr>
            <w:tcW w:w="285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left="4"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本公司</w:t>
            </w:r>
          </w:p>
        </w:tc>
        <w:tc>
          <w:tcPr>
            <w:tcW w:w="22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港币 </w:t>
            </w:r>
            <w:r>
              <w:rPr>
                <w:rFonts w:ascii="华文细黑" w:hAnsi="华文细黑" w:cs="华文细黑" w:eastAsia="华文细黑" w:hint="default"/>
                <w:sz w:val="18"/>
                <w:szCs w:val="18"/>
              </w:rPr>
              <w:t>480</w:t>
            </w:r>
            <w:r>
              <w:rPr>
                <w:rFonts w:ascii="华文细黑" w:hAnsi="华文细黑" w:cs="华文细黑" w:eastAsia="华文细黑" w:hint="default"/>
                <w:spacing w:val="-4"/>
                <w:sz w:val="18"/>
                <w:szCs w:val="18"/>
              </w:rPr>
              <w:t> </w:t>
            </w:r>
            <w:r>
              <w:rPr>
                <w:rFonts w:ascii="华文细黑" w:hAnsi="华文细黑" w:cs="华文细黑" w:eastAsia="华文细黑" w:hint="default"/>
                <w:sz w:val="18"/>
                <w:szCs w:val="18"/>
              </w:rPr>
              <w:t>万元</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r>
      <w:tr>
        <w:trPr>
          <w:trHeight w:val="490" w:hRule="exact"/>
        </w:trPr>
        <w:tc>
          <w:tcPr>
            <w:tcW w:w="27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深圳市酷脉科技有限公司</w:t>
            </w:r>
          </w:p>
        </w:tc>
        <w:tc>
          <w:tcPr>
            <w:tcW w:w="285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left="4"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本公司</w:t>
            </w:r>
          </w:p>
        </w:tc>
        <w:tc>
          <w:tcPr>
            <w:tcW w:w="22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540</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万元</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r>
      <w:tr>
        <w:trPr>
          <w:trHeight w:val="491" w:hRule="exact"/>
        </w:trPr>
        <w:tc>
          <w:tcPr>
            <w:tcW w:w="27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深圳市爱享投资有限公司</w:t>
            </w:r>
          </w:p>
        </w:tc>
        <w:tc>
          <w:tcPr>
            <w:tcW w:w="285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left="4"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本公司</w:t>
            </w:r>
          </w:p>
        </w:tc>
        <w:tc>
          <w:tcPr>
            <w:tcW w:w="22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1198</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万元</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r>
      <w:tr>
        <w:trPr>
          <w:trHeight w:val="490" w:hRule="exact"/>
        </w:trPr>
        <w:tc>
          <w:tcPr>
            <w:tcW w:w="27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深圳市酷众科技有限公司</w:t>
            </w:r>
          </w:p>
        </w:tc>
        <w:tc>
          <w:tcPr>
            <w:tcW w:w="285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left="4"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本公司</w:t>
            </w:r>
          </w:p>
        </w:tc>
        <w:tc>
          <w:tcPr>
            <w:tcW w:w="22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600</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万元</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r>
      <w:tr>
        <w:trPr>
          <w:trHeight w:val="490" w:hRule="exact"/>
        </w:trPr>
        <w:tc>
          <w:tcPr>
            <w:tcW w:w="27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江西酷兜科技有限公司</w:t>
            </w:r>
          </w:p>
        </w:tc>
        <w:tc>
          <w:tcPr>
            <w:tcW w:w="285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left="4"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本公司</w:t>
            </w:r>
          </w:p>
        </w:tc>
        <w:tc>
          <w:tcPr>
            <w:tcW w:w="22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500</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万元</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r>
      <w:tr>
        <w:trPr>
          <w:trHeight w:val="491" w:hRule="exact"/>
        </w:trPr>
        <w:tc>
          <w:tcPr>
            <w:tcW w:w="27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广州爱施德股权投资管理有限公司</w:t>
            </w:r>
          </w:p>
        </w:tc>
        <w:tc>
          <w:tcPr>
            <w:tcW w:w="285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left="4"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本公司</w:t>
            </w:r>
          </w:p>
        </w:tc>
        <w:tc>
          <w:tcPr>
            <w:tcW w:w="22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50000</w:t>
            </w:r>
            <w:r>
              <w:rPr>
                <w:rFonts w:ascii="华文细黑" w:hAnsi="华文细黑" w:cs="华文细黑" w:eastAsia="华文细黑" w:hint="default"/>
                <w:spacing w:val="-5"/>
                <w:sz w:val="18"/>
                <w:szCs w:val="18"/>
              </w:rPr>
              <w:t> </w:t>
            </w:r>
            <w:r>
              <w:rPr>
                <w:rFonts w:ascii="华文细黑" w:hAnsi="华文细黑" w:cs="华文细黑" w:eastAsia="华文细黑" w:hint="default"/>
                <w:sz w:val="18"/>
                <w:szCs w:val="18"/>
              </w:rPr>
              <w:t>万元</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r>
      <w:tr>
        <w:trPr>
          <w:trHeight w:val="490" w:hRule="exact"/>
        </w:trPr>
        <w:tc>
          <w:tcPr>
            <w:tcW w:w="27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深圳市网爱金融服务有限公司</w:t>
            </w:r>
          </w:p>
        </w:tc>
        <w:tc>
          <w:tcPr>
            <w:tcW w:w="285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left="3"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北京瑞成汇达科技有限公司</w:t>
            </w:r>
          </w:p>
        </w:tc>
        <w:tc>
          <w:tcPr>
            <w:tcW w:w="22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408</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万元</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r>
      <w:tr>
        <w:trPr>
          <w:trHeight w:val="490" w:hRule="exact"/>
        </w:trPr>
        <w:tc>
          <w:tcPr>
            <w:tcW w:w="27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深圳由你网络技术有限公司</w:t>
            </w:r>
          </w:p>
        </w:tc>
        <w:tc>
          <w:tcPr>
            <w:tcW w:w="285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left="3"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北京瑞成汇达科技有限公司</w:t>
            </w:r>
          </w:p>
        </w:tc>
        <w:tc>
          <w:tcPr>
            <w:tcW w:w="22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255</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万元</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r>
      <w:tr>
        <w:trPr>
          <w:trHeight w:val="491" w:hRule="exact"/>
        </w:trPr>
        <w:tc>
          <w:tcPr>
            <w:tcW w:w="27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深圳市凯辰网络有限公司</w:t>
            </w:r>
          </w:p>
        </w:tc>
        <w:tc>
          <w:tcPr>
            <w:tcW w:w="285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left="3"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深圳由你网络技术有限公司</w:t>
            </w:r>
          </w:p>
        </w:tc>
        <w:tc>
          <w:tcPr>
            <w:tcW w:w="22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10</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万元</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r>
      <w:tr>
        <w:trPr>
          <w:trHeight w:val="490" w:hRule="exact"/>
        </w:trPr>
        <w:tc>
          <w:tcPr>
            <w:tcW w:w="27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深圳市新凯辰科技有限公司</w:t>
            </w:r>
          </w:p>
        </w:tc>
        <w:tc>
          <w:tcPr>
            <w:tcW w:w="285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left="3"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深圳由你网络技术有限公司</w:t>
            </w:r>
          </w:p>
        </w:tc>
        <w:tc>
          <w:tcPr>
            <w:tcW w:w="22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10</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万元</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r>
      <w:tr>
        <w:trPr>
          <w:trHeight w:val="490" w:hRule="exact"/>
        </w:trPr>
        <w:tc>
          <w:tcPr>
            <w:tcW w:w="27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中国供应链金融服务有限公司</w:t>
            </w:r>
          </w:p>
        </w:tc>
        <w:tc>
          <w:tcPr>
            <w:tcW w:w="285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left="3"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深圳市优友金融服务有限公司</w:t>
            </w:r>
          </w:p>
        </w:tc>
        <w:tc>
          <w:tcPr>
            <w:tcW w:w="22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港币 </w:t>
            </w:r>
            <w:r>
              <w:rPr>
                <w:rFonts w:ascii="华文细黑" w:hAnsi="华文细黑" w:cs="华文细黑" w:eastAsia="华文细黑" w:hint="default"/>
                <w:sz w:val="18"/>
                <w:szCs w:val="18"/>
              </w:rPr>
              <w:t>1</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万元</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r>
      <w:tr>
        <w:trPr>
          <w:trHeight w:val="491" w:hRule="exact"/>
        </w:trPr>
        <w:tc>
          <w:tcPr>
            <w:tcW w:w="27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深圳市优友商业保理有限公司</w:t>
            </w:r>
          </w:p>
        </w:tc>
        <w:tc>
          <w:tcPr>
            <w:tcW w:w="285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left="3"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深圳市优友金融服务有限公司</w:t>
            </w:r>
          </w:p>
        </w:tc>
        <w:tc>
          <w:tcPr>
            <w:tcW w:w="22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995</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万元</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r>
      <w:tr>
        <w:trPr>
          <w:trHeight w:val="490" w:hRule="exact"/>
        </w:trPr>
        <w:tc>
          <w:tcPr>
            <w:tcW w:w="27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深圳市优友供应链有限公司</w:t>
            </w:r>
          </w:p>
        </w:tc>
        <w:tc>
          <w:tcPr>
            <w:tcW w:w="285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left="3"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深圳市优友金融服务有限公司</w:t>
            </w:r>
          </w:p>
        </w:tc>
        <w:tc>
          <w:tcPr>
            <w:tcW w:w="22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995</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万元</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r>
      <w:tr>
        <w:trPr>
          <w:trHeight w:val="490" w:hRule="exact"/>
        </w:trPr>
        <w:tc>
          <w:tcPr>
            <w:tcW w:w="27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深圳市优友信息技术有限公司</w:t>
            </w:r>
          </w:p>
        </w:tc>
        <w:tc>
          <w:tcPr>
            <w:tcW w:w="285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left="3"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深圳市优友金融服务有限公司</w:t>
            </w:r>
          </w:p>
        </w:tc>
        <w:tc>
          <w:tcPr>
            <w:tcW w:w="22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400</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万元</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r>
      <w:tr>
        <w:trPr>
          <w:trHeight w:val="491" w:hRule="exact"/>
        </w:trPr>
        <w:tc>
          <w:tcPr>
            <w:tcW w:w="27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深圳金石创新科技有限公司</w:t>
            </w:r>
          </w:p>
        </w:tc>
        <w:tc>
          <w:tcPr>
            <w:tcW w:w="285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5"/>
              <w:ind w:left="3"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深圳市优友金融服务有限公司</w:t>
            </w:r>
          </w:p>
        </w:tc>
        <w:tc>
          <w:tcPr>
            <w:tcW w:w="22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459</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万元</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r>
      <w:tr>
        <w:trPr>
          <w:trHeight w:val="490" w:hRule="exact"/>
        </w:trPr>
        <w:tc>
          <w:tcPr>
            <w:tcW w:w="27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长沙酷动数码产品有限公司</w:t>
            </w:r>
          </w:p>
        </w:tc>
        <w:tc>
          <w:tcPr>
            <w:tcW w:w="285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left="3"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深圳市酷动数码有限公司</w:t>
            </w:r>
          </w:p>
        </w:tc>
        <w:tc>
          <w:tcPr>
            <w:tcW w:w="22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50</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万元</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r>
      <w:tr>
        <w:trPr>
          <w:trHeight w:val="490" w:hRule="exact"/>
        </w:trPr>
        <w:tc>
          <w:tcPr>
            <w:tcW w:w="27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南京一号机通讯设备有限公司</w:t>
            </w:r>
          </w:p>
        </w:tc>
        <w:tc>
          <w:tcPr>
            <w:tcW w:w="285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left="3"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深圳市一号机科技有限公司</w:t>
            </w:r>
          </w:p>
        </w:tc>
        <w:tc>
          <w:tcPr>
            <w:tcW w:w="22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200</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万元</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r>
      <w:tr>
        <w:trPr>
          <w:trHeight w:val="491" w:hRule="exact"/>
        </w:trPr>
        <w:tc>
          <w:tcPr>
            <w:tcW w:w="27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6"/>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江西爱保保险代理有限公司</w:t>
            </w:r>
          </w:p>
        </w:tc>
        <w:tc>
          <w:tcPr>
            <w:tcW w:w="285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6"/>
              <w:ind w:left="4"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本公司</w:t>
            </w:r>
          </w:p>
        </w:tc>
        <w:tc>
          <w:tcPr>
            <w:tcW w:w="22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4750</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万元</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r>
      <w:tr>
        <w:trPr>
          <w:trHeight w:val="490" w:hRule="exact"/>
        </w:trPr>
        <w:tc>
          <w:tcPr>
            <w:tcW w:w="27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江西爱施德保险经纪有限公司</w:t>
            </w:r>
          </w:p>
        </w:tc>
        <w:tc>
          <w:tcPr>
            <w:tcW w:w="285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left="4"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本公司</w:t>
            </w:r>
          </w:p>
        </w:tc>
        <w:tc>
          <w:tcPr>
            <w:tcW w:w="22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4750</w:t>
            </w:r>
            <w:r>
              <w:rPr>
                <w:rFonts w:ascii="华文细黑" w:hAnsi="华文细黑" w:cs="华文细黑" w:eastAsia="华文细黑" w:hint="default"/>
                <w:spacing w:val="-3"/>
                <w:sz w:val="18"/>
                <w:szCs w:val="18"/>
              </w:rPr>
              <w:t> </w:t>
            </w:r>
            <w:r>
              <w:rPr>
                <w:rFonts w:ascii="华文细黑" w:hAnsi="华文细黑" w:cs="华文细黑" w:eastAsia="华文细黑" w:hint="default"/>
                <w:sz w:val="18"/>
                <w:szCs w:val="18"/>
              </w:rPr>
              <w:t>万元</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r>
      <w:tr>
        <w:trPr>
          <w:trHeight w:val="491" w:hRule="exact"/>
        </w:trPr>
        <w:tc>
          <w:tcPr>
            <w:tcW w:w="27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北京威丰科技有限公司</w:t>
            </w:r>
          </w:p>
        </w:tc>
        <w:tc>
          <w:tcPr>
            <w:tcW w:w="2852"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144"/>
              <w:ind w:left="3"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深圳市爱保科技信息服务有限公司</w:t>
            </w:r>
          </w:p>
        </w:tc>
        <w:tc>
          <w:tcPr>
            <w:tcW w:w="22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人民币 </w:t>
            </w:r>
            <w:r>
              <w:rPr>
                <w:rFonts w:ascii="华文细黑" w:hAnsi="华文细黑" w:cs="华文细黑" w:eastAsia="华文细黑" w:hint="default"/>
                <w:sz w:val="18"/>
                <w:szCs w:val="18"/>
              </w:rPr>
              <w:t>120</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万元</w:t>
            </w:r>
          </w:p>
        </w:tc>
        <w:tc>
          <w:tcPr>
            <w:tcW w:w="113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货币资金</w:t>
            </w:r>
          </w:p>
        </w:tc>
      </w:tr>
    </w:tbl>
    <w:p>
      <w:pPr>
        <w:spacing w:after="0" w:line="240" w:lineRule="auto"/>
        <w:jc w:val="center"/>
        <w:rPr>
          <w:rFonts w:ascii="华文细黑" w:hAnsi="华文细黑" w:cs="华文细黑" w:eastAsia="华文细黑" w:hint="default"/>
          <w:sz w:val="18"/>
          <w:szCs w:val="18"/>
        </w:rPr>
        <w:sectPr>
          <w:pgSz w:w="11910" w:h="16840"/>
          <w:pgMar w:header="917" w:footer="1019" w:top="1100" w:bottom="1200" w:left="1300" w:right="0"/>
        </w:sectPr>
      </w:pPr>
    </w:p>
    <w:p>
      <w:pPr>
        <w:spacing w:line="240" w:lineRule="auto" w:before="10"/>
        <w:rPr>
          <w:rFonts w:ascii="华文细黑" w:hAnsi="华文细黑" w:cs="华文细黑" w:eastAsia="华文细黑" w:hint="default"/>
          <w:sz w:val="27"/>
          <w:szCs w:val="27"/>
        </w:rPr>
      </w:pPr>
    </w:p>
    <w:p>
      <w:pPr>
        <w:pStyle w:val="Heading5"/>
        <w:spacing w:line="240" w:lineRule="auto"/>
        <w:ind w:left="560" w:right="1246"/>
        <w:jc w:val="left"/>
        <w:rPr>
          <w:b w:val="0"/>
          <w:bCs w:val="0"/>
        </w:rPr>
      </w:pPr>
      <w:bookmarkStart w:name="2、或有事项" w:id="343"/>
      <w:bookmarkEnd w:id="343"/>
      <w:r>
        <w:rPr>
          <w:b w:val="0"/>
          <w:bCs w:val="0"/>
        </w:rPr>
      </w:r>
      <w:r>
        <w:rPr>
          <w:rFonts w:ascii="华文细黑" w:hAnsi="华文细黑" w:cs="华文细黑" w:eastAsia="华文细黑" w:hint="default"/>
        </w:rPr>
        <w:t>2</w:t>
      </w:r>
      <w:r>
        <w:rPr/>
        <w:t>、或有事项</w:t>
      </w:r>
      <w:r>
        <w:rPr>
          <w:b w:val="0"/>
          <w:bCs w:val="0"/>
        </w:rPr>
      </w:r>
    </w:p>
    <w:p>
      <w:pPr>
        <w:pStyle w:val="BodyText"/>
        <w:spacing w:line="355" w:lineRule="auto" w:before="142"/>
        <w:ind w:left="560" w:right="4450"/>
        <w:jc w:val="left"/>
      </w:pPr>
      <w:r>
        <w:rPr/>
        <w:t>（</w:t>
      </w:r>
      <w:r>
        <w:rPr>
          <w:rFonts w:ascii="华文细黑" w:hAnsi="华文细黑" w:cs="华文细黑" w:eastAsia="华文细黑" w:hint="default"/>
        </w:rPr>
        <w:t>1</w:t>
      </w:r>
      <w:r>
        <w:rPr/>
        <w:t>）为其他单位提供债务担保形成的或有负债及其财务影响 </w:t>
      </w:r>
      <w:r>
        <w:rPr>
          <w:spacing w:val="-6"/>
        </w:rPr>
        <w:t>为关联方提供担保详见“本附注十一”。</w:t>
      </w:r>
    </w:p>
    <w:p>
      <w:pPr>
        <w:pStyle w:val="BodyText"/>
        <w:spacing w:line="357" w:lineRule="auto" w:before="35"/>
        <w:ind w:left="560" w:right="5500"/>
        <w:jc w:val="left"/>
      </w:pPr>
      <w:r>
        <w:rPr/>
        <w:t>（</w:t>
      </w:r>
      <w:r>
        <w:rPr>
          <w:rFonts w:ascii="华文细黑" w:hAnsi="华文细黑" w:cs="华文细黑" w:eastAsia="华文细黑" w:hint="default"/>
        </w:rPr>
        <w:t>2</w:t>
      </w:r>
      <w:r>
        <w:rPr/>
        <w:t>）与合营企业或联营企业投资相关的或有负债 参见“附注八、在其他主体中的权益”部分。</w:t>
      </w:r>
    </w:p>
    <w:p>
      <w:pPr>
        <w:pStyle w:val="BodyText"/>
        <w:spacing w:line="240" w:lineRule="auto" w:before="31"/>
        <w:ind w:left="560" w:right="1246"/>
        <w:jc w:val="left"/>
      </w:pPr>
      <w:r>
        <w:rPr/>
        <w:t>（</w:t>
      </w:r>
      <w:r>
        <w:rPr>
          <w:rFonts w:ascii="华文细黑" w:hAnsi="华文细黑" w:cs="华文细黑" w:eastAsia="华文细黑" w:hint="default"/>
        </w:rPr>
        <w:t>3</w:t>
      </w:r>
      <w:r>
        <w:rPr/>
        <w:t>）开出保函</w:t>
      </w:r>
    </w:p>
    <w:p>
      <w:pPr>
        <w:pStyle w:val="BodyText"/>
        <w:spacing w:line="240" w:lineRule="auto" w:before="144"/>
        <w:ind w:left="560" w:right="1246"/>
        <w:jc w:val="left"/>
      </w:pPr>
      <w:r>
        <w:rPr/>
        <w:t>截至 </w:t>
      </w:r>
      <w:r>
        <w:rPr>
          <w:rFonts w:ascii="华文细黑" w:hAnsi="华文细黑" w:cs="华文细黑" w:eastAsia="华文细黑" w:hint="default"/>
        </w:rPr>
        <w:t>2018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31 </w:t>
      </w:r>
      <w:r>
        <w:rPr/>
        <w:t>日，本公司开具的保函余额为 </w:t>
      </w:r>
      <w:r>
        <w:rPr>
          <w:rFonts w:ascii="华文细黑" w:hAnsi="华文细黑" w:cs="华文细黑" w:eastAsia="华文细黑" w:hint="default"/>
        </w:rPr>
        <w:t>2,312,470,000.00</w:t>
      </w:r>
      <w:r>
        <w:rPr>
          <w:rFonts w:ascii="华文细黑" w:hAnsi="华文细黑" w:cs="华文细黑" w:eastAsia="华文细黑" w:hint="default"/>
          <w:spacing w:val="-16"/>
        </w:rPr>
        <w:t> </w:t>
      </w:r>
      <w:r>
        <w:rPr>
          <w:spacing w:val="-3"/>
        </w:rPr>
        <w:t>元，其中存入保函保证</w:t>
      </w:r>
    </w:p>
    <w:p>
      <w:pPr>
        <w:pStyle w:val="BodyText"/>
        <w:spacing w:line="240" w:lineRule="auto" w:before="103"/>
        <w:ind w:right="1246"/>
        <w:jc w:val="left"/>
      </w:pPr>
      <w:r>
        <w:rPr/>
        <w:t>金余额 </w:t>
      </w:r>
      <w:r>
        <w:rPr>
          <w:rFonts w:ascii="华文细黑" w:hAnsi="华文细黑" w:cs="华文细黑" w:eastAsia="华文细黑" w:hint="default"/>
        </w:rPr>
        <w:t>531,030,000.00</w:t>
      </w:r>
      <w:r>
        <w:rPr>
          <w:rFonts w:ascii="华文细黑" w:hAnsi="华文细黑" w:cs="华文细黑" w:eastAsia="华文细黑" w:hint="default"/>
          <w:spacing w:val="-1"/>
        </w:rPr>
        <w:t> </w:t>
      </w:r>
      <w:r>
        <w:rPr/>
        <w:t>元。</w:t>
      </w:r>
    </w:p>
    <w:p>
      <w:pPr>
        <w:pStyle w:val="BodyText"/>
        <w:spacing w:line="240" w:lineRule="auto" w:before="144"/>
        <w:ind w:left="560" w:right="1246"/>
        <w:jc w:val="left"/>
      </w:pPr>
      <w:r>
        <w:rPr/>
        <w:t>（</w:t>
      </w:r>
      <w:r>
        <w:rPr>
          <w:rFonts w:ascii="华文细黑" w:hAnsi="华文细黑" w:cs="华文细黑" w:eastAsia="华文细黑" w:hint="default"/>
        </w:rPr>
        <w:t>4</w:t>
      </w:r>
      <w:r>
        <w:rPr/>
        <w:t>）附追索权的应收账款转让</w:t>
      </w:r>
    </w:p>
    <w:p>
      <w:pPr>
        <w:pStyle w:val="BodyText"/>
        <w:spacing w:line="240" w:lineRule="auto" w:before="144"/>
        <w:ind w:left="560" w:right="1246"/>
        <w:jc w:val="left"/>
      </w:pPr>
      <w:r>
        <w:rPr/>
        <w:t>截至  </w:t>
      </w:r>
      <w:r>
        <w:rPr>
          <w:rFonts w:ascii="华文细黑" w:hAnsi="华文细黑" w:cs="华文细黑" w:eastAsia="华文细黑" w:hint="default"/>
        </w:rPr>
        <w:t>2018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31 </w:t>
      </w:r>
      <w:r>
        <w:rPr>
          <w:rFonts w:ascii="华文细黑" w:hAnsi="华文细黑" w:cs="华文细黑" w:eastAsia="华文细黑" w:hint="default"/>
          <w:spacing w:val="42"/>
        </w:rPr>
        <w:t> </w:t>
      </w:r>
      <w:r>
        <w:rPr>
          <w:spacing w:val="2"/>
        </w:rPr>
        <w:t>日，向金融机构以附追索权方式转让的尚未到期的应收账款余额为</w:t>
      </w:r>
    </w:p>
    <w:p>
      <w:pPr>
        <w:pStyle w:val="BodyText"/>
        <w:spacing w:line="240" w:lineRule="auto" w:before="103"/>
        <w:ind w:right="1246"/>
        <w:jc w:val="left"/>
      </w:pPr>
      <w:r>
        <w:rPr>
          <w:rFonts w:ascii="华文细黑" w:hAnsi="华文细黑" w:cs="华文细黑" w:eastAsia="华文细黑" w:hint="default"/>
        </w:rPr>
        <w:t>20,649,193.84 </w:t>
      </w:r>
      <w:r>
        <w:rPr/>
        <w:t>元。</w:t>
      </w:r>
    </w:p>
    <w:p>
      <w:pPr>
        <w:pStyle w:val="Heading4"/>
        <w:spacing w:line="240" w:lineRule="auto" w:before="107"/>
        <w:ind w:right="1246"/>
        <w:jc w:val="left"/>
        <w:rPr>
          <w:b w:val="0"/>
          <w:bCs w:val="0"/>
        </w:rPr>
      </w:pPr>
      <w:bookmarkStart w:name="十三、资产负债表日后事项" w:id="344"/>
      <w:bookmarkEnd w:id="344"/>
      <w:r>
        <w:rPr>
          <w:b w:val="0"/>
          <w:bCs w:val="0"/>
        </w:rPr>
      </w:r>
      <w:r>
        <w:rPr/>
        <w:t>十三、资产负债表日后事项</w:t>
      </w:r>
      <w:r>
        <w:rPr>
          <w:b w:val="0"/>
          <w:bCs w:val="0"/>
        </w:rPr>
      </w:r>
    </w:p>
    <w:p>
      <w:pPr>
        <w:pStyle w:val="Heading5"/>
        <w:spacing w:line="240" w:lineRule="auto" w:before="137"/>
        <w:ind w:left="560" w:right="1246"/>
        <w:jc w:val="left"/>
        <w:rPr>
          <w:b w:val="0"/>
          <w:bCs w:val="0"/>
        </w:rPr>
      </w:pPr>
      <w:bookmarkStart w:name="1、利润分配情况" w:id="345"/>
      <w:bookmarkEnd w:id="345"/>
      <w:r>
        <w:rPr>
          <w:b w:val="0"/>
          <w:bCs w:val="0"/>
        </w:rPr>
      </w:r>
      <w:r>
        <w:rPr>
          <w:rFonts w:ascii="华文细黑" w:hAnsi="华文细黑" w:cs="华文细黑" w:eastAsia="华文细黑" w:hint="default"/>
        </w:rPr>
        <w:t>1</w:t>
      </w:r>
      <w:r>
        <w:rPr/>
        <w:t>、利润分配情况</w:t>
      </w:r>
      <w:r>
        <w:rPr>
          <w:b w:val="0"/>
          <w:bCs w:val="0"/>
        </w:rPr>
      </w:r>
    </w:p>
    <w:p>
      <w:pPr>
        <w:pStyle w:val="BodyText"/>
        <w:spacing w:line="240" w:lineRule="auto" w:before="142"/>
        <w:ind w:left="560" w:right="1246"/>
        <w:jc w:val="left"/>
      </w:pPr>
      <w:r>
        <w:rPr>
          <w:rFonts w:ascii="华文细黑" w:hAnsi="华文细黑" w:cs="华文细黑" w:eastAsia="华文细黑" w:hint="default"/>
        </w:rPr>
        <w:t>2019 </w:t>
      </w:r>
      <w:r>
        <w:rPr/>
        <w:t>年 </w:t>
      </w:r>
      <w:r>
        <w:rPr>
          <w:rFonts w:ascii="华文细黑" w:hAnsi="华文细黑" w:cs="华文细黑" w:eastAsia="华文细黑" w:hint="default"/>
        </w:rPr>
        <w:t>4 </w:t>
      </w:r>
      <w:r>
        <w:rPr/>
        <w:t>月 </w:t>
      </w:r>
      <w:r>
        <w:rPr>
          <w:rFonts w:ascii="华文细黑" w:hAnsi="华文细黑" w:cs="华文细黑" w:eastAsia="华文细黑" w:hint="default"/>
        </w:rPr>
        <w:t>12 </w:t>
      </w:r>
      <w:r>
        <w:rPr/>
        <w:t>日，本公司召开第四届董事会第二十四次（定期）会议，批准 </w:t>
      </w:r>
      <w:r>
        <w:rPr>
          <w:rFonts w:ascii="华文细黑" w:hAnsi="华文细黑" w:cs="华文细黑" w:eastAsia="华文细黑" w:hint="default"/>
        </w:rPr>
        <w:t>2018</w:t>
      </w:r>
      <w:r>
        <w:rPr>
          <w:rFonts w:ascii="华文细黑" w:hAnsi="华文细黑" w:cs="华文细黑" w:eastAsia="华文细黑" w:hint="default"/>
          <w:spacing w:val="21"/>
        </w:rPr>
        <w:t> </w:t>
      </w:r>
      <w:r>
        <w:rPr/>
        <w:t>年度利润</w:t>
      </w:r>
    </w:p>
    <w:p>
      <w:pPr>
        <w:pStyle w:val="BodyText"/>
        <w:spacing w:line="324" w:lineRule="auto" w:before="103"/>
        <w:ind w:right="1437"/>
        <w:jc w:val="both"/>
      </w:pPr>
      <w:r>
        <w:rPr>
          <w:spacing w:val="-5"/>
        </w:rPr>
        <w:t>分配预案。利润分配预案为：以 </w:t>
      </w:r>
      <w:r>
        <w:rPr>
          <w:rFonts w:ascii="华文细黑" w:hAnsi="华文细黑" w:cs="华文细黑" w:eastAsia="华文细黑" w:hint="default"/>
        </w:rPr>
        <w:t>2018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31 </w:t>
      </w:r>
      <w:r>
        <w:rPr/>
        <w:t>日的总股本 </w:t>
      </w:r>
      <w:r>
        <w:rPr>
          <w:rFonts w:ascii="华文细黑" w:hAnsi="华文细黑" w:cs="华文细黑" w:eastAsia="华文细黑" w:hint="default"/>
        </w:rPr>
        <w:t>1,239,281,806 </w:t>
      </w:r>
      <w:r>
        <w:rPr>
          <w:spacing w:val="-6"/>
        </w:rPr>
        <w:t>股为基数，每 </w:t>
      </w:r>
      <w:r>
        <w:rPr>
          <w:rFonts w:ascii="华文细黑" w:hAnsi="华文细黑" w:cs="华文细黑" w:eastAsia="华文细黑" w:hint="default"/>
        </w:rPr>
        <w:t>10</w:t>
      </w:r>
      <w:r>
        <w:rPr>
          <w:rFonts w:ascii="华文细黑" w:hAnsi="华文细黑" w:cs="华文细黑" w:eastAsia="华文细黑" w:hint="default"/>
          <w:spacing w:val="14"/>
        </w:rPr>
        <w:t> </w:t>
      </w:r>
      <w:r>
        <w:rPr/>
        <w:t>股派</w:t>
      </w:r>
      <w:r>
        <w:rPr>
          <w:spacing w:val="-2"/>
        </w:rPr>
        <w:t> </w:t>
      </w:r>
      <w:r>
        <w:rPr/>
        <w:t>发现金红利 </w:t>
      </w:r>
      <w:r>
        <w:rPr>
          <w:rFonts w:ascii="华文细黑" w:hAnsi="华文细黑" w:cs="华文细黑" w:eastAsia="华文细黑" w:hint="default"/>
        </w:rPr>
        <w:t>2.00 </w:t>
      </w:r>
      <w:r>
        <w:rPr>
          <w:spacing w:val="-11"/>
        </w:rPr>
        <w:t>元（含税），共计派发现金红利</w:t>
      </w:r>
      <w:r>
        <w:rPr/>
        <w:t> </w:t>
      </w:r>
      <w:r>
        <w:rPr>
          <w:rFonts w:ascii="华文细黑" w:hAnsi="华文细黑" w:cs="华文细黑" w:eastAsia="华文细黑" w:hint="default"/>
          <w:spacing w:val="-1"/>
        </w:rPr>
        <w:t>247,856,361.20</w:t>
      </w:r>
      <w:r>
        <w:rPr>
          <w:rFonts w:ascii="华文细黑" w:hAnsi="华文细黑" w:cs="华文细黑" w:eastAsia="华文细黑" w:hint="default"/>
          <w:spacing w:val="20"/>
        </w:rPr>
        <w:t> </w:t>
      </w:r>
      <w:r>
        <w:rPr>
          <w:spacing w:val="-3"/>
        </w:rPr>
        <w:t>元。本次利润分配完成后，剩余未</w:t>
      </w:r>
      <w:r>
        <w:rPr/>
        <w:t> 分配利润人民币 </w:t>
      </w:r>
      <w:r>
        <w:rPr>
          <w:rFonts w:ascii="华文细黑" w:hAnsi="华文细黑" w:cs="华文细黑" w:eastAsia="华文细黑" w:hint="default"/>
        </w:rPr>
        <w:t>994,527,806.13</w:t>
      </w:r>
      <w:r>
        <w:rPr>
          <w:rFonts w:ascii="华文细黑" w:hAnsi="华文细黑" w:cs="华文细黑" w:eastAsia="华文细黑" w:hint="default"/>
          <w:spacing w:val="-1"/>
        </w:rPr>
        <w:t> </w:t>
      </w:r>
      <w:r>
        <w:rPr/>
        <w:t>元结转以后年度分配。</w:t>
      </w:r>
    </w:p>
    <w:p>
      <w:pPr>
        <w:pStyle w:val="Heading5"/>
        <w:spacing w:line="240" w:lineRule="auto" w:before="64"/>
        <w:ind w:left="560" w:right="1246"/>
        <w:jc w:val="left"/>
        <w:rPr>
          <w:b w:val="0"/>
          <w:bCs w:val="0"/>
        </w:rPr>
      </w:pPr>
      <w:bookmarkStart w:name="2、2019年1月1日起执行新会计准则的影响" w:id="346"/>
      <w:bookmarkEnd w:id="346"/>
      <w:r>
        <w:rPr>
          <w:b w:val="0"/>
          <w:bCs w:val="0"/>
        </w:rPr>
      </w:r>
      <w:r>
        <w:rPr>
          <w:rFonts w:ascii="华文细黑" w:hAnsi="华文细黑" w:cs="华文细黑" w:eastAsia="华文细黑" w:hint="default"/>
        </w:rPr>
        <w:t>2</w:t>
      </w:r>
      <w:r>
        <w:rPr/>
        <w:t>、</w:t>
      </w:r>
      <w:r>
        <w:rPr>
          <w:rFonts w:ascii="华文细黑" w:hAnsi="华文细黑" w:cs="华文细黑" w:eastAsia="华文细黑" w:hint="default"/>
        </w:rPr>
        <w:t>2019 </w:t>
      </w:r>
      <w:r>
        <w:rPr/>
        <w:t>年 </w:t>
      </w:r>
      <w:r>
        <w:rPr>
          <w:rFonts w:ascii="华文细黑" w:hAnsi="华文细黑" w:cs="华文细黑" w:eastAsia="华文细黑" w:hint="default"/>
        </w:rPr>
        <w:t>1 </w:t>
      </w:r>
      <w:r>
        <w:rPr/>
        <w:t>月 </w:t>
      </w:r>
      <w:r>
        <w:rPr>
          <w:rFonts w:ascii="华文细黑" w:hAnsi="华文细黑" w:cs="华文细黑" w:eastAsia="华文细黑" w:hint="default"/>
        </w:rPr>
        <w:t>1</w:t>
      </w:r>
      <w:r>
        <w:rPr>
          <w:rFonts w:ascii="华文细黑" w:hAnsi="华文细黑" w:cs="华文细黑" w:eastAsia="华文细黑" w:hint="default"/>
          <w:spacing w:val="-2"/>
        </w:rPr>
        <w:t> </w:t>
      </w:r>
      <w:r>
        <w:rPr/>
        <w:t>日起执行新会计准则的影响</w:t>
      </w:r>
      <w:r>
        <w:rPr>
          <w:b w:val="0"/>
          <w:bCs w:val="0"/>
        </w:rPr>
      </w:r>
    </w:p>
    <w:p>
      <w:pPr>
        <w:pStyle w:val="BodyText"/>
        <w:spacing w:line="324" w:lineRule="auto" w:before="142"/>
        <w:ind w:right="1426" w:firstLine="420"/>
        <w:jc w:val="left"/>
      </w:pPr>
      <w:r>
        <w:rPr/>
        <w:t>财政部于</w:t>
      </w:r>
      <w:r>
        <w:rPr>
          <w:spacing w:val="-6"/>
        </w:rPr>
        <w:t> </w:t>
      </w:r>
      <w:r>
        <w:rPr>
          <w:rFonts w:ascii="华文细黑" w:hAnsi="华文细黑" w:cs="华文细黑" w:eastAsia="华文细黑" w:hint="default"/>
        </w:rPr>
        <w:t>2017</w:t>
      </w:r>
      <w:r>
        <w:rPr>
          <w:rFonts w:ascii="华文细黑" w:hAnsi="华文细黑" w:cs="华文细黑" w:eastAsia="华文细黑" w:hint="default"/>
          <w:spacing w:val="-6"/>
        </w:rPr>
        <w:t> </w:t>
      </w:r>
      <w:r>
        <w:rPr/>
        <w:t>年</w:t>
      </w:r>
      <w:r>
        <w:rPr>
          <w:spacing w:val="-6"/>
        </w:rPr>
        <w:t> </w:t>
      </w:r>
      <w:r>
        <w:rPr>
          <w:rFonts w:ascii="华文细黑" w:hAnsi="华文细黑" w:cs="华文细黑" w:eastAsia="华文细黑" w:hint="default"/>
        </w:rPr>
        <w:t>3</w:t>
      </w:r>
      <w:r>
        <w:rPr>
          <w:rFonts w:ascii="华文细黑" w:hAnsi="华文细黑" w:cs="华文细黑" w:eastAsia="华文细黑" w:hint="default"/>
          <w:spacing w:val="-6"/>
        </w:rPr>
        <w:t> </w:t>
      </w:r>
      <w:r>
        <w:rPr/>
        <w:t>月</w:t>
      </w:r>
      <w:r>
        <w:rPr>
          <w:spacing w:val="-6"/>
        </w:rPr>
        <w:t> </w:t>
      </w:r>
      <w:r>
        <w:rPr>
          <w:rFonts w:ascii="华文细黑" w:hAnsi="华文细黑" w:cs="华文细黑" w:eastAsia="华文细黑" w:hint="default"/>
          <w:spacing w:val="-2"/>
        </w:rPr>
        <w:t>3</w:t>
      </w:r>
      <w:r>
        <w:rPr>
          <w:rFonts w:ascii="华文细黑" w:hAnsi="华文细黑" w:cs="华文细黑" w:eastAsia="华文细黑" w:hint="default"/>
        </w:rPr>
        <w:t>1</w:t>
      </w:r>
      <w:r>
        <w:rPr>
          <w:rFonts w:ascii="华文细黑" w:hAnsi="华文细黑" w:cs="华文细黑" w:eastAsia="华文细黑" w:hint="default"/>
          <w:spacing w:val="-6"/>
        </w:rPr>
        <w:t> </w:t>
      </w:r>
      <w:r>
        <w:rPr/>
        <w:t>日分别发布</w:t>
      </w:r>
      <w:r>
        <w:rPr>
          <w:spacing w:val="-105"/>
        </w:rPr>
        <w:t>了</w:t>
      </w:r>
      <w:r>
        <w:rPr/>
        <w:t>《企业会</w:t>
      </w:r>
      <w:r>
        <w:rPr>
          <w:spacing w:val="-2"/>
        </w:rPr>
        <w:t>计</w:t>
      </w:r>
      <w:r>
        <w:rPr/>
        <w:t>准则第</w:t>
      </w:r>
      <w:r>
        <w:rPr>
          <w:spacing w:val="-6"/>
        </w:rPr>
        <w:t> </w:t>
      </w:r>
      <w:r>
        <w:rPr>
          <w:rFonts w:ascii="华文细黑" w:hAnsi="华文细黑" w:cs="华文细黑" w:eastAsia="华文细黑" w:hint="default"/>
        </w:rPr>
        <w:t>22</w:t>
      </w:r>
      <w:r>
        <w:rPr>
          <w:rFonts w:ascii="华文细黑" w:hAnsi="华文细黑" w:cs="华文细黑" w:eastAsia="华文细黑" w:hint="default"/>
          <w:spacing w:val="-6"/>
        </w:rPr>
        <w:t> </w:t>
      </w:r>
      <w:r>
        <w:rPr/>
        <w:t>号——金融工具确认和计</w:t>
      </w:r>
      <w:r>
        <w:rPr>
          <w:spacing w:val="-105"/>
        </w:rPr>
        <w:t>量</w:t>
      </w:r>
      <w:r>
        <w:rPr/>
        <w:t>（</w:t>
      </w:r>
      <w:r>
        <w:rPr>
          <w:rFonts w:ascii="华文细黑" w:hAnsi="华文细黑" w:cs="华文细黑" w:eastAsia="华文细黑" w:hint="default"/>
        </w:rPr>
        <w:t>2017 </w:t>
      </w:r>
      <w:r>
        <w:rPr/>
        <w:t>年修订</w:t>
      </w:r>
      <w:r>
        <w:rPr>
          <w:spacing w:val="-105"/>
        </w:rPr>
        <w:t>）</w:t>
      </w:r>
      <w:r>
        <w:rPr>
          <w:spacing w:val="-108"/>
        </w:rPr>
        <w:t>》</w:t>
      </w:r>
      <w:r>
        <w:rPr>
          <w:spacing w:val="-2"/>
        </w:rPr>
        <w:t>（</w:t>
      </w:r>
      <w:r>
        <w:rPr/>
        <w:t>财</w:t>
      </w:r>
      <w:r>
        <w:rPr>
          <w:spacing w:val="-4"/>
        </w:rPr>
        <w:t>会</w:t>
      </w:r>
      <w:r>
        <w:rPr/>
        <w:t>〔</w:t>
      </w:r>
      <w:r>
        <w:rPr>
          <w:rFonts w:ascii="华文细黑" w:hAnsi="华文细黑" w:cs="华文细黑" w:eastAsia="华文细黑" w:hint="default"/>
        </w:rPr>
        <w:t>201</w:t>
      </w:r>
      <w:r>
        <w:rPr>
          <w:rFonts w:ascii="华文细黑" w:hAnsi="华文细黑" w:cs="华文细黑" w:eastAsia="华文细黑" w:hint="default"/>
          <w:spacing w:val="-2"/>
        </w:rPr>
        <w:t>7</w:t>
      </w:r>
      <w:r>
        <w:rPr>
          <w:spacing w:val="-4"/>
        </w:rPr>
        <w:t>〕</w:t>
      </w:r>
      <w:r>
        <w:rPr>
          <w:rFonts w:ascii="华文细黑" w:hAnsi="华文细黑" w:cs="华文细黑" w:eastAsia="华文细黑" w:hint="default"/>
        </w:rPr>
        <w:t>7 </w:t>
      </w:r>
      <w:r>
        <w:rPr/>
        <w:t>号</w:t>
      </w:r>
      <w:r>
        <w:rPr>
          <w:spacing w:val="-106"/>
        </w:rPr>
        <w:t>）</w:t>
      </w:r>
      <w:r>
        <w:rPr>
          <w:spacing w:val="-108"/>
        </w:rPr>
        <w:t>、</w:t>
      </w:r>
      <w:r>
        <w:rPr/>
        <w:t>《</w:t>
      </w:r>
      <w:r>
        <w:rPr>
          <w:spacing w:val="-2"/>
        </w:rPr>
        <w:t>企</w:t>
      </w:r>
      <w:r>
        <w:rPr/>
        <w:t>业会计准则第 </w:t>
      </w:r>
      <w:r>
        <w:rPr>
          <w:rFonts w:ascii="华文细黑" w:hAnsi="华文细黑" w:cs="华文细黑" w:eastAsia="华文细黑" w:hint="default"/>
        </w:rPr>
        <w:t>23 </w:t>
      </w:r>
      <w:r>
        <w:rPr/>
        <w:t>号—</w:t>
      </w:r>
      <w:r>
        <w:rPr>
          <w:spacing w:val="-2"/>
        </w:rPr>
        <w:t>—</w:t>
      </w:r>
      <w:r>
        <w:rPr/>
        <w:t>金融资产转</w:t>
      </w:r>
      <w:r>
        <w:rPr>
          <w:spacing w:val="-4"/>
        </w:rPr>
        <w:t>移</w:t>
      </w:r>
      <w:r>
        <w:rPr/>
        <w:t>（</w:t>
      </w:r>
      <w:r>
        <w:rPr>
          <w:rFonts w:ascii="华文细黑" w:hAnsi="华文细黑" w:cs="华文细黑" w:eastAsia="华文细黑" w:hint="default"/>
        </w:rPr>
        <w:t>2017 </w:t>
      </w:r>
      <w:r>
        <w:rPr>
          <w:spacing w:val="-2"/>
        </w:rPr>
        <w:t>年</w:t>
      </w:r>
      <w:r>
        <w:rPr/>
        <w:t>修订</w:t>
      </w:r>
      <w:r>
        <w:rPr>
          <w:spacing w:val="-105"/>
        </w:rPr>
        <w:t>）</w:t>
      </w:r>
      <w:r>
        <w:rPr>
          <w:spacing w:val="-108"/>
        </w:rPr>
        <w:t>》</w:t>
      </w:r>
      <w:r>
        <w:rPr/>
        <w:t>（</w:t>
      </w:r>
      <w:r>
        <w:rPr>
          <w:spacing w:val="-2"/>
        </w:rPr>
        <w:t>财</w:t>
      </w:r>
      <w:r>
        <w:rPr/>
        <w:t>会</w:t>
      </w:r>
    </w:p>
    <w:p>
      <w:pPr>
        <w:pStyle w:val="BodyText"/>
        <w:spacing w:line="324" w:lineRule="auto" w:before="23"/>
        <w:ind w:right="1324"/>
        <w:jc w:val="left"/>
      </w:pPr>
      <w:r>
        <w:rPr/>
        <w:t>〔</w:t>
      </w:r>
      <w:r>
        <w:rPr>
          <w:rFonts w:ascii="华文细黑" w:hAnsi="华文细黑" w:cs="华文细黑" w:eastAsia="华文细黑" w:hint="default"/>
        </w:rPr>
        <w:t>2017</w:t>
      </w:r>
      <w:r>
        <w:rPr/>
        <w:t>〕</w:t>
      </w:r>
      <w:r>
        <w:rPr>
          <w:rFonts w:ascii="华文细黑" w:hAnsi="华文细黑" w:cs="华文细黑" w:eastAsia="华文细黑" w:hint="default"/>
        </w:rPr>
        <w:t>8</w:t>
      </w:r>
      <w:r>
        <w:rPr>
          <w:rFonts w:ascii="华文细黑" w:hAnsi="华文细黑" w:cs="华文细黑" w:eastAsia="华文细黑" w:hint="default"/>
          <w:spacing w:val="14"/>
        </w:rPr>
        <w:t> </w:t>
      </w:r>
      <w:r>
        <w:rPr/>
        <w:t>号</w:t>
      </w:r>
      <w:r>
        <w:rPr>
          <w:spacing w:val="-105"/>
        </w:rPr>
        <w:t>）、</w:t>
      </w:r>
      <w:r>
        <w:rPr/>
        <w:t>《企</w:t>
      </w:r>
      <w:r>
        <w:rPr>
          <w:spacing w:val="-2"/>
        </w:rPr>
        <w:t>业</w:t>
      </w:r>
      <w:r>
        <w:rPr/>
        <w:t>会计准则第</w:t>
      </w:r>
      <w:r>
        <w:rPr>
          <w:spacing w:val="15"/>
        </w:rPr>
        <w:t> </w:t>
      </w:r>
      <w:r>
        <w:rPr>
          <w:rFonts w:ascii="华文细黑" w:hAnsi="华文细黑" w:cs="华文细黑" w:eastAsia="华文细黑" w:hint="default"/>
        </w:rPr>
        <w:t>24</w:t>
      </w:r>
      <w:r>
        <w:rPr>
          <w:rFonts w:ascii="华文细黑" w:hAnsi="华文细黑" w:cs="华文细黑" w:eastAsia="华文细黑" w:hint="default"/>
          <w:spacing w:val="16"/>
        </w:rPr>
        <w:t> </w:t>
      </w:r>
      <w:r>
        <w:rPr/>
        <w:t>号——</w:t>
      </w:r>
      <w:r>
        <w:rPr>
          <w:spacing w:val="-2"/>
        </w:rPr>
        <w:t>套</w:t>
      </w:r>
      <w:r>
        <w:rPr/>
        <w:t>期会计（</w:t>
      </w:r>
      <w:r>
        <w:rPr>
          <w:rFonts w:ascii="华文细黑" w:hAnsi="华文细黑" w:cs="华文细黑" w:eastAsia="华文细黑" w:hint="default"/>
        </w:rPr>
        <w:t>2017</w:t>
      </w:r>
      <w:r>
        <w:rPr>
          <w:rFonts w:ascii="华文细黑" w:hAnsi="华文细黑" w:cs="华文细黑" w:eastAsia="华文细黑" w:hint="default"/>
          <w:spacing w:val="15"/>
        </w:rPr>
        <w:t> </w:t>
      </w:r>
      <w:r>
        <w:rPr/>
        <w:t>年修订</w:t>
      </w:r>
      <w:r>
        <w:rPr>
          <w:spacing w:val="-105"/>
        </w:rPr>
        <w:t>）</w:t>
      </w:r>
      <w:r>
        <w:rPr>
          <w:spacing w:val="-106"/>
        </w:rPr>
        <w:t>》</w:t>
      </w:r>
      <w:r>
        <w:rPr/>
        <w:t>（财会〔</w:t>
      </w:r>
      <w:r>
        <w:rPr>
          <w:rFonts w:ascii="华文细黑" w:hAnsi="华文细黑" w:cs="华文细黑" w:eastAsia="华文细黑" w:hint="default"/>
        </w:rPr>
        <w:t>2017</w:t>
      </w:r>
      <w:r>
        <w:rPr/>
        <w:t>〕</w:t>
      </w:r>
      <w:r>
        <w:rPr>
          <w:rFonts w:ascii="华文细黑" w:hAnsi="华文细黑" w:cs="华文细黑" w:eastAsia="华文细黑" w:hint="default"/>
        </w:rPr>
        <w:t>9</w:t>
      </w:r>
      <w:r>
        <w:rPr>
          <w:rFonts w:ascii="华文细黑" w:hAnsi="华文细黑" w:cs="华文细黑" w:eastAsia="华文细黑" w:hint="default"/>
          <w:spacing w:val="15"/>
        </w:rPr>
        <w:t> </w:t>
      </w:r>
      <w:r>
        <w:rPr/>
        <w:t>号</w:t>
      </w:r>
      <w:r>
        <w:rPr>
          <w:spacing w:val="-105"/>
        </w:rPr>
        <w:t>）</w:t>
      </w:r>
      <w:r>
        <w:rPr>
          <w:spacing w:val="-2"/>
        </w:rPr>
        <w:t>，</w:t>
      </w:r>
      <w:r>
        <w:rPr/>
        <w:t>于</w:t>
      </w:r>
      <w:r>
        <w:rPr/>
        <w:t> </w:t>
      </w:r>
      <w:r>
        <w:rPr>
          <w:rFonts w:ascii="华文细黑" w:hAnsi="华文细黑" w:cs="华文细黑" w:eastAsia="华文细黑" w:hint="default"/>
        </w:rPr>
        <w:t>2017 </w:t>
      </w:r>
      <w:r>
        <w:rPr/>
        <w:t>年 </w:t>
      </w:r>
      <w:r>
        <w:rPr>
          <w:rFonts w:ascii="华文细黑" w:hAnsi="华文细黑" w:cs="华文细黑" w:eastAsia="华文细黑" w:hint="default"/>
        </w:rPr>
        <w:t>5 </w:t>
      </w:r>
      <w:r>
        <w:rPr/>
        <w:t>月</w:t>
      </w:r>
      <w:r>
        <w:rPr>
          <w:spacing w:val="-1"/>
        </w:rPr>
        <w:t> </w:t>
      </w:r>
      <w:r>
        <w:rPr>
          <w:rFonts w:ascii="华文细黑" w:hAnsi="华文细黑" w:cs="华文细黑" w:eastAsia="华文细黑" w:hint="default"/>
        </w:rPr>
        <w:t>2 </w:t>
      </w:r>
      <w:r>
        <w:rPr/>
        <w:t>日发布</w:t>
      </w:r>
      <w:r>
        <w:rPr>
          <w:spacing w:val="-21"/>
        </w:rPr>
        <w:t>了</w:t>
      </w:r>
      <w:r>
        <w:rPr/>
        <w:t>《企业会计准则第 </w:t>
      </w:r>
      <w:r>
        <w:rPr>
          <w:rFonts w:ascii="华文细黑" w:hAnsi="华文细黑" w:cs="华文细黑" w:eastAsia="华文细黑" w:hint="default"/>
        </w:rPr>
        <w:t>37 </w:t>
      </w:r>
      <w:r>
        <w:rPr/>
        <w:t>号</w:t>
      </w:r>
      <w:r>
        <w:rPr>
          <w:spacing w:val="-2"/>
        </w:rPr>
        <w:t>—</w:t>
      </w:r>
      <w:r>
        <w:rPr/>
        <w:t>—金融工具列</w:t>
      </w:r>
      <w:r>
        <w:rPr>
          <w:spacing w:val="-21"/>
        </w:rPr>
        <w:t>报</w:t>
      </w:r>
      <w:r>
        <w:rPr>
          <w:spacing w:val="-1"/>
        </w:rPr>
        <w:t>（</w:t>
      </w:r>
      <w:r>
        <w:rPr>
          <w:rFonts w:ascii="华文细黑" w:hAnsi="华文细黑" w:cs="华文细黑" w:eastAsia="华文细黑" w:hint="default"/>
        </w:rPr>
        <w:t>2017 </w:t>
      </w:r>
      <w:r>
        <w:rPr/>
        <w:t>年修订</w:t>
      </w:r>
      <w:r>
        <w:rPr>
          <w:spacing w:val="-105"/>
        </w:rPr>
        <w:t>）</w:t>
      </w:r>
      <w:r>
        <w:rPr>
          <w:spacing w:val="-125"/>
        </w:rPr>
        <w:t>》</w:t>
      </w:r>
      <w:r>
        <w:rPr>
          <w:spacing w:val="-2"/>
        </w:rPr>
        <w:t>（</w:t>
      </w:r>
      <w:r>
        <w:rPr/>
        <w:t>财</w:t>
      </w:r>
      <w:r>
        <w:rPr>
          <w:spacing w:val="-21"/>
        </w:rPr>
        <w:t>会</w:t>
      </w:r>
      <w:r>
        <w:rPr>
          <w:spacing w:val="-1"/>
        </w:rPr>
        <w:t>〔</w:t>
      </w:r>
      <w:r>
        <w:rPr>
          <w:rFonts w:ascii="华文细黑" w:hAnsi="华文细黑" w:cs="华文细黑" w:eastAsia="华文细黑" w:hint="default"/>
        </w:rPr>
        <w:t>2017</w:t>
      </w:r>
      <w:r>
        <w:rPr/>
        <w:t>〕</w:t>
      </w:r>
    </w:p>
    <w:p>
      <w:pPr>
        <w:pStyle w:val="BodyText"/>
        <w:spacing w:line="240" w:lineRule="auto" w:before="25"/>
        <w:ind w:right="1246"/>
        <w:jc w:val="left"/>
      </w:pPr>
      <w:r>
        <w:rPr>
          <w:rFonts w:ascii="华文细黑" w:hAnsi="华文细黑" w:cs="华文细黑" w:eastAsia="华文细黑" w:hint="default"/>
        </w:rPr>
        <w:t>14 </w:t>
      </w:r>
      <w:r>
        <w:rPr/>
        <w:t>号</w:t>
      </w:r>
      <w:r>
        <w:rPr>
          <w:spacing w:val="-119"/>
        </w:rPr>
        <w:t>）</w:t>
      </w:r>
      <w:r>
        <w:rPr/>
        <w:t>（上</w:t>
      </w:r>
      <w:r>
        <w:rPr>
          <w:spacing w:val="-2"/>
        </w:rPr>
        <w:t>述</w:t>
      </w:r>
      <w:r>
        <w:rPr/>
        <w:t>准则以下统</w:t>
      </w:r>
      <w:r>
        <w:rPr>
          <w:spacing w:val="-15"/>
        </w:rPr>
        <w:t>称</w:t>
      </w:r>
      <w:r>
        <w:rPr/>
        <w:t>“新金融工具准则</w:t>
      </w:r>
      <w:r>
        <w:rPr>
          <w:spacing w:val="-105"/>
        </w:rPr>
        <w:t>”</w:t>
      </w:r>
      <w:r>
        <w:rPr>
          <w:spacing w:val="-106"/>
        </w:rPr>
        <w:t>）</w:t>
      </w:r>
      <w:r>
        <w:rPr>
          <w:spacing w:val="-15"/>
        </w:rPr>
        <w:t>，</w:t>
      </w:r>
      <w:r>
        <w:rPr/>
        <w:t>并要求境内上市公司自 </w:t>
      </w:r>
      <w:r>
        <w:rPr>
          <w:rFonts w:ascii="华文细黑" w:hAnsi="华文细黑" w:cs="华文细黑" w:eastAsia="华文细黑" w:hint="default"/>
        </w:rPr>
        <w:t>2019 </w:t>
      </w:r>
      <w:r>
        <w:rPr/>
        <w:t>年 </w:t>
      </w:r>
      <w:r>
        <w:rPr>
          <w:rFonts w:ascii="华文细黑" w:hAnsi="华文细黑" w:cs="华文细黑" w:eastAsia="华文细黑" w:hint="default"/>
        </w:rPr>
        <w:t>1</w:t>
      </w:r>
      <w:r>
        <w:rPr>
          <w:rFonts w:ascii="华文细黑" w:hAnsi="华文细黑" w:cs="华文细黑" w:eastAsia="华文细黑" w:hint="default"/>
          <w:spacing w:val="-1"/>
        </w:rPr>
        <w:t> </w:t>
      </w:r>
      <w:r>
        <w:rPr/>
        <w:t>月 </w:t>
      </w:r>
      <w:r>
        <w:rPr>
          <w:rFonts w:ascii="华文细黑" w:hAnsi="华文细黑" w:cs="华文细黑" w:eastAsia="华文细黑" w:hint="default"/>
        </w:rPr>
        <w:t>1 </w:t>
      </w:r>
      <w:r>
        <w:rPr/>
        <w:t>日起</w:t>
      </w:r>
      <w:r>
        <w:rPr>
          <w:spacing w:val="-2"/>
        </w:rPr>
        <w:t>施</w:t>
      </w:r>
      <w:r>
        <w:rPr>
          <w:spacing w:val="1"/>
        </w:rPr>
        <w:t>行</w:t>
      </w:r>
      <w:r>
        <w:rPr/>
        <w:t>。</w:t>
      </w:r>
    </w:p>
    <w:p>
      <w:pPr>
        <w:pStyle w:val="BodyText"/>
        <w:spacing w:line="240" w:lineRule="auto" w:before="103"/>
        <w:ind w:right="1246"/>
        <w:jc w:val="left"/>
        <w:rPr>
          <w:rFonts w:ascii="华文细黑" w:hAnsi="华文细黑" w:cs="华文细黑" w:eastAsia="华文细黑" w:hint="default"/>
        </w:rPr>
      </w:pPr>
      <w:r>
        <w:rPr/>
        <w:t>经本公司第四届董事会第二十四次（定期）会议于 </w:t>
      </w:r>
      <w:r>
        <w:rPr>
          <w:rFonts w:ascii="华文细黑" w:hAnsi="华文细黑" w:cs="华文细黑" w:eastAsia="华文细黑" w:hint="default"/>
        </w:rPr>
        <w:t>2019 </w:t>
      </w:r>
      <w:r>
        <w:rPr/>
        <w:t>年 </w:t>
      </w:r>
      <w:r>
        <w:rPr>
          <w:rFonts w:ascii="华文细黑" w:hAnsi="华文细黑" w:cs="华文细黑" w:eastAsia="华文细黑" w:hint="default"/>
        </w:rPr>
        <w:t>4 </w:t>
      </w:r>
      <w:r>
        <w:rPr/>
        <w:t>月 </w:t>
      </w:r>
      <w:r>
        <w:rPr>
          <w:rFonts w:ascii="华文细黑" w:hAnsi="华文细黑" w:cs="华文细黑" w:eastAsia="华文细黑" w:hint="default"/>
        </w:rPr>
        <w:t>12 </w:t>
      </w:r>
      <w:r>
        <w:rPr/>
        <w:t>日决议通过，本公司将于</w:t>
      </w:r>
      <w:r>
        <w:rPr>
          <w:spacing w:val="23"/>
        </w:rPr>
        <w:t> </w:t>
      </w:r>
      <w:r>
        <w:rPr>
          <w:rFonts w:ascii="华文细黑" w:hAnsi="华文细黑" w:cs="华文细黑" w:eastAsia="华文细黑" w:hint="default"/>
        </w:rPr>
        <w:t>2019</w:t>
      </w:r>
    </w:p>
    <w:p>
      <w:pPr>
        <w:pStyle w:val="BodyText"/>
        <w:spacing w:line="240" w:lineRule="auto" w:before="103"/>
        <w:ind w:right="1246"/>
        <w:jc w:val="left"/>
      </w:pPr>
      <w:r>
        <w:rPr/>
        <w:t>年 </w:t>
      </w:r>
      <w:r>
        <w:rPr>
          <w:rFonts w:ascii="华文细黑" w:hAnsi="华文细黑" w:cs="华文细黑" w:eastAsia="华文细黑" w:hint="default"/>
        </w:rPr>
        <w:t>1 </w:t>
      </w:r>
      <w:r>
        <w:rPr/>
        <w:t>月 </w:t>
      </w:r>
      <w:r>
        <w:rPr>
          <w:rFonts w:ascii="华文细黑" w:hAnsi="华文细黑" w:cs="华文细黑" w:eastAsia="华文细黑" w:hint="default"/>
        </w:rPr>
        <w:t>1</w:t>
      </w:r>
      <w:r>
        <w:rPr>
          <w:rFonts w:ascii="华文细黑" w:hAnsi="华文细黑" w:cs="华文细黑" w:eastAsia="华文细黑" w:hint="default"/>
          <w:spacing w:val="-29"/>
        </w:rPr>
        <w:t> </w:t>
      </w:r>
      <w:r>
        <w:rPr/>
        <w:t>日起执行上述新金融工具准则，并将依据上述新金融工具准则的规定对相关会计政策进行</w:t>
      </w:r>
    </w:p>
    <w:p>
      <w:pPr>
        <w:pStyle w:val="BodyText"/>
        <w:spacing w:line="355" w:lineRule="auto" w:before="104"/>
        <w:ind w:left="560" w:right="2317" w:hanging="421"/>
        <w:jc w:val="left"/>
      </w:pPr>
      <w:r>
        <w:rPr/>
        <w:t>变更。本次会计政策变更对公司 </w:t>
      </w:r>
      <w:r>
        <w:rPr>
          <w:rFonts w:ascii="华文细黑" w:hAnsi="华文细黑" w:cs="华文细黑" w:eastAsia="华文细黑" w:hint="default"/>
        </w:rPr>
        <w:t>2018 </w:t>
      </w:r>
      <w:r>
        <w:rPr/>
        <w:t>年度财务状况、经营成果和现金流量无重大影响。 以下为所涉及的会计政策变更的主要内容： 在新金融工具准则下所有已确认金融资产其后续均按摊余成本或公允价值计量。</w:t>
      </w:r>
    </w:p>
    <w:p>
      <w:pPr>
        <w:pStyle w:val="BodyText"/>
        <w:spacing w:line="324" w:lineRule="auto" w:before="35"/>
        <w:ind w:right="1438" w:firstLine="420"/>
        <w:jc w:val="both"/>
      </w:pPr>
      <w:r>
        <w:rPr>
          <w:spacing w:val="4"/>
        </w:rPr>
        <w:t>在新金融工具准则施行日，以本公司该日既有事实和情况为基础评估管理金融资产的业务模</w:t>
      </w:r>
      <w:r>
        <w:rPr/>
        <w:t> </w:t>
      </w:r>
      <w:r>
        <w:rPr>
          <w:spacing w:val="-1"/>
        </w:rPr>
        <w:t>式、以金融资产初始确认时的事实和情况为基础评估该金融资产上的合同现金流量特征，将金融资</w:t>
      </w:r>
      <w:r>
        <w:rPr>
          <w:spacing w:val="-16"/>
        </w:rPr>
        <w:t> </w:t>
      </w:r>
      <w:r>
        <w:rPr>
          <w:spacing w:val="-16"/>
        </w:rPr>
      </w:r>
      <w:r>
        <w:rPr>
          <w:spacing w:val="-1"/>
        </w:rPr>
        <w:t>产分为三类：按摊余成本计量、按公允价值计量且其变动计入其他综合收益及按公允价值计量且其</w:t>
      </w:r>
      <w:r>
        <w:rPr>
          <w:spacing w:val="-16"/>
        </w:rPr>
        <w:t> </w:t>
      </w:r>
      <w:r>
        <w:rPr>
          <w:spacing w:val="-16"/>
        </w:rPr>
      </w:r>
      <w:r>
        <w:rPr>
          <w:spacing w:val="-1"/>
        </w:rPr>
        <w:t>变动计入损益。其中，对于按公允价值计量且其变动计入其他综合收益的权益工具投资，当该金融</w:t>
      </w:r>
      <w:r>
        <w:rPr>
          <w:spacing w:val="-16"/>
        </w:rPr>
        <w:t> </w:t>
      </w:r>
      <w:r>
        <w:rPr>
          <w:spacing w:val="-16"/>
        </w:rPr>
      </w:r>
      <w:r>
        <w:rPr>
          <w:spacing w:val="-1"/>
        </w:rPr>
        <w:t>资产终止确认时，之前计入其他综合收益的累计利得或损失将从其他综合收益转入留存收益，不计</w:t>
      </w:r>
    </w:p>
    <w:p>
      <w:pPr>
        <w:spacing w:after="0" w:line="324" w:lineRule="auto"/>
        <w:jc w:val="both"/>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240" w:lineRule="auto" w:before="10"/>
        <w:ind w:right="0"/>
        <w:jc w:val="both"/>
      </w:pPr>
      <w:r>
        <w:rPr/>
        <w:t>入当期损益。</w:t>
      </w:r>
    </w:p>
    <w:p>
      <w:pPr>
        <w:pStyle w:val="BodyText"/>
        <w:spacing w:line="324" w:lineRule="auto" w:before="144"/>
        <w:ind w:right="1436" w:firstLine="420"/>
        <w:jc w:val="both"/>
      </w:pPr>
      <w:r>
        <w:rPr/>
        <w:t>在新金融工具准则下，本公司以预期信用损失为基础，对以摊余成本计量的金融资产、以公允 价值计量且其变动计入其他综合收益的债务工具投资、租赁应收款、合同资产及财务担保合同计提 减值准备并确认信用减值损失。</w:t>
      </w:r>
    </w:p>
    <w:p>
      <w:pPr>
        <w:pStyle w:val="Heading5"/>
        <w:spacing w:line="240" w:lineRule="auto" w:before="64"/>
        <w:ind w:left="560" w:right="1246"/>
        <w:jc w:val="left"/>
        <w:rPr>
          <w:b w:val="0"/>
          <w:bCs w:val="0"/>
        </w:rPr>
      </w:pPr>
      <w:bookmarkStart w:name="3、其他重要的资产负债表日后非调整事项" w:id="347"/>
      <w:bookmarkEnd w:id="347"/>
      <w:r>
        <w:rPr>
          <w:b w:val="0"/>
          <w:bCs w:val="0"/>
        </w:rPr>
      </w:r>
      <w:r>
        <w:rPr>
          <w:rFonts w:ascii="华文细黑" w:hAnsi="华文细黑" w:cs="华文细黑" w:eastAsia="华文细黑" w:hint="default"/>
        </w:rPr>
        <w:t>3</w:t>
      </w:r>
      <w:r>
        <w:rPr/>
        <w:t>、其他重要的资产负债表日后非调整事项</w:t>
      </w:r>
      <w:r>
        <w:rPr>
          <w:b w:val="0"/>
          <w:bCs w:val="0"/>
        </w:rPr>
      </w:r>
    </w:p>
    <w:p>
      <w:pPr>
        <w:pStyle w:val="BodyText"/>
        <w:spacing w:line="355" w:lineRule="auto" w:before="144"/>
        <w:ind w:left="622" w:right="1246" w:hanging="63"/>
        <w:jc w:val="left"/>
      </w:pPr>
      <w:r>
        <w:rPr/>
        <w:t>（</w:t>
      </w:r>
      <w:r>
        <w:rPr>
          <w:rFonts w:ascii="华文细黑" w:hAnsi="华文细黑" w:cs="华文细黑" w:eastAsia="华文细黑" w:hint="default"/>
        </w:rPr>
        <w:t>1</w:t>
      </w:r>
      <w:r>
        <w:rPr/>
        <w:t>）诉中国农垦集团有限公司买卖合同纠纷案 </w:t>
      </w:r>
      <w:r>
        <w:rPr>
          <w:spacing w:val="-3"/>
        </w:rPr>
        <w:t>本公司之间接控股子公司深圳市优友供应链有限公司（以下简称“优友供应链公司”）向中国</w:t>
      </w:r>
    </w:p>
    <w:p>
      <w:pPr>
        <w:pStyle w:val="BodyText"/>
        <w:spacing w:line="324" w:lineRule="auto"/>
        <w:ind w:right="1322"/>
        <w:jc w:val="left"/>
      </w:pPr>
      <w:r>
        <w:rPr>
          <w:spacing w:val="-3"/>
        </w:rPr>
        <w:t>农垦（集团）总公司（以下简称“农垦集团”）销售玉米，农垦集团收到相关货物后拒向优友供应</w:t>
      </w:r>
      <w:r>
        <w:rPr>
          <w:spacing w:val="-31"/>
        </w:rPr>
        <w:t> </w:t>
      </w:r>
      <w:r>
        <w:rPr>
          <w:spacing w:val="-31"/>
        </w:rPr>
      </w:r>
      <w:r>
        <w:rPr>
          <w:spacing w:val="-4"/>
        </w:rPr>
        <w:t>链公司支付货款，截止 </w:t>
      </w:r>
      <w:r>
        <w:rPr>
          <w:rFonts w:ascii="华文细黑" w:hAnsi="华文细黑" w:cs="华文细黑" w:eastAsia="华文细黑" w:hint="default"/>
        </w:rPr>
        <w:t>2018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31 </w:t>
      </w:r>
      <w:r>
        <w:rPr>
          <w:spacing w:val="-3"/>
        </w:rPr>
        <w:t>日，农垦集团尚欠优友供应链公司 </w:t>
      </w:r>
      <w:r>
        <w:rPr>
          <w:rFonts w:ascii="华文细黑" w:hAnsi="华文细黑" w:cs="华文细黑" w:eastAsia="华文细黑" w:hint="default"/>
        </w:rPr>
        <w:t>63,380,000.00</w:t>
      </w:r>
      <w:r>
        <w:rPr>
          <w:rFonts w:ascii="华文细黑" w:hAnsi="华文细黑" w:cs="华文细黑" w:eastAsia="华文细黑" w:hint="default"/>
          <w:spacing w:val="17"/>
        </w:rPr>
        <w:t> </w:t>
      </w:r>
      <w:r>
        <w:rPr/>
        <w:t>元货款， 优友供应链公司已向深圳市中级人民法院申请立案，诉求为农垦集团向优友供应链公司支付货款及 违约金，优友供应链公司已申请冻结农垦集团持有中农发种业集团股份有限公司 </w:t>
      </w:r>
      <w:r>
        <w:rPr>
          <w:rFonts w:ascii="华文细黑" w:hAnsi="华文细黑" w:cs="华文细黑" w:eastAsia="华文细黑" w:hint="default"/>
        </w:rPr>
        <w:t>44,896,226.00 </w:t>
      </w:r>
      <w:r>
        <w:rPr/>
        <w:t>股</w:t>
      </w:r>
    </w:p>
    <w:p>
      <w:pPr>
        <w:pStyle w:val="BodyText"/>
        <w:spacing w:line="240" w:lineRule="auto" w:before="23"/>
        <w:ind w:right="0"/>
        <w:jc w:val="both"/>
        <w:rPr>
          <w:rFonts w:ascii="华文细黑" w:hAnsi="华文细黑" w:cs="华文细黑" w:eastAsia="华文细黑" w:hint="default"/>
        </w:rPr>
      </w:pPr>
      <w:r>
        <w:rPr>
          <w:spacing w:val="-8"/>
        </w:rPr>
        <w:t>股票，并得到支持。截止 </w:t>
      </w:r>
      <w:r>
        <w:rPr>
          <w:rFonts w:ascii="华文细黑" w:hAnsi="华文细黑" w:cs="华文细黑" w:eastAsia="华文细黑" w:hint="default"/>
        </w:rPr>
        <w:t>2018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31 </w:t>
      </w:r>
      <w:r>
        <w:rPr>
          <w:spacing w:val="-3"/>
        </w:rPr>
        <w:t>日，优友供应链公司针对该项债权已计提</w:t>
      </w:r>
      <w:r>
        <w:rPr>
          <w:spacing w:val="24"/>
        </w:rPr>
        <w:t> </w:t>
      </w:r>
      <w:r>
        <w:rPr>
          <w:rFonts w:ascii="华文细黑" w:hAnsi="华文细黑" w:cs="华文细黑" w:eastAsia="华文细黑" w:hint="default"/>
        </w:rPr>
        <w:t>10,166,152.00</w:t>
      </w:r>
    </w:p>
    <w:p>
      <w:pPr>
        <w:pStyle w:val="BodyText"/>
        <w:spacing w:line="240" w:lineRule="auto" w:before="103"/>
        <w:ind w:right="0"/>
        <w:jc w:val="both"/>
      </w:pPr>
      <w:r>
        <w:rPr/>
        <w:t>元坏账准备，该案件已于 </w:t>
      </w:r>
      <w:r>
        <w:rPr>
          <w:rFonts w:ascii="华文细黑" w:hAnsi="华文细黑" w:cs="华文细黑" w:eastAsia="华文细黑" w:hint="default"/>
        </w:rPr>
        <w:t>2019 </w:t>
      </w:r>
      <w:r>
        <w:rPr/>
        <w:t>年 </w:t>
      </w:r>
      <w:r>
        <w:rPr>
          <w:rFonts w:ascii="华文细黑" w:hAnsi="华文细黑" w:cs="华文细黑" w:eastAsia="华文细黑" w:hint="default"/>
        </w:rPr>
        <w:t>1 </w:t>
      </w:r>
      <w:r>
        <w:rPr/>
        <w:t>月 </w:t>
      </w:r>
      <w:r>
        <w:rPr>
          <w:rFonts w:ascii="华文细黑" w:hAnsi="华文细黑" w:cs="华文细黑" w:eastAsia="华文细黑" w:hint="default"/>
        </w:rPr>
        <w:t>29</w:t>
      </w:r>
      <w:r>
        <w:rPr>
          <w:rFonts w:ascii="华文细黑" w:hAnsi="华文细黑" w:cs="华文细黑" w:eastAsia="华文细黑" w:hint="default"/>
          <w:spacing w:val="-3"/>
        </w:rPr>
        <w:t> </w:t>
      </w:r>
      <w:r>
        <w:rPr/>
        <w:t>日开庭审理，截止本报告报出日，尚未收到庭审结果。</w:t>
      </w:r>
    </w:p>
    <w:p>
      <w:pPr>
        <w:pStyle w:val="BodyText"/>
        <w:spacing w:line="324" w:lineRule="auto" w:before="144"/>
        <w:ind w:right="1437" w:firstLine="420"/>
        <w:jc w:val="both"/>
      </w:pPr>
      <w:r>
        <w:rPr/>
        <w:t>（</w:t>
      </w:r>
      <w:r>
        <w:rPr>
          <w:rFonts w:ascii="华文细黑" w:hAnsi="华文细黑" w:cs="华文细黑" w:eastAsia="华文细黑" w:hint="default"/>
        </w:rPr>
        <w:t>2</w:t>
      </w:r>
      <w:r>
        <w:rPr>
          <w:spacing w:val="-4"/>
        </w:rPr>
        <w:t>）</w:t>
      </w:r>
      <w:r>
        <w:rPr/>
        <w:t>深圳市优友商业保理有限公</w:t>
      </w:r>
      <w:r>
        <w:rPr>
          <w:spacing w:val="-4"/>
        </w:rPr>
        <w:t>司</w:t>
      </w:r>
      <w:r>
        <w:rPr/>
        <w:t>（以下简</w:t>
      </w:r>
      <w:r>
        <w:rPr>
          <w:spacing w:val="-4"/>
        </w:rPr>
        <w:t>称</w:t>
      </w:r>
      <w:r>
        <w:rPr/>
        <w:t>“优友保理公司</w:t>
      </w:r>
      <w:r>
        <w:rPr>
          <w:spacing w:val="-105"/>
        </w:rPr>
        <w:t>”</w:t>
      </w:r>
      <w:r>
        <w:rPr>
          <w:spacing w:val="-4"/>
        </w:rPr>
        <w:t>）</w:t>
      </w:r>
      <w:r>
        <w:rPr/>
        <w:t>诉</w:t>
      </w:r>
      <w:r>
        <w:rPr>
          <w:spacing w:val="-2"/>
        </w:rPr>
        <w:t>深</w:t>
      </w:r>
      <w:r>
        <w:rPr/>
        <w:t>圳市飞马国际供应链股</w:t>
      </w:r>
      <w:r>
        <w:rPr/>
        <w:t> 份有限公司（以下简称“飞马国际公司</w:t>
      </w:r>
      <w:r>
        <w:rPr>
          <w:spacing w:val="-105"/>
        </w:rPr>
        <w:t>”</w:t>
      </w:r>
      <w:r>
        <w:rPr/>
        <w:t>）保</w:t>
      </w:r>
      <w:r>
        <w:rPr>
          <w:spacing w:val="-2"/>
        </w:rPr>
        <w:t>理</w:t>
      </w:r>
      <w:r>
        <w:rPr/>
        <w:t>款纠纷案</w:t>
      </w:r>
    </w:p>
    <w:p>
      <w:pPr>
        <w:pStyle w:val="BodyText"/>
        <w:spacing w:line="324" w:lineRule="auto" w:before="64"/>
        <w:ind w:right="1436" w:firstLine="420"/>
        <w:jc w:val="both"/>
      </w:pPr>
      <w:r>
        <w:rPr>
          <w:rFonts w:ascii="华文细黑" w:hAnsi="华文细黑" w:cs="华文细黑" w:eastAsia="华文细黑" w:hint="default"/>
        </w:rPr>
        <w:t>2018</w:t>
      </w:r>
      <w:r>
        <w:rPr>
          <w:rFonts w:ascii="华文细黑" w:hAnsi="华文细黑" w:cs="华文细黑" w:eastAsia="华文细黑" w:hint="default"/>
          <w:spacing w:val="12"/>
        </w:rPr>
        <w:t> </w:t>
      </w:r>
      <w:r>
        <w:rPr>
          <w:spacing w:val="-3"/>
        </w:rPr>
        <w:t>年期间，优友保理公司与上海寰亚电力运营管理有限公司（以下简称“寰亚电力公司”）</w:t>
      </w:r>
      <w:r>
        <w:rPr/>
        <w:t> </w:t>
      </w:r>
      <w:r>
        <w:rPr>
          <w:spacing w:val="-1"/>
        </w:rPr>
        <w:t>签订《国内商业保理合同》，对寰亚电力公司提供商业保理服务，寰亚电力公司将其所持有飞马国</w:t>
      </w:r>
      <w:r>
        <w:rPr>
          <w:spacing w:val="-29"/>
        </w:rPr>
        <w:t> </w:t>
      </w:r>
      <w:r>
        <w:rPr>
          <w:spacing w:val="-29"/>
        </w:rPr>
      </w:r>
      <w:r>
        <w:rPr/>
        <w:t>际公司的应收款转让给优友保理公司获取保理融资款，飞马国际公司通过商业承兑汇票向寰亚电力</w:t>
      </w:r>
      <w:r>
        <w:rPr/>
        <w:t> 公司结算，故寰亚电力公司将飞马国际公司的商业承兑汇票背书给了优友保理公司，商业承兑汇票 到期后，飞马国际公司拒绝承兑。截止 </w:t>
      </w:r>
      <w:r>
        <w:rPr>
          <w:rFonts w:ascii="华文细黑" w:hAnsi="华文细黑" w:cs="华文细黑" w:eastAsia="华文细黑" w:hint="default"/>
        </w:rPr>
        <w:t>2018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31</w:t>
      </w:r>
      <w:r>
        <w:rPr>
          <w:rFonts w:ascii="华文细黑" w:hAnsi="华文细黑" w:cs="华文细黑" w:eastAsia="华文细黑" w:hint="default"/>
          <w:spacing w:val="6"/>
        </w:rPr>
        <w:t> </w:t>
      </w:r>
      <w:r>
        <w:rPr/>
        <w:t>日，优友保理公司就该保理业务应收款项</w:t>
      </w:r>
    </w:p>
    <w:p>
      <w:pPr>
        <w:pStyle w:val="BodyText"/>
        <w:spacing w:line="324" w:lineRule="auto" w:before="25"/>
        <w:ind w:right="1438"/>
        <w:jc w:val="both"/>
      </w:pPr>
      <w:r>
        <w:rPr/>
        <w:t>为 </w:t>
      </w:r>
      <w:r>
        <w:rPr>
          <w:rFonts w:ascii="华文细黑" w:hAnsi="华文细黑" w:cs="华文细黑" w:eastAsia="华文细黑" w:hint="default"/>
        </w:rPr>
        <w:t>149,620,126.57 </w:t>
      </w:r>
      <w:r>
        <w:rPr/>
        <w:t>元，针对该项债权已计提坏账准备 </w:t>
      </w:r>
      <w:r>
        <w:rPr>
          <w:rFonts w:ascii="华文细黑" w:hAnsi="华文细黑" w:cs="华文细黑" w:eastAsia="华文细黑" w:hint="default"/>
        </w:rPr>
        <w:t>2,992,402.53</w:t>
      </w:r>
      <w:r>
        <w:rPr>
          <w:rFonts w:ascii="华文细黑" w:hAnsi="华文细黑" w:cs="华文细黑" w:eastAsia="华文细黑" w:hint="default"/>
          <w:spacing w:val="47"/>
        </w:rPr>
        <w:t> </w:t>
      </w:r>
      <w:r>
        <w:rPr/>
        <w:t>元。优友保理公司向深圳市福 田区人民法院提起以下诉讼：</w:t>
      </w:r>
    </w:p>
    <w:p>
      <w:pPr>
        <w:pStyle w:val="BodyText"/>
        <w:spacing w:line="324" w:lineRule="auto" w:before="64"/>
        <w:ind w:right="1437" w:firstLine="420"/>
        <w:jc w:val="both"/>
      </w:pPr>
      <w:r>
        <w:rPr/>
        <w:t>①优友保理公司向深圳市福田区人民法院申请立案，诉求为被告飞马国际公司、黄壮勉（连带 责任担保人）支付票据款项 </w:t>
      </w:r>
      <w:r>
        <w:rPr>
          <w:rFonts w:ascii="华文细黑" w:hAnsi="华文细黑" w:cs="华文细黑" w:eastAsia="华文细黑" w:hint="default"/>
        </w:rPr>
        <w:t>44,252,479.99</w:t>
      </w:r>
      <w:r>
        <w:rPr>
          <w:rFonts w:ascii="华文细黑" w:hAnsi="华文细黑" w:cs="华文细黑" w:eastAsia="华文细黑" w:hint="default"/>
          <w:spacing w:val="23"/>
        </w:rPr>
        <w:t> </w:t>
      </w:r>
      <w:r>
        <w:rPr/>
        <w:t>元及逾期利息等，深圳市福田区人民法院冻结飞马国际</w:t>
      </w:r>
    </w:p>
    <w:p>
      <w:pPr>
        <w:pStyle w:val="BodyText"/>
        <w:spacing w:line="240" w:lineRule="auto" w:before="23"/>
        <w:ind w:right="0"/>
        <w:jc w:val="both"/>
        <w:rPr>
          <w:rFonts w:ascii="华文细黑" w:hAnsi="华文细黑" w:cs="华文细黑" w:eastAsia="华文细黑" w:hint="default"/>
        </w:rPr>
      </w:pPr>
      <w:r>
        <w:rPr/>
        <w:t>公司银行存款 </w:t>
      </w:r>
      <w:r>
        <w:rPr>
          <w:rFonts w:ascii="华文细黑" w:hAnsi="华文细黑" w:cs="华文细黑" w:eastAsia="华文细黑" w:hint="default"/>
        </w:rPr>
        <w:t>44,712</w:t>
      </w:r>
      <w:r>
        <w:rPr>
          <w:rFonts w:ascii="华文细黑" w:hAnsi="华文细黑" w:cs="华文细黑" w:eastAsia="华文细黑" w:hint="default"/>
          <w:spacing w:val="-1"/>
        </w:rPr>
        <w:t>,</w:t>
      </w:r>
      <w:r>
        <w:rPr>
          <w:rFonts w:ascii="华文细黑" w:hAnsi="华文细黑" w:cs="华文细黑" w:eastAsia="华文细黑" w:hint="default"/>
        </w:rPr>
        <w:t>479.99 </w:t>
      </w:r>
      <w:r>
        <w:rPr/>
        <w:t>元</w:t>
      </w:r>
      <w:r>
        <w:rPr>
          <w:spacing w:val="-51"/>
        </w:rPr>
        <w:t>，</w:t>
      </w:r>
      <w:r>
        <w:rPr/>
        <w:t>并于 </w:t>
      </w:r>
      <w:r>
        <w:rPr>
          <w:rFonts w:ascii="华文细黑" w:hAnsi="华文细黑" w:cs="华文细黑" w:eastAsia="华文细黑" w:hint="default"/>
        </w:rPr>
        <w:t>2019 </w:t>
      </w:r>
      <w:r>
        <w:rPr/>
        <w:t>年 </w:t>
      </w:r>
      <w:r>
        <w:rPr>
          <w:rFonts w:ascii="华文细黑" w:hAnsi="华文细黑" w:cs="华文细黑" w:eastAsia="华文细黑" w:hint="default"/>
        </w:rPr>
        <w:t>1</w:t>
      </w:r>
      <w:r>
        <w:rPr>
          <w:rFonts w:ascii="华文细黑" w:hAnsi="华文细黑" w:cs="华文细黑" w:eastAsia="华文细黑" w:hint="default"/>
          <w:spacing w:val="-1"/>
        </w:rPr>
        <w:t> </w:t>
      </w:r>
      <w:r>
        <w:rPr/>
        <w:t>月 </w:t>
      </w:r>
      <w:r>
        <w:rPr>
          <w:rFonts w:ascii="华文细黑" w:hAnsi="华文细黑" w:cs="华文细黑" w:eastAsia="华文细黑" w:hint="default"/>
        </w:rPr>
        <w:t>11 </w:t>
      </w:r>
      <w:r>
        <w:rPr/>
        <w:t>日下</w:t>
      </w:r>
      <w:r>
        <w:rPr>
          <w:spacing w:val="-2"/>
        </w:rPr>
        <w:t>达</w:t>
      </w:r>
      <w:r>
        <w:rPr/>
        <w:t>判决</w:t>
      </w:r>
      <w:r>
        <w:rPr>
          <w:spacing w:val="-51"/>
        </w:rPr>
        <w:t>书</w:t>
      </w:r>
      <w:r>
        <w:rPr>
          <w:spacing w:val="-105"/>
        </w:rPr>
        <w:t>《</w:t>
      </w:r>
      <w:r>
        <w:rPr/>
        <w:t>（</w:t>
      </w:r>
      <w:r>
        <w:rPr>
          <w:rFonts w:ascii="华文细黑" w:hAnsi="华文细黑" w:cs="华文细黑" w:eastAsia="华文细黑" w:hint="default"/>
        </w:rPr>
        <w:t>2</w:t>
      </w:r>
      <w:r>
        <w:rPr>
          <w:rFonts w:ascii="华文细黑" w:hAnsi="华文细黑" w:cs="华文细黑" w:eastAsia="华文细黑" w:hint="default"/>
          <w:spacing w:val="-2"/>
        </w:rPr>
        <w:t>0</w:t>
      </w:r>
      <w:r>
        <w:rPr>
          <w:rFonts w:ascii="华文细黑" w:hAnsi="华文细黑" w:cs="华文细黑" w:eastAsia="华文细黑" w:hint="default"/>
        </w:rPr>
        <w:t>18</w:t>
      </w:r>
      <w:r>
        <w:rPr>
          <w:spacing w:val="-51"/>
        </w:rPr>
        <w:t>）</w:t>
      </w:r>
      <w:r>
        <w:rPr/>
        <w:t>粤 </w:t>
      </w:r>
      <w:r>
        <w:rPr>
          <w:rFonts w:ascii="华文细黑" w:hAnsi="华文细黑" w:cs="华文细黑" w:eastAsia="华文细黑" w:hint="default"/>
        </w:rPr>
        <w:t>0304</w:t>
      </w:r>
      <w:r>
        <w:rPr>
          <w:rFonts w:ascii="华文细黑" w:hAnsi="华文细黑" w:cs="华文细黑" w:eastAsia="华文细黑" w:hint="default"/>
          <w:spacing w:val="-1"/>
        </w:rPr>
        <w:t> </w:t>
      </w:r>
      <w:r>
        <w:rPr/>
        <w:t>民初 </w:t>
      </w:r>
      <w:r>
        <w:rPr>
          <w:rFonts w:ascii="华文细黑" w:hAnsi="华文细黑" w:cs="华文细黑" w:eastAsia="华文细黑" w:hint="default"/>
        </w:rPr>
        <w:t>311</w:t>
      </w:r>
      <w:r>
        <w:rPr>
          <w:rFonts w:ascii="华文细黑" w:hAnsi="华文细黑" w:cs="华文细黑" w:eastAsia="华文细黑" w:hint="default"/>
          <w:spacing w:val="1"/>
        </w:rPr>
        <w:t>4</w:t>
      </w:r>
      <w:r>
        <w:rPr>
          <w:rFonts w:ascii="华文细黑" w:hAnsi="华文细黑" w:cs="华文细黑" w:eastAsia="华文细黑" w:hint="default"/>
        </w:rPr>
        <w:t>9</w:t>
      </w:r>
    </w:p>
    <w:p>
      <w:pPr>
        <w:pStyle w:val="BodyText"/>
        <w:spacing w:line="324" w:lineRule="auto" w:before="104"/>
        <w:ind w:right="1437"/>
        <w:jc w:val="both"/>
      </w:pPr>
      <w:r>
        <w:rPr>
          <w:spacing w:val="-9"/>
        </w:rPr>
        <w:t>号》，判决飞马国际公司支付票据款项</w:t>
      </w:r>
      <w:r>
        <w:rPr>
          <w:spacing w:val="17"/>
        </w:rPr>
        <w:t> </w:t>
      </w:r>
      <w:r>
        <w:rPr>
          <w:rFonts w:ascii="华文细黑" w:hAnsi="华文细黑" w:cs="华文细黑" w:eastAsia="华文细黑" w:hint="default"/>
          <w:spacing w:val="-1"/>
        </w:rPr>
        <w:t>44,252,479.99</w:t>
      </w:r>
      <w:r>
        <w:rPr>
          <w:rFonts w:ascii="华文细黑" w:hAnsi="华文细黑" w:cs="华文细黑" w:eastAsia="华文细黑" w:hint="default"/>
          <w:spacing w:val="16"/>
        </w:rPr>
        <w:t> </w:t>
      </w:r>
      <w:r>
        <w:rPr>
          <w:spacing w:val="-3"/>
        </w:rPr>
        <w:t>及逾期利息，黄壮勉对飞马国际公司债务承担</w:t>
      </w:r>
      <w:r>
        <w:rPr>
          <w:spacing w:val="-50"/>
        </w:rPr>
        <w:t> </w:t>
      </w:r>
      <w:r>
        <w:rPr>
          <w:spacing w:val="-50"/>
        </w:rPr>
      </w:r>
      <w:r>
        <w:rPr/>
        <w:t>连带清偿责任。截止财务报告批准报出日，飞马国际公司就一审判决结果提起上诉，二审开庭时间</w:t>
      </w:r>
      <w:r>
        <w:rPr/>
        <w:t> 尚未确认。②优友保理公司向深圳市福田区人民法院申请立案，诉求为被告飞马国际公司、寰亚电 </w:t>
      </w:r>
      <w:r>
        <w:rPr>
          <w:spacing w:val="-5"/>
        </w:rPr>
        <w:t>力公司（对优友保理公司尚未收回的应收款项承担付款义务）、黄壮勉（连带责任保证人）、俞倪荣</w:t>
      </w:r>
    </w:p>
    <w:p>
      <w:pPr>
        <w:pStyle w:val="BodyText"/>
        <w:spacing w:line="240" w:lineRule="auto" w:before="23"/>
        <w:ind w:right="0"/>
        <w:jc w:val="both"/>
      </w:pPr>
      <w:r>
        <w:rPr/>
        <w:t>（连带责任保证人</w:t>
      </w:r>
      <w:r>
        <w:rPr>
          <w:spacing w:val="-105"/>
        </w:rPr>
        <w:t>）</w:t>
      </w:r>
      <w:r>
        <w:rPr>
          <w:spacing w:val="-21"/>
        </w:rPr>
        <w:t>、</w:t>
      </w:r>
      <w:r>
        <w:rPr>
          <w:spacing w:val="-2"/>
        </w:rPr>
        <w:t>谢</w:t>
      </w:r>
      <w:r>
        <w:rPr/>
        <w:t>雨</w:t>
      </w:r>
      <w:r>
        <w:rPr>
          <w:spacing w:val="-21"/>
        </w:rPr>
        <w:t>桐</w:t>
      </w:r>
      <w:r>
        <w:rPr/>
        <w:t>（连带责任保证人</w:t>
      </w:r>
      <w:r>
        <w:rPr>
          <w:spacing w:val="-21"/>
        </w:rPr>
        <w:t>）</w:t>
      </w:r>
      <w:r>
        <w:rPr/>
        <w:t>支付票据款项</w:t>
      </w:r>
      <w:r>
        <w:rPr>
          <w:spacing w:val="1"/>
        </w:rPr>
        <w:t> </w:t>
      </w:r>
      <w:r>
        <w:rPr>
          <w:rFonts w:ascii="华文细黑" w:hAnsi="华文细黑" w:cs="华文细黑" w:eastAsia="华文细黑" w:hint="default"/>
        </w:rPr>
        <w:t>28,296</w:t>
      </w:r>
      <w:r>
        <w:rPr>
          <w:rFonts w:ascii="华文细黑" w:hAnsi="华文细黑" w:cs="华文细黑" w:eastAsia="华文细黑" w:hint="default"/>
          <w:spacing w:val="-1"/>
        </w:rPr>
        <w:t>,</w:t>
      </w:r>
      <w:r>
        <w:rPr>
          <w:rFonts w:ascii="华文细黑" w:hAnsi="华文细黑" w:cs="华文细黑" w:eastAsia="华文细黑" w:hint="default"/>
        </w:rPr>
        <w:t>517.81 </w:t>
      </w:r>
      <w:r>
        <w:rPr/>
        <w:t>元及逾期利息等</w:t>
      </w:r>
      <w:r>
        <w:rPr>
          <w:spacing w:val="-21"/>
        </w:rPr>
        <w:t>。</w:t>
      </w:r>
      <w:r>
        <w:rPr/>
        <w:t>深</w:t>
      </w:r>
    </w:p>
    <w:p>
      <w:pPr>
        <w:pStyle w:val="BodyText"/>
        <w:spacing w:line="324" w:lineRule="auto" w:before="103"/>
        <w:ind w:right="1435"/>
        <w:jc w:val="both"/>
      </w:pPr>
      <w:r>
        <w:rPr/>
        <w:t>圳市福田区人民法院于 </w:t>
      </w:r>
      <w:r>
        <w:rPr>
          <w:rFonts w:ascii="华文细黑" w:hAnsi="华文细黑" w:cs="华文细黑" w:eastAsia="华文细黑" w:hint="default"/>
        </w:rPr>
        <w:t>2018 </w:t>
      </w:r>
      <w:r>
        <w:rPr/>
        <w:t>年 </w:t>
      </w:r>
      <w:r>
        <w:rPr>
          <w:rFonts w:ascii="华文细黑" w:hAnsi="华文细黑" w:cs="华文细黑" w:eastAsia="华文细黑" w:hint="default"/>
        </w:rPr>
        <w:t>8 </w:t>
      </w:r>
      <w:r>
        <w:rPr/>
        <w:t>月 </w:t>
      </w:r>
      <w:r>
        <w:rPr>
          <w:rFonts w:ascii="华文细黑" w:hAnsi="华文细黑" w:cs="华文细黑" w:eastAsia="华文细黑" w:hint="default"/>
        </w:rPr>
        <w:t>6 </w:t>
      </w:r>
      <w:r>
        <w:rPr/>
        <w:t>日立案，并于 </w:t>
      </w:r>
      <w:r>
        <w:rPr>
          <w:rFonts w:ascii="华文细黑" w:hAnsi="华文细黑" w:cs="华文细黑" w:eastAsia="华文细黑" w:hint="default"/>
        </w:rPr>
        <w:t>2018 </w:t>
      </w:r>
      <w:r>
        <w:rPr/>
        <w:t>年 </w:t>
      </w:r>
      <w:r>
        <w:rPr>
          <w:rFonts w:ascii="华文细黑" w:hAnsi="华文细黑" w:cs="华文细黑" w:eastAsia="华文细黑" w:hint="default"/>
        </w:rPr>
        <w:t>11 </w:t>
      </w:r>
      <w:r>
        <w:rPr/>
        <w:t>月 </w:t>
      </w:r>
      <w:r>
        <w:rPr>
          <w:rFonts w:ascii="华文细黑" w:hAnsi="华文细黑" w:cs="华文细黑" w:eastAsia="华文细黑" w:hint="default"/>
        </w:rPr>
        <w:t>16</w:t>
      </w:r>
      <w:r>
        <w:rPr>
          <w:rFonts w:ascii="华文细黑" w:hAnsi="华文细黑" w:cs="华文细黑" w:eastAsia="华文细黑" w:hint="default"/>
          <w:spacing w:val="37"/>
        </w:rPr>
        <w:t> </w:t>
      </w:r>
      <w:r>
        <w:rPr/>
        <w:t>日通过优友保理公司的财产 保全申请，查封、冻结相关房产、股权、银行存款。截止财务报告批准报出日，一审尚未开庭。③ </w:t>
      </w:r>
      <w:r>
        <w:rPr>
          <w:spacing w:val="-5"/>
        </w:rPr>
        <w:t>优友保理公司向深圳市福田区人民法院申请立案，诉求为执行飞马投资控股有限公司（以下简称“飞</w:t>
      </w:r>
      <w:r>
        <w:rPr>
          <w:spacing w:val="-45"/>
        </w:rPr>
        <w:t> </w:t>
      </w:r>
      <w:r>
        <w:rPr>
          <w:spacing w:val="-45"/>
        </w:rPr>
      </w:r>
      <w:r>
        <w:rPr>
          <w:spacing w:val="-8"/>
        </w:rPr>
        <w:t>马投资公司”）为飞马国际公司票据款项</w:t>
      </w:r>
      <w:r>
        <w:rPr/>
        <w:t> </w:t>
      </w:r>
      <w:r>
        <w:rPr>
          <w:rFonts w:ascii="华文细黑" w:hAnsi="华文细黑" w:cs="华文细黑" w:eastAsia="华文细黑" w:hint="default"/>
          <w:spacing w:val="-1"/>
        </w:rPr>
        <w:t>77,071,128.77</w:t>
      </w:r>
      <w:r>
        <w:rPr>
          <w:rFonts w:ascii="华文细黑" w:hAnsi="华文细黑" w:cs="华文细黑" w:eastAsia="华文细黑" w:hint="default"/>
        </w:rPr>
        <w:t> </w:t>
      </w:r>
      <w:r>
        <w:rPr/>
        <w:t>元提供质押担保的 </w:t>
      </w:r>
      <w:r>
        <w:rPr>
          <w:rFonts w:ascii="华文细黑" w:hAnsi="华文细黑" w:cs="华文细黑" w:eastAsia="华文细黑" w:hint="default"/>
        </w:rPr>
        <w:t>1200</w:t>
      </w:r>
      <w:r>
        <w:rPr>
          <w:rFonts w:ascii="华文细黑" w:hAnsi="华文细黑" w:cs="华文细黑" w:eastAsia="华文细黑" w:hint="default"/>
          <w:spacing w:val="35"/>
        </w:rPr>
        <w:t> </w:t>
      </w:r>
      <w:r>
        <w:rPr>
          <w:spacing w:val="-1"/>
        </w:rPr>
        <w:t>万股飞马国际公司</w:t>
      </w:r>
    </w:p>
    <w:p>
      <w:pPr>
        <w:spacing w:after="0" w:line="324" w:lineRule="auto"/>
        <w:jc w:val="both"/>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240" w:lineRule="auto" w:before="10"/>
        <w:ind w:right="1246"/>
        <w:jc w:val="left"/>
      </w:pPr>
      <w:r>
        <w:rPr/>
        <w:t>股票。深圳市福田区人民法院于</w:t>
      </w:r>
      <w:r>
        <w:rPr>
          <w:spacing w:val="3"/>
        </w:rPr>
        <w:t> </w:t>
      </w:r>
      <w:r>
        <w:rPr>
          <w:rFonts w:ascii="华文细黑" w:hAnsi="华文细黑" w:cs="华文细黑" w:eastAsia="华文细黑" w:hint="default"/>
        </w:rPr>
        <w:t>2018</w:t>
      </w:r>
      <w:r>
        <w:rPr>
          <w:rFonts w:ascii="华文细黑" w:hAnsi="华文细黑" w:cs="华文细黑" w:eastAsia="华文细黑" w:hint="default"/>
          <w:spacing w:val="3"/>
        </w:rPr>
        <w:t> </w:t>
      </w:r>
      <w:r>
        <w:rPr/>
        <w:t>年</w:t>
      </w:r>
      <w:r>
        <w:rPr>
          <w:spacing w:val="2"/>
        </w:rPr>
        <w:t> </w:t>
      </w:r>
      <w:r>
        <w:rPr>
          <w:rFonts w:ascii="华文细黑" w:hAnsi="华文细黑" w:cs="华文细黑" w:eastAsia="华文细黑" w:hint="default"/>
        </w:rPr>
        <w:t>8</w:t>
      </w:r>
      <w:r>
        <w:rPr>
          <w:rFonts w:ascii="华文细黑" w:hAnsi="华文细黑" w:cs="华文细黑" w:eastAsia="华文细黑" w:hint="default"/>
          <w:spacing w:val="2"/>
        </w:rPr>
        <w:t> </w:t>
      </w:r>
      <w:r>
        <w:rPr/>
        <w:t>月</w:t>
      </w:r>
      <w:r>
        <w:rPr>
          <w:spacing w:val="2"/>
        </w:rPr>
        <w:t> </w:t>
      </w:r>
      <w:r>
        <w:rPr>
          <w:rFonts w:ascii="华文细黑" w:hAnsi="华文细黑" w:cs="华文细黑" w:eastAsia="华文细黑" w:hint="default"/>
          <w:spacing w:val="-2"/>
        </w:rPr>
        <w:t>3</w:t>
      </w:r>
      <w:r>
        <w:rPr>
          <w:rFonts w:ascii="华文细黑" w:hAnsi="华文细黑" w:cs="华文细黑" w:eastAsia="华文细黑" w:hint="default"/>
        </w:rPr>
        <w:t>1</w:t>
      </w:r>
      <w:r>
        <w:rPr>
          <w:rFonts w:ascii="华文细黑" w:hAnsi="华文细黑" w:cs="华文细黑" w:eastAsia="华文细黑" w:hint="default"/>
          <w:spacing w:val="2"/>
        </w:rPr>
        <w:t> </w:t>
      </w:r>
      <w:r>
        <w:rPr/>
        <w:t>日下达判决书</w:t>
      </w:r>
      <w:r>
        <w:rPr>
          <w:spacing w:val="-105"/>
        </w:rPr>
        <w:t>《</w:t>
      </w:r>
      <w:r>
        <w:rPr>
          <w:spacing w:val="-1"/>
        </w:rPr>
        <w:t>（</w:t>
      </w:r>
      <w:r>
        <w:rPr>
          <w:rFonts w:ascii="华文细黑" w:hAnsi="华文细黑" w:cs="华文细黑" w:eastAsia="华文细黑" w:hint="default"/>
        </w:rPr>
        <w:t>2018</w:t>
      </w:r>
      <w:r>
        <w:rPr>
          <w:spacing w:val="-2"/>
        </w:rPr>
        <w:t>）</w:t>
      </w:r>
      <w:r>
        <w:rPr/>
        <w:t>粤</w:t>
      </w:r>
      <w:r>
        <w:rPr>
          <w:spacing w:val="3"/>
        </w:rPr>
        <w:t> </w:t>
      </w:r>
      <w:r>
        <w:rPr>
          <w:rFonts w:ascii="华文细黑" w:hAnsi="华文细黑" w:cs="华文细黑" w:eastAsia="华文细黑" w:hint="default"/>
        </w:rPr>
        <w:t>0304</w:t>
      </w:r>
      <w:r>
        <w:rPr>
          <w:rFonts w:ascii="华文细黑" w:hAnsi="华文细黑" w:cs="华文细黑" w:eastAsia="华文细黑" w:hint="default"/>
          <w:spacing w:val="2"/>
        </w:rPr>
        <w:t> </w:t>
      </w:r>
      <w:r>
        <w:rPr/>
        <w:t>民</w:t>
      </w:r>
      <w:r>
        <w:rPr>
          <w:spacing w:val="-2"/>
        </w:rPr>
        <w:t>特</w:t>
      </w:r>
      <w:r>
        <w:rPr/>
        <w:t>监</w:t>
      </w:r>
      <w:r>
        <w:rPr>
          <w:spacing w:val="2"/>
        </w:rPr>
        <w:t> </w:t>
      </w:r>
      <w:r>
        <w:rPr>
          <w:rFonts w:ascii="华文细黑" w:hAnsi="华文细黑" w:cs="华文细黑" w:eastAsia="华文细黑" w:hint="default"/>
        </w:rPr>
        <w:t>1</w:t>
      </w:r>
      <w:r>
        <w:rPr>
          <w:rFonts w:ascii="华文细黑" w:hAnsi="华文细黑" w:cs="华文细黑" w:eastAsia="华文细黑" w:hint="default"/>
          <w:spacing w:val="2"/>
        </w:rPr>
        <w:t> </w:t>
      </w:r>
      <w:r>
        <w:rPr/>
        <w:t>号》判</w:t>
      </w:r>
    </w:p>
    <w:p>
      <w:pPr>
        <w:pStyle w:val="BodyText"/>
        <w:spacing w:line="240" w:lineRule="auto" w:before="103"/>
        <w:ind w:right="1246"/>
        <w:jc w:val="left"/>
      </w:pPr>
      <w:r>
        <w:rPr/>
        <w:t>决拍卖飞马投资公司持有的飞马国际公司 </w:t>
      </w:r>
      <w:r>
        <w:rPr>
          <w:rFonts w:ascii="华文细黑" w:hAnsi="华文细黑" w:cs="华文细黑" w:eastAsia="华文细黑" w:hint="default"/>
        </w:rPr>
        <w:t>1200 </w:t>
      </w:r>
      <w:r>
        <w:rPr/>
        <w:t>万股股票，并于 </w:t>
      </w:r>
      <w:r>
        <w:rPr>
          <w:rFonts w:ascii="华文细黑" w:hAnsi="华文细黑" w:cs="华文细黑" w:eastAsia="华文细黑" w:hint="default"/>
        </w:rPr>
        <w:t>2019 </w:t>
      </w:r>
      <w:r>
        <w:rPr/>
        <w:t>年 </w:t>
      </w:r>
      <w:r>
        <w:rPr>
          <w:rFonts w:ascii="华文细黑" w:hAnsi="华文细黑" w:cs="华文细黑" w:eastAsia="华文细黑" w:hint="default"/>
        </w:rPr>
        <w:t>2 </w:t>
      </w:r>
      <w:r>
        <w:rPr/>
        <w:t>月 </w:t>
      </w:r>
      <w:r>
        <w:rPr>
          <w:rFonts w:ascii="华文细黑" w:hAnsi="华文细黑" w:cs="华文细黑" w:eastAsia="华文细黑" w:hint="default"/>
        </w:rPr>
        <w:t>13</w:t>
      </w:r>
      <w:r>
        <w:rPr>
          <w:rFonts w:ascii="华文细黑" w:hAnsi="华文细黑" w:cs="华文细黑" w:eastAsia="华文细黑" w:hint="default"/>
          <w:spacing w:val="-27"/>
        </w:rPr>
        <w:t> </w:t>
      </w:r>
      <w:r>
        <w:rPr/>
        <w:t>日拍卖完毕，拍卖</w:t>
      </w:r>
    </w:p>
    <w:p>
      <w:pPr>
        <w:pStyle w:val="BodyText"/>
        <w:spacing w:line="324" w:lineRule="auto" w:before="104"/>
        <w:ind w:right="1246"/>
        <w:jc w:val="left"/>
      </w:pPr>
      <w:r>
        <w:rPr/>
        <w:t>价款扣除执行费后金额为 </w:t>
      </w:r>
      <w:r>
        <w:rPr>
          <w:rFonts w:ascii="华文细黑" w:hAnsi="华文细黑" w:cs="华文细黑" w:eastAsia="华文细黑" w:hint="default"/>
        </w:rPr>
        <w:t>28,847,957.46</w:t>
      </w:r>
      <w:r>
        <w:rPr>
          <w:rFonts w:ascii="华文细黑" w:hAnsi="华文细黑" w:cs="华文细黑" w:eastAsia="华文细黑" w:hint="default"/>
          <w:spacing w:val="22"/>
        </w:rPr>
        <w:t> </w:t>
      </w:r>
      <w:r>
        <w:rPr/>
        <w:t>元。截止财务报告批准报出日，判决已执行完毕。④优友 保理公司向深圳市福田区人民法院申请立案，诉求为被告飞马国际公司、寰亚电力公司（对优友保 </w:t>
      </w:r>
      <w:r>
        <w:rPr>
          <w:spacing w:val="-12"/>
        </w:rPr>
        <w:t>理公司尚未收回的应收款项承担付款义务）、黄壮勉（连带责任保证人）、俞倪荣（连带责任保证人）、</w:t>
      </w:r>
      <w:r>
        <w:rPr>
          <w:spacing w:val="-32"/>
        </w:rPr>
        <w:t> </w:t>
      </w:r>
      <w:r>
        <w:rPr>
          <w:spacing w:val="-32"/>
        </w:rPr>
      </w:r>
      <w:r>
        <w:rPr>
          <w:spacing w:val="-7"/>
        </w:rPr>
        <w:t>谢雨桐（连带责任保证人）、谭寓丹（抵押人）支付票据款项</w:t>
      </w:r>
      <w:r>
        <w:rPr/>
        <w:t> </w:t>
      </w:r>
      <w:r>
        <w:rPr>
          <w:rFonts w:ascii="华文细黑" w:hAnsi="华文细黑" w:cs="华文细黑" w:eastAsia="华文细黑" w:hint="default"/>
          <w:spacing w:val="-1"/>
        </w:rPr>
        <w:t>26,190,908.22</w:t>
      </w:r>
      <w:r>
        <w:rPr>
          <w:rFonts w:ascii="华文细黑" w:hAnsi="华文细黑" w:cs="华文细黑" w:eastAsia="华文细黑" w:hint="default"/>
        </w:rPr>
        <w:t> </w:t>
      </w:r>
      <w:r>
        <w:rPr/>
        <w:t>元和 </w:t>
      </w:r>
      <w:r>
        <w:rPr>
          <w:rFonts w:ascii="华文细黑" w:hAnsi="华文细黑" w:cs="华文细黑" w:eastAsia="华文细黑" w:hint="default"/>
          <w:spacing w:val="-1"/>
        </w:rPr>
        <w:t>27,712,867.90</w:t>
      </w:r>
      <w:r>
        <w:rPr>
          <w:rFonts w:ascii="华文细黑" w:hAnsi="华文细黑" w:cs="华文细黑" w:eastAsia="华文细黑" w:hint="default"/>
          <w:spacing w:val="51"/>
        </w:rPr>
        <w:t> </w:t>
      </w:r>
      <w:r>
        <w:rPr/>
        <w:t>元</w:t>
      </w:r>
    </w:p>
    <w:p>
      <w:pPr>
        <w:pStyle w:val="BodyText"/>
        <w:spacing w:line="240" w:lineRule="auto" w:before="23"/>
        <w:ind w:right="1246"/>
        <w:jc w:val="left"/>
      </w:pPr>
      <w:r>
        <w:rPr/>
        <w:t>及逾期利息</w:t>
      </w:r>
      <w:r>
        <w:rPr>
          <w:spacing w:val="-26"/>
        </w:rPr>
        <w:t>等</w:t>
      </w:r>
      <w:r>
        <w:rPr/>
        <w:t>（为③中诉讼请求金额扣除 </w:t>
      </w:r>
      <w:r>
        <w:rPr>
          <w:rFonts w:ascii="华文细黑" w:hAnsi="华文细黑" w:cs="华文细黑" w:eastAsia="华文细黑" w:hint="default"/>
        </w:rPr>
        <w:t>1200</w:t>
      </w:r>
      <w:r>
        <w:rPr>
          <w:rFonts w:ascii="华文细黑" w:hAnsi="华文细黑" w:cs="华文细黑" w:eastAsia="华文细黑" w:hint="default"/>
          <w:spacing w:val="-1"/>
        </w:rPr>
        <w:t> </w:t>
      </w:r>
      <w:r>
        <w:rPr/>
        <w:t>万股飞马国际公司股票后之金额</w:t>
      </w:r>
      <w:r>
        <w:rPr>
          <w:spacing w:val="-105"/>
        </w:rPr>
        <w:t>）</w:t>
      </w:r>
      <w:r>
        <w:rPr>
          <w:spacing w:val="-26"/>
        </w:rPr>
        <w:t>。</w:t>
      </w:r>
      <w:r>
        <w:rPr/>
        <w:t>深圳市福田区人</w:t>
      </w:r>
    </w:p>
    <w:p>
      <w:pPr>
        <w:pStyle w:val="BodyText"/>
        <w:spacing w:line="240" w:lineRule="auto" w:before="103"/>
        <w:ind w:right="1246"/>
        <w:jc w:val="left"/>
      </w:pPr>
      <w:r>
        <w:rPr/>
        <w:t>民法院于 </w:t>
      </w:r>
      <w:r>
        <w:rPr>
          <w:rFonts w:ascii="华文细黑" w:hAnsi="华文细黑" w:cs="华文细黑" w:eastAsia="华文细黑" w:hint="default"/>
        </w:rPr>
        <w:t>2018 </w:t>
      </w:r>
      <w:r>
        <w:rPr/>
        <w:t>年 </w:t>
      </w:r>
      <w:r>
        <w:rPr>
          <w:rFonts w:ascii="华文细黑" w:hAnsi="华文细黑" w:cs="华文细黑" w:eastAsia="华文细黑" w:hint="default"/>
        </w:rPr>
        <w:t>9 </w:t>
      </w:r>
      <w:r>
        <w:rPr/>
        <w:t>月 </w:t>
      </w:r>
      <w:r>
        <w:rPr>
          <w:rFonts w:ascii="华文细黑" w:hAnsi="华文细黑" w:cs="华文细黑" w:eastAsia="华文细黑" w:hint="default"/>
        </w:rPr>
        <w:t>27</w:t>
      </w:r>
      <w:r>
        <w:rPr>
          <w:rFonts w:ascii="华文细黑" w:hAnsi="华文细黑" w:cs="华文细黑" w:eastAsia="华文细黑" w:hint="default"/>
          <w:spacing w:val="-2"/>
        </w:rPr>
        <w:t> </w:t>
      </w:r>
      <w:r>
        <w:rPr/>
        <w:t>日立案。截止财务报告批准报出日，一审尚未开庭。</w:t>
      </w:r>
    </w:p>
    <w:p>
      <w:pPr>
        <w:pStyle w:val="BodyText"/>
        <w:spacing w:line="240" w:lineRule="auto" w:before="144"/>
        <w:ind w:left="560" w:right="1246"/>
        <w:jc w:val="left"/>
      </w:pPr>
      <w:r>
        <w:rPr/>
        <w:t>（</w:t>
      </w:r>
      <w:r>
        <w:rPr>
          <w:rFonts w:ascii="华文细黑" w:hAnsi="华文细黑" w:cs="华文细黑" w:eastAsia="华文细黑" w:hint="default"/>
        </w:rPr>
        <w:t>3</w:t>
      </w:r>
      <w:r>
        <w:rPr/>
        <w:t>）公司为深圳市酷众科技有限公司和深圳市酷脉科技有限公司提供担保</w:t>
      </w:r>
    </w:p>
    <w:p>
      <w:pPr>
        <w:pStyle w:val="BodyText"/>
        <w:spacing w:line="324" w:lineRule="auto" w:before="144"/>
        <w:ind w:right="1246" w:firstLine="420"/>
        <w:jc w:val="left"/>
      </w:pPr>
      <w:r>
        <w:rPr/>
        <w:t>根据公司 </w:t>
      </w:r>
      <w:r>
        <w:rPr>
          <w:rFonts w:ascii="华文细黑" w:hAnsi="华文细黑" w:cs="华文细黑" w:eastAsia="华文细黑" w:hint="default"/>
        </w:rPr>
        <w:t>2019 </w:t>
      </w:r>
      <w:r>
        <w:rPr/>
        <w:t>年 </w:t>
      </w:r>
      <w:r>
        <w:rPr>
          <w:rFonts w:ascii="华文细黑" w:hAnsi="华文细黑" w:cs="华文细黑" w:eastAsia="华文细黑" w:hint="default"/>
        </w:rPr>
        <w:t>2 </w:t>
      </w:r>
      <w:r>
        <w:rPr/>
        <w:t>月 </w:t>
      </w:r>
      <w:r>
        <w:rPr>
          <w:rFonts w:ascii="华文细黑" w:hAnsi="华文细黑" w:cs="华文细黑" w:eastAsia="华文细黑" w:hint="default"/>
        </w:rPr>
        <w:t>26</w:t>
      </w:r>
      <w:r>
        <w:rPr>
          <w:rFonts w:ascii="华文细黑" w:hAnsi="华文细黑" w:cs="华文细黑" w:eastAsia="华文细黑" w:hint="default"/>
          <w:spacing w:val="17"/>
        </w:rPr>
        <w:t> </w:t>
      </w:r>
      <w:r>
        <w:rPr/>
        <w:t>日召开的第四届董事会第二十三次（临时）会议，决议通过了公司 </w:t>
      </w:r>
      <w:r>
        <w:rPr>
          <w:spacing w:val="4"/>
        </w:rPr>
        <w:t>分别为控股子公司深圳市酷众科技有限公司、深圳市酷脉科技有限公司拟向供应商苹果电脑贸易</w:t>
      </w:r>
    </w:p>
    <w:p>
      <w:pPr>
        <w:pStyle w:val="BodyText"/>
        <w:spacing w:line="324" w:lineRule="auto" w:before="23"/>
        <w:ind w:right="1438"/>
        <w:jc w:val="both"/>
      </w:pPr>
      <w:r>
        <w:rPr/>
        <w:t>（上海）有限公司申请人民币 </w:t>
      </w:r>
      <w:r>
        <w:rPr>
          <w:rFonts w:ascii="华文细黑" w:hAnsi="华文细黑" w:cs="华文细黑" w:eastAsia="华文细黑" w:hint="default"/>
        </w:rPr>
        <w:t>5,000</w:t>
      </w:r>
      <w:r>
        <w:rPr>
          <w:rFonts w:ascii="华文细黑" w:hAnsi="华文细黑" w:cs="华文细黑" w:eastAsia="华文细黑" w:hint="default"/>
          <w:spacing w:val="-7"/>
        </w:rPr>
        <w:t> </w:t>
      </w:r>
      <w:r>
        <w:rPr/>
        <w:t>万元赊销额度提供担保，酷众科技、酷脉科技为本次担保事项 </w:t>
      </w:r>
      <w:r>
        <w:rPr>
          <w:spacing w:val="-1"/>
        </w:rPr>
        <w:t>的被担保人，同时作为公司本次担保事项的反担保人，以连带责任保证担保的方式向公司提供反担</w:t>
      </w:r>
      <w:r>
        <w:rPr>
          <w:spacing w:val="-16"/>
        </w:rPr>
        <w:t> </w:t>
      </w:r>
      <w:r>
        <w:rPr>
          <w:spacing w:val="-16"/>
        </w:rPr>
      </w:r>
      <w:r>
        <w:rPr/>
        <w:t>保。本议案尚需经过股东大会以特别决议通过。</w:t>
      </w:r>
    </w:p>
    <w:p>
      <w:pPr>
        <w:pStyle w:val="BodyText"/>
        <w:spacing w:line="240" w:lineRule="auto" w:before="64"/>
        <w:ind w:left="622" w:right="1246"/>
        <w:jc w:val="left"/>
      </w:pPr>
      <w:r>
        <w:rPr/>
        <w:t>（</w:t>
      </w:r>
      <w:r>
        <w:rPr>
          <w:rFonts w:ascii="华文细黑" w:hAnsi="华文细黑" w:cs="华文细黑" w:eastAsia="华文细黑" w:hint="default"/>
        </w:rPr>
        <w:t>4</w:t>
      </w:r>
      <w:r>
        <w:rPr/>
        <w:t>）深圳市优友金融服务有限公司为展弘实业有限公司提供担保</w:t>
      </w:r>
    </w:p>
    <w:p>
      <w:pPr>
        <w:pStyle w:val="BodyText"/>
        <w:spacing w:line="324" w:lineRule="auto" w:before="142"/>
        <w:ind w:right="1416" w:firstLine="482"/>
        <w:jc w:val="left"/>
      </w:pPr>
      <w:r>
        <w:rPr/>
        <w:t>根据公司 </w:t>
      </w:r>
      <w:r>
        <w:rPr>
          <w:rFonts w:ascii="华文细黑" w:hAnsi="华文细黑" w:cs="华文细黑" w:eastAsia="华文细黑" w:hint="default"/>
        </w:rPr>
        <w:t>2019 </w:t>
      </w:r>
      <w:r>
        <w:rPr/>
        <w:t>年 </w:t>
      </w:r>
      <w:r>
        <w:rPr>
          <w:rFonts w:ascii="华文细黑" w:hAnsi="华文细黑" w:cs="华文细黑" w:eastAsia="华文细黑" w:hint="default"/>
        </w:rPr>
        <w:t>2 </w:t>
      </w:r>
      <w:r>
        <w:rPr/>
        <w:t>月 </w:t>
      </w:r>
      <w:r>
        <w:rPr>
          <w:rFonts w:ascii="华文细黑" w:hAnsi="华文细黑" w:cs="华文细黑" w:eastAsia="华文细黑" w:hint="default"/>
        </w:rPr>
        <w:t>26</w:t>
      </w:r>
      <w:r>
        <w:rPr>
          <w:rFonts w:ascii="华文细黑" w:hAnsi="华文细黑" w:cs="华文细黑" w:eastAsia="华文细黑" w:hint="default"/>
          <w:spacing w:val="-2"/>
        </w:rPr>
        <w:t> </w:t>
      </w:r>
      <w:r>
        <w:rPr/>
        <w:t>日召开的第四届董事会第二十三次（临时）会议，决议通过了公司 控股子公司深圳市优友金融服务有限公司为其全资子公司展弘实业有限公司拟向广发银行股份有 限公司深圳分行华富支行申请人民币 </w:t>
      </w:r>
      <w:r>
        <w:rPr>
          <w:rFonts w:ascii="华文细黑" w:hAnsi="华文细黑" w:cs="华文细黑" w:eastAsia="华文细黑" w:hint="default"/>
        </w:rPr>
        <w:t>4</w:t>
      </w:r>
      <w:r>
        <w:rPr>
          <w:rFonts w:ascii="华文细黑" w:hAnsi="华文细黑" w:cs="华文细黑" w:eastAsia="华文细黑" w:hint="default"/>
          <w:spacing w:val="7"/>
        </w:rPr>
        <w:t> </w:t>
      </w:r>
      <w:r>
        <w:rPr>
          <w:spacing w:val="-3"/>
        </w:rPr>
        <w:t>亿元的银行保函授信提供担保。展弘实业有限公司为本次担</w:t>
      </w:r>
      <w:r>
        <w:rPr/>
        <w:t> 保事项的被担保人，同时作为本次担保事项的反担保人，以连带责任保证担保的方式提供反担保。 本议案尚需经过股东大会以特别决议通过。</w:t>
      </w:r>
    </w:p>
    <w:p>
      <w:pPr>
        <w:pStyle w:val="BodyText"/>
        <w:spacing w:line="240" w:lineRule="auto" w:before="63"/>
        <w:ind w:left="622" w:right="1246"/>
        <w:jc w:val="left"/>
      </w:pPr>
      <w:r>
        <w:rPr/>
        <w:t>（</w:t>
      </w:r>
      <w:r>
        <w:rPr>
          <w:rFonts w:ascii="华文细黑" w:hAnsi="华文细黑" w:cs="华文细黑" w:eastAsia="华文细黑" w:hint="default"/>
        </w:rPr>
        <w:t>5</w:t>
      </w:r>
      <w:r>
        <w:rPr/>
        <w:t>）公司为爱施德（香港）有限公司在境内、境外申请银行综合授信提供担保</w:t>
      </w:r>
    </w:p>
    <w:p>
      <w:pPr>
        <w:pStyle w:val="BodyText"/>
        <w:spacing w:line="324" w:lineRule="auto" w:before="144"/>
        <w:ind w:right="1439" w:firstLine="482"/>
        <w:jc w:val="both"/>
      </w:pPr>
      <w:r>
        <w:rPr/>
        <w:t>根据公司 </w:t>
      </w:r>
      <w:r>
        <w:rPr>
          <w:rFonts w:ascii="华文细黑" w:hAnsi="华文细黑" w:cs="华文细黑" w:eastAsia="华文细黑" w:hint="default"/>
        </w:rPr>
        <w:t>2019 </w:t>
      </w:r>
      <w:r>
        <w:rPr/>
        <w:t>年 </w:t>
      </w:r>
      <w:r>
        <w:rPr>
          <w:rFonts w:ascii="华文细黑" w:hAnsi="华文细黑" w:cs="华文细黑" w:eastAsia="华文细黑" w:hint="default"/>
        </w:rPr>
        <w:t>4 </w:t>
      </w:r>
      <w:r>
        <w:rPr/>
        <w:t>月 </w:t>
      </w:r>
      <w:r>
        <w:rPr>
          <w:rFonts w:ascii="华文细黑" w:hAnsi="华文细黑" w:cs="华文细黑" w:eastAsia="华文细黑" w:hint="default"/>
        </w:rPr>
        <w:t>12</w:t>
      </w:r>
      <w:r>
        <w:rPr>
          <w:rFonts w:ascii="华文细黑" w:hAnsi="华文细黑" w:cs="华文细黑" w:eastAsia="华文细黑" w:hint="default"/>
          <w:spacing w:val="-2"/>
        </w:rPr>
        <w:t> </w:t>
      </w:r>
      <w:r>
        <w:rPr/>
        <w:t>日召开第四届董事会第二十四次（定期）会议，决议通过了公司为 </w:t>
      </w:r>
      <w:r>
        <w:rPr>
          <w:spacing w:val="-1"/>
        </w:rPr>
        <w:t>全资子公司爱施德（香港）有限公司在境内、境外申请银行综合授信提供担保，担保总额不超过折</w:t>
      </w:r>
      <w:r>
        <w:rPr>
          <w:spacing w:val="-18"/>
        </w:rPr>
        <w:t> </w:t>
      </w:r>
      <w:r>
        <w:rPr>
          <w:spacing w:val="-18"/>
        </w:rPr>
      </w:r>
      <w:r>
        <w:rPr/>
        <w:t>合人民币壹拾捌亿元整（</w:t>
      </w:r>
      <w:r>
        <w:rPr>
          <w:rFonts w:ascii="华文细黑" w:hAnsi="华文细黑" w:cs="华文细黑" w:eastAsia="华文细黑" w:hint="default"/>
        </w:rPr>
        <w:t>18</w:t>
      </w:r>
      <w:r>
        <w:rPr>
          <w:rFonts w:ascii="华文细黑" w:hAnsi="华文细黑" w:cs="华文细黑" w:eastAsia="华文细黑" w:hint="default"/>
          <w:spacing w:val="19"/>
        </w:rPr>
        <w:t> </w:t>
      </w:r>
      <w:r>
        <w:rPr>
          <w:spacing w:val="-5"/>
        </w:rPr>
        <w:t>亿元或等值美元，汇率按融资当天美元挂牌汇率折算）。</w:t>
      </w:r>
    </w:p>
    <w:p>
      <w:pPr>
        <w:pStyle w:val="BodyText"/>
        <w:spacing w:line="240" w:lineRule="auto" w:before="63"/>
        <w:ind w:left="622" w:right="1246"/>
        <w:jc w:val="left"/>
      </w:pPr>
      <w:r>
        <w:rPr/>
        <w:t>（</w:t>
      </w:r>
      <w:r>
        <w:rPr>
          <w:rFonts w:ascii="华文细黑" w:hAnsi="华文细黑" w:cs="华文细黑" w:eastAsia="华文细黑" w:hint="default"/>
        </w:rPr>
        <w:t>6</w:t>
      </w:r>
      <w:r>
        <w:rPr/>
        <w:t>）拟公开发行的公司债券</w:t>
      </w:r>
    </w:p>
    <w:p>
      <w:pPr>
        <w:pStyle w:val="BodyText"/>
        <w:spacing w:line="240" w:lineRule="auto" w:before="144"/>
        <w:ind w:left="622" w:right="1246"/>
        <w:jc w:val="left"/>
      </w:pPr>
      <w:r>
        <w:rPr/>
        <w:t>根据公司 </w:t>
      </w:r>
      <w:r>
        <w:rPr>
          <w:rFonts w:ascii="华文细黑" w:hAnsi="华文细黑" w:cs="华文细黑" w:eastAsia="华文细黑" w:hint="default"/>
        </w:rPr>
        <w:t>2019 </w:t>
      </w:r>
      <w:r>
        <w:rPr/>
        <w:t>年 </w:t>
      </w:r>
      <w:r>
        <w:rPr>
          <w:rFonts w:ascii="华文细黑" w:hAnsi="华文细黑" w:cs="华文细黑" w:eastAsia="华文细黑" w:hint="default"/>
        </w:rPr>
        <w:t>4 </w:t>
      </w:r>
      <w:r>
        <w:rPr/>
        <w:t>月 </w:t>
      </w:r>
      <w:r>
        <w:rPr>
          <w:rFonts w:ascii="华文细黑" w:hAnsi="华文细黑" w:cs="华文细黑" w:eastAsia="华文细黑" w:hint="default"/>
        </w:rPr>
        <w:t>12</w:t>
      </w:r>
      <w:r>
        <w:rPr>
          <w:rFonts w:ascii="华文细黑" w:hAnsi="华文细黑" w:cs="华文细黑" w:eastAsia="华文细黑" w:hint="default"/>
          <w:spacing w:val="-2"/>
        </w:rPr>
        <w:t> </w:t>
      </w:r>
      <w:r>
        <w:rPr/>
        <w:t>日召开第四届董事会第二十四次（定期）会议，决议通过公司拟公</w:t>
      </w:r>
    </w:p>
    <w:p>
      <w:pPr>
        <w:pStyle w:val="BodyText"/>
        <w:spacing w:line="240" w:lineRule="auto" w:before="103"/>
        <w:ind w:right="1246"/>
        <w:jc w:val="left"/>
      </w:pPr>
      <w:r>
        <w:rPr/>
        <w:t>开发行本金总额不超过人民币 </w:t>
      </w:r>
      <w:r>
        <w:rPr>
          <w:rFonts w:ascii="华文细黑" w:hAnsi="华文细黑" w:cs="华文细黑" w:eastAsia="华文细黑" w:hint="default"/>
        </w:rPr>
        <w:t>13 </w:t>
      </w:r>
      <w:r>
        <w:rPr>
          <w:spacing w:val="-2"/>
        </w:rPr>
        <w:t>亿</w:t>
      </w:r>
      <w:r>
        <w:rPr>
          <w:spacing w:val="-19"/>
        </w:rPr>
        <w:t>元</w:t>
      </w:r>
      <w:r>
        <w:rPr/>
        <w:t>（含 </w:t>
      </w:r>
      <w:r>
        <w:rPr>
          <w:rFonts w:ascii="华文细黑" w:hAnsi="华文细黑" w:cs="华文细黑" w:eastAsia="华文细黑" w:hint="default"/>
        </w:rPr>
        <w:t>13 </w:t>
      </w:r>
      <w:r>
        <w:rPr>
          <w:spacing w:val="-2"/>
        </w:rPr>
        <w:t>亿</w:t>
      </w:r>
      <w:r>
        <w:rPr/>
        <w:t>元</w:t>
      </w:r>
      <w:r>
        <w:rPr>
          <w:spacing w:val="-105"/>
        </w:rPr>
        <w:t>）</w:t>
      </w:r>
      <w:r>
        <w:rPr>
          <w:spacing w:val="-19"/>
        </w:rPr>
        <w:t>、</w:t>
      </w:r>
      <w:r>
        <w:rPr/>
        <w:t>期限</w:t>
      </w:r>
      <w:r>
        <w:rPr>
          <w:spacing w:val="-2"/>
        </w:rPr>
        <w:t>不</w:t>
      </w:r>
      <w:r>
        <w:rPr/>
        <w:t>超过 </w:t>
      </w:r>
      <w:r>
        <w:rPr>
          <w:rFonts w:ascii="华文细黑" w:hAnsi="华文细黑" w:cs="华文细黑" w:eastAsia="华文细黑" w:hint="default"/>
        </w:rPr>
        <w:t>5 </w:t>
      </w:r>
      <w:r>
        <w:rPr/>
        <w:t>年</w:t>
      </w:r>
      <w:r>
        <w:rPr>
          <w:spacing w:val="-20"/>
        </w:rPr>
        <w:t>期</w:t>
      </w:r>
      <w:r>
        <w:rPr/>
        <w:t>（含 </w:t>
      </w:r>
      <w:r>
        <w:rPr>
          <w:rFonts w:ascii="华文细黑" w:hAnsi="华文细黑" w:cs="华文细黑" w:eastAsia="华文细黑" w:hint="default"/>
        </w:rPr>
        <w:t>5 </w:t>
      </w:r>
      <w:r>
        <w:rPr/>
        <w:t>年</w:t>
      </w:r>
      <w:r>
        <w:rPr>
          <w:spacing w:val="-105"/>
        </w:rPr>
        <w:t>）</w:t>
      </w:r>
      <w:r>
        <w:rPr>
          <w:spacing w:val="-20"/>
        </w:rPr>
        <w:t>、</w:t>
      </w:r>
      <w:r>
        <w:rPr/>
        <w:t>每张票面</w:t>
      </w:r>
      <w:r>
        <w:rPr>
          <w:spacing w:val="1"/>
        </w:rPr>
        <w:t>金</w:t>
      </w:r>
      <w:r>
        <w:rPr/>
        <w:t>额</w:t>
      </w:r>
    </w:p>
    <w:p>
      <w:pPr>
        <w:pStyle w:val="BodyText"/>
        <w:spacing w:line="324" w:lineRule="auto" w:before="104"/>
        <w:ind w:right="1420"/>
        <w:jc w:val="left"/>
      </w:pPr>
      <w:r>
        <w:rPr/>
        <w:t>为人民币 </w:t>
      </w:r>
      <w:r>
        <w:rPr>
          <w:rFonts w:ascii="华文细黑" w:hAnsi="华文细黑" w:cs="华文细黑" w:eastAsia="华文细黑" w:hint="default"/>
        </w:rPr>
        <w:t>100</w:t>
      </w:r>
      <w:r>
        <w:rPr>
          <w:rFonts w:ascii="华文细黑" w:hAnsi="华文细黑" w:cs="华文细黑" w:eastAsia="华文细黑" w:hint="default"/>
          <w:spacing w:val="-38"/>
        </w:rPr>
        <w:t> </w:t>
      </w:r>
      <w:r>
        <w:rPr/>
        <w:t>元、平价发行、每年付息一次、到期一次还本、固定收益的公司债券。最终发行规模 提请股东大会授权董事会根据公司资金需求情况和发行时市场情况，在上述范围内确定。</w:t>
      </w:r>
    </w:p>
    <w:p>
      <w:pPr>
        <w:pStyle w:val="Heading4"/>
        <w:spacing w:line="240" w:lineRule="auto" w:before="28"/>
        <w:ind w:right="1246"/>
        <w:jc w:val="left"/>
        <w:rPr>
          <w:b w:val="0"/>
          <w:bCs w:val="0"/>
        </w:rPr>
      </w:pPr>
      <w:bookmarkStart w:name="十四、其他重要事项" w:id="348"/>
      <w:bookmarkEnd w:id="348"/>
      <w:r>
        <w:rPr>
          <w:b w:val="0"/>
          <w:bCs w:val="0"/>
        </w:rPr>
      </w:r>
      <w:r>
        <w:rPr/>
        <w:t>十四、其他重要事项</w:t>
      </w:r>
      <w:r>
        <w:rPr>
          <w:b w:val="0"/>
          <w:bCs w:val="0"/>
        </w:rPr>
      </w:r>
    </w:p>
    <w:p>
      <w:pPr>
        <w:pStyle w:val="Heading5"/>
        <w:spacing w:line="240" w:lineRule="auto" w:before="138"/>
        <w:ind w:left="551" w:right="1246"/>
        <w:jc w:val="left"/>
        <w:rPr>
          <w:b w:val="0"/>
          <w:bCs w:val="0"/>
        </w:rPr>
      </w:pPr>
      <w:bookmarkStart w:name="1、分部信息" w:id="349"/>
      <w:bookmarkEnd w:id="349"/>
      <w:r>
        <w:rPr>
          <w:b w:val="0"/>
          <w:bCs w:val="0"/>
        </w:rPr>
      </w:r>
      <w:r>
        <w:rPr>
          <w:rFonts w:ascii="华文细黑" w:hAnsi="华文细黑" w:cs="华文细黑" w:eastAsia="华文细黑" w:hint="default"/>
          <w:spacing w:val="-4"/>
        </w:rPr>
        <w:t>1</w:t>
      </w:r>
      <w:r>
        <w:rPr>
          <w:spacing w:val="-4"/>
        </w:rPr>
        <w:t>、分部信息</w:t>
      </w:r>
      <w:r>
        <w:rPr>
          <w:b w:val="0"/>
          <w:bCs w:val="0"/>
        </w:rPr>
      </w:r>
    </w:p>
    <w:p>
      <w:pPr>
        <w:pStyle w:val="BodyText"/>
        <w:spacing w:line="240" w:lineRule="auto" w:before="142"/>
        <w:ind w:left="551" w:right="1246"/>
        <w:jc w:val="left"/>
      </w:pPr>
      <w:r>
        <w:rPr>
          <w:spacing w:val="-4"/>
        </w:rPr>
        <w:t>（</w:t>
      </w:r>
      <w:r>
        <w:rPr>
          <w:rFonts w:ascii="华文细黑" w:hAnsi="华文细黑" w:cs="华文细黑" w:eastAsia="华文细黑" w:hint="default"/>
          <w:spacing w:val="-4"/>
        </w:rPr>
        <w:t>1</w:t>
      </w:r>
      <w:r>
        <w:rPr>
          <w:spacing w:val="-4"/>
        </w:rPr>
        <w:t>）报告分部的确定依据与会计政策</w:t>
      </w:r>
    </w:p>
    <w:p>
      <w:pPr>
        <w:pStyle w:val="BodyText"/>
        <w:spacing w:line="240" w:lineRule="auto" w:before="144"/>
        <w:ind w:left="551" w:right="1246"/>
        <w:jc w:val="left"/>
      </w:pPr>
      <w:r>
        <w:rPr>
          <w:spacing w:val="-9"/>
        </w:rPr>
        <w:t>根据本公司的内部组织结构、管理要求及内部报告制度，本公司的经营业务划分为 </w:t>
      </w:r>
      <w:r>
        <w:rPr>
          <w:rFonts w:ascii="华文细黑" w:hAnsi="华文细黑" w:cs="华文细黑" w:eastAsia="华文细黑" w:hint="default"/>
        </w:rPr>
        <w:t>6</w:t>
      </w:r>
      <w:r>
        <w:rPr>
          <w:rFonts w:ascii="华文细黑" w:hAnsi="华文细黑" w:cs="华文细黑" w:eastAsia="华文细黑" w:hint="default"/>
          <w:spacing w:val="21"/>
        </w:rPr>
        <w:t> </w:t>
      </w:r>
      <w:r>
        <w:rPr>
          <w:spacing w:val="-4"/>
        </w:rPr>
        <w:t>个经营分部，</w:t>
      </w:r>
    </w:p>
    <w:p>
      <w:pPr>
        <w:spacing w:after="0" w:line="240" w:lineRule="auto"/>
        <w:jc w:val="left"/>
        <w:sectPr>
          <w:pgSz w:w="11910" w:h="16840"/>
          <w:pgMar w:header="917" w:footer="1019" w:top="1100" w:bottom="1200" w:left="1300" w:right="0"/>
        </w:sectPr>
      </w:pPr>
    </w:p>
    <w:p>
      <w:pPr>
        <w:spacing w:line="240" w:lineRule="auto" w:before="9"/>
        <w:rPr>
          <w:rFonts w:ascii="华文细黑" w:hAnsi="华文细黑" w:cs="华文细黑" w:eastAsia="华文细黑" w:hint="default"/>
          <w:sz w:val="27"/>
          <w:szCs w:val="27"/>
        </w:rPr>
      </w:pPr>
    </w:p>
    <w:p>
      <w:pPr>
        <w:pStyle w:val="BodyText"/>
        <w:spacing w:line="324" w:lineRule="auto" w:before="10"/>
        <w:ind w:left="280" w:right="1435"/>
        <w:jc w:val="both"/>
      </w:pPr>
      <w:r>
        <w:rPr>
          <w:spacing w:val="-6"/>
        </w:rPr>
        <w:t>本公司的管理层定期评价这些分部的经营成果，以决定向其分配资源及评价其业绩。在经营分部的基</w:t>
      </w:r>
      <w:r>
        <w:rPr>
          <w:spacing w:val="-14"/>
        </w:rPr>
        <w:t> </w:t>
      </w:r>
      <w:r>
        <w:rPr>
          <w:spacing w:val="-14"/>
        </w:rPr>
      </w:r>
      <w:r>
        <w:rPr>
          <w:spacing w:val="-4"/>
        </w:rPr>
        <w:t>础上本公司确定了</w:t>
      </w:r>
      <w:r>
        <w:rPr>
          <w:spacing w:val="-1"/>
        </w:rPr>
        <w:t> </w:t>
      </w:r>
      <w:r>
        <w:rPr>
          <w:rFonts w:ascii="华文细黑" w:hAnsi="华文细黑" w:cs="华文细黑" w:eastAsia="华文细黑" w:hint="default"/>
        </w:rPr>
        <w:t>4</w:t>
      </w:r>
      <w:r>
        <w:rPr>
          <w:rFonts w:ascii="华文细黑" w:hAnsi="华文细黑" w:cs="华文细黑" w:eastAsia="华文细黑" w:hint="default"/>
          <w:spacing w:val="2"/>
        </w:rPr>
        <w:t> </w:t>
      </w:r>
      <w:r>
        <w:rPr>
          <w:spacing w:val="-6"/>
        </w:rPr>
        <w:t>个报告分部，分别为分销、零售、金融及供应链、其他。这些报告分部是以业务</w:t>
      </w:r>
      <w:r>
        <w:rPr>
          <w:spacing w:val="-51"/>
        </w:rPr>
        <w:t> </w:t>
      </w:r>
      <w:r>
        <w:rPr>
          <w:spacing w:val="-51"/>
        </w:rPr>
      </w:r>
      <w:r>
        <w:rPr>
          <w:spacing w:val="-6"/>
        </w:rPr>
        <w:t>类别为基础确定的。本公司各个报告分部提供的主要产品及劳务分别为：①分销板块主要包括国内手</w:t>
      </w:r>
      <w:r>
        <w:rPr>
          <w:spacing w:val="-14"/>
        </w:rPr>
        <w:t> </w:t>
      </w:r>
      <w:r>
        <w:rPr>
          <w:spacing w:val="-14"/>
        </w:rPr>
      </w:r>
      <w:r>
        <w:rPr>
          <w:spacing w:val="-6"/>
        </w:rPr>
        <w:t>机分销业务，海外业务；②零售板块主要包括苹果零售店、电商业务；③金融及供应链板块主要包括</w:t>
      </w:r>
      <w:r>
        <w:rPr>
          <w:spacing w:val="-16"/>
        </w:rPr>
        <w:t> </w:t>
      </w:r>
      <w:r>
        <w:rPr>
          <w:spacing w:val="-16"/>
        </w:rPr>
      </w:r>
      <w:r>
        <w:rPr>
          <w:spacing w:val="-5"/>
        </w:rPr>
        <w:t>金融服务业务，供应链服务，小额贷款服务；④其他包括移动转售业务、互联网业务等。</w:t>
      </w:r>
    </w:p>
    <w:p>
      <w:pPr>
        <w:pStyle w:val="BodyText"/>
        <w:spacing w:line="240" w:lineRule="auto" w:before="64"/>
        <w:ind w:left="691" w:right="0"/>
        <w:jc w:val="left"/>
      </w:pPr>
      <w:r>
        <w:rPr>
          <w:spacing w:val="-4"/>
        </w:rPr>
        <w:t>（</w:t>
      </w:r>
      <w:r>
        <w:rPr>
          <w:rFonts w:ascii="华文细黑" w:hAnsi="华文细黑" w:cs="华文细黑" w:eastAsia="华文细黑" w:hint="default"/>
          <w:spacing w:val="-4"/>
        </w:rPr>
        <w:t>2</w:t>
      </w:r>
      <w:r>
        <w:rPr>
          <w:spacing w:val="-4"/>
        </w:rPr>
        <w:t>）报告分部的财务信息</w:t>
      </w:r>
    </w:p>
    <w:p>
      <w:pPr>
        <w:spacing w:line="240" w:lineRule="auto" w:before="6"/>
        <w:rPr>
          <w:rFonts w:ascii="华文细黑" w:hAnsi="华文细黑" w:cs="华文细黑" w:eastAsia="华文细黑" w:hint="default"/>
          <w:sz w:val="5"/>
          <w:szCs w:val="5"/>
        </w:rPr>
      </w:pPr>
    </w:p>
    <w:tbl>
      <w:tblPr>
        <w:tblW w:w="0" w:type="auto"/>
        <w:jc w:val="left"/>
        <w:tblInd w:w="104" w:type="dxa"/>
        <w:tblLayout w:type="fixed"/>
        <w:tblCellMar>
          <w:top w:w="0" w:type="dxa"/>
          <w:left w:w="0" w:type="dxa"/>
          <w:bottom w:w="0" w:type="dxa"/>
          <w:right w:w="0" w:type="dxa"/>
        </w:tblCellMar>
        <w:tblLook w:val="01E0"/>
      </w:tblPr>
      <w:tblGrid>
        <w:gridCol w:w="1010"/>
        <w:gridCol w:w="1429"/>
        <w:gridCol w:w="1408"/>
        <w:gridCol w:w="1418"/>
        <w:gridCol w:w="1277"/>
        <w:gridCol w:w="1420"/>
        <w:gridCol w:w="1417"/>
      </w:tblGrid>
      <w:tr>
        <w:trPr>
          <w:trHeight w:val="490" w:hRule="exact"/>
        </w:trPr>
        <w:tc>
          <w:tcPr>
            <w:tcW w:w="10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3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4"/>
                <w:sz w:val="18"/>
                <w:szCs w:val="18"/>
              </w:rPr>
              <w:t> </w:t>
            </w:r>
            <w:r>
              <w:rPr>
                <w:rFonts w:ascii="华文细黑" w:hAnsi="华文细黑" w:cs="华文细黑" w:eastAsia="华文细黑" w:hint="default"/>
                <w:sz w:val="18"/>
                <w:szCs w:val="18"/>
              </w:rPr>
              <w:t>目</w:t>
            </w:r>
          </w:p>
        </w:tc>
        <w:tc>
          <w:tcPr>
            <w:tcW w:w="14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分销</w:t>
            </w:r>
          </w:p>
        </w:tc>
        <w:tc>
          <w:tcPr>
            <w:tcW w:w="14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零售</w:t>
            </w:r>
          </w:p>
        </w:tc>
        <w:tc>
          <w:tcPr>
            <w:tcW w:w="141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6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金融及供应链</w:t>
            </w:r>
          </w:p>
        </w:tc>
        <w:tc>
          <w:tcPr>
            <w:tcW w:w="12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其他</w:t>
            </w:r>
          </w:p>
        </w:tc>
        <w:tc>
          <w:tcPr>
            <w:tcW w:w="142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分部间抵销</w:t>
            </w:r>
          </w:p>
        </w:tc>
        <w:tc>
          <w:tcPr>
            <w:tcW w:w="141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合计</w:t>
            </w:r>
          </w:p>
        </w:tc>
      </w:tr>
      <w:tr>
        <w:trPr>
          <w:trHeight w:val="380" w:hRule="exact"/>
        </w:trPr>
        <w:tc>
          <w:tcPr>
            <w:tcW w:w="10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9"/>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营业总收入</w:t>
            </w:r>
          </w:p>
        </w:tc>
        <w:tc>
          <w:tcPr>
            <w:tcW w:w="142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46"/>
              <w:ind w:right="22"/>
              <w:jc w:val="right"/>
              <w:rPr>
                <w:rFonts w:ascii="华文细黑" w:hAnsi="华文细黑" w:cs="华文细黑" w:eastAsia="华文细黑" w:hint="default"/>
                <w:sz w:val="16"/>
                <w:szCs w:val="16"/>
              </w:rPr>
            </w:pPr>
            <w:r>
              <w:rPr>
                <w:rFonts w:ascii="华文细黑"/>
                <w:spacing w:val="-1"/>
                <w:sz w:val="16"/>
              </w:rPr>
              <w:t>47,607,886,607.20</w:t>
            </w:r>
          </w:p>
        </w:tc>
        <w:tc>
          <w:tcPr>
            <w:tcW w:w="14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right="21"/>
              <w:jc w:val="right"/>
              <w:rPr>
                <w:rFonts w:ascii="华文细黑" w:hAnsi="华文细黑" w:cs="华文细黑" w:eastAsia="华文细黑" w:hint="default"/>
                <w:sz w:val="16"/>
                <w:szCs w:val="16"/>
              </w:rPr>
            </w:pPr>
            <w:r>
              <w:rPr>
                <w:rFonts w:ascii="华文细黑"/>
                <w:spacing w:val="-1"/>
                <w:sz w:val="16"/>
              </w:rPr>
              <w:t>2,505,189,197.55</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right="20"/>
              <w:jc w:val="right"/>
              <w:rPr>
                <w:rFonts w:ascii="华文细黑" w:hAnsi="华文细黑" w:cs="华文细黑" w:eastAsia="华文细黑" w:hint="default"/>
                <w:sz w:val="16"/>
                <w:szCs w:val="16"/>
              </w:rPr>
            </w:pPr>
            <w:r>
              <w:rPr>
                <w:rFonts w:ascii="华文细黑"/>
                <w:spacing w:val="-1"/>
                <w:sz w:val="16"/>
              </w:rPr>
              <w:t>7,841,897,343.12</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13" w:right="0"/>
              <w:jc w:val="center"/>
              <w:rPr>
                <w:rFonts w:ascii="华文细黑" w:hAnsi="华文细黑" w:cs="华文细黑" w:eastAsia="华文细黑" w:hint="default"/>
                <w:sz w:val="16"/>
                <w:szCs w:val="16"/>
              </w:rPr>
            </w:pPr>
            <w:r>
              <w:rPr>
                <w:rFonts w:ascii="华文细黑"/>
                <w:sz w:val="16"/>
              </w:rPr>
              <w:t>196,239,517.35</w:t>
            </w:r>
          </w:p>
        </w:tc>
        <w:tc>
          <w:tcPr>
            <w:tcW w:w="14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67" w:right="0"/>
              <w:jc w:val="center"/>
              <w:rPr>
                <w:rFonts w:ascii="华文细黑" w:hAnsi="华文细黑" w:cs="华文细黑" w:eastAsia="华文细黑" w:hint="default"/>
                <w:sz w:val="16"/>
                <w:szCs w:val="16"/>
              </w:rPr>
            </w:pPr>
            <w:r>
              <w:rPr>
                <w:rFonts w:ascii="华文细黑"/>
                <w:sz w:val="16"/>
              </w:rPr>
              <w:t>-1,167,420,689.40</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right="22"/>
              <w:jc w:val="right"/>
              <w:rPr>
                <w:rFonts w:ascii="华文细黑" w:hAnsi="华文细黑" w:cs="华文细黑" w:eastAsia="华文细黑" w:hint="default"/>
                <w:sz w:val="16"/>
                <w:szCs w:val="16"/>
              </w:rPr>
            </w:pPr>
            <w:r>
              <w:rPr>
                <w:rFonts w:ascii="华文细黑"/>
                <w:spacing w:val="-1"/>
                <w:sz w:val="16"/>
              </w:rPr>
              <w:t>56,983,791,975.82</w:t>
            </w:r>
          </w:p>
        </w:tc>
      </w:tr>
      <w:tr>
        <w:trPr>
          <w:trHeight w:val="379" w:hRule="exact"/>
        </w:trPr>
        <w:tc>
          <w:tcPr>
            <w:tcW w:w="10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9"/>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营业成本</w:t>
            </w:r>
          </w:p>
        </w:tc>
        <w:tc>
          <w:tcPr>
            <w:tcW w:w="142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46"/>
              <w:ind w:right="22"/>
              <w:jc w:val="right"/>
              <w:rPr>
                <w:rFonts w:ascii="华文细黑" w:hAnsi="华文细黑" w:cs="华文细黑" w:eastAsia="华文细黑" w:hint="default"/>
                <w:sz w:val="16"/>
                <w:szCs w:val="16"/>
              </w:rPr>
            </w:pPr>
            <w:r>
              <w:rPr>
                <w:rFonts w:ascii="华文细黑"/>
                <w:spacing w:val="-1"/>
                <w:sz w:val="16"/>
              </w:rPr>
              <w:t>46,418,322,913.27</w:t>
            </w:r>
          </w:p>
        </w:tc>
        <w:tc>
          <w:tcPr>
            <w:tcW w:w="14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right="21"/>
              <w:jc w:val="right"/>
              <w:rPr>
                <w:rFonts w:ascii="华文细黑" w:hAnsi="华文细黑" w:cs="华文细黑" w:eastAsia="华文细黑" w:hint="default"/>
                <w:sz w:val="16"/>
                <w:szCs w:val="16"/>
              </w:rPr>
            </w:pPr>
            <w:r>
              <w:rPr>
                <w:rFonts w:ascii="华文细黑"/>
                <w:spacing w:val="-1"/>
                <w:sz w:val="16"/>
              </w:rPr>
              <w:t>2,314,625,981.10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right="20"/>
              <w:jc w:val="right"/>
              <w:rPr>
                <w:rFonts w:ascii="华文细黑" w:hAnsi="华文细黑" w:cs="华文细黑" w:eastAsia="华文细黑" w:hint="default"/>
                <w:sz w:val="16"/>
                <w:szCs w:val="16"/>
              </w:rPr>
            </w:pPr>
            <w:r>
              <w:rPr>
                <w:rFonts w:ascii="华文细黑"/>
                <w:spacing w:val="-1"/>
                <w:sz w:val="16"/>
              </w:rPr>
              <w:t>7,547,197,914.87</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13" w:right="0"/>
              <w:jc w:val="center"/>
              <w:rPr>
                <w:rFonts w:ascii="华文细黑" w:hAnsi="华文细黑" w:cs="华文细黑" w:eastAsia="华文细黑" w:hint="default"/>
                <w:sz w:val="16"/>
                <w:szCs w:val="16"/>
              </w:rPr>
            </w:pPr>
            <w:r>
              <w:rPr>
                <w:rFonts w:ascii="华文细黑"/>
                <w:sz w:val="16"/>
              </w:rPr>
              <w:t>139,105,535.24</w:t>
            </w:r>
          </w:p>
        </w:tc>
        <w:tc>
          <w:tcPr>
            <w:tcW w:w="14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68" w:right="0"/>
              <w:jc w:val="center"/>
              <w:rPr>
                <w:rFonts w:ascii="华文细黑" w:hAnsi="华文细黑" w:cs="华文细黑" w:eastAsia="华文细黑" w:hint="default"/>
                <w:sz w:val="16"/>
                <w:szCs w:val="16"/>
              </w:rPr>
            </w:pPr>
            <w:r>
              <w:rPr>
                <w:rFonts w:ascii="华文细黑"/>
                <w:sz w:val="16"/>
              </w:rPr>
              <w:t>-1,102,655,305.30</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right="22"/>
              <w:jc w:val="right"/>
              <w:rPr>
                <w:rFonts w:ascii="华文细黑" w:hAnsi="华文细黑" w:cs="华文细黑" w:eastAsia="华文细黑" w:hint="default"/>
                <w:sz w:val="16"/>
                <w:szCs w:val="16"/>
              </w:rPr>
            </w:pPr>
            <w:r>
              <w:rPr>
                <w:rFonts w:ascii="华文细黑"/>
                <w:spacing w:val="-1"/>
                <w:sz w:val="16"/>
              </w:rPr>
              <w:t>55,316,597,039.18</w:t>
            </w:r>
          </w:p>
        </w:tc>
      </w:tr>
      <w:tr>
        <w:trPr>
          <w:trHeight w:val="380" w:hRule="exact"/>
        </w:trPr>
        <w:tc>
          <w:tcPr>
            <w:tcW w:w="10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30"/>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资产总额</w:t>
            </w:r>
          </w:p>
        </w:tc>
        <w:tc>
          <w:tcPr>
            <w:tcW w:w="142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47"/>
              <w:ind w:right="22"/>
              <w:jc w:val="right"/>
              <w:rPr>
                <w:rFonts w:ascii="华文细黑" w:hAnsi="华文细黑" w:cs="华文细黑" w:eastAsia="华文细黑" w:hint="default"/>
                <w:sz w:val="16"/>
                <w:szCs w:val="16"/>
              </w:rPr>
            </w:pPr>
            <w:r>
              <w:rPr>
                <w:rFonts w:ascii="华文细黑"/>
                <w:spacing w:val="-1"/>
                <w:sz w:val="16"/>
              </w:rPr>
              <w:t>9,315,804,094.83</w:t>
            </w:r>
          </w:p>
        </w:tc>
        <w:tc>
          <w:tcPr>
            <w:tcW w:w="14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right="20"/>
              <w:jc w:val="right"/>
              <w:rPr>
                <w:rFonts w:ascii="华文细黑" w:hAnsi="华文细黑" w:cs="华文细黑" w:eastAsia="华文细黑" w:hint="default"/>
                <w:sz w:val="16"/>
                <w:szCs w:val="16"/>
              </w:rPr>
            </w:pPr>
            <w:r>
              <w:rPr>
                <w:rFonts w:ascii="华文细黑"/>
                <w:spacing w:val="-1"/>
                <w:sz w:val="16"/>
              </w:rPr>
              <w:t>794,912,585.09</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right="20"/>
              <w:jc w:val="right"/>
              <w:rPr>
                <w:rFonts w:ascii="华文细黑" w:hAnsi="华文细黑" w:cs="华文细黑" w:eastAsia="华文细黑" w:hint="default"/>
                <w:sz w:val="16"/>
                <w:szCs w:val="16"/>
              </w:rPr>
            </w:pPr>
            <w:r>
              <w:rPr>
                <w:rFonts w:ascii="华文细黑"/>
                <w:spacing w:val="-1"/>
                <w:sz w:val="16"/>
              </w:rPr>
              <w:t>2,183,420,425.48</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113" w:right="0"/>
              <w:jc w:val="center"/>
              <w:rPr>
                <w:rFonts w:ascii="华文细黑" w:hAnsi="华文细黑" w:cs="华文细黑" w:eastAsia="华文细黑" w:hint="default"/>
                <w:sz w:val="16"/>
                <w:szCs w:val="16"/>
              </w:rPr>
            </w:pPr>
            <w:r>
              <w:rPr>
                <w:rFonts w:ascii="华文细黑"/>
                <w:sz w:val="16"/>
              </w:rPr>
              <w:t>491,311,148.21</w:t>
            </w:r>
          </w:p>
        </w:tc>
        <w:tc>
          <w:tcPr>
            <w:tcW w:w="14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left="67" w:right="0"/>
              <w:jc w:val="center"/>
              <w:rPr>
                <w:rFonts w:ascii="华文细黑" w:hAnsi="华文细黑" w:cs="华文细黑" w:eastAsia="华文细黑" w:hint="default"/>
                <w:sz w:val="16"/>
                <w:szCs w:val="16"/>
              </w:rPr>
            </w:pPr>
            <w:r>
              <w:rPr>
                <w:rFonts w:ascii="华文细黑"/>
                <w:sz w:val="16"/>
              </w:rPr>
              <w:t>-2,538,219,018.72</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7"/>
              <w:ind w:right="22"/>
              <w:jc w:val="right"/>
              <w:rPr>
                <w:rFonts w:ascii="华文细黑" w:hAnsi="华文细黑" w:cs="华文细黑" w:eastAsia="华文细黑" w:hint="default"/>
                <w:sz w:val="16"/>
                <w:szCs w:val="16"/>
              </w:rPr>
            </w:pPr>
            <w:r>
              <w:rPr>
                <w:rFonts w:ascii="华文细黑"/>
                <w:spacing w:val="-1"/>
                <w:sz w:val="16"/>
              </w:rPr>
              <w:t>10,247,229,234.89</w:t>
            </w:r>
          </w:p>
        </w:tc>
      </w:tr>
      <w:tr>
        <w:trPr>
          <w:trHeight w:val="380" w:hRule="exact"/>
        </w:trPr>
        <w:tc>
          <w:tcPr>
            <w:tcW w:w="10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29"/>
              <w:ind w:left="1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负债总额</w:t>
            </w:r>
          </w:p>
        </w:tc>
        <w:tc>
          <w:tcPr>
            <w:tcW w:w="142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46"/>
              <w:ind w:right="22"/>
              <w:jc w:val="right"/>
              <w:rPr>
                <w:rFonts w:ascii="华文细黑" w:hAnsi="华文细黑" w:cs="华文细黑" w:eastAsia="华文细黑" w:hint="default"/>
                <w:sz w:val="16"/>
                <w:szCs w:val="16"/>
              </w:rPr>
            </w:pPr>
            <w:r>
              <w:rPr>
                <w:rFonts w:ascii="华文细黑"/>
                <w:spacing w:val="-1"/>
                <w:sz w:val="16"/>
              </w:rPr>
              <w:t>4,232,114,021.42</w:t>
            </w:r>
          </w:p>
        </w:tc>
        <w:tc>
          <w:tcPr>
            <w:tcW w:w="140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right="20"/>
              <w:jc w:val="right"/>
              <w:rPr>
                <w:rFonts w:ascii="华文细黑" w:hAnsi="华文细黑" w:cs="华文细黑" w:eastAsia="华文细黑" w:hint="default"/>
                <w:sz w:val="16"/>
                <w:szCs w:val="16"/>
              </w:rPr>
            </w:pPr>
            <w:r>
              <w:rPr>
                <w:rFonts w:ascii="华文细黑"/>
                <w:spacing w:val="-1"/>
                <w:sz w:val="16"/>
              </w:rPr>
              <w:t>628,344,510.69</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right="19"/>
              <w:jc w:val="right"/>
              <w:rPr>
                <w:rFonts w:ascii="华文细黑" w:hAnsi="华文细黑" w:cs="华文细黑" w:eastAsia="华文细黑" w:hint="default"/>
                <w:sz w:val="16"/>
                <w:szCs w:val="16"/>
              </w:rPr>
            </w:pPr>
            <w:r>
              <w:rPr>
                <w:rFonts w:ascii="华文细黑"/>
                <w:spacing w:val="-1"/>
                <w:sz w:val="16"/>
              </w:rPr>
              <w:t>751,501,910.80</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113" w:right="0"/>
              <w:jc w:val="center"/>
              <w:rPr>
                <w:rFonts w:ascii="华文细黑" w:hAnsi="华文细黑" w:cs="华文细黑" w:eastAsia="华文细黑" w:hint="default"/>
                <w:sz w:val="16"/>
                <w:szCs w:val="16"/>
              </w:rPr>
            </w:pPr>
            <w:r>
              <w:rPr>
                <w:rFonts w:ascii="华文细黑"/>
                <w:sz w:val="16"/>
              </w:rPr>
              <w:t>673,554,188.00</w:t>
            </w:r>
          </w:p>
        </w:tc>
        <w:tc>
          <w:tcPr>
            <w:tcW w:w="14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left="67" w:right="0"/>
              <w:jc w:val="center"/>
              <w:rPr>
                <w:rFonts w:ascii="华文细黑" w:hAnsi="华文细黑" w:cs="华文细黑" w:eastAsia="华文细黑" w:hint="default"/>
                <w:sz w:val="16"/>
                <w:szCs w:val="16"/>
              </w:rPr>
            </w:pPr>
            <w:r>
              <w:rPr>
                <w:rFonts w:ascii="华文细黑"/>
                <w:sz w:val="16"/>
              </w:rPr>
              <w:t>-1,147,366,342.78</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6"/>
              <w:ind w:right="20"/>
              <w:jc w:val="right"/>
              <w:rPr>
                <w:rFonts w:ascii="华文细黑" w:hAnsi="华文细黑" w:cs="华文细黑" w:eastAsia="华文细黑" w:hint="default"/>
                <w:sz w:val="16"/>
                <w:szCs w:val="16"/>
              </w:rPr>
            </w:pPr>
            <w:r>
              <w:rPr>
                <w:rFonts w:ascii="华文细黑"/>
                <w:spacing w:val="-1"/>
                <w:sz w:val="16"/>
              </w:rPr>
              <w:t>5,138,148,288.13</w:t>
            </w:r>
          </w:p>
        </w:tc>
      </w:tr>
    </w:tbl>
    <w:p>
      <w:pPr>
        <w:spacing w:line="240" w:lineRule="auto" w:before="13"/>
        <w:rPr>
          <w:rFonts w:ascii="华文细黑" w:hAnsi="华文细黑" w:cs="华文细黑" w:eastAsia="华文细黑" w:hint="default"/>
          <w:sz w:val="6"/>
          <w:szCs w:val="6"/>
        </w:rPr>
      </w:pPr>
    </w:p>
    <w:p>
      <w:pPr>
        <w:pStyle w:val="Heading5"/>
        <w:spacing w:line="240" w:lineRule="auto"/>
        <w:ind w:left="691" w:right="0"/>
        <w:jc w:val="left"/>
        <w:rPr>
          <w:b w:val="0"/>
          <w:bCs w:val="0"/>
        </w:rPr>
      </w:pPr>
      <w:bookmarkStart w:name="2、爱施德（香港）有限公司投资并转让中新控股可转换债券及股票情况" w:id="350"/>
      <w:bookmarkEnd w:id="350"/>
      <w:r>
        <w:rPr>
          <w:b w:val="0"/>
          <w:bCs w:val="0"/>
        </w:rPr>
      </w:r>
      <w:r>
        <w:rPr>
          <w:rFonts w:ascii="华文细黑" w:hAnsi="华文细黑" w:cs="华文细黑" w:eastAsia="华文细黑" w:hint="default"/>
          <w:spacing w:val="-4"/>
        </w:rPr>
        <w:t>2</w:t>
      </w:r>
      <w:r>
        <w:rPr>
          <w:spacing w:val="-4"/>
        </w:rPr>
        <w:t>、爱施德（香港）有限公司投资并转让中新控股可转换债券及股票情况</w:t>
      </w:r>
      <w:r>
        <w:rPr>
          <w:b w:val="0"/>
          <w:bCs w:val="0"/>
          <w:spacing w:val="-4"/>
        </w:rPr>
      </w:r>
    </w:p>
    <w:p>
      <w:pPr>
        <w:pStyle w:val="BodyText"/>
        <w:spacing w:line="324" w:lineRule="auto" w:before="142"/>
        <w:ind w:left="280" w:right="1410" w:firstLine="482"/>
        <w:jc w:val="both"/>
      </w:pPr>
      <w:r>
        <w:rPr/>
        <w:t>根据公司 </w:t>
      </w:r>
      <w:r>
        <w:rPr>
          <w:rFonts w:ascii="华文细黑" w:hAnsi="华文细黑" w:cs="华文细黑" w:eastAsia="华文细黑" w:hint="default"/>
        </w:rPr>
        <w:t>2018 </w:t>
      </w:r>
      <w:r>
        <w:rPr/>
        <w:t>年 </w:t>
      </w:r>
      <w:r>
        <w:rPr>
          <w:rFonts w:ascii="华文细黑" w:hAnsi="华文细黑" w:cs="华文细黑" w:eastAsia="华文细黑" w:hint="default"/>
        </w:rPr>
        <w:t>5 </w:t>
      </w:r>
      <w:r>
        <w:rPr/>
        <w:t>月 </w:t>
      </w:r>
      <w:r>
        <w:rPr>
          <w:rFonts w:ascii="华文细黑" w:hAnsi="华文细黑" w:cs="华文细黑" w:eastAsia="华文细黑" w:hint="default"/>
        </w:rPr>
        <w:t>18</w:t>
      </w:r>
      <w:r>
        <w:rPr>
          <w:rFonts w:ascii="华文细黑" w:hAnsi="华文细黑" w:cs="华文细黑" w:eastAsia="华文细黑" w:hint="default"/>
          <w:spacing w:val="-2"/>
        </w:rPr>
        <w:t> </w:t>
      </w:r>
      <w:r>
        <w:rPr/>
        <w:t>日召开的第四届董事会第十六次（临时）会议审议通过的《关于全 </w:t>
      </w:r>
      <w:r>
        <w:rPr>
          <w:spacing w:val="-3"/>
        </w:rPr>
        <w:t>资子公司爱施德（香港）有限公司拟将持有的中新控股科技集团有限公司可转换债转股的议案》，</w:t>
      </w:r>
      <w:r>
        <w:rPr>
          <w:spacing w:val="-29"/>
        </w:rPr>
        <w:t> </w:t>
      </w:r>
      <w:r>
        <w:rPr>
          <w:spacing w:val="-29"/>
        </w:rPr>
      </w:r>
      <w:r>
        <w:rPr>
          <w:spacing w:val="-6"/>
        </w:rPr>
        <w:t>爱施德（香港）于 </w:t>
      </w:r>
      <w:r>
        <w:rPr>
          <w:rFonts w:ascii="华文细黑" w:hAnsi="华文细黑" w:cs="华文细黑" w:eastAsia="华文细黑" w:hint="default"/>
        </w:rPr>
        <w:t>2018 </w:t>
      </w:r>
      <w:r>
        <w:rPr/>
        <w:t>年 </w:t>
      </w:r>
      <w:r>
        <w:rPr>
          <w:rFonts w:ascii="华文细黑" w:hAnsi="华文细黑" w:cs="华文细黑" w:eastAsia="华文细黑" w:hint="default"/>
        </w:rPr>
        <w:t>6 </w:t>
      </w:r>
      <w:r>
        <w:rPr/>
        <w:t>月 </w:t>
      </w:r>
      <w:r>
        <w:rPr>
          <w:rFonts w:ascii="华文细黑" w:hAnsi="华文细黑" w:cs="华文细黑" w:eastAsia="华文细黑" w:hint="default"/>
        </w:rPr>
        <w:t>15 </w:t>
      </w:r>
      <w:r>
        <w:rPr/>
        <w:t>日进行债转股 </w:t>
      </w:r>
      <w:r>
        <w:rPr>
          <w:rFonts w:ascii="华文细黑" w:hAnsi="华文细黑" w:cs="华文细黑" w:eastAsia="华文细黑" w:hint="default"/>
        </w:rPr>
        <w:t>576,923,075</w:t>
      </w:r>
      <w:r>
        <w:rPr>
          <w:rFonts w:ascii="华文细黑" w:hAnsi="华文细黑" w:cs="华文细黑" w:eastAsia="华文细黑" w:hint="default"/>
          <w:spacing w:val="5"/>
        </w:rPr>
        <w:t> </w:t>
      </w:r>
      <w:r>
        <w:rPr>
          <w:spacing w:val="-3"/>
        </w:rPr>
        <w:t>股，本次可转换债转股完成后，爱施</w:t>
      </w:r>
      <w:r>
        <w:rPr/>
        <w:t> 德（香港）对中新控股持股比例为 </w:t>
      </w:r>
      <w:r>
        <w:rPr>
          <w:rFonts w:ascii="华文细黑" w:hAnsi="华文细黑" w:cs="华文细黑" w:eastAsia="华文细黑" w:hint="default"/>
        </w:rPr>
        <w:t>4.68%</w:t>
      </w:r>
      <w:r>
        <w:rPr/>
        <w:t>。</w:t>
      </w:r>
      <w:r>
        <w:rPr>
          <w:rFonts w:ascii="华文细黑" w:hAnsi="华文细黑" w:cs="华文细黑" w:eastAsia="华文细黑" w:hint="default"/>
        </w:rPr>
        <w:t>2018 </w:t>
      </w:r>
      <w:r>
        <w:rPr/>
        <w:t>年出售 </w:t>
      </w:r>
      <w:r>
        <w:rPr>
          <w:rFonts w:ascii="华文细黑" w:hAnsi="华文细黑" w:cs="华文细黑" w:eastAsia="华文细黑" w:hint="default"/>
        </w:rPr>
        <w:t>58,824,000</w:t>
      </w:r>
      <w:r>
        <w:rPr>
          <w:rFonts w:ascii="华文细黑" w:hAnsi="华文细黑" w:cs="华文细黑" w:eastAsia="华文细黑" w:hint="default"/>
          <w:spacing w:val="-2"/>
        </w:rPr>
        <w:t> </w:t>
      </w:r>
      <w:r>
        <w:rPr/>
        <w:t>股，实现税前投资收益为港币 </w:t>
      </w:r>
      <w:r>
        <w:rPr>
          <w:rFonts w:ascii="华文细黑" w:hAnsi="华文细黑" w:cs="华文细黑" w:eastAsia="华文细黑" w:hint="default"/>
        </w:rPr>
        <w:t>1,765,771.68 </w:t>
      </w:r>
      <w:r>
        <w:rPr/>
        <w:t>元，本次股权出售完成后，爱施德（香港）仍然持有中新控股股权 </w:t>
      </w:r>
      <w:r>
        <w:rPr>
          <w:rFonts w:ascii="华文细黑" w:hAnsi="华文细黑" w:cs="华文细黑" w:eastAsia="华文细黑" w:hint="default"/>
        </w:rPr>
        <w:t>996,739,075</w:t>
      </w:r>
      <w:r>
        <w:rPr>
          <w:rFonts w:ascii="华文细黑" w:hAnsi="华文细黑" w:cs="华文细黑" w:eastAsia="华文细黑" w:hint="default"/>
          <w:spacing w:val="-2"/>
        </w:rPr>
        <w:t> </w:t>
      </w:r>
      <w:r>
        <w:rPr/>
        <w:t>股。</w:t>
      </w:r>
    </w:p>
    <w:p>
      <w:pPr>
        <w:pStyle w:val="BodyText"/>
        <w:spacing w:line="240" w:lineRule="auto" w:before="65"/>
        <w:ind w:left="762" w:right="0"/>
        <w:jc w:val="left"/>
      </w:pPr>
      <w:r>
        <w:rPr/>
        <w:t>截止</w:t>
      </w:r>
      <w:r>
        <w:rPr>
          <w:spacing w:val="-10"/>
        </w:rPr>
        <w:t> </w:t>
      </w:r>
      <w:r>
        <w:rPr>
          <w:rFonts w:ascii="华文细黑" w:hAnsi="华文细黑" w:cs="华文细黑" w:eastAsia="华文细黑" w:hint="default"/>
        </w:rPr>
        <w:t>2018</w:t>
      </w:r>
      <w:r>
        <w:rPr>
          <w:rFonts w:ascii="华文细黑" w:hAnsi="华文细黑" w:cs="华文细黑" w:eastAsia="华文细黑" w:hint="default"/>
          <w:spacing w:val="-10"/>
        </w:rPr>
        <w:t> </w:t>
      </w:r>
      <w:r>
        <w:rPr/>
        <w:t>年</w:t>
      </w:r>
      <w:r>
        <w:rPr>
          <w:spacing w:val="-10"/>
        </w:rPr>
        <w:t> </w:t>
      </w:r>
      <w:r>
        <w:rPr>
          <w:rFonts w:ascii="华文细黑" w:hAnsi="华文细黑" w:cs="华文细黑" w:eastAsia="华文细黑" w:hint="default"/>
        </w:rPr>
        <w:t>12</w:t>
      </w:r>
      <w:r>
        <w:rPr>
          <w:rFonts w:ascii="华文细黑" w:hAnsi="华文细黑" w:cs="华文细黑" w:eastAsia="华文细黑" w:hint="default"/>
          <w:spacing w:val="-10"/>
        </w:rPr>
        <w:t> </w:t>
      </w:r>
      <w:r>
        <w:rPr/>
        <w:t>月</w:t>
      </w:r>
      <w:r>
        <w:rPr>
          <w:spacing w:val="-10"/>
        </w:rPr>
        <w:t> </w:t>
      </w:r>
      <w:r>
        <w:rPr>
          <w:rFonts w:ascii="华文细黑" w:hAnsi="华文细黑" w:cs="华文细黑" w:eastAsia="华文细黑" w:hint="default"/>
        </w:rPr>
        <w:t>31</w:t>
      </w:r>
      <w:r>
        <w:rPr>
          <w:rFonts w:ascii="华文细黑" w:hAnsi="华文细黑" w:cs="华文细黑" w:eastAsia="华文细黑" w:hint="default"/>
          <w:spacing w:val="-10"/>
        </w:rPr>
        <w:t> </w:t>
      </w:r>
      <w:r>
        <w:rPr/>
        <w:t>日，公司持有的中新控股股票的股价严重下跌，公司按照公允价值低于</w:t>
      </w:r>
    </w:p>
    <w:p>
      <w:pPr>
        <w:pStyle w:val="BodyText"/>
        <w:spacing w:line="240" w:lineRule="auto" w:before="103"/>
        <w:ind w:left="280" w:right="0"/>
        <w:jc w:val="left"/>
      </w:pPr>
      <w:r>
        <w:rPr/>
        <w:t>成本的差额计提减值准备 </w:t>
      </w:r>
      <w:r>
        <w:rPr>
          <w:rFonts w:ascii="华文细黑" w:hAnsi="华文细黑" w:cs="华文细黑" w:eastAsia="华文细黑" w:hint="default"/>
        </w:rPr>
        <w:t>367,919,644.20</w:t>
      </w:r>
      <w:r>
        <w:rPr>
          <w:rFonts w:ascii="华文细黑" w:hAnsi="华文细黑" w:cs="华文细黑" w:eastAsia="华文细黑" w:hint="default"/>
          <w:spacing w:val="-1"/>
        </w:rPr>
        <w:t> </w:t>
      </w:r>
      <w:r>
        <w:rPr/>
        <w:t>元。</w:t>
      </w:r>
    </w:p>
    <w:p>
      <w:pPr>
        <w:pStyle w:val="Heading5"/>
        <w:spacing w:line="240" w:lineRule="auto" w:before="144"/>
        <w:ind w:left="691" w:right="0"/>
        <w:jc w:val="left"/>
        <w:rPr>
          <w:b w:val="0"/>
          <w:bCs w:val="0"/>
        </w:rPr>
      </w:pPr>
      <w:bookmarkStart w:name="3、深圳市爱施德股份有限公司2015年公司债券到期兑付本息" w:id="351"/>
      <w:bookmarkEnd w:id="351"/>
      <w:r>
        <w:rPr>
          <w:b w:val="0"/>
          <w:bCs w:val="0"/>
        </w:rPr>
      </w:r>
      <w:r>
        <w:rPr>
          <w:rFonts w:ascii="华文细黑" w:hAnsi="华文细黑" w:cs="华文细黑" w:eastAsia="华文细黑" w:hint="default"/>
          <w:spacing w:val="-4"/>
        </w:rPr>
        <w:t>3</w:t>
      </w:r>
      <w:r>
        <w:rPr>
          <w:spacing w:val="-4"/>
        </w:rPr>
        <w:t>、深圳市爱施德股份有限公司 </w:t>
      </w:r>
      <w:r>
        <w:rPr>
          <w:rFonts w:ascii="华文细黑" w:hAnsi="华文细黑" w:cs="华文细黑" w:eastAsia="华文细黑" w:hint="default"/>
        </w:rPr>
        <w:t>2015</w:t>
      </w:r>
      <w:r>
        <w:rPr>
          <w:rFonts w:ascii="华文细黑" w:hAnsi="华文细黑" w:cs="华文细黑" w:eastAsia="华文细黑" w:hint="default"/>
          <w:spacing w:val="-13"/>
        </w:rPr>
        <w:t> </w:t>
      </w:r>
      <w:r>
        <w:rPr>
          <w:spacing w:val="-4"/>
        </w:rPr>
        <w:t>年公司债券到期兑付本息</w:t>
      </w:r>
      <w:r>
        <w:rPr>
          <w:b w:val="0"/>
          <w:bCs w:val="0"/>
          <w:spacing w:val="-4"/>
        </w:rPr>
      </w:r>
    </w:p>
    <w:p>
      <w:pPr>
        <w:pStyle w:val="BodyText"/>
        <w:spacing w:line="240" w:lineRule="auto" w:before="144"/>
        <w:ind w:left="700" w:right="0"/>
        <w:jc w:val="left"/>
      </w:pPr>
      <w:r>
        <w:rPr/>
        <w:t>公司于 </w:t>
      </w:r>
      <w:r>
        <w:rPr>
          <w:rFonts w:ascii="华文细黑" w:hAnsi="华文细黑" w:cs="华文细黑" w:eastAsia="华文细黑" w:hint="default"/>
        </w:rPr>
        <w:t>2015 </w:t>
      </w:r>
      <w:r>
        <w:rPr/>
        <w:t>年 </w:t>
      </w:r>
      <w:r>
        <w:rPr>
          <w:rFonts w:ascii="华文细黑" w:hAnsi="华文细黑" w:cs="华文细黑" w:eastAsia="华文细黑" w:hint="default"/>
        </w:rPr>
        <w:t>11 </w:t>
      </w:r>
      <w:r>
        <w:rPr/>
        <w:t>月 </w:t>
      </w:r>
      <w:r>
        <w:rPr>
          <w:rFonts w:ascii="华文细黑" w:hAnsi="华文细黑" w:cs="华文细黑" w:eastAsia="华文细黑" w:hint="default"/>
        </w:rPr>
        <w:t>12 </w:t>
      </w:r>
      <w:r>
        <w:rPr/>
        <w:t>日发行的深圳市爱施德股份有限公司 </w:t>
      </w:r>
      <w:r>
        <w:rPr>
          <w:rFonts w:ascii="华文细黑" w:hAnsi="华文细黑" w:cs="华文细黑" w:eastAsia="华文细黑" w:hint="default"/>
        </w:rPr>
        <w:t>2015 </w:t>
      </w:r>
      <w:r>
        <w:rPr>
          <w:rFonts w:ascii="华文细黑" w:hAnsi="华文细黑" w:cs="华文细黑" w:eastAsia="华文细黑" w:hint="default"/>
          <w:spacing w:val="13"/>
        </w:rPr>
        <w:t> </w:t>
      </w:r>
      <w:r>
        <w:rPr/>
        <w:t>年公司债券（第一期）至</w:t>
      </w:r>
    </w:p>
    <w:p>
      <w:pPr>
        <w:pStyle w:val="BodyText"/>
        <w:spacing w:line="240" w:lineRule="auto" w:before="103"/>
        <w:ind w:left="280" w:right="0"/>
        <w:jc w:val="left"/>
      </w:pPr>
      <w:r>
        <w:rPr>
          <w:rFonts w:ascii="华文细黑" w:hAnsi="华文细黑" w:cs="华文细黑" w:eastAsia="华文细黑" w:hint="default"/>
        </w:rPr>
        <w:t>2018</w:t>
      </w:r>
      <w:r>
        <w:rPr>
          <w:rFonts w:ascii="华文细黑" w:hAnsi="华文细黑" w:cs="华文细黑" w:eastAsia="华文细黑" w:hint="default"/>
          <w:spacing w:val="21"/>
        </w:rPr>
        <w:t> </w:t>
      </w:r>
      <w:r>
        <w:rPr/>
        <w:t>年</w:t>
      </w:r>
      <w:r>
        <w:rPr>
          <w:spacing w:val="20"/>
        </w:rPr>
        <w:t> </w:t>
      </w:r>
      <w:r>
        <w:rPr>
          <w:rFonts w:ascii="华文细黑" w:hAnsi="华文细黑" w:cs="华文细黑" w:eastAsia="华文细黑" w:hint="default"/>
        </w:rPr>
        <w:t>11</w:t>
      </w:r>
      <w:r>
        <w:rPr>
          <w:rFonts w:ascii="华文细黑" w:hAnsi="华文细黑" w:cs="华文细黑" w:eastAsia="华文细黑" w:hint="default"/>
          <w:spacing w:val="21"/>
        </w:rPr>
        <w:t> </w:t>
      </w:r>
      <w:r>
        <w:rPr/>
        <w:t>月</w:t>
      </w:r>
      <w:r>
        <w:rPr>
          <w:spacing w:val="20"/>
        </w:rPr>
        <w:t> </w:t>
      </w:r>
      <w:r>
        <w:rPr>
          <w:rFonts w:ascii="华文细黑" w:hAnsi="华文细黑" w:cs="华文细黑" w:eastAsia="华文细黑" w:hint="default"/>
        </w:rPr>
        <w:t>13</w:t>
      </w:r>
      <w:r>
        <w:rPr>
          <w:rFonts w:ascii="华文细黑" w:hAnsi="华文细黑" w:cs="华文细黑" w:eastAsia="华文细黑" w:hint="default"/>
          <w:spacing w:val="20"/>
        </w:rPr>
        <w:t> </w:t>
      </w:r>
      <w:r>
        <w:rPr/>
        <w:t>日已满</w:t>
      </w:r>
      <w:r>
        <w:rPr>
          <w:spacing w:val="20"/>
        </w:rPr>
        <w:t> </w:t>
      </w:r>
      <w:r>
        <w:rPr>
          <w:rFonts w:ascii="华文细黑" w:hAnsi="华文细黑" w:cs="华文细黑" w:eastAsia="华文细黑" w:hint="default"/>
        </w:rPr>
        <w:t>3</w:t>
      </w:r>
      <w:r>
        <w:rPr>
          <w:rFonts w:ascii="华文细黑" w:hAnsi="华文细黑" w:cs="华文细黑" w:eastAsia="华文细黑" w:hint="default"/>
          <w:spacing w:val="20"/>
        </w:rPr>
        <w:t> </w:t>
      </w:r>
      <w:r>
        <w:rPr/>
        <w:t>年到期摘牌，公司已于</w:t>
      </w:r>
      <w:r>
        <w:rPr>
          <w:spacing w:val="21"/>
        </w:rPr>
        <w:t> </w:t>
      </w:r>
      <w:r>
        <w:rPr>
          <w:rFonts w:ascii="华文细黑" w:hAnsi="华文细黑" w:cs="华文细黑" w:eastAsia="华文细黑" w:hint="default"/>
        </w:rPr>
        <w:t>2018</w:t>
      </w:r>
      <w:r>
        <w:rPr>
          <w:rFonts w:ascii="华文细黑" w:hAnsi="华文细黑" w:cs="华文细黑" w:eastAsia="华文细黑" w:hint="default"/>
          <w:spacing w:val="21"/>
        </w:rPr>
        <w:t> </w:t>
      </w:r>
      <w:r>
        <w:rPr/>
        <w:t>年</w:t>
      </w:r>
      <w:r>
        <w:rPr>
          <w:spacing w:val="20"/>
        </w:rPr>
        <w:t> </w:t>
      </w:r>
      <w:r>
        <w:rPr>
          <w:rFonts w:ascii="华文细黑" w:hAnsi="华文细黑" w:cs="华文细黑" w:eastAsia="华文细黑" w:hint="default"/>
        </w:rPr>
        <w:t>11</w:t>
      </w:r>
      <w:r>
        <w:rPr>
          <w:rFonts w:ascii="华文细黑" w:hAnsi="华文细黑" w:cs="华文细黑" w:eastAsia="华文细黑" w:hint="default"/>
          <w:spacing w:val="20"/>
        </w:rPr>
        <w:t> </w:t>
      </w:r>
      <w:r>
        <w:rPr/>
        <w:t>月</w:t>
      </w:r>
      <w:r>
        <w:rPr>
          <w:spacing w:val="20"/>
        </w:rPr>
        <w:t> </w:t>
      </w:r>
      <w:r>
        <w:rPr>
          <w:rFonts w:ascii="华文细黑" w:hAnsi="华文细黑" w:cs="华文细黑" w:eastAsia="华文细黑" w:hint="default"/>
        </w:rPr>
        <w:t>13</w:t>
      </w:r>
      <w:r>
        <w:rPr>
          <w:rFonts w:ascii="华文细黑" w:hAnsi="华文细黑" w:cs="华文细黑" w:eastAsia="华文细黑" w:hint="default"/>
          <w:spacing w:val="21"/>
        </w:rPr>
        <w:t> </w:t>
      </w:r>
      <w:r>
        <w:rPr/>
        <w:t>日兑付本期债券的本金余额</w:t>
      </w:r>
    </w:p>
    <w:p>
      <w:pPr>
        <w:pStyle w:val="BodyText"/>
        <w:spacing w:line="240" w:lineRule="auto" w:before="103"/>
        <w:ind w:left="280" w:right="0"/>
        <w:jc w:val="left"/>
      </w:pPr>
      <w:r>
        <w:rPr>
          <w:rFonts w:ascii="华文细黑" w:hAnsi="华文细黑" w:cs="华文细黑" w:eastAsia="华文细黑" w:hint="default"/>
        </w:rPr>
        <w:t>502,799,400.00 </w:t>
      </w:r>
      <w:r>
        <w:rPr/>
        <w:t>元，以及自 </w:t>
      </w:r>
      <w:r>
        <w:rPr>
          <w:rFonts w:ascii="华文细黑" w:hAnsi="华文细黑" w:cs="华文细黑" w:eastAsia="华文细黑" w:hint="default"/>
        </w:rPr>
        <w:t>2017 </w:t>
      </w:r>
      <w:r>
        <w:rPr/>
        <w:t>年 </w:t>
      </w:r>
      <w:r>
        <w:rPr>
          <w:rFonts w:ascii="华文细黑" w:hAnsi="华文细黑" w:cs="华文细黑" w:eastAsia="华文细黑" w:hint="default"/>
        </w:rPr>
        <w:t>11 </w:t>
      </w:r>
      <w:r>
        <w:rPr/>
        <w:t>月 </w:t>
      </w:r>
      <w:r>
        <w:rPr>
          <w:rFonts w:ascii="华文细黑" w:hAnsi="华文细黑" w:cs="华文细黑" w:eastAsia="华文细黑" w:hint="default"/>
        </w:rPr>
        <w:t>13 </w:t>
      </w:r>
      <w:r>
        <w:rPr/>
        <w:t>日至 </w:t>
      </w:r>
      <w:r>
        <w:rPr>
          <w:rFonts w:ascii="华文细黑" w:hAnsi="华文细黑" w:cs="华文细黑" w:eastAsia="华文细黑" w:hint="default"/>
        </w:rPr>
        <w:t>2018 </w:t>
      </w:r>
      <w:r>
        <w:rPr/>
        <w:t>年 </w:t>
      </w:r>
      <w:r>
        <w:rPr>
          <w:rFonts w:ascii="华文细黑" w:hAnsi="华文细黑" w:cs="华文细黑" w:eastAsia="华文细黑" w:hint="default"/>
        </w:rPr>
        <w:t>11 </w:t>
      </w:r>
      <w:r>
        <w:rPr/>
        <w:t>月 </w:t>
      </w:r>
      <w:r>
        <w:rPr>
          <w:rFonts w:ascii="华文细黑" w:hAnsi="华文细黑" w:cs="华文细黑" w:eastAsia="华文细黑" w:hint="default"/>
        </w:rPr>
        <w:t>12</w:t>
      </w:r>
      <w:r>
        <w:rPr>
          <w:rFonts w:ascii="华文细黑" w:hAnsi="华文细黑" w:cs="华文细黑" w:eastAsia="华文细黑" w:hint="default"/>
          <w:spacing w:val="-6"/>
        </w:rPr>
        <w:t> </w:t>
      </w:r>
      <w:r>
        <w:rPr/>
        <w:t>日期间的利息。</w:t>
      </w:r>
    </w:p>
    <w:p>
      <w:pPr>
        <w:pStyle w:val="Heading5"/>
        <w:spacing w:line="240" w:lineRule="auto" w:before="144"/>
        <w:ind w:left="691" w:right="0"/>
        <w:jc w:val="left"/>
        <w:rPr>
          <w:b w:val="0"/>
          <w:bCs w:val="0"/>
        </w:rPr>
      </w:pPr>
      <w:bookmarkStart w:name="4、与中国科技开发院有限公司结成战略合作伙伴关系" w:id="352"/>
      <w:bookmarkEnd w:id="352"/>
      <w:r>
        <w:rPr>
          <w:b w:val="0"/>
          <w:bCs w:val="0"/>
        </w:rPr>
      </w:r>
      <w:r>
        <w:rPr>
          <w:rFonts w:ascii="华文细黑" w:hAnsi="华文细黑" w:cs="华文细黑" w:eastAsia="华文细黑" w:hint="default"/>
          <w:spacing w:val="-4"/>
        </w:rPr>
        <w:t>4</w:t>
      </w:r>
      <w:r>
        <w:rPr>
          <w:spacing w:val="-4"/>
        </w:rPr>
        <w:t>、与中国科技开发院有限公司结成战略合作伙伴关系</w:t>
      </w:r>
      <w:r>
        <w:rPr>
          <w:b w:val="0"/>
          <w:bCs w:val="0"/>
          <w:spacing w:val="-4"/>
        </w:rPr>
      </w:r>
    </w:p>
    <w:p>
      <w:pPr>
        <w:pStyle w:val="BodyText"/>
        <w:spacing w:line="324" w:lineRule="auto" w:before="144"/>
        <w:ind w:left="280" w:right="1368" w:firstLine="412"/>
        <w:jc w:val="both"/>
      </w:pPr>
      <w:r>
        <w:rPr>
          <w:rFonts w:ascii="华文细黑" w:hAnsi="华文细黑" w:cs="华文细黑" w:eastAsia="华文细黑" w:hint="default"/>
          <w:spacing w:val="-3"/>
        </w:rPr>
        <w:t>2018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5</w:t>
      </w:r>
      <w:r>
        <w:rPr>
          <w:rFonts w:ascii="华文细黑" w:hAnsi="华文细黑" w:cs="华文细黑" w:eastAsia="华文细黑" w:hint="default"/>
          <w:spacing w:val="6"/>
        </w:rPr>
        <w:t> </w:t>
      </w:r>
      <w:r>
        <w:rPr>
          <w:spacing w:val="-5"/>
        </w:rPr>
        <w:t>日，公司与中国科技开发院有限公司为深入合作，更好地发挥各自的优势条件，</w:t>
      </w:r>
      <w:r>
        <w:rPr/>
        <w:t> </w:t>
      </w:r>
      <w:r>
        <w:rPr>
          <w:spacing w:val="-6"/>
        </w:rPr>
        <w:t>双方结成战略合作伙伴关系，围绕在科技企业孵化与产业化方面开展合作，签署了《战略合作框架协</w:t>
      </w:r>
      <w:r>
        <w:rPr>
          <w:spacing w:val="-15"/>
        </w:rPr>
        <w:t> </w:t>
      </w:r>
      <w:r>
        <w:rPr>
          <w:spacing w:val="-15"/>
        </w:rPr>
      </w:r>
      <w:r>
        <w:rPr>
          <w:spacing w:val="-6"/>
        </w:rPr>
        <w:t>议》，为中国科技开发院有限公司孵化能力的提升和公司产业的优化与升级创造条件，也为各方后续</w:t>
      </w:r>
      <w:r>
        <w:rPr>
          <w:spacing w:val="-22"/>
        </w:rPr>
        <w:t> </w:t>
      </w:r>
      <w:r>
        <w:rPr>
          <w:spacing w:val="-22"/>
        </w:rPr>
      </w:r>
      <w:r>
        <w:rPr>
          <w:spacing w:val="-5"/>
        </w:rPr>
        <w:t>推进具体项目合作奠定基础。</w:t>
      </w:r>
    </w:p>
    <w:p>
      <w:pPr>
        <w:pStyle w:val="Heading5"/>
        <w:spacing w:line="240" w:lineRule="auto" w:before="63"/>
        <w:ind w:left="691" w:right="0"/>
        <w:jc w:val="left"/>
        <w:rPr>
          <w:b w:val="0"/>
          <w:bCs w:val="0"/>
        </w:rPr>
      </w:pPr>
      <w:bookmarkStart w:name="5、控股股东股权质押情况" w:id="353"/>
      <w:bookmarkEnd w:id="353"/>
      <w:r>
        <w:rPr>
          <w:b w:val="0"/>
          <w:bCs w:val="0"/>
        </w:rPr>
      </w:r>
      <w:r>
        <w:rPr>
          <w:rFonts w:ascii="华文细黑" w:hAnsi="华文细黑" w:cs="华文细黑" w:eastAsia="华文细黑" w:hint="default"/>
          <w:spacing w:val="-4"/>
        </w:rPr>
        <w:t>5</w:t>
      </w:r>
      <w:r>
        <w:rPr>
          <w:spacing w:val="-4"/>
        </w:rPr>
        <w:t>、控股股东股权质押情况</w:t>
      </w:r>
      <w:r>
        <w:rPr>
          <w:b w:val="0"/>
          <w:bCs w:val="0"/>
          <w:spacing w:val="-4"/>
        </w:rPr>
      </w:r>
    </w:p>
    <w:p>
      <w:pPr>
        <w:pStyle w:val="BodyText"/>
        <w:spacing w:line="324" w:lineRule="auto" w:before="144"/>
        <w:ind w:left="280" w:right="1378" w:firstLine="412"/>
        <w:jc w:val="both"/>
      </w:pPr>
      <w:r>
        <w:rPr>
          <w:spacing w:val="-3"/>
        </w:rPr>
        <w:t>截至 </w:t>
      </w:r>
      <w:r>
        <w:rPr>
          <w:rFonts w:ascii="华文细黑" w:hAnsi="华文细黑" w:cs="华文细黑" w:eastAsia="华文细黑" w:hint="default"/>
          <w:spacing w:val="-3"/>
        </w:rPr>
        <w:t>2018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31 </w:t>
      </w:r>
      <w:r>
        <w:rPr>
          <w:spacing w:val="-5"/>
        </w:rPr>
        <w:t>日，深圳市神州通投资集团有限公司共持有公司股份 </w:t>
      </w:r>
      <w:r>
        <w:rPr>
          <w:rFonts w:ascii="华文细黑" w:hAnsi="华文细黑" w:cs="华文细黑" w:eastAsia="华文细黑" w:hint="default"/>
          <w:spacing w:val="-3"/>
        </w:rPr>
        <w:t>650,644,303</w:t>
      </w:r>
      <w:r>
        <w:rPr>
          <w:rFonts w:ascii="华文细黑" w:hAnsi="华文细黑" w:cs="华文细黑" w:eastAsia="华文细黑" w:hint="default"/>
          <w:spacing w:val="-17"/>
        </w:rPr>
        <w:t> </w:t>
      </w:r>
      <w:r>
        <w:rPr>
          <w:spacing w:val="-9"/>
        </w:rPr>
        <w:t>股，占</w:t>
      </w:r>
      <w:r>
        <w:rPr/>
        <w:t> </w:t>
      </w:r>
      <w:r>
        <w:rPr>
          <w:spacing w:val="-4"/>
        </w:rPr>
        <w:t>公司股份总数的 </w:t>
      </w:r>
      <w:r>
        <w:rPr>
          <w:rFonts w:ascii="华文细黑" w:hAnsi="华文细黑" w:cs="华文细黑" w:eastAsia="华文细黑" w:hint="default"/>
          <w:spacing w:val="-4"/>
        </w:rPr>
        <w:t>52.50%</w:t>
      </w:r>
      <w:r>
        <w:rPr>
          <w:spacing w:val="-4"/>
        </w:rPr>
        <w:t>，其中处于质押状态的股份为 </w:t>
      </w:r>
      <w:r>
        <w:rPr>
          <w:rFonts w:ascii="华文细黑" w:hAnsi="华文细黑" w:cs="华文细黑" w:eastAsia="华文细黑" w:hint="default"/>
          <w:spacing w:val="-3"/>
        </w:rPr>
        <w:t>439,840,000 </w:t>
      </w:r>
      <w:r>
        <w:rPr>
          <w:spacing w:val="-4"/>
        </w:rPr>
        <w:t>股，占公司股份总数的</w:t>
      </w:r>
      <w:r>
        <w:rPr>
          <w:spacing w:val="-7"/>
        </w:rPr>
        <w:t> </w:t>
      </w:r>
      <w:r>
        <w:rPr>
          <w:rFonts w:ascii="华文细黑" w:hAnsi="华文细黑" w:cs="华文细黑" w:eastAsia="华文细黑" w:hint="default"/>
        </w:rPr>
        <w:t>35.49%</w:t>
      </w:r>
      <w:r>
        <w:rPr/>
        <w:t>。</w:t>
      </w:r>
    </w:p>
    <w:p>
      <w:pPr>
        <w:spacing w:after="0" w:line="324" w:lineRule="auto"/>
        <w:jc w:val="both"/>
        <w:sectPr>
          <w:footerReference w:type="default" r:id="rId29"/>
          <w:pgSz w:w="11910" w:h="16840"/>
          <w:pgMar w:footer="1019" w:header="917" w:top="1100" w:bottom="1200" w:left="1160" w:right="0"/>
        </w:sectPr>
      </w:pPr>
    </w:p>
    <w:p>
      <w:pPr>
        <w:spacing w:line="240" w:lineRule="auto" w:before="0"/>
        <w:rPr>
          <w:rFonts w:ascii="华文细黑" w:hAnsi="华文细黑" w:cs="华文细黑" w:eastAsia="华文细黑" w:hint="default"/>
          <w:sz w:val="26"/>
          <w:szCs w:val="26"/>
        </w:rPr>
      </w:pPr>
    </w:p>
    <w:p>
      <w:pPr>
        <w:pStyle w:val="Heading4"/>
        <w:spacing w:line="336" w:lineRule="exact"/>
        <w:ind w:left="660" w:right="1423"/>
        <w:jc w:val="left"/>
        <w:rPr>
          <w:b w:val="0"/>
          <w:bCs w:val="0"/>
        </w:rPr>
      </w:pPr>
      <w:bookmarkStart w:name="十五、公司财务报表主要项目注释" w:id="354"/>
      <w:bookmarkEnd w:id="354"/>
      <w:r>
        <w:rPr>
          <w:b w:val="0"/>
          <w:bCs w:val="0"/>
        </w:rPr>
      </w:r>
      <w:r>
        <w:rPr/>
        <w:t>十五、公司财务报表主要项目注释</w:t>
      </w:r>
      <w:r>
        <w:rPr>
          <w:b w:val="0"/>
          <w:bCs w:val="0"/>
        </w:rPr>
      </w:r>
    </w:p>
    <w:p>
      <w:pPr>
        <w:pStyle w:val="Heading5"/>
        <w:spacing w:line="240" w:lineRule="auto" w:before="137"/>
        <w:ind w:left="600" w:right="1423"/>
        <w:jc w:val="left"/>
        <w:rPr>
          <w:b w:val="0"/>
          <w:bCs w:val="0"/>
        </w:rPr>
      </w:pPr>
      <w:bookmarkStart w:name="1、应收票据及应收账款" w:id="355"/>
      <w:bookmarkEnd w:id="355"/>
      <w:r>
        <w:rPr>
          <w:b w:val="0"/>
          <w:bCs w:val="0"/>
        </w:rPr>
      </w:r>
      <w:r>
        <w:rPr>
          <w:rFonts w:ascii="华文细黑" w:hAnsi="华文细黑" w:cs="华文细黑" w:eastAsia="华文细黑" w:hint="default"/>
        </w:rPr>
        <w:t>1</w:t>
      </w:r>
      <w:r>
        <w:rPr/>
        <w:t>、应收票据及应收账款</w:t>
      </w:r>
      <w:r>
        <w:rPr>
          <w:b w:val="0"/>
          <w:bCs w:val="0"/>
        </w:rPr>
      </w:r>
    </w:p>
    <w:p>
      <w:pPr>
        <w:spacing w:line="240" w:lineRule="auto" w:before="5"/>
        <w:rPr>
          <w:rFonts w:ascii="华文细黑" w:hAnsi="华文细黑" w:cs="华文细黑" w:eastAsia="华文细黑" w:hint="default"/>
          <w:b/>
          <w:bCs/>
          <w:sz w:val="5"/>
          <w:szCs w:val="5"/>
        </w:rPr>
      </w:pPr>
    </w:p>
    <w:tbl>
      <w:tblPr>
        <w:tblW w:w="0" w:type="auto"/>
        <w:jc w:val="left"/>
        <w:tblInd w:w="208" w:type="dxa"/>
        <w:tblLayout w:type="fixed"/>
        <w:tblCellMar>
          <w:top w:w="0" w:type="dxa"/>
          <w:left w:w="0" w:type="dxa"/>
          <w:bottom w:w="0" w:type="dxa"/>
          <w:right w:w="0" w:type="dxa"/>
        </w:tblCellMar>
        <w:tblLook w:val="01E0"/>
      </w:tblPr>
      <w:tblGrid>
        <w:gridCol w:w="3081"/>
        <w:gridCol w:w="2885"/>
        <w:gridCol w:w="2994"/>
      </w:tblGrid>
      <w:tr>
        <w:trPr>
          <w:trHeight w:val="491" w:hRule="exact"/>
        </w:trPr>
        <w:tc>
          <w:tcPr>
            <w:tcW w:w="308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265"/>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28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99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0" w:hRule="exact"/>
        </w:trPr>
        <w:tc>
          <w:tcPr>
            <w:tcW w:w="308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应收票据</w:t>
            </w:r>
          </w:p>
        </w:tc>
        <w:tc>
          <w:tcPr>
            <w:tcW w:w="28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225,300,733.00</w:t>
            </w:r>
          </w:p>
        </w:tc>
        <w:tc>
          <w:tcPr>
            <w:tcW w:w="2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216,233,320.56</w:t>
            </w:r>
          </w:p>
        </w:tc>
      </w:tr>
      <w:tr>
        <w:trPr>
          <w:trHeight w:val="490" w:hRule="exact"/>
        </w:trPr>
        <w:tc>
          <w:tcPr>
            <w:tcW w:w="308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应收账款</w:t>
            </w:r>
          </w:p>
        </w:tc>
        <w:tc>
          <w:tcPr>
            <w:tcW w:w="28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pacing w:val="-1"/>
                <w:sz w:val="18"/>
              </w:rPr>
              <w:t>1,105,965,826.14</w:t>
            </w:r>
          </w:p>
        </w:tc>
        <w:tc>
          <w:tcPr>
            <w:tcW w:w="2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855,580,907.89</w:t>
            </w:r>
          </w:p>
        </w:tc>
      </w:tr>
      <w:tr>
        <w:trPr>
          <w:trHeight w:val="491" w:hRule="exact"/>
        </w:trPr>
        <w:tc>
          <w:tcPr>
            <w:tcW w:w="308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265"/>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8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b/>
                <w:w w:val="95"/>
                <w:sz w:val="18"/>
              </w:rPr>
              <w:t>1,331,266,559.14</w:t>
            </w:r>
            <w:r>
              <w:rPr>
                <w:rFonts w:ascii="华文细黑"/>
                <w:sz w:val="18"/>
              </w:rPr>
            </w:r>
          </w:p>
        </w:tc>
        <w:tc>
          <w:tcPr>
            <w:tcW w:w="2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b/>
                <w:w w:val="95"/>
                <w:sz w:val="18"/>
              </w:rPr>
              <w:t>1,071,814,228.45</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spacing w:before="10"/>
        <w:ind w:left="540" w:right="1423" w:firstLine="0"/>
        <w:jc w:val="left"/>
        <w:rPr>
          <w:rFonts w:ascii="华文细黑" w:hAnsi="华文细黑" w:cs="华文细黑" w:eastAsia="华文细黑" w:hint="default"/>
          <w:sz w:val="21"/>
          <w:szCs w:val="21"/>
        </w:rPr>
      </w:pPr>
      <w:bookmarkStart w:name="（1）应收票据" w:id="356"/>
      <w:bookmarkEnd w:id="356"/>
      <w:r>
        <w:rPr/>
      </w:r>
      <w:r>
        <w:rPr>
          <w:rFonts w:ascii="华文细黑" w:hAnsi="华文细黑" w:cs="华文细黑" w:eastAsia="华文细黑" w:hint="default"/>
          <w:b/>
          <w:bCs/>
          <w:sz w:val="18"/>
          <w:szCs w:val="18"/>
        </w:rPr>
        <w:t>（</w:t>
      </w:r>
      <w:r>
        <w:rPr>
          <w:rFonts w:ascii="华文细黑" w:hAnsi="华文细黑" w:cs="华文细黑" w:eastAsia="华文细黑" w:hint="default"/>
          <w:b/>
          <w:bCs/>
          <w:sz w:val="21"/>
          <w:szCs w:val="21"/>
        </w:rPr>
        <w:t>1</w:t>
      </w:r>
      <w:r>
        <w:rPr>
          <w:rFonts w:ascii="华文细黑" w:hAnsi="华文细黑" w:cs="华文细黑" w:eastAsia="华文细黑" w:hint="default"/>
          <w:b/>
          <w:bCs/>
          <w:sz w:val="21"/>
          <w:szCs w:val="21"/>
        </w:rPr>
        <w:t>）应收票据</w:t>
      </w:r>
      <w:r>
        <w:rPr>
          <w:rFonts w:ascii="华文细黑" w:hAnsi="华文细黑" w:cs="华文细黑" w:eastAsia="华文细黑" w:hint="default"/>
          <w:sz w:val="21"/>
          <w:szCs w:val="21"/>
        </w:rPr>
      </w:r>
    </w:p>
    <w:p>
      <w:pPr>
        <w:pStyle w:val="BodyText"/>
        <w:spacing w:line="240" w:lineRule="auto" w:before="142"/>
        <w:ind w:left="600" w:right="1423"/>
        <w:jc w:val="left"/>
      </w:pPr>
      <w:r>
        <w:rPr/>
        <w:t>①应收票据分类</w:t>
      </w:r>
    </w:p>
    <w:p>
      <w:pPr>
        <w:spacing w:line="240" w:lineRule="auto" w:before="6"/>
        <w:rPr>
          <w:rFonts w:ascii="华文细黑" w:hAnsi="华文细黑" w:cs="华文细黑" w:eastAsia="华文细黑" w:hint="default"/>
          <w:sz w:val="5"/>
          <w:szCs w:val="5"/>
        </w:rPr>
      </w:pPr>
    </w:p>
    <w:tbl>
      <w:tblPr>
        <w:tblW w:w="0" w:type="auto"/>
        <w:jc w:val="left"/>
        <w:tblInd w:w="170" w:type="dxa"/>
        <w:tblLayout w:type="fixed"/>
        <w:tblCellMar>
          <w:top w:w="0" w:type="dxa"/>
          <w:left w:w="0" w:type="dxa"/>
          <w:bottom w:w="0" w:type="dxa"/>
          <w:right w:w="0" w:type="dxa"/>
        </w:tblCellMar>
        <w:tblLook w:val="01E0"/>
      </w:tblPr>
      <w:tblGrid>
        <w:gridCol w:w="3158"/>
        <w:gridCol w:w="2885"/>
        <w:gridCol w:w="2994"/>
      </w:tblGrid>
      <w:tr>
        <w:trPr>
          <w:trHeight w:val="490" w:hRule="exact"/>
        </w:trPr>
        <w:tc>
          <w:tcPr>
            <w:tcW w:w="31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303"/>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288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299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0" w:hRule="exact"/>
        </w:trPr>
        <w:tc>
          <w:tcPr>
            <w:tcW w:w="31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银行承兑汇票</w:t>
            </w:r>
          </w:p>
        </w:tc>
        <w:tc>
          <w:tcPr>
            <w:tcW w:w="28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225,300,733.00</w:t>
            </w:r>
          </w:p>
        </w:tc>
        <w:tc>
          <w:tcPr>
            <w:tcW w:w="2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216,233,320.56</w:t>
            </w:r>
          </w:p>
        </w:tc>
      </w:tr>
      <w:tr>
        <w:trPr>
          <w:trHeight w:val="491" w:hRule="exact"/>
        </w:trPr>
        <w:tc>
          <w:tcPr>
            <w:tcW w:w="31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303"/>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88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b/>
                <w:w w:val="95"/>
                <w:sz w:val="18"/>
              </w:rPr>
              <w:t>225,300,733.00</w:t>
            </w:r>
            <w:r>
              <w:rPr>
                <w:rFonts w:ascii="华文细黑"/>
                <w:sz w:val="18"/>
              </w:rPr>
            </w:r>
          </w:p>
        </w:tc>
        <w:tc>
          <w:tcPr>
            <w:tcW w:w="2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b/>
                <w:w w:val="95"/>
                <w:sz w:val="18"/>
              </w:rPr>
              <w:t>216,233,320.56</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00" w:right="1423"/>
        <w:jc w:val="left"/>
      </w:pPr>
      <w:r>
        <w:rPr/>
        <w:t>②年末已质押的应收票据情况</w:t>
      </w:r>
    </w:p>
    <w:p>
      <w:pPr>
        <w:spacing w:line="240" w:lineRule="auto" w:before="5"/>
        <w:rPr>
          <w:rFonts w:ascii="华文细黑" w:hAnsi="华文细黑" w:cs="华文细黑" w:eastAsia="华文细黑" w:hint="default"/>
          <w:sz w:val="5"/>
          <w:szCs w:val="5"/>
        </w:rPr>
      </w:pPr>
    </w:p>
    <w:tbl>
      <w:tblPr>
        <w:tblW w:w="0" w:type="auto"/>
        <w:jc w:val="left"/>
        <w:tblInd w:w="180" w:type="dxa"/>
        <w:tblLayout w:type="fixed"/>
        <w:tblCellMar>
          <w:top w:w="0" w:type="dxa"/>
          <w:left w:w="0" w:type="dxa"/>
          <w:bottom w:w="0" w:type="dxa"/>
          <w:right w:w="0" w:type="dxa"/>
        </w:tblCellMar>
        <w:tblLook w:val="01E0"/>
      </w:tblPr>
      <w:tblGrid>
        <w:gridCol w:w="3511"/>
        <w:gridCol w:w="5558"/>
      </w:tblGrid>
      <w:tr>
        <w:trPr>
          <w:trHeight w:val="490" w:hRule="exact"/>
        </w:trPr>
        <w:tc>
          <w:tcPr>
            <w:tcW w:w="35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48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555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年末已质押金额</w:t>
            </w:r>
          </w:p>
        </w:tc>
      </w:tr>
      <w:tr>
        <w:trPr>
          <w:trHeight w:val="490" w:hRule="exact"/>
        </w:trPr>
        <w:tc>
          <w:tcPr>
            <w:tcW w:w="35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银行承兑汇票</w:t>
            </w:r>
          </w:p>
        </w:tc>
        <w:tc>
          <w:tcPr>
            <w:tcW w:w="555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sz w:val="18"/>
              </w:rPr>
              <w:t>134,630,000.00</w:t>
            </w:r>
          </w:p>
        </w:tc>
      </w:tr>
      <w:tr>
        <w:trPr>
          <w:trHeight w:val="490" w:hRule="exact"/>
        </w:trPr>
        <w:tc>
          <w:tcPr>
            <w:tcW w:w="35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48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555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b/>
                <w:sz w:val="18"/>
              </w:rPr>
              <w:t>134,630,000.00</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916" w:right="1423"/>
        <w:jc w:val="left"/>
      </w:pPr>
      <w:r>
        <w:rPr/>
        <w:t>③年末已背书或贴现且在资产负债表日尚未到期的应收票据</w:t>
      </w:r>
    </w:p>
    <w:p>
      <w:pPr>
        <w:spacing w:line="240" w:lineRule="auto" w:before="5"/>
        <w:rPr>
          <w:rFonts w:ascii="华文细黑" w:hAnsi="华文细黑" w:cs="华文细黑" w:eastAsia="华文细黑" w:hint="default"/>
          <w:sz w:val="5"/>
          <w:szCs w:val="5"/>
        </w:rPr>
      </w:pPr>
    </w:p>
    <w:tbl>
      <w:tblPr>
        <w:tblW w:w="0" w:type="auto"/>
        <w:jc w:val="left"/>
        <w:tblInd w:w="180" w:type="dxa"/>
        <w:tblLayout w:type="fixed"/>
        <w:tblCellMar>
          <w:top w:w="0" w:type="dxa"/>
          <w:left w:w="0" w:type="dxa"/>
          <w:bottom w:w="0" w:type="dxa"/>
          <w:right w:w="0" w:type="dxa"/>
        </w:tblCellMar>
        <w:tblLook w:val="01E0"/>
      </w:tblPr>
      <w:tblGrid>
        <w:gridCol w:w="3511"/>
        <w:gridCol w:w="2836"/>
        <w:gridCol w:w="2722"/>
      </w:tblGrid>
      <w:tr>
        <w:trPr>
          <w:trHeight w:val="490" w:hRule="exact"/>
        </w:trPr>
        <w:tc>
          <w:tcPr>
            <w:tcW w:w="35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48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28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69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年末终止确认金额</w:t>
            </w:r>
          </w:p>
        </w:tc>
        <w:tc>
          <w:tcPr>
            <w:tcW w:w="27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54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年末未终止确认金额</w:t>
            </w:r>
          </w:p>
        </w:tc>
      </w:tr>
      <w:tr>
        <w:trPr>
          <w:trHeight w:val="490" w:hRule="exact"/>
        </w:trPr>
        <w:tc>
          <w:tcPr>
            <w:tcW w:w="35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银行承兑汇票</w:t>
            </w:r>
          </w:p>
        </w:tc>
        <w:tc>
          <w:tcPr>
            <w:tcW w:w="28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sz w:val="18"/>
              </w:rPr>
              <w:t>225,820,000.00</w:t>
            </w:r>
          </w:p>
        </w:tc>
        <w:tc>
          <w:tcPr>
            <w:tcW w:w="272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35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480"/>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83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3"/>
              <w:jc w:val="right"/>
              <w:rPr>
                <w:rFonts w:ascii="华文细黑" w:hAnsi="华文细黑" w:cs="华文细黑" w:eastAsia="华文细黑" w:hint="default"/>
                <w:sz w:val="18"/>
                <w:szCs w:val="18"/>
              </w:rPr>
            </w:pPr>
            <w:r>
              <w:rPr>
                <w:rFonts w:ascii="华文细黑"/>
                <w:b/>
                <w:w w:val="95"/>
                <w:sz w:val="18"/>
              </w:rPr>
              <w:t>225,820,000.00</w:t>
            </w:r>
            <w:r>
              <w:rPr>
                <w:rFonts w:ascii="华文细黑"/>
                <w:sz w:val="18"/>
              </w:rPr>
            </w:r>
          </w:p>
        </w:tc>
        <w:tc>
          <w:tcPr>
            <w:tcW w:w="2722" w:type="dxa"/>
            <w:tcBorders>
              <w:top w:val="single" w:sz="4" w:space="0" w:color="FFC000"/>
              <w:left w:val="single" w:sz="4" w:space="0" w:color="FFC000"/>
              <w:bottom w:val="single" w:sz="4" w:space="0" w:color="FFC000"/>
              <w:right w:val="single" w:sz="4" w:space="0" w:color="FFC000"/>
            </w:tcBorders>
          </w:tcPr>
          <w:p>
            <w:pPr/>
          </w:p>
        </w:tc>
      </w:tr>
    </w:tbl>
    <w:p>
      <w:pPr>
        <w:spacing w:line="240" w:lineRule="auto" w:before="13"/>
        <w:rPr>
          <w:rFonts w:ascii="华文细黑" w:hAnsi="华文细黑" w:cs="华文细黑" w:eastAsia="华文细黑" w:hint="default"/>
          <w:sz w:val="6"/>
          <w:szCs w:val="6"/>
        </w:rPr>
      </w:pPr>
    </w:p>
    <w:p>
      <w:pPr>
        <w:pStyle w:val="BodyText"/>
        <w:spacing w:line="355" w:lineRule="auto" w:before="10"/>
        <w:ind w:left="600" w:right="1423"/>
        <w:jc w:val="left"/>
      </w:pPr>
      <w:r>
        <w:rPr/>
        <w:t>④其他说明 本公司以应收票据与人民币定期存单为子公司爱施德（香港）有限公司于华商银行的 </w:t>
      </w:r>
      <w:r>
        <w:rPr>
          <w:rFonts w:ascii="华文细黑" w:hAnsi="华文细黑" w:cs="华文细黑" w:eastAsia="华文细黑" w:hint="default"/>
        </w:rPr>
        <w:t>3</w:t>
      </w:r>
      <w:r>
        <w:rPr>
          <w:rFonts w:ascii="华文细黑" w:hAnsi="华文细黑" w:cs="华文细黑" w:eastAsia="华文细黑" w:hint="default"/>
          <w:spacing w:val="-18"/>
        </w:rPr>
        <w:t> </w:t>
      </w:r>
      <w:r>
        <w:rPr/>
        <w:t>亿港元</w:t>
      </w:r>
    </w:p>
    <w:p>
      <w:pPr>
        <w:pStyle w:val="BodyText"/>
        <w:spacing w:line="291" w:lineRule="exact"/>
        <w:ind w:left="180" w:right="1423"/>
        <w:jc w:val="left"/>
      </w:pPr>
      <w:r>
        <w:rPr/>
        <w:t>银行借款提供担保，截止 </w:t>
      </w:r>
      <w:r>
        <w:rPr>
          <w:rFonts w:ascii="华文细黑" w:hAnsi="华文细黑" w:cs="华文细黑" w:eastAsia="华文细黑" w:hint="default"/>
        </w:rPr>
        <w:t>2018 </w:t>
      </w:r>
      <w:r>
        <w:rPr/>
        <w:t>年 </w:t>
      </w:r>
      <w:r>
        <w:rPr>
          <w:rFonts w:ascii="华文细黑" w:hAnsi="华文细黑" w:cs="华文细黑" w:eastAsia="华文细黑" w:hint="default"/>
        </w:rPr>
        <w:t>12 </w:t>
      </w:r>
      <w:r>
        <w:rPr/>
        <w:t>月 </w:t>
      </w:r>
      <w:r>
        <w:rPr>
          <w:rFonts w:ascii="华文细黑" w:hAnsi="华文细黑" w:cs="华文细黑" w:eastAsia="华文细黑" w:hint="default"/>
        </w:rPr>
        <w:t>31 </w:t>
      </w:r>
      <w:r>
        <w:rPr/>
        <w:t>日，尚未到期的质押票据余额为 </w:t>
      </w:r>
      <w:r>
        <w:rPr>
          <w:rFonts w:ascii="华文细黑" w:hAnsi="华文细黑" w:cs="华文细黑" w:eastAsia="华文细黑" w:hint="default"/>
        </w:rPr>
        <w:t>134,630,000.00</w:t>
      </w:r>
      <w:r>
        <w:rPr>
          <w:rFonts w:ascii="华文细黑" w:hAnsi="华文细黑" w:cs="华文细黑" w:eastAsia="华文细黑" w:hint="default"/>
          <w:spacing w:val="-5"/>
        </w:rPr>
        <w:t> </w:t>
      </w:r>
      <w:r>
        <w:rPr/>
        <w:t>元。</w:t>
      </w:r>
    </w:p>
    <w:p>
      <w:pPr>
        <w:pStyle w:val="Heading5"/>
        <w:spacing w:line="240" w:lineRule="auto" w:before="144"/>
        <w:ind w:left="600" w:right="1423"/>
        <w:jc w:val="left"/>
        <w:rPr>
          <w:b w:val="0"/>
          <w:bCs w:val="0"/>
        </w:rPr>
      </w:pPr>
      <w:bookmarkStart w:name="（2）应收账款" w:id="357"/>
      <w:bookmarkEnd w:id="357"/>
      <w:r>
        <w:rPr>
          <w:b w:val="0"/>
          <w:bCs w:val="0"/>
        </w:rPr>
      </w:r>
      <w:r>
        <w:rPr/>
        <w:t>（</w:t>
      </w:r>
      <w:r>
        <w:rPr>
          <w:rFonts w:ascii="华文细黑" w:hAnsi="华文细黑" w:cs="华文细黑" w:eastAsia="华文细黑" w:hint="default"/>
        </w:rPr>
        <w:t>2</w:t>
      </w:r>
      <w:r>
        <w:rPr/>
        <w:t>）应收账款</w:t>
      </w:r>
      <w:r>
        <w:rPr>
          <w:b w:val="0"/>
          <w:bCs w:val="0"/>
        </w:rPr>
      </w:r>
    </w:p>
    <w:p>
      <w:pPr>
        <w:pStyle w:val="BodyText"/>
        <w:spacing w:line="240" w:lineRule="auto" w:before="142"/>
        <w:ind w:left="600" w:right="1423"/>
        <w:jc w:val="left"/>
      </w:pPr>
      <w:r>
        <w:rPr/>
        <w:t>①应收账款分类披露</w:t>
      </w:r>
    </w:p>
    <w:p>
      <w:pPr>
        <w:spacing w:line="240" w:lineRule="auto" w:before="6"/>
        <w:rPr>
          <w:rFonts w:ascii="华文细黑" w:hAnsi="华文细黑" w:cs="华文细黑" w:eastAsia="华文细黑" w:hint="default"/>
          <w:sz w:val="5"/>
          <w:szCs w:val="5"/>
        </w:rPr>
      </w:pPr>
    </w:p>
    <w:tbl>
      <w:tblPr>
        <w:tblW w:w="0" w:type="auto"/>
        <w:jc w:val="left"/>
        <w:tblInd w:w="106" w:type="dxa"/>
        <w:tblLayout w:type="fixed"/>
        <w:tblCellMar>
          <w:top w:w="0" w:type="dxa"/>
          <w:left w:w="0" w:type="dxa"/>
          <w:bottom w:w="0" w:type="dxa"/>
          <w:right w:w="0" w:type="dxa"/>
        </w:tblCellMar>
        <w:tblLook w:val="01E0"/>
      </w:tblPr>
      <w:tblGrid>
        <w:gridCol w:w="2399"/>
        <w:gridCol w:w="1679"/>
        <w:gridCol w:w="992"/>
        <w:gridCol w:w="1416"/>
        <w:gridCol w:w="1000"/>
        <w:gridCol w:w="1690"/>
      </w:tblGrid>
      <w:tr>
        <w:trPr>
          <w:trHeight w:val="490" w:hRule="exact"/>
        </w:trPr>
        <w:tc>
          <w:tcPr>
            <w:tcW w:w="2399" w:type="dxa"/>
            <w:tcBorders>
              <w:top w:val="single" w:sz="4" w:space="0" w:color="FFC000"/>
              <w:left w:val="single" w:sz="4" w:space="0" w:color="FFC000"/>
              <w:bottom w:val="nil" w:sz="6" w:space="0" w:color="auto"/>
              <w:right w:val="single" w:sz="4" w:space="0" w:color="FFC000"/>
            </w:tcBorders>
            <w:shd w:val="clear" w:color="auto" w:fill="FFF8E6"/>
          </w:tcPr>
          <w:p>
            <w:pPr/>
          </w:p>
        </w:tc>
        <w:tc>
          <w:tcPr>
            <w:tcW w:w="6777" w:type="dxa"/>
            <w:gridSpan w:val="5"/>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9"/>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250" w:hRule="exact"/>
        </w:trPr>
        <w:tc>
          <w:tcPr>
            <w:tcW w:w="2399" w:type="dxa"/>
            <w:vMerge w:val="restart"/>
            <w:tcBorders>
              <w:top w:val="nil" w:sz="6" w:space="0" w:color="auto"/>
              <w:left w:val="single" w:sz="4" w:space="0" w:color="FFC000"/>
              <w:right w:val="single" w:sz="4" w:space="0" w:color="FFC000"/>
            </w:tcBorders>
            <w:shd w:val="clear" w:color="auto" w:fill="FFF8E6"/>
          </w:tcPr>
          <w:p>
            <w:pPr>
              <w:pStyle w:val="TableParagraph"/>
              <w:tabs>
                <w:tab w:pos="448" w:val="left" w:leader="none"/>
              </w:tabs>
              <w:spacing w:line="240" w:lineRule="auto" w:before="150"/>
              <w:ind w:right="2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类</w:t>
              <w:tab/>
              <w:t>别</w:t>
            </w:r>
          </w:p>
        </w:tc>
        <w:tc>
          <w:tcPr>
            <w:tcW w:w="2671"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right="1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2416"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w:t>
            </w:r>
          </w:p>
        </w:tc>
        <w:tc>
          <w:tcPr>
            <w:tcW w:w="1690" w:type="dxa"/>
            <w:tcBorders>
              <w:top w:val="single" w:sz="4" w:space="0" w:color="FFC000"/>
              <w:left w:val="single" w:sz="4" w:space="0" w:color="FFC000"/>
              <w:bottom w:val="nil" w:sz="6" w:space="0" w:color="auto"/>
              <w:right w:val="single" w:sz="4" w:space="0" w:color="FFC000"/>
            </w:tcBorders>
            <w:shd w:val="clear" w:color="auto" w:fill="FFF8E6"/>
          </w:tcPr>
          <w:p>
            <w:pPr/>
          </w:p>
        </w:tc>
      </w:tr>
      <w:tr>
        <w:trPr>
          <w:trHeight w:val="240" w:hRule="exact"/>
        </w:trPr>
        <w:tc>
          <w:tcPr>
            <w:tcW w:w="2399" w:type="dxa"/>
            <w:vMerge/>
            <w:tcBorders>
              <w:left w:val="single" w:sz="4" w:space="0" w:color="FFC000"/>
              <w:bottom w:val="nil" w:sz="6" w:space="0" w:color="auto"/>
              <w:right w:val="single" w:sz="4" w:space="0" w:color="FFC000"/>
            </w:tcBorders>
            <w:shd w:val="clear" w:color="auto" w:fill="FFF8E6"/>
          </w:tcPr>
          <w:p>
            <w:pPr/>
          </w:p>
        </w:tc>
        <w:tc>
          <w:tcPr>
            <w:tcW w:w="2671" w:type="dxa"/>
            <w:gridSpan w:val="2"/>
            <w:vMerge/>
            <w:tcBorders>
              <w:left w:val="single" w:sz="4" w:space="0" w:color="FFC000"/>
              <w:bottom w:val="single" w:sz="4" w:space="0" w:color="FFC000"/>
              <w:right w:val="single" w:sz="4" w:space="0" w:color="FFC000"/>
            </w:tcBorders>
            <w:shd w:val="clear" w:color="auto" w:fill="FFF8E6"/>
          </w:tcPr>
          <w:p>
            <w:pPr/>
          </w:p>
        </w:tc>
        <w:tc>
          <w:tcPr>
            <w:tcW w:w="2416" w:type="dxa"/>
            <w:gridSpan w:val="2"/>
            <w:vMerge/>
            <w:tcBorders>
              <w:left w:val="single" w:sz="4" w:space="0" w:color="FFC000"/>
              <w:bottom w:val="single" w:sz="4" w:space="0" w:color="FFC000"/>
              <w:right w:val="single" w:sz="4" w:space="0" w:color="FFC000"/>
            </w:tcBorders>
            <w:shd w:val="clear" w:color="auto" w:fill="FFF8E6"/>
          </w:tcPr>
          <w:p>
            <w:pPr/>
          </w:p>
        </w:tc>
        <w:tc>
          <w:tcPr>
            <w:tcW w:w="1690"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48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账面价值</w:t>
            </w:r>
          </w:p>
        </w:tc>
      </w:tr>
      <w:tr>
        <w:trPr>
          <w:trHeight w:val="240" w:hRule="exact"/>
        </w:trPr>
        <w:tc>
          <w:tcPr>
            <w:tcW w:w="2399" w:type="dxa"/>
            <w:vMerge w:val="restart"/>
            <w:tcBorders>
              <w:top w:val="nil" w:sz="6" w:space="0" w:color="auto"/>
              <w:left w:val="single" w:sz="4" w:space="0" w:color="FFC000"/>
              <w:right w:val="single" w:sz="4" w:space="0" w:color="FFC000"/>
            </w:tcBorders>
            <w:shd w:val="clear" w:color="auto" w:fill="FFF8E6"/>
          </w:tcPr>
          <w:p>
            <w:pPr/>
          </w:p>
        </w:tc>
        <w:tc>
          <w:tcPr>
            <w:tcW w:w="167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right="9"/>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99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6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1416"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100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6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1690" w:type="dxa"/>
            <w:vMerge/>
            <w:tcBorders>
              <w:left w:val="single" w:sz="4" w:space="0" w:color="FFC000"/>
              <w:bottom w:val="nil" w:sz="6" w:space="0" w:color="auto"/>
              <w:right w:val="single" w:sz="4" w:space="0" w:color="FFC000"/>
            </w:tcBorders>
            <w:shd w:val="clear" w:color="auto" w:fill="FFF8E6"/>
          </w:tcPr>
          <w:p>
            <w:pPr/>
          </w:p>
        </w:tc>
      </w:tr>
      <w:tr>
        <w:trPr>
          <w:trHeight w:val="250" w:hRule="exact"/>
        </w:trPr>
        <w:tc>
          <w:tcPr>
            <w:tcW w:w="2399" w:type="dxa"/>
            <w:vMerge/>
            <w:tcBorders>
              <w:left w:val="single" w:sz="4" w:space="0" w:color="FFC000"/>
              <w:bottom w:val="single" w:sz="4" w:space="0" w:color="FFC000"/>
              <w:right w:val="single" w:sz="4" w:space="0" w:color="FFC000"/>
            </w:tcBorders>
            <w:shd w:val="clear" w:color="auto" w:fill="FFF8E6"/>
          </w:tcPr>
          <w:p>
            <w:pPr/>
          </w:p>
        </w:tc>
        <w:tc>
          <w:tcPr>
            <w:tcW w:w="1679" w:type="dxa"/>
            <w:vMerge/>
            <w:tcBorders>
              <w:left w:val="single" w:sz="4" w:space="0" w:color="FFC000"/>
              <w:bottom w:val="single" w:sz="4" w:space="0" w:color="FFC000"/>
              <w:right w:val="single" w:sz="4" w:space="0" w:color="FFC000"/>
            </w:tcBorders>
            <w:shd w:val="clear" w:color="auto" w:fill="FFF8E6"/>
          </w:tcPr>
          <w:p>
            <w:pPr/>
          </w:p>
        </w:tc>
        <w:tc>
          <w:tcPr>
            <w:tcW w:w="992" w:type="dxa"/>
            <w:vMerge/>
            <w:tcBorders>
              <w:left w:val="single" w:sz="4" w:space="0" w:color="FFC000"/>
              <w:bottom w:val="single" w:sz="4" w:space="0" w:color="FFC000"/>
              <w:right w:val="single" w:sz="4" w:space="0" w:color="FFC000"/>
            </w:tcBorders>
            <w:shd w:val="clear" w:color="auto" w:fill="FFF8E6"/>
          </w:tcPr>
          <w:p>
            <w:pPr/>
          </w:p>
        </w:tc>
        <w:tc>
          <w:tcPr>
            <w:tcW w:w="1416" w:type="dxa"/>
            <w:vMerge/>
            <w:tcBorders>
              <w:left w:val="single" w:sz="4" w:space="0" w:color="FFC000"/>
              <w:bottom w:val="single" w:sz="4" w:space="0" w:color="FFC000"/>
              <w:right w:val="single" w:sz="4" w:space="0" w:color="FFC000"/>
            </w:tcBorders>
            <w:shd w:val="clear" w:color="auto" w:fill="FFF8E6"/>
          </w:tcPr>
          <w:p>
            <w:pPr/>
          </w:p>
        </w:tc>
        <w:tc>
          <w:tcPr>
            <w:tcW w:w="1000" w:type="dxa"/>
            <w:vMerge/>
            <w:tcBorders>
              <w:left w:val="single" w:sz="4" w:space="0" w:color="FFC000"/>
              <w:bottom w:val="single" w:sz="4" w:space="0" w:color="FFC000"/>
              <w:right w:val="single" w:sz="4" w:space="0" w:color="FFC000"/>
            </w:tcBorders>
            <w:shd w:val="clear" w:color="auto" w:fill="FFF8E6"/>
          </w:tcPr>
          <w:p>
            <w:pPr/>
          </w:p>
        </w:tc>
        <w:tc>
          <w:tcPr>
            <w:tcW w:w="1690" w:type="dxa"/>
            <w:tcBorders>
              <w:top w:val="nil" w:sz="6" w:space="0" w:color="auto"/>
              <w:left w:val="single" w:sz="4" w:space="0" w:color="FFC000"/>
              <w:bottom w:val="single" w:sz="4" w:space="0" w:color="FFC000"/>
              <w:right w:val="single" w:sz="4" w:space="0" w:color="FFC000"/>
            </w:tcBorders>
            <w:shd w:val="clear" w:color="auto" w:fill="FFF8E6"/>
          </w:tcPr>
          <w:p>
            <w:pPr/>
          </w:p>
        </w:tc>
      </w:tr>
      <w:tr>
        <w:trPr>
          <w:trHeight w:val="890" w:hRule="exact"/>
        </w:trPr>
        <w:tc>
          <w:tcPr>
            <w:tcW w:w="239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2" w:right="3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单项金额重大并单独计提坏账 准备的应收账款</w:t>
            </w:r>
          </w:p>
        </w:tc>
        <w:tc>
          <w:tcPr>
            <w:tcW w:w="167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0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c>
          <w:tcPr>
            <w:tcW w:w="16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r>
    </w:tbl>
    <w:p>
      <w:pPr>
        <w:spacing w:after="0" w:line="240" w:lineRule="auto"/>
        <w:jc w:val="right"/>
        <w:rPr>
          <w:rFonts w:ascii="华文细黑" w:hAnsi="华文细黑" w:cs="华文细黑" w:eastAsia="华文细黑" w:hint="default"/>
          <w:sz w:val="18"/>
          <w:szCs w:val="18"/>
        </w:rPr>
        <w:sectPr>
          <w:footerReference w:type="default" r:id="rId30"/>
          <w:pgSz w:w="11910" w:h="16840"/>
          <w:pgMar w:footer="1019" w:header="917" w:top="1100" w:bottom="1200" w:left="1260" w:right="0"/>
          <w:pgNumType w:start="201"/>
        </w:sectPr>
      </w:pPr>
    </w:p>
    <w:p>
      <w:pPr>
        <w:spacing w:line="240" w:lineRule="auto" w:before="8"/>
        <w:rPr>
          <w:rFonts w:ascii="华文细黑" w:hAnsi="华文细黑" w:cs="华文细黑" w:eastAsia="华文细黑" w:hint="default"/>
          <w:sz w:val="23"/>
          <w:szCs w:val="23"/>
        </w:rPr>
      </w:pPr>
    </w:p>
    <w:tbl>
      <w:tblPr>
        <w:tblW w:w="0" w:type="auto"/>
        <w:jc w:val="left"/>
        <w:tblInd w:w="106" w:type="dxa"/>
        <w:tblLayout w:type="fixed"/>
        <w:tblCellMar>
          <w:top w:w="0" w:type="dxa"/>
          <w:left w:w="0" w:type="dxa"/>
          <w:bottom w:w="0" w:type="dxa"/>
          <w:right w:w="0" w:type="dxa"/>
        </w:tblCellMar>
        <w:tblLook w:val="01E0"/>
      </w:tblPr>
      <w:tblGrid>
        <w:gridCol w:w="2375"/>
        <w:gridCol w:w="1702"/>
        <w:gridCol w:w="992"/>
        <w:gridCol w:w="1416"/>
        <w:gridCol w:w="1000"/>
        <w:gridCol w:w="1690"/>
      </w:tblGrid>
      <w:tr>
        <w:trPr>
          <w:trHeight w:val="490" w:hRule="exact"/>
        </w:trPr>
        <w:tc>
          <w:tcPr>
            <w:tcW w:w="2375" w:type="dxa"/>
            <w:tcBorders>
              <w:top w:val="single" w:sz="4" w:space="0" w:color="FFC000"/>
              <w:left w:val="single" w:sz="4" w:space="0" w:color="FFC000"/>
              <w:bottom w:val="nil" w:sz="6" w:space="0" w:color="auto"/>
              <w:right w:val="single" w:sz="4" w:space="0" w:color="FFC000"/>
            </w:tcBorders>
            <w:shd w:val="clear" w:color="auto" w:fill="FFF8E6"/>
          </w:tcPr>
          <w:p>
            <w:pPr/>
          </w:p>
        </w:tc>
        <w:tc>
          <w:tcPr>
            <w:tcW w:w="6800" w:type="dxa"/>
            <w:gridSpan w:val="5"/>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2"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250" w:hRule="exact"/>
        </w:trPr>
        <w:tc>
          <w:tcPr>
            <w:tcW w:w="2375" w:type="dxa"/>
            <w:vMerge w:val="restart"/>
            <w:tcBorders>
              <w:top w:val="nil" w:sz="6" w:space="0" w:color="auto"/>
              <w:left w:val="single" w:sz="4" w:space="0" w:color="FFC000"/>
              <w:right w:val="single" w:sz="4" w:space="0" w:color="FFC000"/>
            </w:tcBorders>
            <w:shd w:val="clear" w:color="auto" w:fill="FFF8E6"/>
          </w:tcPr>
          <w:p>
            <w:pPr>
              <w:pStyle w:val="TableParagraph"/>
              <w:tabs>
                <w:tab w:pos="448" w:val="left" w:leader="none"/>
              </w:tabs>
              <w:spacing w:line="240" w:lineRule="auto" w:before="15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类</w:t>
              <w:tab/>
              <w:t>别</w:t>
            </w:r>
          </w:p>
        </w:tc>
        <w:tc>
          <w:tcPr>
            <w:tcW w:w="2694"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10"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2416"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w:t>
            </w:r>
          </w:p>
        </w:tc>
        <w:tc>
          <w:tcPr>
            <w:tcW w:w="1690" w:type="dxa"/>
            <w:tcBorders>
              <w:top w:val="single" w:sz="4" w:space="0" w:color="FFC000"/>
              <w:left w:val="single" w:sz="4" w:space="0" w:color="FFC000"/>
              <w:bottom w:val="nil" w:sz="6" w:space="0" w:color="auto"/>
              <w:right w:val="single" w:sz="4" w:space="0" w:color="FFC000"/>
            </w:tcBorders>
            <w:shd w:val="clear" w:color="auto" w:fill="FFF8E6"/>
          </w:tcPr>
          <w:p>
            <w:pPr/>
          </w:p>
        </w:tc>
      </w:tr>
      <w:tr>
        <w:trPr>
          <w:trHeight w:val="240" w:hRule="exact"/>
        </w:trPr>
        <w:tc>
          <w:tcPr>
            <w:tcW w:w="2375" w:type="dxa"/>
            <w:vMerge/>
            <w:tcBorders>
              <w:left w:val="single" w:sz="4" w:space="0" w:color="FFC000"/>
              <w:bottom w:val="nil" w:sz="6" w:space="0" w:color="auto"/>
              <w:right w:val="single" w:sz="4" w:space="0" w:color="FFC000"/>
            </w:tcBorders>
            <w:shd w:val="clear" w:color="auto" w:fill="FFF8E6"/>
          </w:tcPr>
          <w:p>
            <w:pPr/>
          </w:p>
        </w:tc>
        <w:tc>
          <w:tcPr>
            <w:tcW w:w="2694" w:type="dxa"/>
            <w:gridSpan w:val="2"/>
            <w:vMerge/>
            <w:tcBorders>
              <w:left w:val="single" w:sz="4" w:space="0" w:color="FFC000"/>
              <w:bottom w:val="single" w:sz="4" w:space="0" w:color="FFC000"/>
              <w:right w:val="single" w:sz="4" w:space="0" w:color="FFC000"/>
            </w:tcBorders>
            <w:shd w:val="clear" w:color="auto" w:fill="FFF8E6"/>
          </w:tcPr>
          <w:p>
            <w:pPr/>
          </w:p>
        </w:tc>
        <w:tc>
          <w:tcPr>
            <w:tcW w:w="2416" w:type="dxa"/>
            <w:gridSpan w:val="2"/>
            <w:vMerge/>
            <w:tcBorders>
              <w:left w:val="single" w:sz="4" w:space="0" w:color="FFC000"/>
              <w:bottom w:val="single" w:sz="4" w:space="0" w:color="FFC000"/>
              <w:right w:val="single" w:sz="4" w:space="0" w:color="FFC000"/>
            </w:tcBorders>
            <w:shd w:val="clear" w:color="auto" w:fill="FFF8E6"/>
          </w:tcPr>
          <w:p>
            <w:pPr/>
          </w:p>
        </w:tc>
        <w:tc>
          <w:tcPr>
            <w:tcW w:w="1690"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48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账面价值</w:t>
            </w:r>
          </w:p>
        </w:tc>
      </w:tr>
      <w:tr>
        <w:trPr>
          <w:trHeight w:val="240" w:hRule="exact"/>
        </w:trPr>
        <w:tc>
          <w:tcPr>
            <w:tcW w:w="2375" w:type="dxa"/>
            <w:vMerge w:val="restart"/>
            <w:tcBorders>
              <w:top w:val="nil" w:sz="6" w:space="0" w:color="auto"/>
              <w:left w:val="single" w:sz="4" w:space="0" w:color="FFC000"/>
              <w:right w:val="single" w:sz="4" w:space="0" w:color="FFC000"/>
            </w:tcBorders>
            <w:shd w:val="clear" w:color="auto" w:fill="FFF8E6"/>
          </w:tcPr>
          <w:p>
            <w:pPr/>
          </w:p>
        </w:tc>
        <w:tc>
          <w:tcPr>
            <w:tcW w:w="170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1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99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6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1416"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100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6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1690" w:type="dxa"/>
            <w:vMerge/>
            <w:tcBorders>
              <w:left w:val="single" w:sz="4" w:space="0" w:color="FFC000"/>
              <w:bottom w:val="nil" w:sz="6" w:space="0" w:color="auto"/>
              <w:right w:val="single" w:sz="4" w:space="0" w:color="FFC000"/>
            </w:tcBorders>
            <w:shd w:val="clear" w:color="auto" w:fill="FFF8E6"/>
          </w:tcPr>
          <w:p>
            <w:pPr/>
          </w:p>
        </w:tc>
      </w:tr>
      <w:tr>
        <w:trPr>
          <w:trHeight w:val="250" w:hRule="exact"/>
        </w:trPr>
        <w:tc>
          <w:tcPr>
            <w:tcW w:w="2375" w:type="dxa"/>
            <w:vMerge/>
            <w:tcBorders>
              <w:left w:val="single" w:sz="4" w:space="0" w:color="FFC000"/>
              <w:bottom w:val="single" w:sz="4" w:space="0" w:color="FFC000"/>
              <w:right w:val="single" w:sz="4" w:space="0" w:color="FFC000"/>
            </w:tcBorders>
            <w:shd w:val="clear" w:color="auto" w:fill="FFF8E6"/>
          </w:tcPr>
          <w:p>
            <w:pPr/>
          </w:p>
        </w:tc>
        <w:tc>
          <w:tcPr>
            <w:tcW w:w="1702" w:type="dxa"/>
            <w:vMerge/>
            <w:tcBorders>
              <w:left w:val="single" w:sz="4" w:space="0" w:color="FFC000"/>
              <w:bottom w:val="single" w:sz="4" w:space="0" w:color="FFC000"/>
              <w:right w:val="single" w:sz="4" w:space="0" w:color="FFC000"/>
            </w:tcBorders>
            <w:shd w:val="clear" w:color="auto" w:fill="FFF8E6"/>
          </w:tcPr>
          <w:p>
            <w:pPr/>
          </w:p>
        </w:tc>
        <w:tc>
          <w:tcPr>
            <w:tcW w:w="992" w:type="dxa"/>
            <w:vMerge/>
            <w:tcBorders>
              <w:left w:val="single" w:sz="4" w:space="0" w:color="FFC000"/>
              <w:bottom w:val="single" w:sz="4" w:space="0" w:color="FFC000"/>
              <w:right w:val="single" w:sz="4" w:space="0" w:color="FFC000"/>
            </w:tcBorders>
            <w:shd w:val="clear" w:color="auto" w:fill="FFF8E6"/>
          </w:tcPr>
          <w:p>
            <w:pPr/>
          </w:p>
        </w:tc>
        <w:tc>
          <w:tcPr>
            <w:tcW w:w="1416" w:type="dxa"/>
            <w:vMerge/>
            <w:tcBorders>
              <w:left w:val="single" w:sz="4" w:space="0" w:color="FFC000"/>
              <w:bottom w:val="single" w:sz="4" w:space="0" w:color="FFC000"/>
              <w:right w:val="single" w:sz="4" w:space="0" w:color="FFC000"/>
            </w:tcBorders>
            <w:shd w:val="clear" w:color="auto" w:fill="FFF8E6"/>
          </w:tcPr>
          <w:p>
            <w:pPr/>
          </w:p>
        </w:tc>
        <w:tc>
          <w:tcPr>
            <w:tcW w:w="1000" w:type="dxa"/>
            <w:vMerge/>
            <w:tcBorders>
              <w:left w:val="single" w:sz="4" w:space="0" w:color="FFC000"/>
              <w:bottom w:val="single" w:sz="4" w:space="0" w:color="FFC000"/>
              <w:right w:val="single" w:sz="4" w:space="0" w:color="FFC000"/>
            </w:tcBorders>
            <w:shd w:val="clear" w:color="auto" w:fill="FFF8E6"/>
          </w:tcPr>
          <w:p>
            <w:pPr/>
          </w:p>
        </w:tc>
        <w:tc>
          <w:tcPr>
            <w:tcW w:w="1690" w:type="dxa"/>
            <w:tcBorders>
              <w:top w:val="nil" w:sz="6" w:space="0" w:color="auto"/>
              <w:left w:val="single" w:sz="4" w:space="0" w:color="FFC000"/>
              <w:bottom w:val="single" w:sz="4" w:space="0" w:color="FFC000"/>
              <w:right w:val="single" w:sz="4" w:space="0" w:color="FFC000"/>
            </w:tcBorders>
            <w:shd w:val="clear" w:color="auto" w:fill="FFF8E6"/>
          </w:tcPr>
          <w:p>
            <w:pPr/>
          </w:p>
        </w:tc>
      </w:tr>
      <w:tr>
        <w:trPr>
          <w:trHeight w:val="890" w:hRule="exact"/>
        </w:trPr>
        <w:tc>
          <w:tcPr>
            <w:tcW w:w="237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2" w:right="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按信用风险特征组合计提坏账 准备的应收账款</w:t>
            </w:r>
          </w:p>
        </w:tc>
        <w:tc>
          <w:tcPr>
            <w:tcW w:w="170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pacing w:val="-1"/>
                <w:sz w:val="18"/>
              </w:rPr>
              <w:t>1,110,960,145.16</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99.74</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4,994,319.02</w:t>
            </w:r>
          </w:p>
        </w:tc>
        <w:tc>
          <w:tcPr>
            <w:tcW w:w="10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0.45</w:t>
            </w:r>
          </w:p>
        </w:tc>
        <w:tc>
          <w:tcPr>
            <w:tcW w:w="16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pacing w:val="-1"/>
                <w:sz w:val="18"/>
              </w:rPr>
              <w:t>1,105,965,826.14</w:t>
            </w:r>
          </w:p>
        </w:tc>
      </w:tr>
      <w:tr>
        <w:trPr>
          <w:trHeight w:val="889" w:hRule="exact"/>
        </w:trPr>
        <w:tc>
          <w:tcPr>
            <w:tcW w:w="237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2" w:right="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单项金额不重大但单独计提坏 账准备的应收账款</w:t>
            </w:r>
          </w:p>
        </w:tc>
        <w:tc>
          <w:tcPr>
            <w:tcW w:w="170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2,903,299.24</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0.26</w:t>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2,903,299.24</w:t>
            </w:r>
          </w:p>
        </w:tc>
        <w:tc>
          <w:tcPr>
            <w:tcW w:w="10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100.00</w:t>
            </w:r>
          </w:p>
        </w:tc>
        <w:tc>
          <w:tcPr>
            <w:tcW w:w="16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237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702"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1,113,863,444.40</w:t>
            </w:r>
            <w:r>
              <w:rPr>
                <w:rFonts w:ascii="华文细黑"/>
                <w:sz w:val="18"/>
              </w:rPr>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100.00</w:t>
            </w:r>
            <w:r>
              <w:rPr>
                <w:rFonts w:ascii="华文细黑"/>
                <w:sz w:val="18"/>
              </w:rPr>
            </w:r>
          </w:p>
        </w:tc>
        <w:tc>
          <w:tcPr>
            <w:tcW w:w="14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7,897,618.26</w:t>
            </w:r>
            <w:r>
              <w:rPr>
                <w:rFonts w:ascii="华文细黑"/>
                <w:sz w:val="18"/>
              </w:rPr>
            </w:r>
          </w:p>
        </w:tc>
        <w:tc>
          <w:tcPr>
            <w:tcW w:w="100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b/>
                <w:w w:val="95"/>
                <w:sz w:val="18"/>
              </w:rPr>
              <w:t>0.71</w:t>
            </w:r>
            <w:r>
              <w:rPr>
                <w:rFonts w:ascii="华文细黑"/>
                <w:sz w:val="18"/>
              </w:rPr>
            </w:r>
          </w:p>
        </w:tc>
        <w:tc>
          <w:tcPr>
            <w:tcW w:w="169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b/>
                <w:w w:val="95"/>
                <w:sz w:val="18"/>
              </w:rPr>
              <w:t>1,105,965,826.14</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00" w:right="1423"/>
        <w:jc w:val="left"/>
      </w:pPr>
      <w:r>
        <w:rPr/>
        <w:t>（续）</w:t>
      </w:r>
    </w:p>
    <w:p>
      <w:pPr>
        <w:spacing w:line="240" w:lineRule="auto" w:before="5"/>
        <w:rPr>
          <w:rFonts w:ascii="华文细黑" w:hAnsi="华文细黑" w:cs="华文细黑" w:eastAsia="华文细黑" w:hint="default"/>
          <w:sz w:val="5"/>
          <w:szCs w:val="5"/>
        </w:rPr>
      </w:pPr>
    </w:p>
    <w:tbl>
      <w:tblPr>
        <w:tblW w:w="0" w:type="auto"/>
        <w:jc w:val="left"/>
        <w:tblInd w:w="121" w:type="dxa"/>
        <w:tblLayout w:type="fixed"/>
        <w:tblCellMar>
          <w:top w:w="0" w:type="dxa"/>
          <w:left w:w="0" w:type="dxa"/>
          <w:bottom w:w="0" w:type="dxa"/>
          <w:right w:w="0" w:type="dxa"/>
        </w:tblCellMar>
        <w:tblLook w:val="01E0"/>
      </w:tblPr>
      <w:tblGrid>
        <w:gridCol w:w="2692"/>
        <w:gridCol w:w="1529"/>
        <w:gridCol w:w="991"/>
        <w:gridCol w:w="1417"/>
        <w:gridCol w:w="1001"/>
        <w:gridCol w:w="1516"/>
      </w:tblGrid>
      <w:tr>
        <w:trPr>
          <w:trHeight w:val="490" w:hRule="exact"/>
        </w:trPr>
        <w:tc>
          <w:tcPr>
            <w:tcW w:w="2692" w:type="dxa"/>
            <w:tcBorders>
              <w:top w:val="single" w:sz="4" w:space="0" w:color="FFC000"/>
              <w:left w:val="single" w:sz="4" w:space="0" w:color="FFC000"/>
              <w:bottom w:val="nil" w:sz="6" w:space="0" w:color="auto"/>
              <w:right w:val="single" w:sz="4" w:space="0" w:color="FFC000"/>
            </w:tcBorders>
            <w:shd w:val="clear" w:color="auto" w:fill="FFF8E6"/>
          </w:tcPr>
          <w:p>
            <w:pPr/>
          </w:p>
        </w:tc>
        <w:tc>
          <w:tcPr>
            <w:tcW w:w="6454" w:type="dxa"/>
            <w:gridSpan w:val="5"/>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250" w:hRule="exact"/>
        </w:trPr>
        <w:tc>
          <w:tcPr>
            <w:tcW w:w="2692" w:type="dxa"/>
            <w:vMerge w:val="restart"/>
            <w:tcBorders>
              <w:top w:val="nil" w:sz="6" w:space="0" w:color="auto"/>
              <w:left w:val="single" w:sz="4" w:space="0" w:color="FFC000"/>
              <w:right w:val="single" w:sz="4" w:space="0" w:color="FFC000"/>
            </w:tcBorders>
            <w:shd w:val="clear" w:color="auto" w:fill="FFF8E6"/>
          </w:tcPr>
          <w:p>
            <w:pPr>
              <w:pStyle w:val="TableParagraph"/>
              <w:tabs>
                <w:tab w:pos="448" w:val="left" w:leader="none"/>
              </w:tabs>
              <w:spacing w:line="240" w:lineRule="auto" w:before="150"/>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类</w:t>
              <w:tab/>
              <w:t>别</w:t>
            </w:r>
          </w:p>
        </w:tc>
        <w:tc>
          <w:tcPr>
            <w:tcW w:w="2520"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1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2418"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w:t>
            </w:r>
          </w:p>
        </w:tc>
        <w:tc>
          <w:tcPr>
            <w:tcW w:w="1516" w:type="dxa"/>
            <w:tcBorders>
              <w:top w:val="single" w:sz="4" w:space="0" w:color="FFC000"/>
              <w:left w:val="single" w:sz="4" w:space="0" w:color="FFC000"/>
              <w:bottom w:val="nil" w:sz="6" w:space="0" w:color="auto"/>
              <w:right w:val="single" w:sz="4" w:space="0" w:color="FFC000"/>
            </w:tcBorders>
            <w:shd w:val="clear" w:color="auto" w:fill="FFF8E6"/>
          </w:tcPr>
          <w:p>
            <w:pPr/>
          </w:p>
        </w:tc>
      </w:tr>
      <w:tr>
        <w:trPr>
          <w:trHeight w:val="235" w:hRule="exact"/>
        </w:trPr>
        <w:tc>
          <w:tcPr>
            <w:tcW w:w="2692" w:type="dxa"/>
            <w:vMerge/>
            <w:tcBorders>
              <w:left w:val="single" w:sz="4" w:space="0" w:color="FFC000"/>
              <w:bottom w:val="nil" w:sz="6" w:space="0" w:color="auto"/>
              <w:right w:val="single" w:sz="4" w:space="0" w:color="FFC000"/>
            </w:tcBorders>
            <w:shd w:val="clear" w:color="auto" w:fill="FFF8E6"/>
          </w:tcPr>
          <w:p>
            <w:pPr/>
          </w:p>
        </w:tc>
        <w:tc>
          <w:tcPr>
            <w:tcW w:w="2520" w:type="dxa"/>
            <w:gridSpan w:val="2"/>
            <w:vMerge/>
            <w:tcBorders>
              <w:left w:val="single" w:sz="4" w:space="0" w:color="FFC000"/>
              <w:bottom w:val="single" w:sz="4" w:space="0" w:color="FFC000"/>
              <w:right w:val="single" w:sz="4" w:space="0" w:color="FFC000"/>
            </w:tcBorders>
            <w:shd w:val="clear" w:color="auto" w:fill="FFF8E6"/>
          </w:tcPr>
          <w:p>
            <w:pPr/>
          </w:p>
        </w:tc>
        <w:tc>
          <w:tcPr>
            <w:tcW w:w="2418" w:type="dxa"/>
            <w:gridSpan w:val="2"/>
            <w:vMerge/>
            <w:tcBorders>
              <w:left w:val="single" w:sz="4" w:space="0" w:color="FFC000"/>
              <w:bottom w:val="single" w:sz="4" w:space="0" w:color="FFC000"/>
              <w:right w:val="single" w:sz="4" w:space="0" w:color="FFC000"/>
            </w:tcBorders>
            <w:shd w:val="clear" w:color="auto" w:fill="FFF8E6"/>
          </w:tcPr>
          <w:p>
            <w:pPr/>
          </w:p>
        </w:tc>
        <w:tc>
          <w:tcPr>
            <w:tcW w:w="1516"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39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账面价值</w:t>
            </w:r>
          </w:p>
        </w:tc>
      </w:tr>
      <w:tr>
        <w:trPr>
          <w:trHeight w:val="245" w:hRule="exact"/>
        </w:trPr>
        <w:tc>
          <w:tcPr>
            <w:tcW w:w="2692" w:type="dxa"/>
            <w:vMerge w:val="restart"/>
            <w:tcBorders>
              <w:top w:val="nil" w:sz="6" w:space="0" w:color="auto"/>
              <w:left w:val="single" w:sz="4" w:space="0" w:color="FFC000"/>
              <w:right w:val="single" w:sz="4" w:space="0" w:color="FFC000"/>
            </w:tcBorders>
            <w:shd w:val="clear" w:color="auto" w:fill="FFF8E6"/>
          </w:tcPr>
          <w:p>
            <w:pPr/>
          </w:p>
        </w:tc>
        <w:tc>
          <w:tcPr>
            <w:tcW w:w="152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1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991"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6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1417"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1001"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6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1516" w:type="dxa"/>
            <w:vMerge/>
            <w:tcBorders>
              <w:left w:val="single" w:sz="4" w:space="0" w:color="FFC000"/>
              <w:bottom w:val="nil" w:sz="6" w:space="0" w:color="auto"/>
              <w:right w:val="single" w:sz="4" w:space="0" w:color="FFC000"/>
            </w:tcBorders>
            <w:shd w:val="clear" w:color="auto" w:fill="FFF8E6"/>
          </w:tcPr>
          <w:p>
            <w:pPr/>
          </w:p>
        </w:tc>
      </w:tr>
      <w:tr>
        <w:trPr>
          <w:trHeight w:val="250" w:hRule="exact"/>
        </w:trPr>
        <w:tc>
          <w:tcPr>
            <w:tcW w:w="2692" w:type="dxa"/>
            <w:vMerge/>
            <w:tcBorders>
              <w:left w:val="single" w:sz="4" w:space="0" w:color="FFC000"/>
              <w:bottom w:val="single" w:sz="4" w:space="0" w:color="FFC000"/>
              <w:right w:val="single" w:sz="4" w:space="0" w:color="FFC000"/>
            </w:tcBorders>
            <w:shd w:val="clear" w:color="auto" w:fill="FFF8E6"/>
          </w:tcPr>
          <w:p>
            <w:pPr/>
          </w:p>
        </w:tc>
        <w:tc>
          <w:tcPr>
            <w:tcW w:w="1529" w:type="dxa"/>
            <w:vMerge/>
            <w:tcBorders>
              <w:left w:val="single" w:sz="4" w:space="0" w:color="FFC000"/>
              <w:bottom w:val="single" w:sz="4" w:space="0" w:color="FFC000"/>
              <w:right w:val="single" w:sz="4" w:space="0" w:color="FFC000"/>
            </w:tcBorders>
            <w:shd w:val="clear" w:color="auto" w:fill="FFF8E6"/>
          </w:tcPr>
          <w:p>
            <w:pPr/>
          </w:p>
        </w:tc>
        <w:tc>
          <w:tcPr>
            <w:tcW w:w="991" w:type="dxa"/>
            <w:vMerge/>
            <w:tcBorders>
              <w:left w:val="single" w:sz="4" w:space="0" w:color="FFC000"/>
              <w:bottom w:val="single" w:sz="4" w:space="0" w:color="FFC000"/>
              <w:right w:val="single" w:sz="4" w:space="0" w:color="FFC000"/>
            </w:tcBorders>
            <w:shd w:val="clear" w:color="auto" w:fill="FFF8E6"/>
          </w:tcPr>
          <w:p>
            <w:pPr/>
          </w:p>
        </w:tc>
        <w:tc>
          <w:tcPr>
            <w:tcW w:w="1417" w:type="dxa"/>
            <w:vMerge/>
            <w:tcBorders>
              <w:left w:val="single" w:sz="4" w:space="0" w:color="FFC000"/>
              <w:bottom w:val="single" w:sz="4" w:space="0" w:color="FFC000"/>
              <w:right w:val="single" w:sz="4" w:space="0" w:color="FFC000"/>
            </w:tcBorders>
            <w:shd w:val="clear" w:color="auto" w:fill="FFF8E6"/>
          </w:tcPr>
          <w:p>
            <w:pPr/>
          </w:p>
        </w:tc>
        <w:tc>
          <w:tcPr>
            <w:tcW w:w="1001" w:type="dxa"/>
            <w:vMerge/>
            <w:tcBorders>
              <w:left w:val="single" w:sz="4" w:space="0" w:color="FFC000"/>
              <w:bottom w:val="single" w:sz="4" w:space="0" w:color="FFC000"/>
              <w:right w:val="single" w:sz="4" w:space="0" w:color="FFC000"/>
            </w:tcBorders>
            <w:shd w:val="clear" w:color="auto" w:fill="FFF8E6"/>
          </w:tcPr>
          <w:p>
            <w:pPr/>
          </w:p>
        </w:tc>
        <w:tc>
          <w:tcPr>
            <w:tcW w:w="1516" w:type="dxa"/>
            <w:tcBorders>
              <w:top w:val="nil" w:sz="6" w:space="0" w:color="auto"/>
              <w:left w:val="single" w:sz="4" w:space="0" w:color="FFC000"/>
              <w:bottom w:val="single" w:sz="4" w:space="0" w:color="FFC000"/>
              <w:right w:val="single" w:sz="4" w:space="0" w:color="FFC000"/>
            </w:tcBorders>
            <w:shd w:val="clear" w:color="auto" w:fill="FFF8E6"/>
          </w:tcPr>
          <w:p>
            <w:pPr/>
          </w:p>
        </w:tc>
      </w:tr>
      <w:tr>
        <w:trPr>
          <w:trHeight w:val="890" w:hRule="exact"/>
        </w:trPr>
        <w:tc>
          <w:tcPr>
            <w:tcW w:w="26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13"/>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单项金额重大并单独计提坏账准</w:t>
            </w:r>
            <w:r>
              <w:rPr>
                <w:rFonts w:ascii="华文细黑" w:hAnsi="华文细黑" w:cs="华文细黑" w:eastAsia="华文细黑" w:hint="default"/>
                <w:sz w:val="18"/>
                <w:szCs w:val="18"/>
              </w:rPr>
              <w:t> 备的应收账款</w:t>
            </w:r>
          </w:p>
        </w:tc>
        <w:tc>
          <w:tcPr>
            <w:tcW w:w="152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31,250,136.22</w:t>
            </w:r>
          </w:p>
        </w:tc>
        <w:tc>
          <w:tcPr>
            <w:tcW w:w="9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3.47</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31,250,136.22</w:t>
            </w:r>
          </w:p>
        </w:tc>
        <w:tc>
          <w:tcPr>
            <w:tcW w:w="100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100.00</w:t>
            </w:r>
          </w:p>
        </w:tc>
        <w:tc>
          <w:tcPr>
            <w:tcW w:w="15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r>
      <w:tr>
        <w:trPr>
          <w:trHeight w:val="890" w:hRule="exact"/>
        </w:trPr>
        <w:tc>
          <w:tcPr>
            <w:tcW w:w="26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13"/>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按信用风险特征组合计提坏账准</w:t>
            </w:r>
            <w:r>
              <w:rPr>
                <w:rFonts w:ascii="华文细黑" w:hAnsi="华文细黑" w:cs="华文细黑" w:eastAsia="华文细黑" w:hint="default"/>
                <w:sz w:val="18"/>
                <w:szCs w:val="18"/>
              </w:rPr>
              <w:t> 备的应收账款</w:t>
            </w:r>
          </w:p>
        </w:tc>
        <w:tc>
          <w:tcPr>
            <w:tcW w:w="152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860,314,661.77</w:t>
            </w:r>
          </w:p>
        </w:tc>
        <w:tc>
          <w:tcPr>
            <w:tcW w:w="9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95.62</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4,733,753.88</w:t>
            </w:r>
          </w:p>
        </w:tc>
        <w:tc>
          <w:tcPr>
            <w:tcW w:w="100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0.55</w:t>
            </w:r>
          </w:p>
        </w:tc>
        <w:tc>
          <w:tcPr>
            <w:tcW w:w="15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855,580,907.89</w:t>
            </w:r>
          </w:p>
        </w:tc>
      </w:tr>
      <w:tr>
        <w:trPr>
          <w:trHeight w:val="890" w:hRule="exact"/>
        </w:trPr>
        <w:tc>
          <w:tcPr>
            <w:tcW w:w="26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4"/>
              <w:ind w:left="11" w:right="13"/>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单项金额不重大但单独计提坏账</w:t>
            </w:r>
            <w:r>
              <w:rPr>
                <w:rFonts w:ascii="华文细黑" w:hAnsi="华文细黑" w:cs="华文细黑" w:eastAsia="华文细黑" w:hint="default"/>
                <w:sz w:val="18"/>
                <w:szCs w:val="18"/>
              </w:rPr>
              <w:t> 准备的应收账款</w:t>
            </w:r>
          </w:p>
        </w:tc>
        <w:tc>
          <w:tcPr>
            <w:tcW w:w="152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8,187,732.59</w:t>
            </w:r>
          </w:p>
        </w:tc>
        <w:tc>
          <w:tcPr>
            <w:tcW w:w="9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0.91</w:t>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19"/>
              <w:jc w:val="right"/>
              <w:rPr>
                <w:rFonts w:ascii="华文细黑" w:hAnsi="华文细黑" w:cs="华文细黑" w:eastAsia="华文细黑" w:hint="default"/>
                <w:sz w:val="18"/>
                <w:szCs w:val="18"/>
              </w:rPr>
            </w:pPr>
            <w:r>
              <w:rPr>
                <w:rFonts w:ascii="华文细黑"/>
                <w:sz w:val="18"/>
              </w:rPr>
              <w:t>8,187,732.59</w:t>
            </w:r>
          </w:p>
        </w:tc>
        <w:tc>
          <w:tcPr>
            <w:tcW w:w="100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100.00</w:t>
            </w:r>
          </w:p>
        </w:tc>
        <w:tc>
          <w:tcPr>
            <w:tcW w:w="15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26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529"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899,752,530.58</w:t>
            </w:r>
            <w:r>
              <w:rPr>
                <w:rFonts w:ascii="华文细黑"/>
                <w:sz w:val="18"/>
              </w:rPr>
            </w:r>
          </w:p>
        </w:tc>
        <w:tc>
          <w:tcPr>
            <w:tcW w:w="99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b/>
                <w:w w:val="95"/>
                <w:sz w:val="18"/>
              </w:rPr>
              <w:t>100.00</w:t>
            </w:r>
            <w:r>
              <w:rPr>
                <w:rFonts w:ascii="华文细黑"/>
                <w:sz w:val="18"/>
              </w:rPr>
            </w:r>
          </w:p>
        </w:tc>
        <w:tc>
          <w:tcPr>
            <w:tcW w:w="141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b/>
                <w:spacing w:val="-1"/>
                <w:sz w:val="18"/>
              </w:rPr>
              <w:t>44,171,622.69</w:t>
            </w:r>
            <w:r>
              <w:rPr>
                <w:rFonts w:ascii="华文细黑"/>
                <w:spacing w:val="-1"/>
                <w:sz w:val="18"/>
              </w:rPr>
            </w:r>
          </w:p>
        </w:tc>
        <w:tc>
          <w:tcPr>
            <w:tcW w:w="100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4.91</w:t>
            </w:r>
            <w:r>
              <w:rPr>
                <w:rFonts w:ascii="华文细黑"/>
                <w:sz w:val="18"/>
              </w:rPr>
            </w:r>
          </w:p>
        </w:tc>
        <w:tc>
          <w:tcPr>
            <w:tcW w:w="151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b/>
                <w:w w:val="95"/>
                <w:sz w:val="18"/>
              </w:rPr>
              <w:t>855,580,907.89</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600" w:right="1423"/>
        <w:jc w:val="left"/>
      </w:pPr>
      <w:r>
        <w:rPr>
          <w:rFonts w:ascii="华文细黑" w:hAnsi="华文细黑" w:cs="华文细黑" w:eastAsia="华文细黑" w:hint="default"/>
        </w:rPr>
        <w:t>A</w:t>
      </w:r>
      <w:r>
        <w:rPr/>
        <w:t>、组合中，按账龄分析法计提坏账准备的应收账款</w:t>
      </w:r>
    </w:p>
    <w:p>
      <w:pPr>
        <w:spacing w:line="240" w:lineRule="auto" w:before="5"/>
        <w:rPr>
          <w:rFonts w:ascii="华文细黑" w:hAnsi="华文细黑" w:cs="华文细黑" w:eastAsia="华文细黑" w:hint="default"/>
          <w:sz w:val="5"/>
          <w:szCs w:val="5"/>
        </w:rPr>
      </w:pPr>
    </w:p>
    <w:tbl>
      <w:tblPr>
        <w:tblW w:w="0" w:type="auto"/>
        <w:jc w:val="left"/>
        <w:tblInd w:w="191" w:type="dxa"/>
        <w:tblLayout w:type="fixed"/>
        <w:tblCellMar>
          <w:top w:w="0" w:type="dxa"/>
          <w:left w:w="0" w:type="dxa"/>
          <w:bottom w:w="0" w:type="dxa"/>
          <w:right w:w="0" w:type="dxa"/>
        </w:tblCellMar>
        <w:tblLook w:val="01E0"/>
      </w:tblPr>
      <w:tblGrid>
        <w:gridCol w:w="2559"/>
        <w:gridCol w:w="1997"/>
        <w:gridCol w:w="2411"/>
        <w:gridCol w:w="2128"/>
      </w:tblGrid>
      <w:tr>
        <w:trPr>
          <w:trHeight w:val="250" w:hRule="exact"/>
        </w:trPr>
        <w:tc>
          <w:tcPr>
            <w:tcW w:w="2559" w:type="dxa"/>
            <w:tcBorders>
              <w:top w:val="single" w:sz="4" w:space="0" w:color="FFC000"/>
              <w:left w:val="single" w:sz="4" w:space="0" w:color="FFC000"/>
              <w:bottom w:val="nil" w:sz="6" w:space="0" w:color="auto"/>
              <w:right w:val="single" w:sz="4" w:space="0" w:color="FFC000"/>
            </w:tcBorders>
            <w:shd w:val="clear" w:color="auto" w:fill="FFF8E6"/>
          </w:tcPr>
          <w:p>
            <w:pPr/>
          </w:p>
        </w:tc>
        <w:tc>
          <w:tcPr>
            <w:tcW w:w="6536" w:type="dxa"/>
            <w:gridSpan w:val="3"/>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9"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235" w:hRule="exact"/>
        </w:trPr>
        <w:tc>
          <w:tcPr>
            <w:tcW w:w="2559"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账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龄</w:t>
            </w:r>
          </w:p>
        </w:tc>
        <w:tc>
          <w:tcPr>
            <w:tcW w:w="6536" w:type="dxa"/>
            <w:gridSpan w:val="3"/>
            <w:vMerge/>
            <w:tcBorders>
              <w:left w:val="single" w:sz="4" w:space="0" w:color="FFC000"/>
              <w:bottom w:val="single" w:sz="4" w:space="0" w:color="FFC000"/>
              <w:right w:val="single" w:sz="4" w:space="0" w:color="FFC000"/>
            </w:tcBorders>
            <w:shd w:val="clear" w:color="auto" w:fill="FFF8E6"/>
          </w:tcPr>
          <w:p>
            <w:pPr/>
          </w:p>
        </w:tc>
      </w:tr>
      <w:tr>
        <w:trPr>
          <w:trHeight w:val="245" w:hRule="exact"/>
        </w:trPr>
        <w:tc>
          <w:tcPr>
            <w:tcW w:w="2559" w:type="dxa"/>
            <w:vMerge/>
            <w:tcBorders>
              <w:left w:val="single" w:sz="4" w:space="0" w:color="FFC000"/>
              <w:bottom w:val="nil" w:sz="6" w:space="0" w:color="auto"/>
              <w:right w:val="single" w:sz="4" w:space="0" w:color="FFC000"/>
            </w:tcBorders>
            <w:shd w:val="clear" w:color="auto" w:fill="FFF8E6"/>
          </w:tcPr>
          <w:p>
            <w:pPr/>
          </w:p>
        </w:tc>
        <w:tc>
          <w:tcPr>
            <w:tcW w:w="1997"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63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应收账款</w:t>
            </w:r>
          </w:p>
        </w:tc>
        <w:tc>
          <w:tcPr>
            <w:tcW w:w="2411"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w:t>
            </w:r>
          </w:p>
        </w:tc>
        <w:tc>
          <w:tcPr>
            <w:tcW w:w="212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44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计提比例（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r>
      <w:tr>
        <w:trPr>
          <w:trHeight w:val="250" w:hRule="exact"/>
        </w:trPr>
        <w:tc>
          <w:tcPr>
            <w:tcW w:w="2559" w:type="dxa"/>
            <w:tcBorders>
              <w:top w:val="nil" w:sz="6" w:space="0" w:color="auto"/>
              <w:left w:val="single" w:sz="4" w:space="0" w:color="FFC000"/>
              <w:bottom w:val="single" w:sz="4" w:space="0" w:color="FFC000"/>
              <w:right w:val="single" w:sz="4" w:space="0" w:color="FFC000"/>
            </w:tcBorders>
            <w:shd w:val="clear" w:color="auto" w:fill="FFF8E6"/>
          </w:tcPr>
          <w:p>
            <w:pPr/>
          </w:p>
        </w:tc>
        <w:tc>
          <w:tcPr>
            <w:tcW w:w="1997" w:type="dxa"/>
            <w:vMerge/>
            <w:tcBorders>
              <w:left w:val="single" w:sz="4" w:space="0" w:color="FFC000"/>
              <w:bottom w:val="single" w:sz="4" w:space="0" w:color="FFC000"/>
              <w:right w:val="single" w:sz="4" w:space="0" w:color="FFC000"/>
            </w:tcBorders>
            <w:shd w:val="clear" w:color="auto" w:fill="FFF8E6"/>
          </w:tcPr>
          <w:p>
            <w:pPr/>
          </w:p>
        </w:tc>
        <w:tc>
          <w:tcPr>
            <w:tcW w:w="2411" w:type="dxa"/>
            <w:vMerge/>
            <w:tcBorders>
              <w:left w:val="single" w:sz="4" w:space="0" w:color="FFC000"/>
              <w:bottom w:val="single" w:sz="4" w:space="0" w:color="FFC000"/>
              <w:right w:val="single" w:sz="4" w:space="0" w:color="FFC000"/>
            </w:tcBorders>
            <w:shd w:val="clear" w:color="auto" w:fill="FFF8E6"/>
          </w:tcPr>
          <w:p>
            <w:pPr/>
          </w:p>
        </w:tc>
        <w:tc>
          <w:tcPr>
            <w:tcW w:w="2128" w:type="dxa"/>
            <w:vMerge/>
            <w:tcBorders>
              <w:left w:val="single" w:sz="4" w:space="0" w:color="FFC000"/>
              <w:bottom w:val="single" w:sz="4" w:space="0" w:color="FFC000"/>
              <w:right w:val="single" w:sz="4" w:space="0" w:color="FFC000"/>
            </w:tcBorders>
            <w:shd w:val="clear" w:color="auto" w:fill="FFF8E6"/>
          </w:tcPr>
          <w:p>
            <w:pPr/>
          </w:p>
        </w:tc>
      </w:tr>
      <w:tr>
        <w:trPr>
          <w:trHeight w:val="491"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年以内</w:t>
            </w:r>
          </w:p>
        </w:tc>
        <w:tc>
          <w:tcPr>
            <w:tcW w:w="199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1,109,046,605.64</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3,093,389.12</w:t>
            </w:r>
          </w:p>
        </w:tc>
        <w:tc>
          <w:tcPr>
            <w:tcW w:w="21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0.28</w:t>
            </w:r>
          </w:p>
        </w:tc>
      </w:tr>
      <w:tr>
        <w:trPr>
          <w:trHeight w:val="490"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w:t>
            </w:r>
            <w:r>
              <w:rPr>
                <w:rFonts w:ascii="华文细黑" w:hAnsi="华文细黑" w:cs="华文细黑" w:eastAsia="华文细黑" w:hint="default"/>
                <w:sz w:val="18"/>
                <w:szCs w:val="18"/>
              </w:rPr>
              <w:t>3 </w:t>
            </w:r>
            <w:r>
              <w:rPr>
                <w:rFonts w:ascii="华文细黑" w:hAnsi="华文细黑" w:cs="华文细黑" w:eastAsia="华文细黑" w:hint="default"/>
                <w:sz w:val="18"/>
                <w:szCs w:val="18"/>
              </w:rPr>
              <w:t>个月以内</w:t>
            </w:r>
          </w:p>
        </w:tc>
        <w:tc>
          <w:tcPr>
            <w:tcW w:w="199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1,085,221,323.63</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21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5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3-6</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个月</w:t>
            </w:r>
          </w:p>
        </w:tc>
        <w:tc>
          <w:tcPr>
            <w:tcW w:w="199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20,270,977.42</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2,027,097.74</w:t>
            </w:r>
          </w:p>
        </w:tc>
        <w:tc>
          <w:tcPr>
            <w:tcW w:w="21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10.00</w:t>
            </w:r>
          </w:p>
        </w:tc>
      </w:tr>
      <w:tr>
        <w:trPr>
          <w:trHeight w:val="491"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55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6 </w:t>
            </w:r>
            <w:r>
              <w:rPr>
                <w:rFonts w:ascii="华文细黑" w:hAnsi="华文细黑" w:cs="华文细黑" w:eastAsia="华文细黑" w:hint="default"/>
                <w:sz w:val="18"/>
                <w:szCs w:val="18"/>
              </w:rPr>
              <w:t>个月</w:t>
            </w:r>
            <w:r>
              <w:rPr>
                <w:rFonts w:ascii="华文细黑" w:hAnsi="华文细黑" w:cs="华文细黑" w:eastAsia="华文细黑" w:hint="default"/>
                <w:sz w:val="18"/>
                <w:szCs w:val="18"/>
              </w:rPr>
              <w:t>-1</w:t>
            </w:r>
            <w:r>
              <w:rPr>
                <w:rFonts w:ascii="华文细黑" w:hAnsi="华文细黑" w:cs="华文细黑" w:eastAsia="华文细黑" w:hint="default"/>
                <w:spacing w:val="-2"/>
                <w:sz w:val="18"/>
                <w:szCs w:val="18"/>
              </w:rPr>
              <w:t> </w:t>
            </w:r>
            <w:r>
              <w:rPr>
                <w:rFonts w:ascii="华文细黑" w:hAnsi="华文细黑" w:cs="华文细黑" w:eastAsia="华文细黑" w:hint="default"/>
                <w:sz w:val="18"/>
                <w:szCs w:val="18"/>
              </w:rPr>
              <w:t>年</w:t>
            </w:r>
          </w:p>
        </w:tc>
        <w:tc>
          <w:tcPr>
            <w:tcW w:w="199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3,554,304.59</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1,066,291.38</w:t>
            </w:r>
          </w:p>
        </w:tc>
        <w:tc>
          <w:tcPr>
            <w:tcW w:w="21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30.00</w:t>
            </w:r>
          </w:p>
        </w:tc>
      </w:tr>
      <w:tr>
        <w:trPr>
          <w:trHeight w:val="490"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 </w:t>
            </w:r>
            <w:r>
              <w:rPr>
                <w:rFonts w:ascii="华文细黑" w:hAnsi="华文细黑" w:cs="华文细黑" w:eastAsia="华文细黑" w:hint="default"/>
                <w:sz w:val="18"/>
                <w:szCs w:val="18"/>
              </w:rPr>
              <w:t>至 </w:t>
            </w:r>
            <w:r>
              <w:rPr>
                <w:rFonts w:ascii="华文细黑" w:hAnsi="华文细黑" w:cs="华文细黑" w:eastAsia="华文细黑" w:hint="default"/>
                <w:sz w:val="18"/>
                <w:szCs w:val="18"/>
              </w:rPr>
              <w:t>2</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w:t>
            </w:r>
          </w:p>
        </w:tc>
        <w:tc>
          <w:tcPr>
            <w:tcW w:w="199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z w:val="18"/>
              </w:rPr>
              <w:t>42,032.06</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29,422.44</w:t>
            </w:r>
          </w:p>
        </w:tc>
        <w:tc>
          <w:tcPr>
            <w:tcW w:w="21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70.00</w:t>
            </w:r>
          </w:p>
        </w:tc>
      </w:tr>
      <w:tr>
        <w:trPr>
          <w:trHeight w:val="490"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年以上</w:t>
            </w:r>
          </w:p>
        </w:tc>
        <w:tc>
          <w:tcPr>
            <w:tcW w:w="199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1,871,507.46</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1,871,507.46</w:t>
            </w:r>
          </w:p>
        </w:tc>
        <w:tc>
          <w:tcPr>
            <w:tcW w:w="21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100.00</w:t>
            </w:r>
          </w:p>
        </w:tc>
      </w:tr>
      <w:tr>
        <w:trPr>
          <w:trHeight w:val="491"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199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4"/>
              <w:jc w:val="right"/>
              <w:rPr>
                <w:rFonts w:ascii="华文细黑" w:hAnsi="华文细黑" w:cs="华文细黑" w:eastAsia="华文细黑" w:hint="default"/>
                <w:sz w:val="18"/>
                <w:szCs w:val="18"/>
              </w:rPr>
            </w:pPr>
            <w:r>
              <w:rPr>
                <w:rFonts w:ascii="华文细黑"/>
                <w:b/>
                <w:w w:val="95"/>
                <w:sz w:val="18"/>
              </w:rPr>
              <w:t>1,110,960,145.16</w:t>
            </w:r>
            <w:r>
              <w:rPr>
                <w:rFonts w:ascii="华文细黑"/>
                <w:sz w:val="18"/>
              </w:rPr>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b/>
                <w:w w:val="95"/>
                <w:sz w:val="18"/>
              </w:rPr>
              <w:t>4,994,319.02</w:t>
            </w:r>
            <w:r>
              <w:rPr>
                <w:rFonts w:ascii="华文细黑"/>
                <w:sz w:val="18"/>
              </w:rPr>
            </w:r>
          </w:p>
        </w:tc>
        <w:tc>
          <w:tcPr>
            <w:tcW w:w="21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0.45</w:t>
            </w:r>
            <w:r>
              <w:rPr>
                <w:rFonts w:ascii="华文细黑"/>
                <w:sz w:val="18"/>
              </w:rPr>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260" w:right="0"/>
        </w:sectPr>
      </w:pPr>
    </w:p>
    <w:p>
      <w:pPr>
        <w:spacing w:line="240" w:lineRule="auto" w:before="10"/>
        <w:rPr>
          <w:rFonts w:ascii="华文细黑" w:hAnsi="华文细黑" w:cs="华文细黑" w:eastAsia="华文细黑" w:hint="default"/>
          <w:sz w:val="27"/>
          <w:szCs w:val="27"/>
        </w:rPr>
      </w:pPr>
    </w:p>
    <w:p>
      <w:pPr>
        <w:pStyle w:val="BodyText"/>
        <w:spacing w:line="355" w:lineRule="auto" w:before="10"/>
        <w:ind w:left="560" w:right="5760"/>
        <w:jc w:val="left"/>
      </w:pPr>
      <w:r>
        <w:rPr/>
        <w:t>②本年计提、收回或转回的坏账准备情况 本年计提坏账准备的金额为 </w:t>
      </w:r>
      <w:r>
        <w:rPr>
          <w:rFonts w:ascii="华文细黑" w:hAnsi="华文细黑" w:cs="华文细黑" w:eastAsia="华文细黑" w:hint="default"/>
        </w:rPr>
        <w:t>3,202,406.61</w:t>
      </w:r>
      <w:r>
        <w:rPr>
          <w:rFonts w:ascii="华文细黑" w:hAnsi="华文细黑" w:cs="华文细黑" w:eastAsia="华文细黑" w:hint="default"/>
          <w:spacing w:val="-1"/>
        </w:rPr>
        <w:t> </w:t>
      </w:r>
      <w:r>
        <w:rPr/>
        <w:t>元。</w:t>
      </w:r>
    </w:p>
    <w:p>
      <w:pPr>
        <w:pStyle w:val="BodyText"/>
        <w:spacing w:line="240" w:lineRule="auto" w:before="34"/>
        <w:ind w:left="560" w:right="1246"/>
        <w:jc w:val="left"/>
      </w:pPr>
      <w:r>
        <w:rPr/>
        <w:t>③本年实际核销的应收账款情况</w:t>
      </w:r>
    </w:p>
    <w:p>
      <w:pPr>
        <w:spacing w:line="240" w:lineRule="auto" w:before="6"/>
        <w:rPr>
          <w:rFonts w:ascii="华文细黑" w:hAnsi="华文细黑" w:cs="华文细黑" w:eastAsia="华文细黑" w:hint="default"/>
          <w:sz w:val="5"/>
          <w:szCs w:val="5"/>
        </w:rPr>
      </w:pPr>
    </w:p>
    <w:tbl>
      <w:tblPr>
        <w:tblW w:w="0" w:type="auto"/>
        <w:jc w:val="left"/>
        <w:tblInd w:w="140" w:type="dxa"/>
        <w:tblLayout w:type="fixed"/>
        <w:tblCellMar>
          <w:top w:w="0" w:type="dxa"/>
          <w:left w:w="0" w:type="dxa"/>
          <w:bottom w:w="0" w:type="dxa"/>
          <w:right w:w="0" w:type="dxa"/>
        </w:tblCellMar>
        <w:tblLook w:val="01E0"/>
      </w:tblPr>
      <w:tblGrid>
        <w:gridCol w:w="4426"/>
        <w:gridCol w:w="4680"/>
      </w:tblGrid>
      <w:tr>
        <w:trPr>
          <w:trHeight w:val="491" w:hRule="exact"/>
        </w:trPr>
        <w:tc>
          <w:tcPr>
            <w:tcW w:w="442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46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核销金额</w:t>
            </w:r>
          </w:p>
        </w:tc>
      </w:tr>
      <w:tr>
        <w:trPr>
          <w:trHeight w:val="490" w:hRule="exact"/>
        </w:trPr>
        <w:tc>
          <w:tcPr>
            <w:tcW w:w="442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实际核销的应收账款</w:t>
            </w:r>
          </w:p>
        </w:tc>
        <w:tc>
          <w:tcPr>
            <w:tcW w:w="46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39,476,411.04</w:t>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560" w:right="1246"/>
        <w:jc w:val="left"/>
      </w:pPr>
      <w:r>
        <w:rPr/>
        <w:t>其中重要的应收账款核销情况</w:t>
      </w:r>
    </w:p>
    <w:p>
      <w:pPr>
        <w:spacing w:line="240" w:lineRule="auto" w:before="5"/>
        <w:rPr>
          <w:rFonts w:ascii="华文细黑" w:hAnsi="华文细黑" w:cs="华文细黑" w:eastAsia="华文细黑" w:hint="default"/>
          <w:sz w:val="5"/>
          <w:szCs w:val="5"/>
        </w:rPr>
      </w:pPr>
    </w:p>
    <w:tbl>
      <w:tblPr>
        <w:tblW w:w="0" w:type="auto"/>
        <w:jc w:val="left"/>
        <w:tblInd w:w="151" w:type="dxa"/>
        <w:tblLayout w:type="fixed"/>
        <w:tblCellMar>
          <w:top w:w="0" w:type="dxa"/>
          <w:left w:w="0" w:type="dxa"/>
          <w:bottom w:w="0" w:type="dxa"/>
          <w:right w:w="0" w:type="dxa"/>
        </w:tblCellMar>
        <w:tblLook w:val="01E0"/>
      </w:tblPr>
      <w:tblGrid>
        <w:gridCol w:w="2429"/>
        <w:gridCol w:w="852"/>
        <w:gridCol w:w="1418"/>
        <w:gridCol w:w="2268"/>
        <w:gridCol w:w="994"/>
        <w:gridCol w:w="1135"/>
      </w:tblGrid>
      <w:tr>
        <w:trPr>
          <w:trHeight w:val="226" w:hRule="exact"/>
        </w:trPr>
        <w:tc>
          <w:tcPr>
            <w:tcW w:w="2429" w:type="dxa"/>
            <w:tcBorders>
              <w:top w:val="single" w:sz="4" w:space="0" w:color="FFC000"/>
              <w:left w:val="single" w:sz="4" w:space="0" w:color="FFC000"/>
              <w:bottom w:val="nil" w:sz="6" w:space="0" w:color="auto"/>
              <w:right w:val="single" w:sz="4" w:space="0" w:color="FFC000"/>
            </w:tcBorders>
            <w:shd w:val="clear" w:color="auto" w:fill="FFF8E6"/>
          </w:tcPr>
          <w:p>
            <w:pPr/>
          </w:p>
        </w:tc>
        <w:tc>
          <w:tcPr>
            <w:tcW w:w="85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8"/>
              <w:ind w:right="0"/>
              <w:jc w:val="left"/>
              <w:rPr>
                <w:rFonts w:ascii="华文细黑" w:hAnsi="华文细黑" w:cs="华文细黑" w:eastAsia="华文细黑" w:hint="default"/>
                <w:sz w:val="11"/>
                <w:szCs w:val="11"/>
              </w:rPr>
            </w:pPr>
          </w:p>
          <w:p>
            <w:pPr>
              <w:pStyle w:val="TableParagraph"/>
              <w:spacing w:line="379" w:lineRule="auto"/>
              <w:ind w:left="239" w:right="60" w:hanging="18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应收账款 性质</w:t>
            </w:r>
          </w:p>
        </w:tc>
        <w:tc>
          <w:tcPr>
            <w:tcW w:w="1418" w:type="dxa"/>
            <w:tcBorders>
              <w:top w:val="single" w:sz="4" w:space="0" w:color="FFC000"/>
              <w:left w:val="single" w:sz="4" w:space="0" w:color="FFC000"/>
              <w:bottom w:val="nil" w:sz="6" w:space="0" w:color="auto"/>
              <w:right w:val="single" w:sz="4" w:space="0" w:color="FFC000"/>
            </w:tcBorders>
            <w:shd w:val="clear" w:color="auto" w:fill="FFF8E6"/>
          </w:tcPr>
          <w:p>
            <w:pPr/>
          </w:p>
        </w:tc>
        <w:tc>
          <w:tcPr>
            <w:tcW w:w="2268" w:type="dxa"/>
            <w:tcBorders>
              <w:top w:val="single" w:sz="4" w:space="0" w:color="FFC000"/>
              <w:left w:val="single" w:sz="4" w:space="0" w:color="FFC000"/>
              <w:bottom w:val="nil" w:sz="6" w:space="0" w:color="auto"/>
              <w:right w:val="single" w:sz="4" w:space="0" w:color="FFC000"/>
            </w:tcBorders>
            <w:shd w:val="clear" w:color="auto" w:fill="FFF8E6"/>
          </w:tcPr>
          <w:p>
            <w:pPr/>
          </w:p>
        </w:tc>
        <w:tc>
          <w:tcPr>
            <w:tcW w:w="994"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3"/>
              <w:ind w:left="311" w:right="41" w:hanging="27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履行的核销 程序</w:t>
            </w:r>
          </w:p>
        </w:tc>
        <w:tc>
          <w:tcPr>
            <w:tcW w:w="1135" w:type="dxa"/>
            <w:vMerge w:val="restart"/>
            <w:tcBorders>
              <w:top w:val="single" w:sz="4" w:space="0" w:color="FFC000"/>
              <w:left w:val="single" w:sz="4" w:space="0" w:color="FFC000"/>
              <w:right w:val="single" w:sz="4" w:space="0" w:color="FFC000"/>
            </w:tcBorders>
            <w:shd w:val="clear" w:color="auto" w:fill="FFF8E6"/>
          </w:tcPr>
          <w:p>
            <w:pPr>
              <w:pStyle w:val="TableParagraph"/>
              <w:spacing w:line="440" w:lineRule="exact" w:before="9"/>
              <w:ind w:left="201" w:right="113" w:hanging="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是否因关联 交易产生</w:t>
            </w:r>
          </w:p>
        </w:tc>
      </w:tr>
      <w:tr>
        <w:trPr>
          <w:trHeight w:val="480" w:hRule="exact"/>
        </w:trPr>
        <w:tc>
          <w:tcPr>
            <w:tcW w:w="2429"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right="1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单位名称</w:t>
            </w:r>
          </w:p>
        </w:tc>
        <w:tc>
          <w:tcPr>
            <w:tcW w:w="852" w:type="dxa"/>
            <w:vMerge/>
            <w:tcBorders>
              <w:left w:val="single" w:sz="4" w:space="0" w:color="FFC000"/>
              <w:right w:val="single" w:sz="4" w:space="0" w:color="FFC000"/>
            </w:tcBorders>
            <w:shd w:val="clear" w:color="auto" w:fill="FFF8E6"/>
          </w:tcPr>
          <w:p>
            <w:pPr/>
          </w:p>
        </w:tc>
        <w:tc>
          <w:tcPr>
            <w:tcW w:w="1418"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34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核销金额</w:t>
            </w:r>
          </w:p>
        </w:tc>
        <w:tc>
          <w:tcPr>
            <w:tcW w:w="2268"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核销原因</w:t>
            </w:r>
          </w:p>
        </w:tc>
        <w:tc>
          <w:tcPr>
            <w:tcW w:w="994" w:type="dxa"/>
            <w:vMerge/>
            <w:tcBorders>
              <w:left w:val="single" w:sz="4" w:space="0" w:color="FFC000"/>
              <w:right w:val="single" w:sz="4" w:space="0" w:color="FFC000"/>
            </w:tcBorders>
            <w:shd w:val="clear" w:color="auto" w:fill="FFF8E6"/>
          </w:tcPr>
          <w:p>
            <w:pPr/>
          </w:p>
        </w:tc>
        <w:tc>
          <w:tcPr>
            <w:tcW w:w="1135" w:type="dxa"/>
            <w:vMerge/>
            <w:tcBorders>
              <w:left w:val="single" w:sz="4" w:space="0" w:color="FFC000"/>
              <w:right w:val="single" w:sz="4" w:space="0" w:color="FFC000"/>
            </w:tcBorders>
            <w:shd w:val="clear" w:color="auto" w:fill="FFF8E6"/>
          </w:tcPr>
          <w:p>
            <w:pPr/>
          </w:p>
        </w:tc>
      </w:tr>
      <w:tr>
        <w:trPr>
          <w:trHeight w:val="224" w:hRule="exact"/>
        </w:trPr>
        <w:tc>
          <w:tcPr>
            <w:tcW w:w="2429" w:type="dxa"/>
            <w:tcBorders>
              <w:top w:val="nil" w:sz="6" w:space="0" w:color="auto"/>
              <w:left w:val="single" w:sz="4" w:space="0" w:color="FFC000"/>
              <w:bottom w:val="single" w:sz="4" w:space="0" w:color="FFC000"/>
              <w:right w:val="single" w:sz="4" w:space="0" w:color="FFC000"/>
            </w:tcBorders>
            <w:shd w:val="clear" w:color="auto" w:fill="FFF8E6"/>
          </w:tcPr>
          <w:p>
            <w:pPr/>
          </w:p>
        </w:tc>
        <w:tc>
          <w:tcPr>
            <w:tcW w:w="852" w:type="dxa"/>
            <w:vMerge/>
            <w:tcBorders>
              <w:left w:val="single" w:sz="4" w:space="0" w:color="FFC000"/>
              <w:bottom w:val="single" w:sz="4" w:space="0" w:color="FFC000"/>
              <w:right w:val="single" w:sz="4" w:space="0" w:color="FFC000"/>
            </w:tcBorders>
            <w:shd w:val="clear" w:color="auto" w:fill="FFF8E6"/>
          </w:tcPr>
          <w:p>
            <w:pPr/>
          </w:p>
        </w:tc>
        <w:tc>
          <w:tcPr>
            <w:tcW w:w="1418" w:type="dxa"/>
            <w:tcBorders>
              <w:top w:val="nil" w:sz="6" w:space="0" w:color="auto"/>
              <w:left w:val="single" w:sz="4" w:space="0" w:color="FFC000"/>
              <w:bottom w:val="single" w:sz="4" w:space="0" w:color="FFC000"/>
              <w:right w:val="single" w:sz="4" w:space="0" w:color="FFC000"/>
            </w:tcBorders>
            <w:shd w:val="clear" w:color="auto" w:fill="FFF8E6"/>
          </w:tcPr>
          <w:p>
            <w:pPr/>
          </w:p>
        </w:tc>
        <w:tc>
          <w:tcPr>
            <w:tcW w:w="2268" w:type="dxa"/>
            <w:tcBorders>
              <w:top w:val="nil" w:sz="6" w:space="0" w:color="auto"/>
              <w:left w:val="single" w:sz="4" w:space="0" w:color="FFC000"/>
              <w:bottom w:val="single" w:sz="4" w:space="0" w:color="FFC000"/>
              <w:right w:val="single" w:sz="4" w:space="0" w:color="FFC000"/>
            </w:tcBorders>
            <w:shd w:val="clear" w:color="auto" w:fill="FFF8E6"/>
          </w:tcPr>
          <w:p>
            <w:pPr/>
          </w:p>
        </w:tc>
        <w:tc>
          <w:tcPr>
            <w:tcW w:w="994" w:type="dxa"/>
            <w:vMerge/>
            <w:tcBorders>
              <w:left w:val="single" w:sz="4" w:space="0" w:color="FFC000"/>
              <w:bottom w:val="single" w:sz="4" w:space="0" w:color="FFC000"/>
              <w:right w:val="single" w:sz="4" w:space="0" w:color="FFC000"/>
            </w:tcBorders>
            <w:shd w:val="clear" w:color="auto" w:fill="FFF8E6"/>
          </w:tcPr>
          <w:p>
            <w:pPr/>
          </w:p>
        </w:tc>
        <w:tc>
          <w:tcPr>
            <w:tcW w:w="1135" w:type="dxa"/>
            <w:vMerge/>
            <w:tcBorders>
              <w:left w:val="single" w:sz="4" w:space="0" w:color="FFC000"/>
              <w:bottom w:val="single" w:sz="4" w:space="0" w:color="FFC000"/>
              <w:right w:val="single" w:sz="4" w:space="0" w:color="FFC000"/>
            </w:tcBorders>
            <w:shd w:val="clear" w:color="auto" w:fill="FFF8E6"/>
          </w:tcPr>
          <w:p>
            <w:pPr/>
          </w:p>
        </w:tc>
      </w:tr>
      <w:tr>
        <w:trPr>
          <w:trHeight w:val="205" w:hRule="exact"/>
        </w:trPr>
        <w:tc>
          <w:tcPr>
            <w:tcW w:w="2429" w:type="dxa"/>
            <w:tcBorders>
              <w:top w:val="single" w:sz="4" w:space="0" w:color="FFC000"/>
              <w:left w:val="single" w:sz="4" w:space="0" w:color="FFC000"/>
              <w:bottom w:val="nil" w:sz="6" w:space="0" w:color="auto"/>
              <w:right w:val="single" w:sz="4" w:space="0" w:color="FFC000"/>
            </w:tcBorders>
            <w:shd w:val="clear" w:color="auto" w:fill="FFF8E6"/>
          </w:tcPr>
          <w:p>
            <w:pPr/>
          </w:p>
        </w:tc>
        <w:tc>
          <w:tcPr>
            <w:tcW w:w="852" w:type="dxa"/>
            <w:vMerge w:val="restart"/>
            <w:tcBorders>
              <w:top w:val="single" w:sz="8" w:space="0" w:color="FFF8E6"/>
              <w:left w:val="single" w:sz="9" w:space="0" w:color="FFF8E6"/>
              <w:right w:val="single" w:sz="4" w:space="0" w:color="FFC000"/>
            </w:tcBorders>
          </w:tcPr>
          <w:p>
            <w:pPr>
              <w:pStyle w:val="TableParagraph"/>
              <w:spacing w:line="240" w:lineRule="auto" w:before="1"/>
              <w:ind w:right="0"/>
              <w:jc w:val="left"/>
              <w:rPr>
                <w:rFonts w:ascii="华文细黑" w:hAnsi="华文细黑" w:cs="华文细黑" w:eastAsia="华文细黑" w:hint="default"/>
                <w:sz w:val="24"/>
                <w:szCs w:val="24"/>
              </w:rPr>
            </w:pPr>
          </w:p>
          <w:p>
            <w:pPr>
              <w:pStyle w:val="TableParagraph"/>
              <w:spacing w:line="240" w:lineRule="auto"/>
              <w:ind w:left="23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货款</w:t>
            </w:r>
          </w:p>
        </w:tc>
        <w:tc>
          <w:tcPr>
            <w:tcW w:w="1418" w:type="dxa"/>
            <w:vMerge w:val="restart"/>
            <w:tcBorders>
              <w:top w:val="single" w:sz="4" w:space="0" w:color="FFC000"/>
              <w:left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237" w:right="0"/>
              <w:jc w:val="left"/>
              <w:rPr>
                <w:rFonts w:ascii="华文细黑" w:hAnsi="华文细黑" w:cs="华文细黑" w:eastAsia="华文细黑" w:hint="default"/>
                <w:sz w:val="18"/>
                <w:szCs w:val="18"/>
              </w:rPr>
            </w:pPr>
            <w:r>
              <w:rPr>
                <w:rFonts w:ascii="华文细黑"/>
                <w:sz w:val="18"/>
              </w:rPr>
              <w:t>11,599,673.72</w:t>
            </w:r>
          </w:p>
        </w:tc>
        <w:tc>
          <w:tcPr>
            <w:tcW w:w="2268" w:type="dxa"/>
            <w:vMerge w:val="restart"/>
            <w:tcBorders>
              <w:top w:val="single" w:sz="4" w:space="0" w:color="FFC000"/>
              <w:left w:val="single" w:sz="4" w:space="0" w:color="FFC000"/>
              <w:right w:val="single" w:sz="4" w:space="0" w:color="FFC000"/>
            </w:tcBorders>
          </w:tcPr>
          <w:p>
            <w:pPr>
              <w:pStyle w:val="TableParagraph"/>
              <w:spacing w:line="379" w:lineRule="auto" w:before="143"/>
              <w:ind w:left="23" w:right="7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法院裁定执行终结，目前未 收到任何执行回款。</w:t>
            </w:r>
          </w:p>
        </w:tc>
        <w:tc>
          <w:tcPr>
            <w:tcW w:w="994" w:type="dxa"/>
            <w:vMerge w:val="restart"/>
            <w:tcBorders>
              <w:top w:val="single" w:sz="16" w:space="0" w:color="FFF8E6"/>
              <w:left w:val="single" w:sz="4" w:space="0" w:color="FFC000"/>
              <w:right w:val="single" w:sz="4" w:space="0" w:color="FFC000"/>
            </w:tcBorders>
          </w:tcPr>
          <w:p>
            <w:pPr>
              <w:pStyle w:val="TableParagraph"/>
              <w:spacing w:line="240" w:lineRule="auto" w:before="5"/>
              <w:ind w:right="0"/>
              <w:jc w:val="left"/>
              <w:rPr>
                <w:rFonts w:ascii="华文细黑" w:hAnsi="华文细黑" w:cs="华文细黑" w:eastAsia="华文细黑" w:hint="default"/>
                <w:sz w:val="23"/>
                <w:szCs w:val="23"/>
              </w:rPr>
            </w:pPr>
          </w:p>
          <w:p>
            <w:pPr>
              <w:pStyle w:val="TableParagraph"/>
              <w:spacing w:line="240" w:lineRule="auto"/>
              <w:ind w:left="4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董事会审批</w:t>
            </w:r>
          </w:p>
        </w:tc>
        <w:tc>
          <w:tcPr>
            <w:tcW w:w="1135" w:type="dxa"/>
            <w:vMerge w:val="restart"/>
            <w:tcBorders>
              <w:top w:val="single" w:sz="4" w:space="0" w:color="FFC000"/>
              <w:left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80" w:hRule="exact"/>
        </w:trPr>
        <w:tc>
          <w:tcPr>
            <w:tcW w:w="2429"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客户</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A</w:t>
            </w:r>
          </w:p>
        </w:tc>
        <w:tc>
          <w:tcPr>
            <w:tcW w:w="852" w:type="dxa"/>
            <w:vMerge/>
            <w:tcBorders>
              <w:left w:val="single" w:sz="9" w:space="0" w:color="FFF8E6"/>
              <w:right w:val="single" w:sz="4" w:space="0" w:color="FFC000"/>
            </w:tcBorders>
          </w:tcPr>
          <w:p>
            <w:pPr/>
          </w:p>
        </w:tc>
        <w:tc>
          <w:tcPr>
            <w:tcW w:w="1418" w:type="dxa"/>
            <w:vMerge/>
            <w:tcBorders>
              <w:left w:val="single" w:sz="4" w:space="0" w:color="FFC000"/>
              <w:right w:val="single" w:sz="4" w:space="0" w:color="FFC000"/>
            </w:tcBorders>
          </w:tcPr>
          <w:p>
            <w:pPr/>
          </w:p>
        </w:tc>
        <w:tc>
          <w:tcPr>
            <w:tcW w:w="2268" w:type="dxa"/>
            <w:vMerge/>
            <w:tcBorders>
              <w:left w:val="single" w:sz="4" w:space="0" w:color="FFC000"/>
              <w:right w:val="single" w:sz="4" w:space="0" w:color="FFC000"/>
            </w:tcBorders>
          </w:tcPr>
          <w:p>
            <w:pPr/>
          </w:p>
        </w:tc>
        <w:tc>
          <w:tcPr>
            <w:tcW w:w="994" w:type="dxa"/>
            <w:vMerge/>
            <w:tcBorders>
              <w:left w:val="single" w:sz="4" w:space="0" w:color="FFC000"/>
              <w:right w:val="single" w:sz="4" w:space="0" w:color="FFC000"/>
            </w:tcBorders>
          </w:tcPr>
          <w:p>
            <w:pPr/>
          </w:p>
        </w:tc>
        <w:tc>
          <w:tcPr>
            <w:tcW w:w="1135" w:type="dxa"/>
            <w:vMerge/>
            <w:tcBorders>
              <w:left w:val="single" w:sz="4" w:space="0" w:color="FFC000"/>
              <w:right w:val="single" w:sz="4" w:space="0" w:color="FFC000"/>
            </w:tcBorders>
          </w:tcPr>
          <w:p>
            <w:pPr/>
          </w:p>
        </w:tc>
      </w:tr>
      <w:tr>
        <w:trPr>
          <w:trHeight w:val="205" w:hRule="exact"/>
        </w:trPr>
        <w:tc>
          <w:tcPr>
            <w:tcW w:w="2429" w:type="dxa"/>
            <w:tcBorders>
              <w:top w:val="nil" w:sz="6" w:space="0" w:color="auto"/>
              <w:left w:val="single" w:sz="4" w:space="0" w:color="FFC000"/>
              <w:bottom w:val="single" w:sz="4" w:space="0" w:color="FFC000"/>
              <w:right w:val="single" w:sz="4" w:space="0" w:color="FFC000"/>
            </w:tcBorders>
            <w:shd w:val="clear" w:color="auto" w:fill="FFF8E6"/>
          </w:tcPr>
          <w:p>
            <w:pPr/>
          </w:p>
        </w:tc>
        <w:tc>
          <w:tcPr>
            <w:tcW w:w="852" w:type="dxa"/>
            <w:vMerge/>
            <w:tcBorders>
              <w:left w:val="single" w:sz="9" w:space="0" w:color="FFF8E6"/>
              <w:bottom w:val="single" w:sz="4" w:space="0" w:color="FFC000"/>
              <w:right w:val="single" w:sz="4" w:space="0" w:color="FFC000"/>
            </w:tcBorders>
          </w:tcPr>
          <w:p>
            <w:pPr/>
          </w:p>
        </w:tc>
        <w:tc>
          <w:tcPr>
            <w:tcW w:w="1418" w:type="dxa"/>
            <w:vMerge/>
            <w:tcBorders>
              <w:left w:val="single" w:sz="4" w:space="0" w:color="FFC000"/>
              <w:bottom w:val="single" w:sz="4" w:space="0" w:color="FFC000"/>
              <w:right w:val="single" w:sz="4" w:space="0" w:color="FFC000"/>
            </w:tcBorders>
          </w:tcPr>
          <w:p>
            <w:pPr/>
          </w:p>
        </w:tc>
        <w:tc>
          <w:tcPr>
            <w:tcW w:w="2268" w:type="dxa"/>
            <w:vMerge/>
            <w:tcBorders>
              <w:left w:val="single" w:sz="4" w:space="0" w:color="FFC000"/>
              <w:bottom w:val="single" w:sz="4" w:space="0" w:color="FFC000"/>
              <w:right w:val="single" w:sz="4" w:space="0" w:color="FFC000"/>
            </w:tcBorders>
          </w:tcPr>
          <w:p>
            <w:pPr/>
          </w:p>
        </w:tc>
        <w:tc>
          <w:tcPr>
            <w:tcW w:w="994" w:type="dxa"/>
            <w:vMerge/>
            <w:tcBorders>
              <w:left w:val="single" w:sz="4" w:space="0" w:color="FFC000"/>
              <w:bottom w:val="single" w:sz="4" w:space="0" w:color="FFC000"/>
              <w:right w:val="single" w:sz="4" w:space="0" w:color="FFC000"/>
            </w:tcBorders>
          </w:tcPr>
          <w:p>
            <w:pPr/>
          </w:p>
        </w:tc>
        <w:tc>
          <w:tcPr>
            <w:tcW w:w="1135" w:type="dxa"/>
            <w:vMerge/>
            <w:tcBorders>
              <w:left w:val="single" w:sz="4" w:space="0" w:color="FFC000"/>
              <w:bottom w:val="single" w:sz="4" w:space="0" w:color="FFC000"/>
              <w:right w:val="single" w:sz="4" w:space="0" w:color="FFC000"/>
            </w:tcBorders>
          </w:tcPr>
          <w:p>
            <w:pPr/>
          </w:p>
        </w:tc>
      </w:tr>
      <w:tr>
        <w:trPr>
          <w:trHeight w:val="205" w:hRule="exact"/>
        </w:trPr>
        <w:tc>
          <w:tcPr>
            <w:tcW w:w="2429" w:type="dxa"/>
            <w:tcBorders>
              <w:top w:val="single" w:sz="4" w:space="0" w:color="FFC000"/>
              <w:left w:val="single" w:sz="4" w:space="0" w:color="FFC000"/>
              <w:bottom w:val="nil" w:sz="6" w:space="0" w:color="auto"/>
              <w:right w:val="single" w:sz="4" w:space="0" w:color="FFC000"/>
            </w:tcBorders>
            <w:shd w:val="clear" w:color="auto" w:fill="FFF8E6"/>
          </w:tcPr>
          <w:p>
            <w:pPr/>
          </w:p>
        </w:tc>
        <w:tc>
          <w:tcPr>
            <w:tcW w:w="852" w:type="dxa"/>
            <w:vMerge w:val="restart"/>
            <w:tcBorders>
              <w:top w:val="single" w:sz="4" w:space="0" w:color="FFC000"/>
              <w:left w:val="single" w:sz="9" w:space="0" w:color="FFF8E6"/>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23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货款</w:t>
            </w:r>
          </w:p>
        </w:tc>
        <w:tc>
          <w:tcPr>
            <w:tcW w:w="1418" w:type="dxa"/>
            <w:vMerge w:val="restart"/>
            <w:tcBorders>
              <w:top w:val="single" w:sz="4" w:space="0" w:color="FFC000"/>
              <w:left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237" w:right="0"/>
              <w:jc w:val="left"/>
              <w:rPr>
                <w:rFonts w:ascii="华文细黑" w:hAnsi="华文细黑" w:cs="华文细黑" w:eastAsia="华文细黑" w:hint="default"/>
                <w:sz w:val="18"/>
                <w:szCs w:val="18"/>
              </w:rPr>
            </w:pPr>
            <w:r>
              <w:rPr>
                <w:rFonts w:ascii="华文细黑"/>
                <w:sz w:val="18"/>
              </w:rPr>
              <w:t>10,238,000.00</w:t>
            </w:r>
          </w:p>
        </w:tc>
        <w:tc>
          <w:tcPr>
            <w:tcW w:w="2268" w:type="dxa"/>
            <w:vMerge w:val="restart"/>
            <w:tcBorders>
              <w:top w:val="single" w:sz="4" w:space="0" w:color="FFC000"/>
              <w:left w:val="single" w:sz="4" w:space="0" w:color="FFC000"/>
              <w:right w:val="single" w:sz="4" w:space="0" w:color="FFC000"/>
            </w:tcBorders>
          </w:tcPr>
          <w:p>
            <w:pPr>
              <w:pStyle w:val="TableParagraph"/>
              <w:spacing w:line="379" w:lineRule="auto" w:before="143"/>
              <w:ind w:left="23" w:right="7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法院裁定执行终结，目前未 收到任何执行回款。</w:t>
            </w:r>
          </w:p>
        </w:tc>
        <w:tc>
          <w:tcPr>
            <w:tcW w:w="994" w:type="dxa"/>
            <w:vMerge w:val="restart"/>
            <w:tcBorders>
              <w:top w:val="single" w:sz="4" w:space="0" w:color="FFC000"/>
              <w:left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4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董事会审批</w:t>
            </w:r>
          </w:p>
        </w:tc>
        <w:tc>
          <w:tcPr>
            <w:tcW w:w="1135" w:type="dxa"/>
            <w:vMerge w:val="restart"/>
            <w:tcBorders>
              <w:top w:val="single" w:sz="4" w:space="0" w:color="FFC000"/>
              <w:left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80" w:hRule="exact"/>
        </w:trPr>
        <w:tc>
          <w:tcPr>
            <w:tcW w:w="2429"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客户</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B</w:t>
            </w:r>
          </w:p>
        </w:tc>
        <w:tc>
          <w:tcPr>
            <w:tcW w:w="852" w:type="dxa"/>
            <w:vMerge/>
            <w:tcBorders>
              <w:left w:val="single" w:sz="9" w:space="0" w:color="FFF8E6"/>
              <w:right w:val="single" w:sz="4" w:space="0" w:color="FFC000"/>
            </w:tcBorders>
          </w:tcPr>
          <w:p>
            <w:pPr/>
          </w:p>
        </w:tc>
        <w:tc>
          <w:tcPr>
            <w:tcW w:w="1418" w:type="dxa"/>
            <w:vMerge/>
            <w:tcBorders>
              <w:left w:val="single" w:sz="4" w:space="0" w:color="FFC000"/>
              <w:right w:val="single" w:sz="4" w:space="0" w:color="FFC000"/>
            </w:tcBorders>
          </w:tcPr>
          <w:p>
            <w:pPr/>
          </w:p>
        </w:tc>
        <w:tc>
          <w:tcPr>
            <w:tcW w:w="2268" w:type="dxa"/>
            <w:vMerge/>
            <w:tcBorders>
              <w:left w:val="single" w:sz="4" w:space="0" w:color="FFC000"/>
              <w:right w:val="single" w:sz="4" w:space="0" w:color="FFC000"/>
            </w:tcBorders>
          </w:tcPr>
          <w:p>
            <w:pPr/>
          </w:p>
        </w:tc>
        <w:tc>
          <w:tcPr>
            <w:tcW w:w="994" w:type="dxa"/>
            <w:vMerge/>
            <w:tcBorders>
              <w:left w:val="single" w:sz="4" w:space="0" w:color="FFC000"/>
              <w:right w:val="single" w:sz="4" w:space="0" w:color="FFC000"/>
            </w:tcBorders>
          </w:tcPr>
          <w:p>
            <w:pPr/>
          </w:p>
        </w:tc>
        <w:tc>
          <w:tcPr>
            <w:tcW w:w="1135" w:type="dxa"/>
            <w:vMerge/>
            <w:tcBorders>
              <w:left w:val="single" w:sz="4" w:space="0" w:color="FFC000"/>
              <w:right w:val="single" w:sz="4" w:space="0" w:color="FFC000"/>
            </w:tcBorders>
          </w:tcPr>
          <w:p>
            <w:pPr/>
          </w:p>
        </w:tc>
      </w:tr>
      <w:tr>
        <w:trPr>
          <w:trHeight w:val="204" w:hRule="exact"/>
        </w:trPr>
        <w:tc>
          <w:tcPr>
            <w:tcW w:w="2429" w:type="dxa"/>
            <w:tcBorders>
              <w:top w:val="nil" w:sz="6" w:space="0" w:color="auto"/>
              <w:left w:val="single" w:sz="4" w:space="0" w:color="FFC000"/>
              <w:bottom w:val="single" w:sz="4" w:space="0" w:color="FFC000"/>
              <w:right w:val="single" w:sz="4" w:space="0" w:color="FFC000"/>
            </w:tcBorders>
            <w:shd w:val="clear" w:color="auto" w:fill="FFF8E6"/>
          </w:tcPr>
          <w:p>
            <w:pPr/>
          </w:p>
        </w:tc>
        <w:tc>
          <w:tcPr>
            <w:tcW w:w="852" w:type="dxa"/>
            <w:vMerge/>
            <w:tcBorders>
              <w:left w:val="single" w:sz="9" w:space="0" w:color="FFF8E6"/>
              <w:bottom w:val="single" w:sz="4" w:space="0" w:color="FFC000"/>
              <w:right w:val="single" w:sz="4" w:space="0" w:color="FFC000"/>
            </w:tcBorders>
          </w:tcPr>
          <w:p>
            <w:pPr/>
          </w:p>
        </w:tc>
        <w:tc>
          <w:tcPr>
            <w:tcW w:w="1418" w:type="dxa"/>
            <w:vMerge/>
            <w:tcBorders>
              <w:left w:val="single" w:sz="4" w:space="0" w:color="FFC000"/>
              <w:bottom w:val="single" w:sz="4" w:space="0" w:color="FFC000"/>
              <w:right w:val="single" w:sz="4" w:space="0" w:color="FFC000"/>
            </w:tcBorders>
          </w:tcPr>
          <w:p>
            <w:pPr/>
          </w:p>
        </w:tc>
        <w:tc>
          <w:tcPr>
            <w:tcW w:w="2268" w:type="dxa"/>
            <w:vMerge/>
            <w:tcBorders>
              <w:left w:val="single" w:sz="4" w:space="0" w:color="FFC000"/>
              <w:bottom w:val="single" w:sz="4" w:space="0" w:color="FFC000"/>
              <w:right w:val="single" w:sz="4" w:space="0" w:color="FFC000"/>
            </w:tcBorders>
          </w:tcPr>
          <w:p>
            <w:pPr/>
          </w:p>
        </w:tc>
        <w:tc>
          <w:tcPr>
            <w:tcW w:w="994" w:type="dxa"/>
            <w:vMerge/>
            <w:tcBorders>
              <w:left w:val="single" w:sz="4" w:space="0" w:color="FFC000"/>
              <w:bottom w:val="single" w:sz="4" w:space="0" w:color="FFC000"/>
              <w:right w:val="single" w:sz="4" w:space="0" w:color="FFC000"/>
            </w:tcBorders>
          </w:tcPr>
          <w:p>
            <w:pPr/>
          </w:p>
        </w:tc>
        <w:tc>
          <w:tcPr>
            <w:tcW w:w="1135" w:type="dxa"/>
            <w:vMerge/>
            <w:tcBorders>
              <w:left w:val="single" w:sz="4" w:space="0" w:color="FFC000"/>
              <w:bottom w:val="single" w:sz="4" w:space="0" w:color="FFC000"/>
              <w:right w:val="single" w:sz="4" w:space="0" w:color="FFC000"/>
            </w:tcBorders>
          </w:tcPr>
          <w:p>
            <w:pPr/>
          </w:p>
        </w:tc>
      </w:tr>
      <w:tr>
        <w:trPr>
          <w:trHeight w:val="205" w:hRule="exact"/>
        </w:trPr>
        <w:tc>
          <w:tcPr>
            <w:tcW w:w="2429" w:type="dxa"/>
            <w:tcBorders>
              <w:top w:val="single" w:sz="4" w:space="0" w:color="FFC000"/>
              <w:left w:val="single" w:sz="4" w:space="0" w:color="FFC000"/>
              <w:bottom w:val="nil" w:sz="6" w:space="0" w:color="auto"/>
              <w:right w:val="single" w:sz="4" w:space="0" w:color="FFC000"/>
            </w:tcBorders>
            <w:shd w:val="clear" w:color="auto" w:fill="FFF8E6"/>
          </w:tcPr>
          <w:p>
            <w:pPr/>
          </w:p>
        </w:tc>
        <w:tc>
          <w:tcPr>
            <w:tcW w:w="852" w:type="dxa"/>
            <w:vMerge w:val="restart"/>
            <w:tcBorders>
              <w:top w:val="single" w:sz="4" w:space="0" w:color="FFC000"/>
              <w:left w:val="single" w:sz="9" w:space="0" w:color="FFF8E6"/>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23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货款</w:t>
            </w:r>
          </w:p>
        </w:tc>
        <w:tc>
          <w:tcPr>
            <w:tcW w:w="1418" w:type="dxa"/>
            <w:vMerge w:val="restart"/>
            <w:tcBorders>
              <w:top w:val="single" w:sz="4" w:space="0" w:color="FFC000"/>
              <w:left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337" w:right="0"/>
              <w:jc w:val="left"/>
              <w:rPr>
                <w:rFonts w:ascii="华文细黑" w:hAnsi="华文细黑" w:cs="华文细黑" w:eastAsia="华文细黑" w:hint="default"/>
                <w:sz w:val="18"/>
                <w:szCs w:val="18"/>
              </w:rPr>
            </w:pPr>
            <w:r>
              <w:rPr>
                <w:rFonts w:ascii="华文细黑"/>
                <w:sz w:val="18"/>
              </w:rPr>
              <w:t>9,464,890.50</w:t>
            </w:r>
          </w:p>
        </w:tc>
        <w:tc>
          <w:tcPr>
            <w:tcW w:w="2268" w:type="dxa"/>
            <w:vMerge w:val="restart"/>
            <w:tcBorders>
              <w:top w:val="single" w:sz="4" w:space="0" w:color="FFC000"/>
              <w:left w:val="single" w:sz="4" w:space="0" w:color="FFC000"/>
              <w:right w:val="single" w:sz="4" w:space="0" w:color="FFC000"/>
            </w:tcBorders>
          </w:tcPr>
          <w:p>
            <w:pPr>
              <w:pStyle w:val="TableParagraph"/>
              <w:spacing w:line="376" w:lineRule="auto" w:before="144"/>
              <w:ind w:left="23" w:right="7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法院裁定执行终结，目前未 收到任何执行回款。</w:t>
            </w:r>
          </w:p>
        </w:tc>
        <w:tc>
          <w:tcPr>
            <w:tcW w:w="994" w:type="dxa"/>
            <w:vMerge w:val="restart"/>
            <w:tcBorders>
              <w:top w:val="single" w:sz="4" w:space="0" w:color="FFC000"/>
              <w:left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4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董事会审批</w:t>
            </w:r>
          </w:p>
        </w:tc>
        <w:tc>
          <w:tcPr>
            <w:tcW w:w="1135" w:type="dxa"/>
            <w:vMerge w:val="restart"/>
            <w:tcBorders>
              <w:top w:val="single" w:sz="4" w:space="0" w:color="FFC000"/>
              <w:left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80" w:hRule="exact"/>
        </w:trPr>
        <w:tc>
          <w:tcPr>
            <w:tcW w:w="2429"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客户</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C</w:t>
            </w:r>
          </w:p>
        </w:tc>
        <w:tc>
          <w:tcPr>
            <w:tcW w:w="852" w:type="dxa"/>
            <w:vMerge/>
            <w:tcBorders>
              <w:left w:val="single" w:sz="9" w:space="0" w:color="FFF8E6"/>
              <w:right w:val="single" w:sz="4" w:space="0" w:color="FFC000"/>
            </w:tcBorders>
          </w:tcPr>
          <w:p>
            <w:pPr/>
          </w:p>
        </w:tc>
        <w:tc>
          <w:tcPr>
            <w:tcW w:w="1418" w:type="dxa"/>
            <w:vMerge/>
            <w:tcBorders>
              <w:left w:val="single" w:sz="4" w:space="0" w:color="FFC000"/>
              <w:right w:val="single" w:sz="4" w:space="0" w:color="FFC000"/>
            </w:tcBorders>
          </w:tcPr>
          <w:p>
            <w:pPr/>
          </w:p>
        </w:tc>
        <w:tc>
          <w:tcPr>
            <w:tcW w:w="2268" w:type="dxa"/>
            <w:vMerge/>
            <w:tcBorders>
              <w:left w:val="single" w:sz="4" w:space="0" w:color="FFC000"/>
              <w:right w:val="single" w:sz="4" w:space="0" w:color="FFC000"/>
            </w:tcBorders>
          </w:tcPr>
          <w:p>
            <w:pPr/>
          </w:p>
        </w:tc>
        <w:tc>
          <w:tcPr>
            <w:tcW w:w="994" w:type="dxa"/>
            <w:vMerge/>
            <w:tcBorders>
              <w:left w:val="single" w:sz="4" w:space="0" w:color="FFC000"/>
              <w:right w:val="single" w:sz="4" w:space="0" w:color="FFC000"/>
            </w:tcBorders>
          </w:tcPr>
          <w:p>
            <w:pPr/>
          </w:p>
        </w:tc>
        <w:tc>
          <w:tcPr>
            <w:tcW w:w="1135" w:type="dxa"/>
            <w:vMerge/>
            <w:tcBorders>
              <w:left w:val="single" w:sz="4" w:space="0" w:color="FFC000"/>
              <w:right w:val="single" w:sz="4" w:space="0" w:color="FFC000"/>
            </w:tcBorders>
          </w:tcPr>
          <w:p>
            <w:pPr/>
          </w:p>
        </w:tc>
      </w:tr>
      <w:tr>
        <w:trPr>
          <w:trHeight w:val="205" w:hRule="exact"/>
        </w:trPr>
        <w:tc>
          <w:tcPr>
            <w:tcW w:w="2429" w:type="dxa"/>
            <w:tcBorders>
              <w:top w:val="nil" w:sz="6" w:space="0" w:color="auto"/>
              <w:left w:val="single" w:sz="4" w:space="0" w:color="FFC000"/>
              <w:bottom w:val="single" w:sz="4" w:space="0" w:color="FFC000"/>
              <w:right w:val="single" w:sz="4" w:space="0" w:color="FFC000"/>
            </w:tcBorders>
            <w:shd w:val="clear" w:color="auto" w:fill="FFF8E6"/>
          </w:tcPr>
          <w:p>
            <w:pPr/>
          </w:p>
        </w:tc>
        <w:tc>
          <w:tcPr>
            <w:tcW w:w="852" w:type="dxa"/>
            <w:vMerge/>
            <w:tcBorders>
              <w:left w:val="single" w:sz="9" w:space="0" w:color="FFF8E6"/>
              <w:bottom w:val="single" w:sz="4" w:space="0" w:color="FFC000"/>
              <w:right w:val="single" w:sz="4" w:space="0" w:color="FFC000"/>
            </w:tcBorders>
          </w:tcPr>
          <w:p>
            <w:pPr/>
          </w:p>
        </w:tc>
        <w:tc>
          <w:tcPr>
            <w:tcW w:w="1418" w:type="dxa"/>
            <w:vMerge/>
            <w:tcBorders>
              <w:left w:val="single" w:sz="4" w:space="0" w:color="FFC000"/>
              <w:bottom w:val="single" w:sz="4" w:space="0" w:color="FFC000"/>
              <w:right w:val="single" w:sz="4" w:space="0" w:color="FFC000"/>
            </w:tcBorders>
          </w:tcPr>
          <w:p>
            <w:pPr/>
          </w:p>
        </w:tc>
        <w:tc>
          <w:tcPr>
            <w:tcW w:w="2268" w:type="dxa"/>
            <w:vMerge/>
            <w:tcBorders>
              <w:left w:val="single" w:sz="4" w:space="0" w:color="FFC000"/>
              <w:bottom w:val="single" w:sz="4" w:space="0" w:color="FFC000"/>
              <w:right w:val="single" w:sz="4" w:space="0" w:color="FFC000"/>
            </w:tcBorders>
          </w:tcPr>
          <w:p>
            <w:pPr/>
          </w:p>
        </w:tc>
        <w:tc>
          <w:tcPr>
            <w:tcW w:w="994" w:type="dxa"/>
            <w:vMerge/>
            <w:tcBorders>
              <w:left w:val="single" w:sz="4" w:space="0" w:color="FFC000"/>
              <w:bottom w:val="single" w:sz="4" w:space="0" w:color="FFC000"/>
              <w:right w:val="single" w:sz="4" w:space="0" w:color="FFC000"/>
            </w:tcBorders>
          </w:tcPr>
          <w:p>
            <w:pPr/>
          </w:p>
        </w:tc>
        <w:tc>
          <w:tcPr>
            <w:tcW w:w="1135" w:type="dxa"/>
            <w:vMerge/>
            <w:tcBorders>
              <w:left w:val="single" w:sz="4" w:space="0" w:color="FFC000"/>
              <w:bottom w:val="single" w:sz="4" w:space="0" w:color="FFC000"/>
              <w:right w:val="single" w:sz="4" w:space="0" w:color="FFC000"/>
            </w:tcBorders>
          </w:tcPr>
          <w:p>
            <w:pPr/>
          </w:p>
        </w:tc>
      </w:tr>
      <w:tr>
        <w:trPr>
          <w:trHeight w:val="491" w:hRule="exact"/>
        </w:trPr>
        <w:tc>
          <w:tcPr>
            <w:tcW w:w="242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852" w:type="dxa"/>
            <w:tcBorders>
              <w:top w:val="single" w:sz="4" w:space="0" w:color="FFC000"/>
              <w:left w:val="single" w:sz="13" w:space="0" w:color="FFF8E6"/>
              <w:bottom w:val="single" w:sz="4" w:space="0" w:color="FFC000"/>
              <w:right w:val="single" w:sz="4" w:space="0" w:color="FFC000"/>
            </w:tcBorders>
          </w:tcPr>
          <w:p>
            <w:pP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left="235" w:right="0"/>
              <w:jc w:val="left"/>
              <w:rPr>
                <w:rFonts w:ascii="华文细黑" w:hAnsi="华文细黑" w:cs="华文细黑" w:eastAsia="华文细黑" w:hint="default"/>
                <w:sz w:val="18"/>
                <w:szCs w:val="18"/>
              </w:rPr>
            </w:pPr>
            <w:r>
              <w:rPr>
                <w:rFonts w:ascii="华文细黑"/>
                <w:b/>
                <w:sz w:val="18"/>
              </w:rPr>
              <w:t>31,302,564.22</w:t>
            </w:r>
            <w:r>
              <w:rPr>
                <w:rFonts w:ascii="华文细黑"/>
                <w:sz w:val="18"/>
              </w:rPr>
            </w:r>
          </w:p>
        </w:tc>
        <w:tc>
          <w:tcPr>
            <w:tcW w:w="2268" w:type="dxa"/>
            <w:tcBorders>
              <w:top w:val="single" w:sz="4" w:space="0" w:color="FFC000"/>
              <w:left w:val="single" w:sz="4" w:space="0" w:color="FFC000"/>
              <w:bottom w:val="single" w:sz="4" w:space="0" w:color="FFC000"/>
              <w:right w:val="single" w:sz="4" w:space="0" w:color="FFC000"/>
            </w:tcBorders>
          </w:tcPr>
          <w:p>
            <w:pPr/>
          </w:p>
        </w:tc>
        <w:tc>
          <w:tcPr>
            <w:tcW w:w="994" w:type="dxa"/>
            <w:tcBorders>
              <w:top w:val="single" w:sz="4" w:space="0" w:color="FFC000"/>
              <w:left w:val="single" w:sz="4" w:space="0" w:color="FFC000"/>
              <w:bottom w:val="single" w:sz="4" w:space="0" w:color="FFC000"/>
              <w:right w:val="single" w:sz="4" w:space="0" w:color="FFC000"/>
            </w:tcBorders>
          </w:tcPr>
          <w:p>
            <w:pPr/>
          </w:p>
        </w:tc>
        <w:tc>
          <w:tcPr>
            <w:tcW w:w="1135" w:type="dxa"/>
            <w:tcBorders>
              <w:top w:val="single" w:sz="4" w:space="0" w:color="FFC000"/>
              <w:left w:val="single" w:sz="4" w:space="0" w:color="FFC000"/>
              <w:bottom w:val="single" w:sz="4" w:space="0" w:color="FFC000"/>
              <w:right w:val="single" w:sz="4" w:space="0" w:color="FFC000"/>
            </w:tcBorders>
          </w:tcPr>
          <w:p>
            <w:pPr/>
          </w:p>
        </w:tc>
      </w:tr>
    </w:tbl>
    <w:p>
      <w:pPr>
        <w:spacing w:line="240" w:lineRule="auto" w:before="14"/>
        <w:rPr>
          <w:rFonts w:ascii="华文细黑" w:hAnsi="华文细黑" w:cs="华文细黑" w:eastAsia="华文细黑" w:hint="default"/>
          <w:sz w:val="6"/>
          <w:szCs w:val="6"/>
        </w:rPr>
      </w:pPr>
    </w:p>
    <w:p>
      <w:pPr>
        <w:pStyle w:val="BodyText"/>
        <w:spacing w:line="355" w:lineRule="auto" w:before="10"/>
        <w:ind w:left="560" w:right="1421"/>
        <w:jc w:val="left"/>
      </w:pPr>
      <w:r>
        <w:rPr/>
        <w:t>④按欠款方归集的年末余额前五名的应收账款情况 本公司本年按欠款方归集的年末余额前五名应收账款汇总金额 </w:t>
      </w:r>
      <w:r>
        <w:rPr>
          <w:rFonts w:ascii="华文细黑" w:hAnsi="华文细黑" w:cs="华文细黑" w:eastAsia="华文细黑" w:hint="default"/>
          <w:spacing w:val="-1"/>
        </w:rPr>
        <w:t>908,236,071.86</w:t>
      </w:r>
      <w:r>
        <w:rPr>
          <w:rFonts w:ascii="华文细黑" w:hAnsi="华文细黑" w:cs="华文细黑" w:eastAsia="华文细黑" w:hint="default"/>
          <w:spacing w:val="18"/>
        </w:rPr>
        <w:t> </w:t>
      </w:r>
      <w:r>
        <w:rPr>
          <w:spacing w:val="-14"/>
        </w:rPr>
        <w:t>元，占应收账款</w:t>
      </w:r>
    </w:p>
    <w:p>
      <w:pPr>
        <w:pStyle w:val="BodyText"/>
        <w:spacing w:line="291" w:lineRule="exact"/>
        <w:ind w:right="1246"/>
        <w:jc w:val="left"/>
      </w:pPr>
      <w:r>
        <w:rPr/>
        <w:t>年末余额合计数的比例 </w:t>
      </w:r>
      <w:r>
        <w:rPr>
          <w:rFonts w:ascii="华文细黑" w:hAnsi="华文细黑" w:cs="华文细黑" w:eastAsia="华文细黑" w:hint="default"/>
        </w:rPr>
        <w:t>81.54%</w:t>
      </w:r>
      <w:r>
        <w:rPr/>
        <w:t>，相应计提的坏账准备年末余额汇总金额 </w:t>
      </w:r>
      <w:r>
        <w:rPr>
          <w:rFonts w:ascii="华文细黑" w:hAnsi="华文细黑" w:cs="华文细黑" w:eastAsia="华文细黑" w:hint="default"/>
        </w:rPr>
        <w:t>2,385,732.78 </w:t>
      </w:r>
      <w:r>
        <w:rPr/>
        <w:t>元。</w:t>
      </w:r>
    </w:p>
    <w:p>
      <w:pPr>
        <w:pStyle w:val="BodyText"/>
        <w:spacing w:line="240" w:lineRule="auto" w:before="144"/>
        <w:ind w:left="560" w:right="1246"/>
        <w:jc w:val="left"/>
      </w:pPr>
      <w:r>
        <w:rPr/>
        <w:t>⑤因金融资产转移而终止确认的应收账款</w:t>
      </w:r>
    </w:p>
    <w:p>
      <w:pPr>
        <w:spacing w:line="240" w:lineRule="auto" w:before="9"/>
        <w:rPr>
          <w:rFonts w:ascii="华文细黑" w:hAnsi="华文细黑" w:cs="华文细黑" w:eastAsia="华文细黑" w:hint="default"/>
          <w:sz w:val="5"/>
          <w:szCs w:val="5"/>
        </w:rPr>
      </w:pPr>
    </w:p>
    <w:tbl>
      <w:tblPr>
        <w:tblW w:w="0" w:type="auto"/>
        <w:jc w:val="left"/>
        <w:tblInd w:w="231" w:type="dxa"/>
        <w:tblLayout w:type="fixed"/>
        <w:tblCellMar>
          <w:top w:w="0" w:type="dxa"/>
          <w:left w:w="0" w:type="dxa"/>
          <w:bottom w:w="0" w:type="dxa"/>
          <w:right w:w="0" w:type="dxa"/>
        </w:tblCellMar>
        <w:tblLook w:val="01E0"/>
      </w:tblPr>
      <w:tblGrid>
        <w:gridCol w:w="2576"/>
        <w:gridCol w:w="3141"/>
        <w:gridCol w:w="3119"/>
      </w:tblGrid>
      <w:tr>
        <w:trPr>
          <w:trHeight w:val="497" w:hRule="exact"/>
        </w:trPr>
        <w:tc>
          <w:tcPr>
            <w:tcW w:w="25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8"/>
              <w:ind w:left="56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金融资产转移方式</w:t>
            </w:r>
          </w:p>
        </w:tc>
        <w:tc>
          <w:tcPr>
            <w:tcW w:w="314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8"/>
              <w:ind w:left="57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终止确认的应收账款金额</w:t>
            </w:r>
          </w:p>
        </w:tc>
        <w:tc>
          <w:tcPr>
            <w:tcW w:w="311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8"/>
              <w:ind w:left="65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与终止确认相关的费用</w:t>
            </w:r>
          </w:p>
        </w:tc>
      </w:tr>
      <w:tr>
        <w:trPr>
          <w:trHeight w:val="494" w:hRule="exact"/>
        </w:trPr>
        <w:tc>
          <w:tcPr>
            <w:tcW w:w="25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9"/>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应收货款保理</w:t>
            </w:r>
          </w:p>
        </w:tc>
        <w:tc>
          <w:tcPr>
            <w:tcW w:w="31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99"/>
              <w:jc w:val="right"/>
              <w:rPr>
                <w:rFonts w:ascii="华文细黑" w:hAnsi="华文细黑" w:cs="华文细黑" w:eastAsia="华文细黑" w:hint="default"/>
                <w:sz w:val="18"/>
                <w:szCs w:val="18"/>
              </w:rPr>
            </w:pPr>
            <w:r>
              <w:rPr>
                <w:rFonts w:ascii="华文细黑"/>
                <w:sz w:val="18"/>
              </w:rPr>
              <w:t>942,003,120.30</w:t>
            </w:r>
          </w:p>
        </w:tc>
        <w:tc>
          <w:tcPr>
            <w:tcW w:w="31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9"/>
              <w:ind w:right="101"/>
              <w:jc w:val="right"/>
              <w:rPr>
                <w:rFonts w:ascii="华文细黑" w:hAnsi="华文细黑" w:cs="华文细黑" w:eastAsia="华文细黑" w:hint="default"/>
                <w:sz w:val="18"/>
                <w:szCs w:val="18"/>
              </w:rPr>
            </w:pPr>
            <w:r>
              <w:rPr>
                <w:rFonts w:ascii="华文细黑"/>
                <w:sz w:val="18"/>
              </w:rPr>
              <w:t>5,179,585.33</w:t>
            </w:r>
          </w:p>
        </w:tc>
      </w:tr>
      <w:tr>
        <w:trPr>
          <w:trHeight w:val="490" w:hRule="exact"/>
        </w:trPr>
        <w:tc>
          <w:tcPr>
            <w:tcW w:w="257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86"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5"/>
                <w:sz w:val="18"/>
                <w:szCs w:val="18"/>
              </w:rPr>
              <w:t> </w:t>
            </w:r>
            <w:r>
              <w:rPr>
                <w:rFonts w:ascii="华文细黑" w:hAnsi="华文细黑" w:cs="华文细黑" w:eastAsia="华文细黑" w:hint="default"/>
                <w:sz w:val="18"/>
                <w:szCs w:val="18"/>
              </w:rPr>
              <w:t>计</w:t>
            </w:r>
          </w:p>
        </w:tc>
        <w:tc>
          <w:tcPr>
            <w:tcW w:w="314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0"/>
              <w:jc w:val="right"/>
              <w:rPr>
                <w:rFonts w:ascii="华文细黑" w:hAnsi="华文细黑" w:cs="华文细黑" w:eastAsia="华文细黑" w:hint="default"/>
                <w:sz w:val="18"/>
                <w:szCs w:val="18"/>
              </w:rPr>
            </w:pPr>
            <w:r>
              <w:rPr>
                <w:rFonts w:ascii="华文细黑"/>
                <w:b/>
                <w:w w:val="95"/>
                <w:sz w:val="18"/>
              </w:rPr>
              <w:t>942,003,120.30</w:t>
            </w:r>
            <w:r>
              <w:rPr>
                <w:rFonts w:ascii="华文细黑"/>
                <w:sz w:val="18"/>
              </w:rPr>
            </w:r>
          </w:p>
        </w:tc>
        <w:tc>
          <w:tcPr>
            <w:tcW w:w="311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b/>
                <w:w w:val="95"/>
                <w:sz w:val="18"/>
              </w:rPr>
              <w:t>5,179,585.33</w:t>
            </w:r>
            <w:r>
              <w:rPr>
                <w:rFonts w:ascii="华文细黑"/>
                <w:sz w:val="18"/>
              </w:rPr>
            </w:r>
          </w:p>
        </w:tc>
      </w:tr>
    </w:tbl>
    <w:p>
      <w:pPr>
        <w:spacing w:line="240" w:lineRule="auto" w:before="12"/>
        <w:rPr>
          <w:rFonts w:ascii="华文细黑" w:hAnsi="华文细黑" w:cs="华文细黑" w:eastAsia="华文细黑" w:hint="default"/>
          <w:sz w:val="6"/>
          <w:szCs w:val="6"/>
        </w:rPr>
      </w:pPr>
    </w:p>
    <w:p>
      <w:pPr>
        <w:pStyle w:val="BodyText"/>
        <w:spacing w:line="324" w:lineRule="auto" w:before="10"/>
        <w:ind w:right="1246" w:firstLine="420"/>
        <w:jc w:val="left"/>
      </w:pPr>
      <w:r>
        <w:rPr>
          <w:spacing w:val="8"/>
        </w:rPr>
        <w:t>注：于 </w:t>
      </w:r>
      <w:r>
        <w:rPr>
          <w:rFonts w:ascii="华文细黑" w:hAnsi="华文细黑" w:cs="华文细黑" w:eastAsia="华文细黑" w:hint="default"/>
        </w:rPr>
        <w:t>2018</w:t>
      </w:r>
      <w:r>
        <w:rPr>
          <w:rFonts w:ascii="华文细黑" w:hAnsi="华文细黑" w:cs="华文细黑" w:eastAsia="华文细黑" w:hint="default"/>
          <w:spacing w:val="12"/>
        </w:rPr>
        <w:t> </w:t>
      </w:r>
      <w:r>
        <w:rPr>
          <w:spacing w:val="11"/>
        </w:rPr>
        <w:t>年，本公司向保理公司、金融机构等以不附追索权的方式转让了应收账款</w:t>
      </w:r>
      <w:r>
        <w:rPr/>
        <w:t> </w:t>
      </w:r>
      <w:r>
        <w:rPr>
          <w:rFonts w:ascii="华文细黑" w:hAnsi="华文细黑" w:cs="华文细黑" w:eastAsia="华文细黑" w:hint="default"/>
        </w:rPr>
        <w:t>942,003,120.30 </w:t>
      </w:r>
      <w:r>
        <w:rPr/>
        <w:t>元，发生的相关费用为 </w:t>
      </w:r>
      <w:r>
        <w:rPr>
          <w:rFonts w:ascii="华文细黑" w:hAnsi="华文细黑" w:cs="华文细黑" w:eastAsia="华文细黑" w:hint="default"/>
        </w:rPr>
        <w:t>5,179,585.33</w:t>
      </w:r>
      <w:r>
        <w:rPr>
          <w:rFonts w:ascii="华文细黑" w:hAnsi="华文细黑" w:cs="华文细黑" w:eastAsia="华文细黑" w:hint="default"/>
          <w:spacing w:val="-2"/>
        </w:rPr>
        <w:t> </w:t>
      </w:r>
      <w:r>
        <w:rPr/>
        <w:t>元。</w:t>
      </w:r>
    </w:p>
    <w:p>
      <w:pPr>
        <w:pStyle w:val="Heading5"/>
        <w:spacing w:line="240" w:lineRule="auto" w:before="64"/>
        <w:ind w:left="560" w:right="1246"/>
        <w:jc w:val="left"/>
        <w:rPr>
          <w:b w:val="0"/>
          <w:bCs w:val="0"/>
        </w:rPr>
      </w:pPr>
      <w:bookmarkStart w:name="2、其他应收款" w:id="358"/>
      <w:bookmarkEnd w:id="358"/>
      <w:r>
        <w:rPr>
          <w:b w:val="0"/>
          <w:bCs w:val="0"/>
        </w:rPr>
      </w:r>
      <w:r>
        <w:rPr>
          <w:rFonts w:ascii="华文细黑" w:hAnsi="华文细黑" w:cs="华文细黑" w:eastAsia="华文细黑" w:hint="default"/>
        </w:rPr>
        <w:t>2</w:t>
      </w:r>
      <w:r>
        <w:rPr/>
        <w:t>、其他应收款</w:t>
      </w:r>
      <w:r>
        <w:rPr>
          <w:b w:val="0"/>
          <w:bCs w:val="0"/>
        </w:rPr>
      </w:r>
    </w:p>
    <w:p>
      <w:pPr>
        <w:spacing w:line="240" w:lineRule="auto" w:before="9"/>
        <w:rPr>
          <w:rFonts w:ascii="华文细黑" w:hAnsi="华文细黑" w:cs="华文细黑" w:eastAsia="华文细黑" w:hint="default"/>
          <w:b/>
          <w:bCs/>
          <w:sz w:val="5"/>
          <w:szCs w:val="5"/>
        </w:rPr>
      </w:pPr>
    </w:p>
    <w:tbl>
      <w:tblPr>
        <w:tblW w:w="0" w:type="auto"/>
        <w:jc w:val="left"/>
        <w:tblInd w:w="217" w:type="dxa"/>
        <w:tblLayout w:type="fixed"/>
        <w:tblCellMar>
          <w:top w:w="0" w:type="dxa"/>
          <w:left w:w="0" w:type="dxa"/>
          <w:bottom w:w="0" w:type="dxa"/>
          <w:right w:w="0" w:type="dxa"/>
        </w:tblCellMar>
        <w:tblLook w:val="01E0"/>
      </w:tblPr>
      <w:tblGrid>
        <w:gridCol w:w="2600"/>
        <w:gridCol w:w="3111"/>
        <w:gridCol w:w="3150"/>
      </w:tblGrid>
      <w:tr>
        <w:trPr>
          <w:trHeight w:val="497" w:hRule="exact"/>
        </w:trPr>
        <w:tc>
          <w:tcPr>
            <w:tcW w:w="260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8"/>
              <w:ind w:right="979"/>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31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8"/>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315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8"/>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3" w:hRule="exact"/>
        </w:trPr>
        <w:tc>
          <w:tcPr>
            <w:tcW w:w="260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应收利息</w:t>
            </w:r>
          </w:p>
        </w:tc>
        <w:tc>
          <w:tcPr>
            <w:tcW w:w="31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8"/>
              <w:ind w:right="101"/>
              <w:jc w:val="right"/>
              <w:rPr>
                <w:rFonts w:ascii="华文细黑" w:hAnsi="华文细黑" w:cs="华文细黑" w:eastAsia="华文细黑" w:hint="default"/>
                <w:sz w:val="18"/>
                <w:szCs w:val="18"/>
              </w:rPr>
            </w:pPr>
            <w:r>
              <w:rPr>
                <w:rFonts w:ascii="华文细黑"/>
                <w:sz w:val="18"/>
              </w:rPr>
              <w:t>8,228,726.67</w:t>
            </w:r>
          </w:p>
        </w:tc>
        <w:tc>
          <w:tcPr>
            <w:tcW w:w="31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8"/>
              <w:ind w:right="101"/>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260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6"/>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其他应收款</w:t>
            </w:r>
          </w:p>
        </w:tc>
        <w:tc>
          <w:tcPr>
            <w:tcW w:w="31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101"/>
              <w:jc w:val="right"/>
              <w:rPr>
                <w:rFonts w:ascii="华文细黑" w:hAnsi="华文细黑" w:cs="华文细黑" w:eastAsia="华文细黑" w:hint="default"/>
                <w:sz w:val="18"/>
                <w:szCs w:val="18"/>
              </w:rPr>
            </w:pPr>
            <w:r>
              <w:rPr>
                <w:rFonts w:ascii="华文细黑"/>
                <w:sz w:val="18"/>
              </w:rPr>
              <w:t>975,019,459.00</w:t>
            </w:r>
          </w:p>
        </w:tc>
        <w:tc>
          <w:tcPr>
            <w:tcW w:w="31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101"/>
              <w:jc w:val="right"/>
              <w:rPr>
                <w:rFonts w:ascii="华文细黑" w:hAnsi="华文细黑" w:cs="华文细黑" w:eastAsia="华文细黑" w:hint="default"/>
                <w:sz w:val="18"/>
                <w:szCs w:val="18"/>
              </w:rPr>
            </w:pPr>
            <w:r>
              <w:rPr>
                <w:rFonts w:ascii="华文细黑"/>
                <w:sz w:val="18"/>
              </w:rPr>
              <w:t>1,374,918,537.20</w:t>
            </w:r>
          </w:p>
        </w:tc>
      </w:tr>
      <w:tr>
        <w:trPr>
          <w:trHeight w:val="490" w:hRule="exact"/>
        </w:trPr>
        <w:tc>
          <w:tcPr>
            <w:tcW w:w="260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979"/>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31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b/>
                <w:w w:val="95"/>
                <w:sz w:val="18"/>
              </w:rPr>
              <w:t>983,248,185.67</w:t>
            </w:r>
            <w:r>
              <w:rPr>
                <w:rFonts w:ascii="华文细黑"/>
                <w:sz w:val="18"/>
              </w:rPr>
            </w:r>
          </w:p>
        </w:tc>
        <w:tc>
          <w:tcPr>
            <w:tcW w:w="31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2"/>
              <w:jc w:val="right"/>
              <w:rPr>
                <w:rFonts w:ascii="华文细黑" w:hAnsi="华文细黑" w:cs="华文细黑" w:eastAsia="华文细黑" w:hint="default"/>
                <w:sz w:val="18"/>
                <w:szCs w:val="18"/>
              </w:rPr>
            </w:pPr>
            <w:r>
              <w:rPr>
                <w:rFonts w:ascii="华文细黑"/>
                <w:b/>
                <w:w w:val="95"/>
                <w:sz w:val="18"/>
              </w:rPr>
              <w:t>1,374,918,537.20</w:t>
            </w:r>
            <w:r>
              <w:rPr>
                <w:rFonts w:ascii="华文细黑"/>
                <w:sz w:val="18"/>
              </w:rPr>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300" w:right="0"/>
        </w:sectPr>
      </w:pPr>
    </w:p>
    <w:p>
      <w:pPr>
        <w:spacing w:line="240" w:lineRule="auto" w:before="9"/>
        <w:rPr>
          <w:rFonts w:ascii="华文细黑" w:hAnsi="华文细黑" w:cs="华文细黑" w:eastAsia="华文细黑" w:hint="default"/>
          <w:b/>
          <w:bCs/>
          <w:sz w:val="27"/>
          <w:szCs w:val="27"/>
        </w:rPr>
      </w:pPr>
    </w:p>
    <w:p>
      <w:pPr>
        <w:spacing w:before="10"/>
        <w:ind w:left="560" w:right="1246" w:firstLine="0"/>
        <w:jc w:val="left"/>
        <w:rPr>
          <w:rFonts w:ascii="华文细黑" w:hAnsi="华文细黑" w:cs="华文细黑" w:eastAsia="华文细黑" w:hint="default"/>
          <w:sz w:val="21"/>
          <w:szCs w:val="21"/>
        </w:rPr>
      </w:pPr>
      <w:bookmarkStart w:name="（1）应收利息" w:id="359"/>
      <w:bookmarkEnd w:id="359"/>
      <w:r>
        <w:rPr/>
      </w:r>
      <w:r>
        <w:rPr>
          <w:rFonts w:ascii="华文细黑" w:hAnsi="华文细黑" w:cs="华文细黑" w:eastAsia="华文细黑" w:hint="default"/>
          <w:b/>
          <w:bCs/>
          <w:sz w:val="21"/>
          <w:szCs w:val="21"/>
        </w:rPr>
        <w:t>（</w:t>
      </w:r>
      <w:r>
        <w:rPr>
          <w:rFonts w:ascii="华文细黑" w:hAnsi="华文细黑" w:cs="华文细黑" w:eastAsia="华文细黑" w:hint="default"/>
          <w:b/>
          <w:bCs/>
          <w:sz w:val="21"/>
          <w:szCs w:val="21"/>
        </w:rPr>
        <w:t>1</w:t>
      </w:r>
      <w:r>
        <w:rPr>
          <w:rFonts w:ascii="华文细黑" w:hAnsi="华文细黑" w:cs="华文细黑" w:eastAsia="华文细黑" w:hint="default"/>
          <w:b/>
          <w:bCs/>
          <w:sz w:val="21"/>
          <w:szCs w:val="21"/>
        </w:rPr>
        <w:t>）应收利息</w:t>
      </w:r>
      <w:r>
        <w:rPr>
          <w:rFonts w:ascii="华文细黑" w:hAnsi="华文细黑" w:cs="华文细黑" w:eastAsia="华文细黑" w:hint="default"/>
          <w:sz w:val="21"/>
          <w:szCs w:val="21"/>
        </w:rPr>
      </w:r>
    </w:p>
    <w:p>
      <w:pPr>
        <w:spacing w:line="240" w:lineRule="auto" w:before="9"/>
        <w:rPr>
          <w:rFonts w:ascii="华文细黑" w:hAnsi="华文细黑" w:cs="华文细黑" w:eastAsia="华文细黑" w:hint="default"/>
          <w:b/>
          <w:bCs/>
          <w:sz w:val="5"/>
          <w:szCs w:val="5"/>
        </w:rPr>
      </w:pPr>
    </w:p>
    <w:tbl>
      <w:tblPr>
        <w:tblW w:w="0" w:type="auto"/>
        <w:jc w:val="left"/>
        <w:tblInd w:w="231" w:type="dxa"/>
        <w:tblLayout w:type="fixed"/>
        <w:tblCellMar>
          <w:top w:w="0" w:type="dxa"/>
          <w:left w:w="0" w:type="dxa"/>
          <w:bottom w:w="0" w:type="dxa"/>
          <w:right w:w="0" w:type="dxa"/>
        </w:tblCellMar>
        <w:tblLook w:val="01E0"/>
      </w:tblPr>
      <w:tblGrid>
        <w:gridCol w:w="2574"/>
        <w:gridCol w:w="3111"/>
        <w:gridCol w:w="3150"/>
      </w:tblGrid>
      <w:tr>
        <w:trPr>
          <w:trHeight w:val="497" w:hRule="exact"/>
        </w:trPr>
        <w:tc>
          <w:tcPr>
            <w:tcW w:w="257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8"/>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31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8"/>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315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8"/>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494" w:hRule="exact"/>
        </w:trPr>
        <w:tc>
          <w:tcPr>
            <w:tcW w:w="257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8"/>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保证金利息</w:t>
            </w:r>
          </w:p>
        </w:tc>
        <w:tc>
          <w:tcPr>
            <w:tcW w:w="31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8"/>
              <w:ind w:right="101"/>
              <w:jc w:val="right"/>
              <w:rPr>
                <w:rFonts w:ascii="华文细黑" w:hAnsi="华文细黑" w:cs="华文细黑" w:eastAsia="华文细黑" w:hint="default"/>
                <w:sz w:val="18"/>
                <w:szCs w:val="18"/>
              </w:rPr>
            </w:pPr>
            <w:r>
              <w:rPr>
                <w:rFonts w:ascii="华文细黑"/>
                <w:sz w:val="18"/>
              </w:rPr>
              <w:t>3,781,466.40</w:t>
            </w:r>
          </w:p>
        </w:tc>
        <w:tc>
          <w:tcPr>
            <w:tcW w:w="31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8"/>
              <w:ind w:right="101"/>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257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结构性存款固定收益</w:t>
            </w:r>
          </w:p>
        </w:tc>
        <w:tc>
          <w:tcPr>
            <w:tcW w:w="31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4,447,260.27</w:t>
            </w:r>
          </w:p>
        </w:tc>
        <w:tc>
          <w:tcPr>
            <w:tcW w:w="31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01"/>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257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536" w:val="left" w:leader="none"/>
              </w:tabs>
              <w:spacing w:line="240" w:lineRule="auto" w:before="145"/>
              <w:ind w:left="86"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31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1"/>
              <w:jc w:val="right"/>
              <w:rPr>
                <w:rFonts w:ascii="华文细黑" w:hAnsi="华文细黑" w:cs="华文细黑" w:eastAsia="华文细黑" w:hint="default"/>
                <w:sz w:val="18"/>
                <w:szCs w:val="18"/>
              </w:rPr>
            </w:pPr>
            <w:r>
              <w:rPr>
                <w:rFonts w:ascii="华文细黑"/>
                <w:b/>
                <w:w w:val="95"/>
                <w:sz w:val="18"/>
              </w:rPr>
              <w:t>8,228,726.67</w:t>
            </w:r>
            <w:r>
              <w:rPr>
                <w:rFonts w:ascii="华文细黑"/>
                <w:sz w:val="18"/>
              </w:rPr>
            </w:r>
          </w:p>
        </w:tc>
        <w:tc>
          <w:tcPr>
            <w:tcW w:w="31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102"/>
              <w:jc w:val="right"/>
              <w:rPr>
                <w:rFonts w:ascii="华文细黑" w:hAnsi="华文细黑" w:cs="华文细黑" w:eastAsia="华文细黑" w:hint="default"/>
                <w:sz w:val="18"/>
                <w:szCs w:val="18"/>
              </w:rPr>
            </w:pPr>
            <w:r>
              <w:rPr>
                <w:rFonts w:ascii="华文细黑"/>
                <w:b/>
                <w:w w:val="95"/>
                <w:sz w:val="18"/>
              </w:rPr>
              <w:t>---</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spacing w:before="10"/>
        <w:ind w:left="560" w:right="1246" w:firstLine="0"/>
        <w:jc w:val="left"/>
        <w:rPr>
          <w:rFonts w:ascii="华文细黑" w:hAnsi="华文细黑" w:cs="华文细黑" w:eastAsia="华文细黑" w:hint="default"/>
          <w:sz w:val="21"/>
          <w:szCs w:val="21"/>
        </w:rPr>
      </w:pPr>
      <w:bookmarkStart w:name="（2）其他应收款" w:id="360"/>
      <w:bookmarkEnd w:id="360"/>
      <w:r>
        <w:rPr/>
      </w:r>
      <w:r>
        <w:rPr>
          <w:rFonts w:ascii="华文细黑" w:hAnsi="华文细黑" w:cs="华文细黑" w:eastAsia="华文细黑" w:hint="default"/>
          <w:b/>
          <w:bCs/>
          <w:sz w:val="21"/>
          <w:szCs w:val="21"/>
        </w:rPr>
        <w:t>（</w:t>
      </w: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）其他应收款</w:t>
      </w:r>
      <w:r>
        <w:rPr>
          <w:rFonts w:ascii="华文细黑" w:hAnsi="华文细黑" w:cs="华文细黑" w:eastAsia="华文细黑" w:hint="default"/>
          <w:sz w:val="21"/>
          <w:szCs w:val="21"/>
        </w:rPr>
      </w:r>
    </w:p>
    <w:p>
      <w:pPr>
        <w:pStyle w:val="BodyText"/>
        <w:spacing w:line="240" w:lineRule="auto" w:before="142"/>
        <w:ind w:left="560" w:right="1246"/>
        <w:jc w:val="left"/>
      </w:pPr>
      <w:r>
        <w:rPr/>
        <w:t>①其他应收款分类披露</w:t>
      </w:r>
    </w:p>
    <w:p>
      <w:pPr>
        <w:spacing w:line="240" w:lineRule="auto" w:before="6"/>
        <w:rPr>
          <w:rFonts w:ascii="华文细黑" w:hAnsi="华文细黑" w:cs="华文细黑" w:eastAsia="华文细黑" w:hint="default"/>
          <w:sz w:val="5"/>
          <w:szCs w:val="5"/>
        </w:rPr>
      </w:pPr>
    </w:p>
    <w:tbl>
      <w:tblPr>
        <w:tblW w:w="0" w:type="auto"/>
        <w:jc w:val="left"/>
        <w:tblInd w:w="217" w:type="dxa"/>
        <w:tblLayout w:type="fixed"/>
        <w:tblCellMar>
          <w:top w:w="0" w:type="dxa"/>
          <w:left w:w="0" w:type="dxa"/>
          <w:bottom w:w="0" w:type="dxa"/>
          <w:right w:w="0" w:type="dxa"/>
        </w:tblCellMar>
        <w:tblLook w:val="01E0"/>
      </w:tblPr>
      <w:tblGrid>
        <w:gridCol w:w="2433"/>
        <w:gridCol w:w="1608"/>
        <w:gridCol w:w="850"/>
        <w:gridCol w:w="1277"/>
        <w:gridCol w:w="850"/>
        <w:gridCol w:w="1843"/>
      </w:tblGrid>
      <w:tr>
        <w:trPr>
          <w:trHeight w:val="490" w:hRule="exact"/>
        </w:trPr>
        <w:tc>
          <w:tcPr>
            <w:tcW w:w="2433" w:type="dxa"/>
            <w:tcBorders>
              <w:top w:val="single" w:sz="4" w:space="0" w:color="FFC000"/>
              <w:left w:val="single" w:sz="4" w:space="0" w:color="FFC000"/>
              <w:bottom w:val="nil" w:sz="6" w:space="0" w:color="auto"/>
              <w:right w:val="single" w:sz="4" w:space="0" w:color="FFC000"/>
            </w:tcBorders>
            <w:shd w:val="clear" w:color="auto" w:fill="FFF8E6"/>
          </w:tcPr>
          <w:p>
            <w:pPr/>
          </w:p>
        </w:tc>
        <w:tc>
          <w:tcPr>
            <w:tcW w:w="6428" w:type="dxa"/>
            <w:gridSpan w:val="5"/>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490" w:hRule="exact"/>
        </w:trPr>
        <w:tc>
          <w:tcPr>
            <w:tcW w:w="2433" w:type="dxa"/>
            <w:tcBorders>
              <w:top w:val="nil" w:sz="6" w:space="0" w:color="auto"/>
              <w:left w:val="single" w:sz="4" w:space="0" w:color="FFC000"/>
              <w:bottom w:val="nil" w:sz="6" w:space="0" w:color="auto"/>
              <w:right w:val="single" w:sz="4" w:space="0" w:color="FFC000"/>
            </w:tcBorders>
            <w:shd w:val="clear" w:color="auto" w:fill="FFF8E6"/>
          </w:tcPr>
          <w:p>
            <w:pPr>
              <w:pStyle w:val="TableParagraph"/>
              <w:tabs>
                <w:tab w:pos="448" w:val="left" w:leader="none"/>
              </w:tabs>
              <w:spacing w:line="240" w:lineRule="auto" w:before="149"/>
              <w:ind w:right="89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类</w:t>
              <w:tab/>
              <w:t>别</w:t>
            </w:r>
          </w:p>
        </w:tc>
        <w:tc>
          <w:tcPr>
            <w:tcW w:w="2458"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2127" w:type="dxa"/>
            <w:gridSpan w:val="2"/>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69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w:t>
            </w:r>
          </w:p>
        </w:tc>
        <w:tc>
          <w:tcPr>
            <w:tcW w:w="184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5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账面价值</w:t>
            </w:r>
          </w:p>
        </w:tc>
      </w:tr>
      <w:tr>
        <w:trPr>
          <w:trHeight w:val="491" w:hRule="exact"/>
        </w:trPr>
        <w:tc>
          <w:tcPr>
            <w:tcW w:w="2433" w:type="dxa"/>
            <w:tcBorders>
              <w:top w:val="nil" w:sz="6" w:space="0" w:color="auto"/>
              <w:left w:val="single" w:sz="4" w:space="0" w:color="FFC000"/>
              <w:bottom w:val="single" w:sz="4" w:space="0" w:color="FFC000"/>
              <w:right w:val="single" w:sz="4" w:space="0" w:color="FFC000"/>
            </w:tcBorders>
            <w:shd w:val="clear" w:color="auto" w:fill="FFF8E6"/>
          </w:tcPr>
          <w:p>
            <w:pPr/>
          </w:p>
        </w:tc>
        <w:tc>
          <w:tcPr>
            <w:tcW w:w="160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85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43"/>
              <w:jc w:val="right"/>
              <w:rPr>
                <w:rFonts w:ascii="华文细黑" w:hAnsi="华文细黑" w:cs="华文细黑" w:eastAsia="华文细黑" w:hint="default"/>
                <w:sz w:val="18"/>
                <w:szCs w:val="18"/>
              </w:rPr>
            </w:pPr>
            <w:r>
              <w:rPr>
                <w:rFonts w:ascii="华文细黑" w:hAnsi="华文细黑" w:cs="华文细黑" w:eastAsia="华文细黑" w:hint="default"/>
                <w:spacing w:val="-1"/>
                <w:sz w:val="18"/>
                <w:szCs w:val="18"/>
              </w:rPr>
              <w:t>比例（</w:t>
            </w:r>
            <w:r>
              <w:rPr>
                <w:rFonts w:ascii="华文细黑" w:hAnsi="华文细黑" w:cs="华文细黑" w:eastAsia="华文细黑" w:hint="default"/>
                <w:spacing w:val="-1"/>
                <w:sz w:val="18"/>
                <w:szCs w:val="18"/>
              </w:rPr>
              <w:t>%</w:t>
            </w:r>
            <w:r>
              <w:rPr>
                <w:rFonts w:ascii="华文细黑" w:hAnsi="华文细黑" w:cs="华文细黑" w:eastAsia="华文细黑" w:hint="default"/>
                <w:spacing w:val="-1"/>
                <w:sz w:val="18"/>
                <w:szCs w:val="18"/>
              </w:rPr>
              <w:t>）</w:t>
            </w:r>
          </w:p>
        </w:tc>
        <w:tc>
          <w:tcPr>
            <w:tcW w:w="1277"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85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right="-43"/>
              <w:jc w:val="right"/>
              <w:rPr>
                <w:rFonts w:ascii="华文细黑" w:hAnsi="华文细黑" w:cs="华文细黑" w:eastAsia="华文细黑" w:hint="default"/>
                <w:sz w:val="18"/>
                <w:szCs w:val="18"/>
              </w:rPr>
            </w:pPr>
            <w:r>
              <w:rPr>
                <w:rFonts w:ascii="华文细黑" w:hAnsi="华文细黑" w:cs="华文细黑" w:eastAsia="华文细黑" w:hint="default"/>
                <w:spacing w:val="-1"/>
                <w:sz w:val="18"/>
                <w:szCs w:val="18"/>
              </w:rPr>
              <w:t>比例（</w:t>
            </w:r>
            <w:r>
              <w:rPr>
                <w:rFonts w:ascii="华文细黑" w:hAnsi="华文细黑" w:cs="华文细黑" w:eastAsia="华文细黑" w:hint="default"/>
                <w:spacing w:val="-1"/>
                <w:sz w:val="18"/>
                <w:szCs w:val="18"/>
              </w:rPr>
              <w:t>%</w:t>
            </w:r>
            <w:r>
              <w:rPr>
                <w:rFonts w:ascii="华文细黑" w:hAnsi="华文细黑" w:cs="华文细黑" w:eastAsia="华文细黑" w:hint="default"/>
                <w:spacing w:val="-1"/>
                <w:sz w:val="18"/>
                <w:szCs w:val="18"/>
              </w:rPr>
              <w:t>）</w:t>
            </w:r>
          </w:p>
        </w:tc>
        <w:tc>
          <w:tcPr>
            <w:tcW w:w="1843" w:type="dxa"/>
            <w:tcBorders>
              <w:top w:val="single" w:sz="4" w:space="0" w:color="FFC000"/>
              <w:left w:val="single" w:sz="4" w:space="0" w:color="FFC000"/>
              <w:bottom w:val="single" w:sz="4" w:space="0" w:color="FFC000"/>
              <w:right w:val="single" w:sz="4" w:space="0" w:color="FFC000"/>
            </w:tcBorders>
            <w:shd w:val="clear" w:color="auto" w:fill="FFF8E6"/>
          </w:tcPr>
          <w:p>
            <w:pPr/>
          </w:p>
        </w:tc>
      </w:tr>
      <w:tr>
        <w:trPr>
          <w:trHeight w:val="889" w:hRule="exact"/>
        </w:trPr>
        <w:tc>
          <w:tcPr>
            <w:tcW w:w="243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22" w:right="24"/>
              <w:jc w:val="left"/>
              <w:rPr>
                <w:rFonts w:ascii="华文细黑" w:hAnsi="华文细黑" w:cs="华文细黑" w:eastAsia="华文细黑" w:hint="default"/>
                <w:sz w:val="18"/>
                <w:szCs w:val="18"/>
              </w:rPr>
            </w:pPr>
            <w:r>
              <w:rPr>
                <w:rFonts w:ascii="华文细黑" w:hAnsi="华文细黑" w:cs="华文细黑" w:eastAsia="华文细黑" w:hint="default"/>
                <w:spacing w:val="2"/>
                <w:sz w:val="18"/>
                <w:szCs w:val="18"/>
              </w:rPr>
              <w:t>单项金额重大并单独计提坏账</w:t>
            </w:r>
            <w:r>
              <w:rPr>
                <w:rFonts w:ascii="华文细黑" w:hAnsi="华文细黑" w:cs="华文细黑" w:eastAsia="华文细黑" w:hint="default"/>
                <w:spacing w:val="-42"/>
                <w:sz w:val="18"/>
                <w:szCs w:val="18"/>
              </w:rPr>
              <w:t> </w:t>
            </w:r>
            <w:r>
              <w:rPr>
                <w:rFonts w:ascii="华文细黑" w:hAnsi="华文细黑" w:cs="华文细黑" w:eastAsia="华文细黑" w:hint="default"/>
                <w:spacing w:val="-42"/>
                <w:sz w:val="18"/>
                <w:szCs w:val="18"/>
              </w:rPr>
            </w:r>
            <w:r>
              <w:rPr>
                <w:rFonts w:ascii="华文细黑" w:hAnsi="华文细黑" w:cs="华文细黑" w:eastAsia="华文细黑" w:hint="default"/>
                <w:sz w:val="18"/>
                <w:szCs w:val="18"/>
              </w:rPr>
              <w:t>准备的其他应收款</w:t>
            </w:r>
          </w:p>
        </w:tc>
        <w:tc>
          <w:tcPr>
            <w:tcW w:w="1608"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3"/>
              <w:jc w:val="right"/>
              <w:rPr>
                <w:rFonts w:ascii="华文细黑" w:hAnsi="华文细黑" w:cs="华文细黑" w:eastAsia="华文细黑" w:hint="default"/>
                <w:sz w:val="18"/>
                <w:szCs w:val="18"/>
              </w:rPr>
            </w:pPr>
            <w:r>
              <w:rPr>
                <w:rFonts w:ascii="华文细黑"/>
                <w:sz w:val="18"/>
              </w:rPr>
              <w:t>---</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3"/>
              <w:jc w:val="right"/>
              <w:rPr>
                <w:rFonts w:ascii="华文细黑" w:hAnsi="华文细黑" w:cs="华文细黑" w:eastAsia="华文细黑" w:hint="default"/>
                <w:sz w:val="18"/>
                <w:szCs w:val="18"/>
              </w:rPr>
            </w:pPr>
            <w:r>
              <w:rPr>
                <w:rFonts w:ascii="华文细黑"/>
                <w:sz w:val="18"/>
              </w:rPr>
              <w:t>---</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8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3"/>
              <w:jc w:val="right"/>
              <w:rPr>
                <w:rFonts w:ascii="华文细黑" w:hAnsi="华文细黑" w:cs="华文细黑" w:eastAsia="华文细黑" w:hint="default"/>
                <w:sz w:val="18"/>
                <w:szCs w:val="18"/>
              </w:rPr>
            </w:pPr>
            <w:r>
              <w:rPr>
                <w:rFonts w:ascii="华文细黑"/>
                <w:sz w:val="18"/>
              </w:rPr>
              <w:t>---</w:t>
            </w:r>
          </w:p>
        </w:tc>
      </w:tr>
      <w:tr>
        <w:trPr>
          <w:trHeight w:val="890" w:hRule="exact"/>
        </w:trPr>
        <w:tc>
          <w:tcPr>
            <w:tcW w:w="243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4"/>
              <w:ind w:left="22" w:right="24"/>
              <w:jc w:val="left"/>
              <w:rPr>
                <w:rFonts w:ascii="华文细黑" w:hAnsi="华文细黑" w:cs="华文细黑" w:eastAsia="华文细黑" w:hint="default"/>
                <w:sz w:val="18"/>
                <w:szCs w:val="18"/>
              </w:rPr>
            </w:pPr>
            <w:r>
              <w:rPr>
                <w:rFonts w:ascii="华文细黑" w:hAnsi="华文细黑" w:cs="华文细黑" w:eastAsia="华文细黑" w:hint="default"/>
                <w:spacing w:val="2"/>
                <w:sz w:val="18"/>
                <w:szCs w:val="18"/>
              </w:rPr>
              <w:t>按信用风险特征组合计提坏账</w:t>
            </w:r>
            <w:r>
              <w:rPr>
                <w:rFonts w:ascii="华文细黑" w:hAnsi="华文细黑" w:cs="华文细黑" w:eastAsia="华文细黑" w:hint="default"/>
                <w:spacing w:val="-42"/>
                <w:sz w:val="18"/>
                <w:szCs w:val="18"/>
              </w:rPr>
              <w:t> </w:t>
            </w:r>
            <w:r>
              <w:rPr>
                <w:rFonts w:ascii="华文细黑" w:hAnsi="华文细黑" w:cs="华文细黑" w:eastAsia="华文细黑" w:hint="default"/>
                <w:spacing w:val="-42"/>
                <w:sz w:val="18"/>
                <w:szCs w:val="18"/>
              </w:rPr>
            </w:r>
            <w:r>
              <w:rPr>
                <w:rFonts w:ascii="华文细黑" w:hAnsi="华文细黑" w:cs="华文细黑" w:eastAsia="华文细黑" w:hint="default"/>
                <w:sz w:val="18"/>
                <w:szCs w:val="18"/>
              </w:rPr>
              <w:t>准备的其他应收款</w:t>
            </w:r>
          </w:p>
        </w:tc>
        <w:tc>
          <w:tcPr>
            <w:tcW w:w="1608"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pacing w:val="-1"/>
                <w:sz w:val="18"/>
              </w:rPr>
              <w:t>1,053,280,572.56</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99.87</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78,261,113.56</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7.43</w:t>
            </w:r>
          </w:p>
        </w:tc>
        <w:tc>
          <w:tcPr>
            <w:tcW w:w="18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975,019,459.00</w:t>
            </w:r>
          </w:p>
        </w:tc>
      </w:tr>
      <w:tr>
        <w:trPr>
          <w:trHeight w:val="490" w:hRule="exact"/>
        </w:trPr>
        <w:tc>
          <w:tcPr>
            <w:tcW w:w="243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其中：账龄组合</w:t>
            </w:r>
          </w:p>
        </w:tc>
        <w:tc>
          <w:tcPr>
            <w:tcW w:w="1608"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965,229,962.38</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91.53</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78,261,113.56</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8.11</w:t>
            </w:r>
          </w:p>
        </w:tc>
        <w:tc>
          <w:tcPr>
            <w:tcW w:w="18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886,968,848.82</w:t>
            </w:r>
          </w:p>
        </w:tc>
      </w:tr>
      <w:tr>
        <w:trPr>
          <w:trHeight w:val="491" w:hRule="exact"/>
        </w:trPr>
        <w:tc>
          <w:tcPr>
            <w:tcW w:w="243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款项性质组合</w:t>
            </w:r>
          </w:p>
        </w:tc>
        <w:tc>
          <w:tcPr>
            <w:tcW w:w="1608"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88,050,610.18</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8.35</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z w:val="18"/>
              </w:rPr>
              <w:t>---</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8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88,050,610.18</w:t>
            </w:r>
          </w:p>
        </w:tc>
      </w:tr>
      <w:tr>
        <w:trPr>
          <w:trHeight w:val="889" w:hRule="exact"/>
        </w:trPr>
        <w:tc>
          <w:tcPr>
            <w:tcW w:w="243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22" w:right="24"/>
              <w:jc w:val="left"/>
              <w:rPr>
                <w:rFonts w:ascii="华文细黑" w:hAnsi="华文细黑" w:cs="华文细黑" w:eastAsia="华文细黑" w:hint="default"/>
                <w:sz w:val="18"/>
                <w:szCs w:val="18"/>
              </w:rPr>
            </w:pPr>
            <w:r>
              <w:rPr>
                <w:rFonts w:ascii="华文细黑" w:hAnsi="华文细黑" w:cs="华文细黑" w:eastAsia="华文细黑" w:hint="default"/>
                <w:spacing w:val="2"/>
                <w:sz w:val="18"/>
                <w:szCs w:val="18"/>
              </w:rPr>
              <w:t>单项金额不重大但单独计提坏</w:t>
            </w:r>
            <w:r>
              <w:rPr>
                <w:rFonts w:ascii="华文细黑" w:hAnsi="华文细黑" w:cs="华文细黑" w:eastAsia="华文细黑" w:hint="default"/>
                <w:spacing w:val="-42"/>
                <w:sz w:val="18"/>
                <w:szCs w:val="18"/>
              </w:rPr>
              <w:t> </w:t>
            </w:r>
            <w:r>
              <w:rPr>
                <w:rFonts w:ascii="华文细黑" w:hAnsi="华文细黑" w:cs="华文细黑" w:eastAsia="华文细黑" w:hint="default"/>
                <w:spacing w:val="-42"/>
                <w:sz w:val="18"/>
                <w:szCs w:val="18"/>
              </w:rPr>
            </w:r>
            <w:r>
              <w:rPr>
                <w:rFonts w:ascii="华文细黑" w:hAnsi="华文细黑" w:cs="华文细黑" w:eastAsia="华文细黑" w:hint="default"/>
                <w:sz w:val="18"/>
                <w:szCs w:val="18"/>
              </w:rPr>
              <w:t>账准备的其他应收款</w:t>
            </w:r>
          </w:p>
        </w:tc>
        <w:tc>
          <w:tcPr>
            <w:tcW w:w="1608"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1,326,160.00</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0.13</w:t>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1,326,160.00</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left="268" w:right="0"/>
              <w:jc w:val="left"/>
              <w:rPr>
                <w:rFonts w:ascii="华文细黑" w:hAnsi="华文细黑" w:cs="华文细黑" w:eastAsia="华文细黑" w:hint="default"/>
                <w:sz w:val="18"/>
                <w:szCs w:val="18"/>
              </w:rPr>
            </w:pPr>
            <w:r>
              <w:rPr>
                <w:rFonts w:ascii="华文细黑"/>
                <w:sz w:val="18"/>
              </w:rPr>
              <w:t>100.00</w:t>
            </w:r>
          </w:p>
        </w:tc>
        <w:tc>
          <w:tcPr>
            <w:tcW w:w="18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3"/>
              <w:jc w:val="right"/>
              <w:rPr>
                <w:rFonts w:ascii="华文细黑" w:hAnsi="华文细黑" w:cs="华文细黑" w:eastAsia="华文细黑" w:hint="default"/>
                <w:sz w:val="18"/>
                <w:szCs w:val="18"/>
              </w:rPr>
            </w:pPr>
            <w:r>
              <w:rPr>
                <w:rFonts w:ascii="华文细黑"/>
                <w:sz w:val="18"/>
              </w:rPr>
              <w:t>---</w:t>
            </w:r>
          </w:p>
        </w:tc>
      </w:tr>
      <w:tr>
        <w:trPr>
          <w:trHeight w:val="491" w:hRule="exact"/>
        </w:trPr>
        <w:tc>
          <w:tcPr>
            <w:tcW w:w="243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5"/>
              <w:ind w:right="896"/>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608"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b/>
                <w:w w:val="95"/>
                <w:sz w:val="18"/>
              </w:rPr>
              <w:t>1,054,606,732.56</w:t>
            </w:r>
            <w:r>
              <w:rPr>
                <w:rFonts w:ascii="华文细黑"/>
                <w:sz w:val="18"/>
              </w:rPr>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left="266" w:right="0"/>
              <w:jc w:val="left"/>
              <w:rPr>
                <w:rFonts w:ascii="华文细黑" w:hAnsi="华文细黑" w:cs="华文细黑" w:eastAsia="华文细黑" w:hint="default"/>
                <w:sz w:val="18"/>
                <w:szCs w:val="18"/>
              </w:rPr>
            </w:pPr>
            <w:r>
              <w:rPr>
                <w:rFonts w:ascii="华文细黑"/>
                <w:b/>
                <w:sz w:val="18"/>
              </w:rPr>
              <w:t>100.00</w:t>
            </w:r>
            <w:r>
              <w:rPr>
                <w:rFonts w:ascii="华文细黑"/>
                <w:sz w:val="18"/>
              </w:rPr>
            </w:r>
          </w:p>
        </w:tc>
        <w:tc>
          <w:tcPr>
            <w:tcW w:w="1277"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79,587,273.56</w:t>
            </w:r>
            <w:r>
              <w:rPr>
                <w:rFonts w:ascii="华文细黑"/>
                <w:sz w:val="18"/>
              </w:rPr>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7.55</w:t>
            </w:r>
            <w:r>
              <w:rPr>
                <w:rFonts w:ascii="华文细黑"/>
                <w:sz w:val="18"/>
              </w:rPr>
            </w:r>
          </w:p>
        </w:tc>
        <w:tc>
          <w:tcPr>
            <w:tcW w:w="18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4"/>
              <w:jc w:val="right"/>
              <w:rPr>
                <w:rFonts w:ascii="华文细黑" w:hAnsi="华文细黑" w:cs="华文细黑" w:eastAsia="华文细黑" w:hint="default"/>
                <w:sz w:val="18"/>
                <w:szCs w:val="18"/>
              </w:rPr>
            </w:pPr>
            <w:r>
              <w:rPr>
                <w:rFonts w:ascii="华文细黑"/>
                <w:b/>
                <w:w w:val="95"/>
                <w:sz w:val="18"/>
              </w:rPr>
              <w:t>975,019,459.00</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560" w:right="1246"/>
        <w:jc w:val="left"/>
      </w:pPr>
      <w:r>
        <w:rPr/>
        <w:t>（续）</w:t>
      </w:r>
    </w:p>
    <w:p>
      <w:pPr>
        <w:spacing w:line="240" w:lineRule="auto" w:before="5"/>
        <w:rPr>
          <w:rFonts w:ascii="华文细黑" w:hAnsi="华文细黑" w:cs="华文细黑" w:eastAsia="华文细黑" w:hint="default"/>
          <w:sz w:val="5"/>
          <w:szCs w:val="5"/>
        </w:rPr>
      </w:pPr>
    </w:p>
    <w:tbl>
      <w:tblPr>
        <w:tblW w:w="0" w:type="auto"/>
        <w:jc w:val="left"/>
        <w:tblInd w:w="204" w:type="dxa"/>
        <w:tblLayout w:type="fixed"/>
        <w:tblCellMar>
          <w:top w:w="0" w:type="dxa"/>
          <w:left w:w="0" w:type="dxa"/>
          <w:bottom w:w="0" w:type="dxa"/>
          <w:right w:w="0" w:type="dxa"/>
        </w:tblCellMar>
        <w:tblLook w:val="01E0"/>
      </w:tblPr>
      <w:tblGrid>
        <w:gridCol w:w="2346"/>
        <w:gridCol w:w="1637"/>
        <w:gridCol w:w="850"/>
        <w:gridCol w:w="1559"/>
        <w:gridCol w:w="994"/>
        <w:gridCol w:w="1502"/>
      </w:tblGrid>
      <w:tr>
        <w:trPr>
          <w:trHeight w:val="490" w:hRule="exact"/>
        </w:trPr>
        <w:tc>
          <w:tcPr>
            <w:tcW w:w="2346" w:type="dxa"/>
            <w:tcBorders>
              <w:top w:val="single" w:sz="4" w:space="0" w:color="FFC000"/>
              <w:left w:val="single" w:sz="4" w:space="0" w:color="FFC000"/>
              <w:bottom w:val="nil" w:sz="6" w:space="0" w:color="auto"/>
              <w:right w:val="single" w:sz="4" w:space="0" w:color="FFC000"/>
            </w:tcBorders>
            <w:shd w:val="clear" w:color="auto" w:fill="FFF8E6"/>
          </w:tcPr>
          <w:p>
            <w:pPr/>
          </w:p>
        </w:tc>
        <w:tc>
          <w:tcPr>
            <w:tcW w:w="6542" w:type="dxa"/>
            <w:gridSpan w:val="5"/>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250" w:hRule="exact"/>
        </w:trPr>
        <w:tc>
          <w:tcPr>
            <w:tcW w:w="2346" w:type="dxa"/>
            <w:vMerge w:val="restart"/>
            <w:tcBorders>
              <w:top w:val="nil" w:sz="6" w:space="0" w:color="auto"/>
              <w:left w:val="single" w:sz="4" w:space="0" w:color="FFC000"/>
              <w:right w:val="single" w:sz="4" w:space="0" w:color="FFC000"/>
            </w:tcBorders>
            <w:shd w:val="clear" w:color="auto" w:fill="FFF8E6"/>
          </w:tcPr>
          <w:p>
            <w:pPr>
              <w:pStyle w:val="TableParagraph"/>
              <w:tabs>
                <w:tab w:pos="448" w:val="left" w:leader="none"/>
              </w:tabs>
              <w:spacing w:line="240" w:lineRule="auto" w:before="15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类</w:t>
              <w:tab/>
              <w:t>别</w:t>
            </w:r>
          </w:p>
        </w:tc>
        <w:tc>
          <w:tcPr>
            <w:tcW w:w="2487"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2553"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w:t>
            </w:r>
          </w:p>
        </w:tc>
        <w:tc>
          <w:tcPr>
            <w:tcW w:w="1502" w:type="dxa"/>
            <w:tcBorders>
              <w:top w:val="single" w:sz="4" w:space="0" w:color="FFC000"/>
              <w:left w:val="single" w:sz="4" w:space="0" w:color="FFC000"/>
              <w:bottom w:val="nil" w:sz="6" w:space="0" w:color="auto"/>
              <w:right w:val="single" w:sz="4" w:space="0" w:color="FFC000"/>
            </w:tcBorders>
            <w:shd w:val="clear" w:color="auto" w:fill="FFF8E6"/>
          </w:tcPr>
          <w:p>
            <w:pPr/>
          </w:p>
        </w:tc>
      </w:tr>
      <w:tr>
        <w:trPr>
          <w:trHeight w:val="240" w:hRule="exact"/>
        </w:trPr>
        <w:tc>
          <w:tcPr>
            <w:tcW w:w="2346" w:type="dxa"/>
            <w:vMerge/>
            <w:tcBorders>
              <w:left w:val="single" w:sz="4" w:space="0" w:color="FFC000"/>
              <w:bottom w:val="nil" w:sz="6" w:space="0" w:color="auto"/>
              <w:right w:val="single" w:sz="4" w:space="0" w:color="FFC000"/>
            </w:tcBorders>
            <w:shd w:val="clear" w:color="auto" w:fill="FFF8E6"/>
          </w:tcPr>
          <w:p>
            <w:pPr/>
          </w:p>
        </w:tc>
        <w:tc>
          <w:tcPr>
            <w:tcW w:w="2487" w:type="dxa"/>
            <w:gridSpan w:val="2"/>
            <w:vMerge/>
            <w:tcBorders>
              <w:left w:val="single" w:sz="4" w:space="0" w:color="FFC000"/>
              <w:bottom w:val="single" w:sz="4" w:space="0" w:color="FFC000"/>
              <w:right w:val="single" w:sz="4" w:space="0" w:color="FFC000"/>
            </w:tcBorders>
            <w:shd w:val="clear" w:color="auto" w:fill="FFF8E6"/>
          </w:tcPr>
          <w:p>
            <w:pPr/>
          </w:p>
        </w:tc>
        <w:tc>
          <w:tcPr>
            <w:tcW w:w="2553" w:type="dxa"/>
            <w:gridSpan w:val="2"/>
            <w:vMerge/>
            <w:tcBorders>
              <w:left w:val="single" w:sz="4" w:space="0" w:color="FFC000"/>
              <w:bottom w:val="single" w:sz="4" w:space="0" w:color="FFC000"/>
              <w:right w:val="single" w:sz="4" w:space="0" w:color="FFC000"/>
            </w:tcBorders>
            <w:shd w:val="clear" w:color="auto" w:fill="FFF8E6"/>
          </w:tcPr>
          <w:p>
            <w:pPr/>
          </w:p>
        </w:tc>
        <w:tc>
          <w:tcPr>
            <w:tcW w:w="1502"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38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账面价值</w:t>
            </w:r>
          </w:p>
        </w:tc>
      </w:tr>
      <w:tr>
        <w:trPr>
          <w:trHeight w:val="240" w:hRule="exact"/>
        </w:trPr>
        <w:tc>
          <w:tcPr>
            <w:tcW w:w="2346" w:type="dxa"/>
            <w:vMerge w:val="restart"/>
            <w:tcBorders>
              <w:top w:val="nil" w:sz="6" w:space="0" w:color="auto"/>
              <w:left w:val="single" w:sz="4" w:space="0" w:color="FFC000"/>
              <w:right w:val="single" w:sz="4" w:space="0" w:color="FFC000"/>
            </w:tcBorders>
            <w:shd w:val="clear" w:color="auto" w:fill="FFF8E6"/>
          </w:tcPr>
          <w:p>
            <w:pPr/>
          </w:p>
        </w:tc>
        <w:tc>
          <w:tcPr>
            <w:tcW w:w="1637"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85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22" w:right="-4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155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994"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6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1502" w:type="dxa"/>
            <w:vMerge/>
            <w:tcBorders>
              <w:left w:val="single" w:sz="4" w:space="0" w:color="FFC000"/>
              <w:bottom w:val="nil" w:sz="6" w:space="0" w:color="auto"/>
              <w:right w:val="single" w:sz="4" w:space="0" w:color="FFC000"/>
            </w:tcBorders>
            <w:shd w:val="clear" w:color="auto" w:fill="FFF8E6"/>
          </w:tcPr>
          <w:p>
            <w:pPr/>
          </w:p>
        </w:tc>
      </w:tr>
      <w:tr>
        <w:trPr>
          <w:trHeight w:val="250" w:hRule="exact"/>
        </w:trPr>
        <w:tc>
          <w:tcPr>
            <w:tcW w:w="2346" w:type="dxa"/>
            <w:vMerge/>
            <w:tcBorders>
              <w:left w:val="single" w:sz="4" w:space="0" w:color="FFC000"/>
              <w:bottom w:val="single" w:sz="4" w:space="0" w:color="FFC000"/>
              <w:right w:val="single" w:sz="4" w:space="0" w:color="FFC000"/>
            </w:tcBorders>
            <w:shd w:val="clear" w:color="auto" w:fill="FFF8E6"/>
          </w:tcPr>
          <w:p>
            <w:pPr/>
          </w:p>
        </w:tc>
        <w:tc>
          <w:tcPr>
            <w:tcW w:w="1637" w:type="dxa"/>
            <w:vMerge/>
            <w:tcBorders>
              <w:left w:val="single" w:sz="4" w:space="0" w:color="FFC000"/>
              <w:bottom w:val="single" w:sz="4" w:space="0" w:color="FFC000"/>
              <w:right w:val="single" w:sz="4" w:space="0" w:color="FFC000"/>
            </w:tcBorders>
            <w:shd w:val="clear" w:color="auto" w:fill="FFF8E6"/>
          </w:tcPr>
          <w:p>
            <w:pPr/>
          </w:p>
        </w:tc>
        <w:tc>
          <w:tcPr>
            <w:tcW w:w="850" w:type="dxa"/>
            <w:vMerge/>
            <w:tcBorders>
              <w:left w:val="single" w:sz="4" w:space="0" w:color="FFC000"/>
              <w:bottom w:val="single" w:sz="4" w:space="0" w:color="FFC000"/>
              <w:right w:val="single" w:sz="4" w:space="0" w:color="FFC000"/>
            </w:tcBorders>
            <w:shd w:val="clear" w:color="auto" w:fill="FFF8E6"/>
          </w:tcPr>
          <w:p>
            <w:pPr/>
          </w:p>
        </w:tc>
        <w:tc>
          <w:tcPr>
            <w:tcW w:w="1559" w:type="dxa"/>
            <w:vMerge/>
            <w:tcBorders>
              <w:left w:val="single" w:sz="4" w:space="0" w:color="FFC000"/>
              <w:bottom w:val="single" w:sz="4" w:space="0" w:color="FFC000"/>
              <w:right w:val="single" w:sz="4" w:space="0" w:color="FFC000"/>
            </w:tcBorders>
            <w:shd w:val="clear" w:color="auto" w:fill="FFF8E6"/>
          </w:tcPr>
          <w:p>
            <w:pPr/>
          </w:p>
        </w:tc>
        <w:tc>
          <w:tcPr>
            <w:tcW w:w="994" w:type="dxa"/>
            <w:vMerge/>
            <w:tcBorders>
              <w:left w:val="single" w:sz="4" w:space="0" w:color="FFC000"/>
              <w:bottom w:val="single" w:sz="4" w:space="0" w:color="FFC000"/>
              <w:right w:val="single" w:sz="4" w:space="0" w:color="FFC000"/>
            </w:tcBorders>
            <w:shd w:val="clear" w:color="auto" w:fill="FFF8E6"/>
          </w:tcPr>
          <w:p>
            <w:pPr/>
          </w:p>
        </w:tc>
        <w:tc>
          <w:tcPr>
            <w:tcW w:w="1502" w:type="dxa"/>
            <w:tcBorders>
              <w:top w:val="nil" w:sz="6" w:space="0" w:color="auto"/>
              <w:left w:val="single" w:sz="4" w:space="0" w:color="FFC000"/>
              <w:bottom w:val="single" w:sz="4" w:space="0" w:color="FFC000"/>
              <w:right w:val="single" w:sz="4" w:space="0" w:color="FFC000"/>
            </w:tcBorders>
            <w:shd w:val="clear" w:color="auto" w:fill="FFF8E6"/>
          </w:tcPr>
          <w:p>
            <w:pPr/>
          </w:p>
        </w:tc>
      </w:tr>
      <w:tr>
        <w:trPr>
          <w:trHeight w:val="890" w:hRule="exact"/>
        </w:trPr>
        <w:tc>
          <w:tcPr>
            <w:tcW w:w="234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22" w:right="9"/>
              <w:jc w:val="left"/>
              <w:rPr>
                <w:rFonts w:ascii="华文细黑" w:hAnsi="华文细黑" w:cs="华文细黑" w:eastAsia="华文细黑" w:hint="default"/>
                <w:sz w:val="18"/>
                <w:szCs w:val="18"/>
              </w:rPr>
            </w:pPr>
            <w:r>
              <w:rPr>
                <w:rFonts w:ascii="华文细黑" w:hAnsi="华文细黑" w:cs="华文细黑" w:eastAsia="华文细黑" w:hint="default"/>
                <w:spacing w:val="12"/>
                <w:sz w:val="18"/>
                <w:szCs w:val="18"/>
              </w:rPr>
              <w:t>单项金额重大并单独计提坏 </w:t>
            </w:r>
            <w:r>
              <w:rPr>
                <w:rFonts w:ascii="华文细黑" w:hAnsi="华文细黑" w:cs="华文细黑" w:eastAsia="华文细黑" w:hint="default"/>
                <w:sz w:val="18"/>
                <w:szCs w:val="18"/>
              </w:rPr>
              <w:t>账准备的其他应收款</w:t>
            </w:r>
          </w:p>
        </w:tc>
        <w:tc>
          <w:tcPr>
            <w:tcW w:w="163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67,487,643.59</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4.43</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67,487,643.59</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3"/>
              <w:jc w:val="right"/>
              <w:rPr>
                <w:rFonts w:ascii="华文细黑" w:hAnsi="华文细黑" w:cs="华文细黑" w:eastAsia="华文细黑" w:hint="default"/>
                <w:sz w:val="18"/>
                <w:szCs w:val="18"/>
              </w:rPr>
            </w:pPr>
            <w:r>
              <w:rPr>
                <w:rFonts w:ascii="华文细黑"/>
                <w:sz w:val="18"/>
              </w:rPr>
              <w:t>100.00</w:t>
            </w:r>
          </w:p>
        </w:tc>
        <w:tc>
          <w:tcPr>
            <w:tcW w:w="1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r>
      <w:tr>
        <w:trPr>
          <w:trHeight w:val="890" w:hRule="exact"/>
        </w:trPr>
        <w:tc>
          <w:tcPr>
            <w:tcW w:w="234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22" w:right="9"/>
              <w:jc w:val="left"/>
              <w:rPr>
                <w:rFonts w:ascii="华文细黑" w:hAnsi="华文细黑" w:cs="华文细黑" w:eastAsia="华文细黑" w:hint="default"/>
                <w:sz w:val="18"/>
                <w:szCs w:val="18"/>
              </w:rPr>
            </w:pPr>
            <w:r>
              <w:rPr>
                <w:rFonts w:ascii="华文细黑" w:hAnsi="华文细黑" w:cs="华文细黑" w:eastAsia="华文细黑" w:hint="default"/>
                <w:spacing w:val="12"/>
                <w:sz w:val="18"/>
                <w:szCs w:val="18"/>
              </w:rPr>
              <w:t>按信用风险特征组合计提坏 </w:t>
            </w:r>
            <w:r>
              <w:rPr>
                <w:rFonts w:ascii="华文细黑" w:hAnsi="华文细黑" w:cs="华文细黑" w:eastAsia="华文细黑" w:hint="default"/>
                <w:sz w:val="18"/>
                <w:szCs w:val="18"/>
              </w:rPr>
              <w:t>账准备的其他应收款</w:t>
            </w:r>
          </w:p>
        </w:tc>
        <w:tc>
          <w:tcPr>
            <w:tcW w:w="163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pacing w:val="-1"/>
                <w:sz w:val="18"/>
              </w:rPr>
              <w:t>1,454,905,716.34</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95.44</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79,987,179.14</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3"/>
              <w:jc w:val="right"/>
              <w:rPr>
                <w:rFonts w:ascii="华文细黑" w:hAnsi="华文细黑" w:cs="华文细黑" w:eastAsia="华文细黑" w:hint="default"/>
                <w:sz w:val="18"/>
                <w:szCs w:val="18"/>
              </w:rPr>
            </w:pPr>
            <w:r>
              <w:rPr>
                <w:rFonts w:ascii="华文细黑"/>
                <w:sz w:val="18"/>
              </w:rPr>
              <w:t>5.50</w:t>
            </w:r>
          </w:p>
        </w:tc>
        <w:tc>
          <w:tcPr>
            <w:tcW w:w="1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pacing w:val="-1"/>
                <w:sz w:val="18"/>
              </w:rPr>
              <w:t>1,374,918,537.20</w:t>
            </w:r>
          </w:p>
        </w:tc>
      </w:tr>
      <w:tr>
        <w:trPr>
          <w:trHeight w:val="491" w:hRule="exact"/>
        </w:trPr>
        <w:tc>
          <w:tcPr>
            <w:tcW w:w="234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其中：账龄组合</w:t>
            </w:r>
          </w:p>
        </w:tc>
        <w:tc>
          <w:tcPr>
            <w:tcW w:w="163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pacing w:val="-1"/>
                <w:sz w:val="18"/>
              </w:rPr>
              <w:t>1,398,106,748.44</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91.72</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79,987,179.14</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z w:val="18"/>
              </w:rPr>
              <w:t>5.72</w:t>
            </w:r>
          </w:p>
        </w:tc>
        <w:tc>
          <w:tcPr>
            <w:tcW w:w="1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pacing w:val="-1"/>
                <w:sz w:val="18"/>
              </w:rPr>
              <w:t>1,318,119,569.30</w:t>
            </w:r>
          </w:p>
        </w:tc>
      </w:tr>
      <w:tr>
        <w:trPr>
          <w:trHeight w:val="490" w:hRule="exact"/>
        </w:trPr>
        <w:tc>
          <w:tcPr>
            <w:tcW w:w="234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款项性质组合</w:t>
            </w:r>
          </w:p>
        </w:tc>
        <w:tc>
          <w:tcPr>
            <w:tcW w:w="163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56,798,967.90</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3.72</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w:t>
            </w:r>
          </w:p>
        </w:tc>
        <w:tc>
          <w:tcPr>
            <w:tcW w:w="1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56,798,967.90</w:t>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300" w:right="0"/>
        </w:sectPr>
      </w:pPr>
    </w:p>
    <w:p>
      <w:pPr>
        <w:spacing w:line="240" w:lineRule="auto" w:before="8"/>
        <w:rPr>
          <w:rFonts w:ascii="华文细黑" w:hAnsi="华文细黑" w:cs="华文细黑" w:eastAsia="华文细黑" w:hint="default"/>
          <w:sz w:val="23"/>
          <w:szCs w:val="23"/>
        </w:rPr>
      </w:pPr>
    </w:p>
    <w:tbl>
      <w:tblPr>
        <w:tblW w:w="0" w:type="auto"/>
        <w:jc w:val="left"/>
        <w:tblInd w:w="204" w:type="dxa"/>
        <w:tblLayout w:type="fixed"/>
        <w:tblCellMar>
          <w:top w:w="0" w:type="dxa"/>
          <w:left w:w="0" w:type="dxa"/>
          <w:bottom w:w="0" w:type="dxa"/>
          <w:right w:w="0" w:type="dxa"/>
        </w:tblCellMar>
        <w:tblLook w:val="01E0"/>
      </w:tblPr>
      <w:tblGrid>
        <w:gridCol w:w="2346"/>
        <w:gridCol w:w="1637"/>
        <w:gridCol w:w="850"/>
        <w:gridCol w:w="1559"/>
        <w:gridCol w:w="994"/>
        <w:gridCol w:w="1502"/>
      </w:tblGrid>
      <w:tr>
        <w:trPr>
          <w:trHeight w:val="490" w:hRule="exact"/>
        </w:trPr>
        <w:tc>
          <w:tcPr>
            <w:tcW w:w="2346" w:type="dxa"/>
            <w:tcBorders>
              <w:top w:val="single" w:sz="4" w:space="0" w:color="FFC000"/>
              <w:left w:val="single" w:sz="4" w:space="0" w:color="FFC000"/>
              <w:bottom w:val="nil" w:sz="6" w:space="0" w:color="auto"/>
              <w:right w:val="single" w:sz="4" w:space="0" w:color="FFC000"/>
            </w:tcBorders>
            <w:shd w:val="clear" w:color="auto" w:fill="FFF8E6"/>
          </w:tcPr>
          <w:p>
            <w:pPr/>
          </w:p>
        </w:tc>
        <w:tc>
          <w:tcPr>
            <w:tcW w:w="6542" w:type="dxa"/>
            <w:gridSpan w:val="5"/>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250" w:hRule="exact"/>
        </w:trPr>
        <w:tc>
          <w:tcPr>
            <w:tcW w:w="2346" w:type="dxa"/>
            <w:vMerge w:val="restart"/>
            <w:tcBorders>
              <w:top w:val="nil" w:sz="6" w:space="0" w:color="auto"/>
              <w:left w:val="single" w:sz="4" w:space="0" w:color="FFC000"/>
              <w:right w:val="single" w:sz="4" w:space="0" w:color="FFC000"/>
            </w:tcBorders>
            <w:shd w:val="clear" w:color="auto" w:fill="FFF8E6"/>
          </w:tcPr>
          <w:p>
            <w:pPr>
              <w:pStyle w:val="TableParagraph"/>
              <w:tabs>
                <w:tab w:pos="448" w:val="left" w:leader="none"/>
              </w:tabs>
              <w:spacing w:line="240" w:lineRule="auto" w:before="150"/>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类</w:t>
              <w:tab/>
              <w:t>别</w:t>
            </w:r>
          </w:p>
        </w:tc>
        <w:tc>
          <w:tcPr>
            <w:tcW w:w="2487"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2553"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w:t>
            </w:r>
          </w:p>
        </w:tc>
        <w:tc>
          <w:tcPr>
            <w:tcW w:w="1502" w:type="dxa"/>
            <w:tcBorders>
              <w:top w:val="single" w:sz="4" w:space="0" w:color="FFC000"/>
              <w:left w:val="single" w:sz="4" w:space="0" w:color="FFC000"/>
              <w:bottom w:val="nil" w:sz="6" w:space="0" w:color="auto"/>
              <w:right w:val="single" w:sz="4" w:space="0" w:color="FFC000"/>
            </w:tcBorders>
            <w:shd w:val="clear" w:color="auto" w:fill="FFF8E6"/>
          </w:tcPr>
          <w:p>
            <w:pPr/>
          </w:p>
        </w:tc>
      </w:tr>
      <w:tr>
        <w:trPr>
          <w:trHeight w:val="240" w:hRule="exact"/>
        </w:trPr>
        <w:tc>
          <w:tcPr>
            <w:tcW w:w="2346" w:type="dxa"/>
            <w:vMerge/>
            <w:tcBorders>
              <w:left w:val="single" w:sz="4" w:space="0" w:color="FFC000"/>
              <w:bottom w:val="nil" w:sz="6" w:space="0" w:color="auto"/>
              <w:right w:val="single" w:sz="4" w:space="0" w:color="FFC000"/>
            </w:tcBorders>
            <w:shd w:val="clear" w:color="auto" w:fill="FFF8E6"/>
          </w:tcPr>
          <w:p>
            <w:pPr/>
          </w:p>
        </w:tc>
        <w:tc>
          <w:tcPr>
            <w:tcW w:w="2487" w:type="dxa"/>
            <w:gridSpan w:val="2"/>
            <w:vMerge/>
            <w:tcBorders>
              <w:left w:val="single" w:sz="4" w:space="0" w:color="FFC000"/>
              <w:bottom w:val="single" w:sz="4" w:space="0" w:color="FFC000"/>
              <w:right w:val="single" w:sz="4" w:space="0" w:color="FFC000"/>
            </w:tcBorders>
            <w:shd w:val="clear" w:color="auto" w:fill="FFF8E6"/>
          </w:tcPr>
          <w:p>
            <w:pPr/>
          </w:p>
        </w:tc>
        <w:tc>
          <w:tcPr>
            <w:tcW w:w="2553" w:type="dxa"/>
            <w:gridSpan w:val="2"/>
            <w:vMerge/>
            <w:tcBorders>
              <w:left w:val="single" w:sz="4" w:space="0" w:color="FFC000"/>
              <w:bottom w:val="single" w:sz="4" w:space="0" w:color="FFC000"/>
              <w:right w:val="single" w:sz="4" w:space="0" w:color="FFC000"/>
            </w:tcBorders>
            <w:shd w:val="clear" w:color="auto" w:fill="FFF8E6"/>
          </w:tcPr>
          <w:p>
            <w:pPr/>
          </w:p>
        </w:tc>
        <w:tc>
          <w:tcPr>
            <w:tcW w:w="1502"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38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账面价值</w:t>
            </w:r>
          </w:p>
        </w:tc>
      </w:tr>
      <w:tr>
        <w:trPr>
          <w:trHeight w:val="240" w:hRule="exact"/>
        </w:trPr>
        <w:tc>
          <w:tcPr>
            <w:tcW w:w="2346" w:type="dxa"/>
            <w:vMerge w:val="restart"/>
            <w:tcBorders>
              <w:top w:val="nil" w:sz="6" w:space="0" w:color="auto"/>
              <w:left w:val="single" w:sz="4" w:space="0" w:color="FFC000"/>
              <w:right w:val="single" w:sz="4" w:space="0" w:color="FFC000"/>
            </w:tcBorders>
            <w:shd w:val="clear" w:color="auto" w:fill="FFF8E6"/>
          </w:tcPr>
          <w:p>
            <w:pPr/>
          </w:p>
        </w:tc>
        <w:tc>
          <w:tcPr>
            <w:tcW w:w="1637"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85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22" w:right="-4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1559"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994"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4"/>
              <w:ind w:left="6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1502" w:type="dxa"/>
            <w:vMerge/>
            <w:tcBorders>
              <w:left w:val="single" w:sz="4" w:space="0" w:color="FFC000"/>
              <w:bottom w:val="nil" w:sz="6" w:space="0" w:color="auto"/>
              <w:right w:val="single" w:sz="4" w:space="0" w:color="FFC000"/>
            </w:tcBorders>
            <w:shd w:val="clear" w:color="auto" w:fill="FFF8E6"/>
          </w:tcPr>
          <w:p>
            <w:pPr/>
          </w:p>
        </w:tc>
      </w:tr>
      <w:tr>
        <w:trPr>
          <w:trHeight w:val="250" w:hRule="exact"/>
        </w:trPr>
        <w:tc>
          <w:tcPr>
            <w:tcW w:w="2346" w:type="dxa"/>
            <w:vMerge/>
            <w:tcBorders>
              <w:left w:val="single" w:sz="4" w:space="0" w:color="FFC000"/>
              <w:bottom w:val="single" w:sz="4" w:space="0" w:color="FFC000"/>
              <w:right w:val="single" w:sz="4" w:space="0" w:color="FFC000"/>
            </w:tcBorders>
            <w:shd w:val="clear" w:color="auto" w:fill="FFF8E6"/>
          </w:tcPr>
          <w:p>
            <w:pPr/>
          </w:p>
        </w:tc>
        <w:tc>
          <w:tcPr>
            <w:tcW w:w="1637" w:type="dxa"/>
            <w:vMerge/>
            <w:tcBorders>
              <w:left w:val="single" w:sz="4" w:space="0" w:color="FFC000"/>
              <w:bottom w:val="single" w:sz="4" w:space="0" w:color="FFC000"/>
              <w:right w:val="single" w:sz="4" w:space="0" w:color="FFC000"/>
            </w:tcBorders>
            <w:shd w:val="clear" w:color="auto" w:fill="FFF8E6"/>
          </w:tcPr>
          <w:p>
            <w:pPr/>
          </w:p>
        </w:tc>
        <w:tc>
          <w:tcPr>
            <w:tcW w:w="850" w:type="dxa"/>
            <w:vMerge/>
            <w:tcBorders>
              <w:left w:val="single" w:sz="4" w:space="0" w:color="FFC000"/>
              <w:bottom w:val="single" w:sz="4" w:space="0" w:color="FFC000"/>
              <w:right w:val="single" w:sz="4" w:space="0" w:color="FFC000"/>
            </w:tcBorders>
            <w:shd w:val="clear" w:color="auto" w:fill="FFF8E6"/>
          </w:tcPr>
          <w:p>
            <w:pPr/>
          </w:p>
        </w:tc>
        <w:tc>
          <w:tcPr>
            <w:tcW w:w="1559" w:type="dxa"/>
            <w:vMerge/>
            <w:tcBorders>
              <w:left w:val="single" w:sz="4" w:space="0" w:color="FFC000"/>
              <w:bottom w:val="single" w:sz="4" w:space="0" w:color="FFC000"/>
              <w:right w:val="single" w:sz="4" w:space="0" w:color="FFC000"/>
            </w:tcBorders>
            <w:shd w:val="clear" w:color="auto" w:fill="FFF8E6"/>
          </w:tcPr>
          <w:p>
            <w:pPr/>
          </w:p>
        </w:tc>
        <w:tc>
          <w:tcPr>
            <w:tcW w:w="994" w:type="dxa"/>
            <w:vMerge/>
            <w:tcBorders>
              <w:left w:val="single" w:sz="4" w:space="0" w:color="FFC000"/>
              <w:bottom w:val="single" w:sz="4" w:space="0" w:color="FFC000"/>
              <w:right w:val="single" w:sz="4" w:space="0" w:color="FFC000"/>
            </w:tcBorders>
            <w:shd w:val="clear" w:color="auto" w:fill="FFF8E6"/>
          </w:tcPr>
          <w:p>
            <w:pPr/>
          </w:p>
        </w:tc>
        <w:tc>
          <w:tcPr>
            <w:tcW w:w="1502" w:type="dxa"/>
            <w:tcBorders>
              <w:top w:val="nil" w:sz="6" w:space="0" w:color="auto"/>
              <w:left w:val="single" w:sz="4" w:space="0" w:color="FFC000"/>
              <w:bottom w:val="single" w:sz="4" w:space="0" w:color="FFC000"/>
              <w:right w:val="single" w:sz="4" w:space="0" w:color="FFC000"/>
            </w:tcBorders>
            <w:shd w:val="clear" w:color="auto" w:fill="FFF8E6"/>
          </w:tcPr>
          <w:p>
            <w:pPr/>
          </w:p>
        </w:tc>
      </w:tr>
      <w:tr>
        <w:trPr>
          <w:trHeight w:val="890" w:hRule="exact"/>
        </w:trPr>
        <w:tc>
          <w:tcPr>
            <w:tcW w:w="234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22" w:right="9"/>
              <w:jc w:val="left"/>
              <w:rPr>
                <w:rFonts w:ascii="华文细黑" w:hAnsi="华文细黑" w:cs="华文细黑" w:eastAsia="华文细黑" w:hint="default"/>
                <w:sz w:val="18"/>
                <w:szCs w:val="18"/>
              </w:rPr>
            </w:pPr>
            <w:r>
              <w:rPr>
                <w:rFonts w:ascii="华文细黑" w:hAnsi="华文细黑" w:cs="华文细黑" w:eastAsia="华文细黑" w:hint="default"/>
                <w:spacing w:val="12"/>
                <w:sz w:val="18"/>
                <w:szCs w:val="18"/>
              </w:rPr>
              <w:t>单项金额不重大但单独计提 </w:t>
            </w:r>
            <w:r>
              <w:rPr>
                <w:rFonts w:ascii="华文细黑" w:hAnsi="华文细黑" w:cs="华文细黑" w:eastAsia="华文细黑" w:hint="default"/>
                <w:sz w:val="18"/>
                <w:szCs w:val="18"/>
              </w:rPr>
              <w:t>坏账准备的其他应收款</w:t>
            </w:r>
          </w:p>
        </w:tc>
        <w:tc>
          <w:tcPr>
            <w:tcW w:w="163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1"/>
              <w:jc w:val="right"/>
              <w:rPr>
                <w:rFonts w:ascii="华文细黑" w:hAnsi="华文细黑" w:cs="华文细黑" w:eastAsia="华文细黑" w:hint="default"/>
                <w:sz w:val="18"/>
                <w:szCs w:val="18"/>
              </w:rPr>
            </w:pPr>
            <w:r>
              <w:rPr>
                <w:rFonts w:ascii="华文细黑"/>
                <w:sz w:val="18"/>
              </w:rPr>
              <w:t>1,947,013.55</w:t>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0.13</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1,947,013.55</w:t>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3"/>
              <w:jc w:val="right"/>
              <w:rPr>
                <w:rFonts w:ascii="华文细黑" w:hAnsi="华文细黑" w:cs="华文细黑" w:eastAsia="华文细黑" w:hint="default"/>
                <w:sz w:val="18"/>
                <w:szCs w:val="18"/>
              </w:rPr>
            </w:pPr>
            <w:r>
              <w:rPr>
                <w:rFonts w:ascii="华文细黑"/>
                <w:sz w:val="18"/>
              </w:rPr>
              <w:t>100.00</w:t>
            </w:r>
          </w:p>
        </w:tc>
        <w:tc>
          <w:tcPr>
            <w:tcW w:w="1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sz w:val="24"/>
                <w:szCs w:val="24"/>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234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63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1,524,340,373.48</w:t>
            </w:r>
            <w:r>
              <w:rPr>
                <w:rFonts w:ascii="华文细黑"/>
                <w:sz w:val="18"/>
              </w:rPr>
            </w:r>
          </w:p>
        </w:tc>
        <w:tc>
          <w:tcPr>
            <w:tcW w:w="85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100.00</w:t>
            </w:r>
            <w:r>
              <w:rPr>
                <w:rFonts w:ascii="华文细黑"/>
                <w:sz w:val="18"/>
              </w:rPr>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4"/>
              <w:jc w:val="right"/>
              <w:rPr>
                <w:rFonts w:ascii="华文细黑" w:hAnsi="华文细黑" w:cs="华文细黑" w:eastAsia="华文细黑" w:hint="default"/>
                <w:sz w:val="18"/>
                <w:szCs w:val="18"/>
              </w:rPr>
            </w:pPr>
            <w:r>
              <w:rPr>
                <w:rFonts w:ascii="华文细黑"/>
                <w:b/>
                <w:w w:val="95"/>
                <w:sz w:val="18"/>
              </w:rPr>
              <w:t>149,421,836.28</w:t>
            </w:r>
            <w:r>
              <w:rPr>
                <w:rFonts w:ascii="华文细黑"/>
                <w:sz w:val="18"/>
              </w:rPr>
            </w:r>
          </w:p>
        </w:tc>
        <w:tc>
          <w:tcPr>
            <w:tcW w:w="99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sz w:val="18"/>
              </w:rPr>
              <w:t>9.80</w:t>
            </w:r>
            <w:r>
              <w:rPr>
                <w:rFonts w:ascii="华文细黑"/>
                <w:sz w:val="18"/>
              </w:rPr>
            </w:r>
          </w:p>
        </w:tc>
        <w:tc>
          <w:tcPr>
            <w:tcW w:w="150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b/>
                <w:w w:val="95"/>
                <w:sz w:val="18"/>
              </w:rPr>
              <w:t>1,374,918,537.20</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560" w:right="1246"/>
        <w:jc w:val="left"/>
      </w:pPr>
      <w:r>
        <w:rPr>
          <w:rFonts w:ascii="华文细黑" w:hAnsi="华文细黑" w:cs="华文细黑" w:eastAsia="华文细黑" w:hint="default"/>
        </w:rPr>
        <w:t>A</w:t>
      </w:r>
      <w:r>
        <w:rPr/>
        <w:t>、组合中，按账龄分析法计提坏账准备的其他应收款</w:t>
      </w:r>
    </w:p>
    <w:p>
      <w:pPr>
        <w:spacing w:line="240" w:lineRule="auto" w:before="5"/>
        <w:rPr>
          <w:rFonts w:ascii="华文细黑" w:hAnsi="华文细黑" w:cs="华文细黑" w:eastAsia="华文细黑" w:hint="default"/>
          <w:sz w:val="5"/>
          <w:szCs w:val="5"/>
        </w:rPr>
      </w:pPr>
    </w:p>
    <w:tbl>
      <w:tblPr>
        <w:tblW w:w="0" w:type="auto"/>
        <w:jc w:val="left"/>
        <w:tblInd w:w="151" w:type="dxa"/>
        <w:tblLayout w:type="fixed"/>
        <w:tblCellMar>
          <w:top w:w="0" w:type="dxa"/>
          <w:left w:w="0" w:type="dxa"/>
          <w:bottom w:w="0" w:type="dxa"/>
          <w:right w:w="0" w:type="dxa"/>
        </w:tblCellMar>
        <w:tblLook w:val="01E0"/>
      </w:tblPr>
      <w:tblGrid>
        <w:gridCol w:w="2559"/>
        <w:gridCol w:w="1997"/>
        <w:gridCol w:w="2411"/>
        <w:gridCol w:w="2128"/>
      </w:tblGrid>
      <w:tr>
        <w:trPr>
          <w:trHeight w:val="250" w:hRule="exact"/>
        </w:trPr>
        <w:tc>
          <w:tcPr>
            <w:tcW w:w="2559" w:type="dxa"/>
            <w:tcBorders>
              <w:top w:val="single" w:sz="4" w:space="0" w:color="FFC000"/>
              <w:left w:val="single" w:sz="4" w:space="0" w:color="FFC000"/>
              <w:bottom w:val="nil" w:sz="6" w:space="0" w:color="auto"/>
              <w:right w:val="single" w:sz="4" w:space="0" w:color="FFC000"/>
            </w:tcBorders>
            <w:shd w:val="clear" w:color="auto" w:fill="FFF8E6"/>
          </w:tcPr>
          <w:p>
            <w:pPr/>
          </w:p>
        </w:tc>
        <w:tc>
          <w:tcPr>
            <w:tcW w:w="6536" w:type="dxa"/>
            <w:gridSpan w:val="3"/>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left="9"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r>
      <w:tr>
        <w:trPr>
          <w:trHeight w:val="235" w:hRule="exact"/>
        </w:trPr>
        <w:tc>
          <w:tcPr>
            <w:tcW w:w="2559"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账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龄</w:t>
            </w:r>
          </w:p>
        </w:tc>
        <w:tc>
          <w:tcPr>
            <w:tcW w:w="6536" w:type="dxa"/>
            <w:gridSpan w:val="3"/>
            <w:vMerge/>
            <w:tcBorders>
              <w:left w:val="single" w:sz="4" w:space="0" w:color="FFC000"/>
              <w:bottom w:val="single" w:sz="4" w:space="0" w:color="FFC000"/>
              <w:right w:val="single" w:sz="4" w:space="0" w:color="FFC000"/>
            </w:tcBorders>
            <w:shd w:val="clear" w:color="auto" w:fill="FFF8E6"/>
          </w:tcPr>
          <w:p>
            <w:pPr/>
          </w:p>
        </w:tc>
      </w:tr>
      <w:tr>
        <w:trPr>
          <w:trHeight w:val="245" w:hRule="exact"/>
        </w:trPr>
        <w:tc>
          <w:tcPr>
            <w:tcW w:w="2559" w:type="dxa"/>
            <w:vMerge/>
            <w:tcBorders>
              <w:left w:val="single" w:sz="4" w:space="0" w:color="FFC000"/>
              <w:bottom w:val="nil" w:sz="6" w:space="0" w:color="auto"/>
              <w:right w:val="single" w:sz="4" w:space="0" w:color="FFC000"/>
            </w:tcBorders>
            <w:shd w:val="clear" w:color="auto" w:fill="FFF8E6"/>
          </w:tcPr>
          <w:p>
            <w:pPr/>
          </w:p>
        </w:tc>
        <w:tc>
          <w:tcPr>
            <w:tcW w:w="1997"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54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其他应收款</w:t>
            </w:r>
          </w:p>
        </w:tc>
        <w:tc>
          <w:tcPr>
            <w:tcW w:w="2411"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w:t>
            </w:r>
          </w:p>
        </w:tc>
        <w:tc>
          <w:tcPr>
            <w:tcW w:w="212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698"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计提比例</w:t>
            </w:r>
          </w:p>
        </w:tc>
      </w:tr>
      <w:tr>
        <w:trPr>
          <w:trHeight w:val="250" w:hRule="exact"/>
        </w:trPr>
        <w:tc>
          <w:tcPr>
            <w:tcW w:w="2559" w:type="dxa"/>
            <w:tcBorders>
              <w:top w:val="nil" w:sz="6" w:space="0" w:color="auto"/>
              <w:left w:val="single" w:sz="4" w:space="0" w:color="FFC000"/>
              <w:bottom w:val="single" w:sz="4" w:space="0" w:color="FFC000"/>
              <w:right w:val="single" w:sz="4" w:space="0" w:color="FFC000"/>
            </w:tcBorders>
            <w:shd w:val="clear" w:color="auto" w:fill="FFF8E6"/>
          </w:tcPr>
          <w:p>
            <w:pPr/>
          </w:p>
        </w:tc>
        <w:tc>
          <w:tcPr>
            <w:tcW w:w="1997" w:type="dxa"/>
            <w:vMerge/>
            <w:tcBorders>
              <w:left w:val="single" w:sz="4" w:space="0" w:color="FFC000"/>
              <w:bottom w:val="single" w:sz="4" w:space="0" w:color="FFC000"/>
              <w:right w:val="single" w:sz="4" w:space="0" w:color="FFC000"/>
            </w:tcBorders>
            <w:shd w:val="clear" w:color="auto" w:fill="FFF8E6"/>
          </w:tcPr>
          <w:p>
            <w:pPr/>
          </w:p>
        </w:tc>
        <w:tc>
          <w:tcPr>
            <w:tcW w:w="2411" w:type="dxa"/>
            <w:vMerge/>
            <w:tcBorders>
              <w:left w:val="single" w:sz="4" w:space="0" w:color="FFC000"/>
              <w:bottom w:val="single" w:sz="4" w:space="0" w:color="FFC000"/>
              <w:right w:val="single" w:sz="4" w:space="0" w:color="FFC000"/>
            </w:tcBorders>
            <w:shd w:val="clear" w:color="auto" w:fill="FFF8E6"/>
          </w:tcPr>
          <w:p>
            <w:pPr/>
          </w:p>
        </w:tc>
        <w:tc>
          <w:tcPr>
            <w:tcW w:w="2128"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年以内</w:t>
            </w:r>
          </w:p>
        </w:tc>
        <w:tc>
          <w:tcPr>
            <w:tcW w:w="199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837,457,771.96</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41,872,888.60</w:t>
            </w:r>
          </w:p>
        </w:tc>
        <w:tc>
          <w:tcPr>
            <w:tcW w:w="21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5.00</w:t>
            </w:r>
          </w:p>
        </w:tc>
      </w:tr>
      <w:tr>
        <w:trPr>
          <w:trHeight w:val="491"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1 </w:t>
            </w:r>
            <w:r>
              <w:rPr>
                <w:rFonts w:ascii="华文细黑" w:hAnsi="华文细黑" w:cs="华文细黑" w:eastAsia="华文细黑" w:hint="default"/>
                <w:sz w:val="18"/>
                <w:szCs w:val="18"/>
              </w:rPr>
              <w:t>至 </w:t>
            </w:r>
            <w:r>
              <w:rPr>
                <w:rFonts w:ascii="华文细黑" w:hAnsi="华文细黑" w:cs="华文细黑" w:eastAsia="华文细黑" w:hint="default"/>
                <w:sz w:val="18"/>
                <w:szCs w:val="18"/>
              </w:rPr>
              <w:t>2</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w:t>
            </w:r>
          </w:p>
        </w:tc>
        <w:tc>
          <w:tcPr>
            <w:tcW w:w="199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11,763,709.96</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1,176,370.99</w:t>
            </w:r>
          </w:p>
        </w:tc>
        <w:tc>
          <w:tcPr>
            <w:tcW w:w="21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z w:val="18"/>
              </w:rPr>
              <w:t>10.00</w:t>
            </w:r>
          </w:p>
        </w:tc>
      </w:tr>
      <w:tr>
        <w:trPr>
          <w:trHeight w:val="490"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2 </w:t>
            </w:r>
            <w:r>
              <w:rPr>
                <w:rFonts w:ascii="华文细黑" w:hAnsi="华文细黑" w:cs="华文细黑" w:eastAsia="华文细黑" w:hint="default"/>
                <w:sz w:val="18"/>
                <w:szCs w:val="18"/>
              </w:rPr>
              <w:t>至 </w:t>
            </w:r>
            <w:r>
              <w:rPr>
                <w:rFonts w:ascii="华文细黑" w:hAnsi="华文细黑" w:cs="华文细黑" w:eastAsia="华文细黑" w:hint="default"/>
                <w:sz w:val="18"/>
                <w:szCs w:val="18"/>
              </w:rPr>
              <w:t>3</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w:t>
            </w:r>
          </w:p>
        </w:tc>
        <w:tc>
          <w:tcPr>
            <w:tcW w:w="199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114,011,028.36</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34,203,308.51</w:t>
            </w:r>
          </w:p>
        </w:tc>
        <w:tc>
          <w:tcPr>
            <w:tcW w:w="21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30.00</w:t>
            </w:r>
          </w:p>
        </w:tc>
      </w:tr>
      <w:tr>
        <w:trPr>
          <w:trHeight w:val="490"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3 </w:t>
            </w:r>
            <w:r>
              <w:rPr>
                <w:rFonts w:ascii="华文细黑" w:hAnsi="华文细黑" w:cs="华文细黑" w:eastAsia="华文细黑" w:hint="default"/>
                <w:sz w:val="18"/>
                <w:szCs w:val="18"/>
              </w:rPr>
              <w:t>至 </w:t>
            </w:r>
            <w:r>
              <w:rPr>
                <w:rFonts w:ascii="华文细黑" w:hAnsi="华文细黑" w:cs="华文细黑" w:eastAsia="华文细黑" w:hint="default"/>
                <w:sz w:val="18"/>
                <w:szCs w:val="18"/>
              </w:rPr>
              <w:t>4</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w:t>
            </w:r>
          </w:p>
        </w:tc>
        <w:tc>
          <w:tcPr>
            <w:tcW w:w="199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1,977,156.75</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988,578.38</w:t>
            </w:r>
          </w:p>
        </w:tc>
        <w:tc>
          <w:tcPr>
            <w:tcW w:w="21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50.00</w:t>
            </w:r>
          </w:p>
        </w:tc>
      </w:tr>
      <w:tr>
        <w:trPr>
          <w:trHeight w:val="491"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4 </w:t>
            </w:r>
            <w:r>
              <w:rPr>
                <w:rFonts w:ascii="华文细黑" w:hAnsi="华文细黑" w:cs="华文细黑" w:eastAsia="华文细黑" w:hint="default"/>
                <w:sz w:val="18"/>
                <w:szCs w:val="18"/>
              </w:rPr>
              <w:t>至 </w:t>
            </w:r>
            <w:r>
              <w:rPr>
                <w:rFonts w:ascii="华文细黑" w:hAnsi="华文细黑" w:cs="华文细黑" w:eastAsia="华文细黑" w:hint="default"/>
                <w:sz w:val="18"/>
                <w:szCs w:val="18"/>
              </w:rPr>
              <w:t>5</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w:t>
            </w:r>
          </w:p>
        </w:tc>
        <w:tc>
          <w:tcPr>
            <w:tcW w:w="199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z w:val="18"/>
              </w:rPr>
              <w:t>1,641.35</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1,313.08</w:t>
            </w:r>
          </w:p>
        </w:tc>
        <w:tc>
          <w:tcPr>
            <w:tcW w:w="21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z w:val="18"/>
              </w:rPr>
              <w:t>80.00</w:t>
            </w:r>
          </w:p>
        </w:tc>
      </w:tr>
      <w:tr>
        <w:trPr>
          <w:trHeight w:val="490"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5</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年以上</w:t>
            </w:r>
          </w:p>
        </w:tc>
        <w:tc>
          <w:tcPr>
            <w:tcW w:w="199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z w:val="18"/>
              </w:rPr>
              <w:t>18,654.00</w:t>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18,654.00</w:t>
            </w:r>
          </w:p>
        </w:tc>
        <w:tc>
          <w:tcPr>
            <w:tcW w:w="21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z w:val="18"/>
              </w:rPr>
              <w:t>100.00</w:t>
            </w:r>
          </w:p>
        </w:tc>
      </w:tr>
      <w:tr>
        <w:trPr>
          <w:trHeight w:val="491" w:hRule="exact"/>
        </w:trPr>
        <w:tc>
          <w:tcPr>
            <w:tcW w:w="2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1997"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965,229,962.38</w:t>
            </w:r>
            <w:r>
              <w:rPr>
                <w:rFonts w:ascii="华文细黑"/>
                <w:sz w:val="18"/>
              </w:rPr>
            </w:r>
          </w:p>
        </w:tc>
        <w:tc>
          <w:tcPr>
            <w:tcW w:w="24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78,261,113.56</w:t>
            </w:r>
            <w:r>
              <w:rPr>
                <w:rFonts w:ascii="华文细黑"/>
                <w:sz w:val="18"/>
              </w:rPr>
            </w:r>
          </w:p>
        </w:tc>
        <w:tc>
          <w:tcPr>
            <w:tcW w:w="212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sz w:val="18"/>
              </w:rPr>
              <w:t>8.11</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560" w:right="1246"/>
        <w:jc w:val="left"/>
      </w:pPr>
      <w:r>
        <w:rPr/>
        <w:t>②其他应收款按款项性质分类情况</w:t>
      </w:r>
    </w:p>
    <w:p>
      <w:pPr>
        <w:spacing w:line="240" w:lineRule="auto" w:before="5"/>
        <w:rPr>
          <w:rFonts w:ascii="华文细黑" w:hAnsi="华文细黑" w:cs="华文细黑" w:eastAsia="华文细黑" w:hint="default"/>
          <w:sz w:val="5"/>
          <w:szCs w:val="5"/>
        </w:rPr>
      </w:pPr>
    </w:p>
    <w:tbl>
      <w:tblPr>
        <w:tblW w:w="0" w:type="auto"/>
        <w:jc w:val="left"/>
        <w:tblInd w:w="151" w:type="dxa"/>
        <w:tblLayout w:type="fixed"/>
        <w:tblCellMar>
          <w:top w:w="0" w:type="dxa"/>
          <w:left w:w="0" w:type="dxa"/>
          <w:bottom w:w="0" w:type="dxa"/>
          <w:right w:w="0" w:type="dxa"/>
        </w:tblCellMar>
        <w:tblLook w:val="01E0"/>
      </w:tblPr>
      <w:tblGrid>
        <w:gridCol w:w="4404"/>
        <w:gridCol w:w="2548"/>
        <w:gridCol w:w="2143"/>
      </w:tblGrid>
      <w:tr>
        <w:trPr>
          <w:trHeight w:val="490" w:hRule="exact"/>
        </w:trPr>
        <w:tc>
          <w:tcPr>
            <w:tcW w:w="44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款项性质</w:t>
            </w:r>
          </w:p>
        </w:tc>
        <w:tc>
          <w:tcPr>
            <w:tcW w:w="2548"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73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年末账面余额</w:t>
            </w:r>
          </w:p>
        </w:tc>
        <w:tc>
          <w:tcPr>
            <w:tcW w:w="214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52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年初账面余额</w:t>
            </w:r>
          </w:p>
        </w:tc>
      </w:tr>
      <w:tr>
        <w:trPr>
          <w:trHeight w:val="490" w:hRule="exact"/>
        </w:trPr>
        <w:tc>
          <w:tcPr>
            <w:tcW w:w="44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关联单位往来</w:t>
            </w:r>
          </w:p>
        </w:tc>
        <w:tc>
          <w:tcPr>
            <w:tcW w:w="254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961,009,041.86</w:t>
            </w:r>
          </w:p>
        </w:tc>
        <w:tc>
          <w:tcPr>
            <w:tcW w:w="21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1,356,369,439.07</w:t>
            </w:r>
          </w:p>
        </w:tc>
      </w:tr>
      <w:tr>
        <w:trPr>
          <w:trHeight w:val="490" w:hRule="exact"/>
        </w:trPr>
        <w:tc>
          <w:tcPr>
            <w:tcW w:w="44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单位往来款</w:t>
            </w:r>
          </w:p>
        </w:tc>
        <w:tc>
          <w:tcPr>
            <w:tcW w:w="254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62,851,778.91</w:t>
            </w:r>
          </w:p>
        </w:tc>
        <w:tc>
          <w:tcPr>
            <w:tcW w:w="21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108,040,102.56</w:t>
            </w:r>
          </w:p>
        </w:tc>
      </w:tr>
      <w:tr>
        <w:trPr>
          <w:trHeight w:val="490" w:hRule="exact"/>
        </w:trPr>
        <w:tc>
          <w:tcPr>
            <w:tcW w:w="44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保证金、押金</w:t>
            </w:r>
          </w:p>
        </w:tc>
        <w:tc>
          <w:tcPr>
            <w:tcW w:w="254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29,075,871.16</w:t>
            </w:r>
          </w:p>
        </w:tc>
        <w:tc>
          <w:tcPr>
            <w:tcW w:w="21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56,798,967.90</w:t>
            </w:r>
          </w:p>
        </w:tc>
      </w:tr>
      <w:tr>
        <w:trPr>
          <w:trHeight w:val="490" w:hRule="exact"/>
        </w:trPr>
        <w:tc>
          <w:tcPr>
            <w:tcW w:w="44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员工备用金</w:t>
            </w:r>
          </w:p>
        </w:tc>
        <w:tc>
          <w:tcPr>
            <w:tcW w:w="254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w w:val="95"/>
                <w:sz w:val="18"/>
              </w:rPr>
              <w:t>967,120.65</w:t>
            </w:r>
          </w:p>
        </w:tc>
        <w:tc>
          <w:tcPr>
            <w:tcW w:w="21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3,131,863.95</w:t>
            </w:r>
          </w:p>
        </w:tc>
      </w:tr>
      <w:tr>
        <w:trPr>
          <w:trHeight w:val="490" w:hRule="exact"/>
        </w:trPr>
        <w:tc>
          <w:tcPr>
            <w:tcW w:w="44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代扣社保</w:t>
            </w:r>
          </w:p>
        </w:tc>
        <w:tc>
          <w:tcPr>
            <w:tcW w:w="254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w w:val="95"/>
                <w:sz w:val="18"/>
              </w:rPr>
              <w:t>702,919.98</w:t>
            </w:r>
          </w:p>
        </w:tc>
        <w:tc>
          <w:tcPr>
            <w:tcW w:w="21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440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54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1,054,606,732.56</w:t>
            </w:r>
            <w:r>
              <w:rPr>
                <w:rFonts w:ascii="华文细黑"/>
                <w:sz w:val="18"/>
              </w:rPr>
            </w:r>
          </w:p>
        </w:tc>
        <w:tc>
          <w:tcPr>
            <w:tcW w:w="2143"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1,524,340,373.48</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BodyText"/>
        <w:spacing w:line="355" w:lineRule="auto" w:before="10"/>
        <w:ind w:left="560" w:right="6179"/>
        <w:jc w:val="left"/>
      </w:pPr>
      <w:r>
        <w:rPr/>
        <w:t>③本年计提、收回或转回的坏账准备情况 本年转回坏账准备金额 </w:t>
      </w:r>
      <w:r>
        <w:rPr>
          <w:rFonts w:ascii="华文细黑" w:hAnsi="华文细黑" w:cs="华文细黑" w:eastAsia="华文细黑" w:hint="default"/>
        </w:rPr>
        <w:t>1,722,683.09 </w:t>
      </w:r>
      <w:r>
        <w:rPr/>
        <w:t>元。</w:t>
      </w:r>
    </w:p>
    <w:p>
      <w:pPr>
        <w:pStyle w:val="BodyText"/>
        <w:spacing w:line="240" w:lineRule="auto" w:before="35"/>
        <w:ind w:left="560" w:right="1246"/>
        <w:jc w:val="left"/>
      </w:pPr>
      <w:r>
        <w:rPr/>
        <w:t>④本年实际核销的其他应收款情况</w:t>
      </w:r>
    </w:p>
    <w:p>
      <w:pPr>
        <w:spacing w:after="0" w:line="240" w:lineRule="auto"/>
        <w:jc w:val="left"/>
        <w:sectPr>
          <w:pgSz w:w="11910" w:h="16840"/>
          <w:pgMar w:header="917" w:footer="1019" w:top="1100" w:bottom="1200" w:left="1300" w:right="0"/>
        </w:sectPr>
      </w:pPr>
    </w:p>
    <w:p>
      <w:pPr>
        <w:spacing w:line="240" w:lineRule="auto" w:before="8"/>
        <w:rPr>
          <w:rFonts w:ascii="华文细黑" w:hAnsi="华文细黑" w:cs="华文细黑" w:eastAsia="华文细黑" w:hint="default"/>
          <w:sz w:val="23"/>
          <w:szCs w:val="23"/>
        </w:rPr>
      </w:pPr>
    </w:p>
    <w:tbl>
      <w:tblPr>
        <w:tblW w:w="0" w:type="auto"/>
        <w:jc w:val="left"/>
        <w:tblInd w:w="351" w:type="dxa"/>
        <w:tblLayout w:type="fixed"/>
        <w:tblCellMar>
          <w:top w:w="0" w:type="dxa"/>
          <w:left w:w="0" w:type="dxa"/>
          <w:bottom w:w="0" w:type="dxa"/>
          <w:right w:w="0" w:type="dxa"/>
        </w:tblCellMar>
        <w:tblLook w:val="01E0"/>
      </w:tblPr>
      <w:tblGrid>
        <w:gridCol w:w="4403"/>
        <w:gridCol w:w="4692"/>
      </w:tblGrid>
      <w:tr>
        <w:trPr>
          <w:trHeight w:val="490" w:hRule="exact"/>
        </w:trPr>
        <w:tc>
          <w:tcPr>
            <w:tcW w:w="440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2"/>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目</w:t>
            </w:r>
          </w:p>
        </w:tc>
        <w:tc>
          <w:tcPr>
            <w:tcW w:w="46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9"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核销金额</w:t>
            </w:r>
          </w:p>
        </w:tc>
      </w:tr>
      <w:tr>
        <w:trPr>
          <w:trHeight w:val="490" w:hRule="exact"/>
        </w:trPr>
        <w:tc>
          <w:tcPr>
            <w:tcW w:w="4403"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实际核销的其他应收款</w:t>
            </w:r>
          </w:p>
        </w:tc>
        <w:tc>
          <w:tcPr>
            <w:tcW w:w="4692"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68,111,879.63</w:t>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760" w:right="0"/>
        <w:jc w:val="left"/>
      </w:pPr>
      <w:r>
        <w:rPr/>
        <w:t>其中重要的其他应收款核销情况</w:t>
      </w:r>
    </w:p>
    <w:p>
      <w:pPr>
        <w:spacing w:line="240" w:lineRule="auto" w:before="5"/>
        <w:rPr>
          <w:rFonts w:ascii="华文细黑" w:hAnsi="华文细黑" w:cs="华文细黑" w:eastAsia="华文细黑" w:hint="default"/>
          <w:sz w:val="5"/>
          <w:szCs w:val="5"/>
        </w:rPr>
      </w:pPr>
    </w:p>
    <w:tbl>
      <w:tblPr>
        <w:tblW w:w="0" w:type="auto"/>
        <w:jc w:val="left"/>
        <w:tblInd w:w="307" w:type="dxa"/>
        <w:tblLayout w:type="fixed"/>
        <w:tblCellMar>
          <w:top w:w="0" w:type="dxa"/>
          <w:left w:w="0" w:type="dxa"/>
          <w:bottom w:w="0" w:type="dxa"/>
          <w:right w:w="0" w:type="dxa"/>
        </w:tblCellMar>
        <w:tblLook w:val="01E0"/>
      </w:tblPr>
      <w:tblGrid>
        <w:gridCol w:w="1401"/>
        <w:gridCol w:w="2160"/>
        <w:gridCol w:w="1420"/>
        <w:gridCol w:w="1560"/>
        <w:gridCol w:w="1418"/>
        <w:gridCol w:w="1135"/>
      </w:tblGrid>
      <w:tr>
        <w:trPr>
          <w:trHeight w:val="226" w:hRule="exact"/>
        </w:trPr>
        <w:tc>
          <w:tcPr>
            <w:tcW w:w="1401" w:type="dxa"/>
            <w:tcBorders>
              <w:top w:val="single" w:sz="4" w:space="0" w:color="FFC000"/>
              <w:left w:val="single" w:sz="4" w:space="0" w:color="FFC000"/>
              <w:bottom w:val="nil" w:sz="6" w:space="0" w:color="auto"/>
              <w:right w:val="single" w:sz="4" w:space="0" w:color="FFC000"/>
            </w:tcBorders>
            <w:shd w:val="clear" w:color="auto" w:fill="FFF8E6"/>
          </w:tcPr>
          <w:p>
            <w:pPr/>
          </w:p>
        </w:tc>
        <w:tc>
          <w:tcPr>
            <w:tcW w:w="2160" w:type="dxa"/>
            <w:tcBorders>
              <w:top w:val="single" w:sz="4" w:space="0" w:color="FFC000"/>
              <w:left w:val="single" w:sz="4" w:space="0" w:color="FFC000"/>
              <w:bottom w:val="nil" w:sz="6" w:space="0" w:color="auto"/>
              <w:right w:val="single" w:sz="4" w:space="0" w:color="FFC000"/>
            </w:tcBorders>
            <w:shd w:val="clear" w:color="auto" w:fill="FFF8E6"/>
          </w:tcPr>
          <w:p>
            <w:pPr/>
          </w:p>
        </w:tc>
        <w:tc>
          <w:tcPr>
            <w:tcW w:w="1420" w:type="dxa"/>
            <w:tcBorders>
              <w:top w:val="single" w:sz="4" w:space="0" w:color="FFC000"/>
              <w:left w:val="single" w:sz="4" w:space="0" w:color="FFC000"/>
              <w:bottom w:val="nil" w:sz="6" w:space="0" w:color="auto"/>
              <w:right w:val="single" w:sz="4" w:space="0" w:color="FFC000"/>
            </w:tcBorders>
            <w:shd w:val="clear" w:color="auto" w:fill="FFF8E6"/>
          </w:tcPr>
          <w:p>
            <w:pPr/>
          </w:p>
        </w:tc>
        <w:tc>
          <w:tcPr>
            <w:tcW w:w="1560" w:type="dxa"/>
            <w:tcBorders>
              <w:top w:val="single" w:sz="4" w:space="0" w:color="FFC000"/>
              <w:left w:val="single" w:sz="4" w:space="0" w:color="FFC000"/>
              <w:bottom w:val="nil" w:sz="6" w:space="0" w:color="auto"/>
              <w:right w:val="single" w:sz="4" w:space="0" w:color="FFC000"/>
            </w:tcBorders>
            <w:shd w:val="clear" w:color="auto" w:fill="FFF8E6"/>
          </w:tcPr>
          <w:p>
            <w:pPr/>
          </w:p>
        </w:tc>
        <w:tc>
          <w:tcPr>
            <w:tcW w:w="1418" w:type="dxa"/>
            <w:vMerge w:val="restart"/>
            <w:tcBorders>
              <w:top w:val="single" w:sz="4" w:space="0" w:color="FFC000"/>
              <w:left w:val="single" w:sz="4" w:space="0" w:color="FFC000"/>
              <w:right w:val="single" w:sz="4" w:space="0" w:color="FFC000"/>
            </w:tcBorders>
            <w:shd w:val="clear" w:color="auto" w:fill="FFF8E6"/>
          </w:tcPr>
          <w:p>
            <w:pPr>
              <w:pStyle w:val="TableParagraph"/>
              <w:spacing w:line="440" w:lineRule="exact" w:before="9"/>
              <w:ind w:left="523" w:right="252" w:hanging="27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履行的核销 程序</w:t>
            </w:r>
          </w:p>
        </w:tc>
        <w:tc>
          <w:tcPr>
            <w:tcW w:w="1135" w:type="dxa"/>
            <w:vMerge w:val="restart"/>
            <w:tcBorders>
              <w:top w:val="single" w:sz="4" w:space="0" w:color="FFC000"/>
              <w:left w:val="single" w:sz="4" w:space="0" w:color="FFC000"/>
              <w:right w:val="single" w:sz="4" w:space="0" w:color="FFC000"/>
            </w:tcBorders>
            <w:shd w:val="clear" w:color="auto" w:fill="FFF8E6"/>
          </w:tcPr>
          <w:p>
            <w:pPr>
              <w:pStyle w:val="TableParagraph"/>
              <w:spacing w:line="440" w:lineRule="exact" w:before="9"/>
              <w:ind w:left="202" w:right="110" w:hanging="9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是否因关联 交易产生</w:t>
            </w:r>
          </w:p>
        </w:tc>
      </w:tr>
      <w:tr>
        <w:trPr>
          <w:trHeight w:val="480" w:hRule="exact"/>
        </w:trPr>
        <w:tc>
          <w:tcPr>
            <w:tcW w:w="1401"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32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单位名称</w:t>
            </w:r>
          </w:p>
        </w:tc>
        <w:tc>
          <w:tcPr>
            <w:tcW w:w="2160"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44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其他应收款性质</w:t>
            </w:r>
          </w:p>
        </w:tc>
        <w:tc>
          <w:tcPr>
            <w:tcW w:w="1420"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34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核销金额</w:t>
            </w:r>
          </w:p>
        </w:tc>
        <w:tc>
          <w:tcPr>
            <w:tcW w:w="1560"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right="414"/>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核销原因</w:t>
            </w:r>
          </w:p>
        </w:tc>
        <w:tc>
          <w:tcPr>
            <w:tcW w:w="1418" w:type="dxa"/>
            <w:vMerge/>
            <w:tcBorders>
              <w:left w:val="single" w:sz="4" w:space="0" w:color="FFC000"/>
              <w:right w:val="single" w:sz="4" w:space="0" w:color="FFC000"/>
            </w:tcBorders>
            <w:shd w:val="clear" w:color="auto" w:fill="FFF8E6"/>
          </w:tcPr>
          <w:p>
            <w:pPr/>
          </w:p>
        </w:tc>
        <w:tc>
          <w:tcPr>
            <w:tcW w:w="1135" w:type="dxa"/>
            <w:vMerge/>
            <w:tcBorders>
              <w:left w:val="single" w:sz="4" w:space="0" w:color="FFC000"/>
              <w:right w:val="single" w:sz="4" w:space="0" w:color="FFC000"/>
            </w:tcBorders>
            <w:shd w:val="clear" w:color="auto" w:fill="FFF8E6"/>
          </w:tcPr>
          <w:p>
            <w:pPr/>
          </w:p>
        </w:tc>
      </w:tr>
      <w:tr>
        <w:trPr>
          <w:trHeight w:val="224" w:hRule="exact"/>
        </w:trPr>
        <w:tc>
          <w:tcPr>
            <w:tcW w:w="1401" w:type="dxa"/>
            <w:tcBorders>
              <w:top w:val="nil" w:sz="6" w:space="0" w:color="auto"/>
              <w:left w:val="single" w:sz="4" w:space="0" w:color="FFC000"/>
              <w:bottom w:val="single" w:sz="4" w:space="0" w:color="FFC000"/>
              <w:right w:val="single" w:sz="4" w:space="0" w:color="FFC000"/>
            </w:tcBorders>
            <w:shd w:val="clear" w:color="auto" w:fill="FFF8E6"/>
          </w:tcPr>
          <w:p>
            <w:pPr/>
          </w:p>
        </w:tc>
        <w:tc>
          <w:tcPr>
            <w:tcW w:w="2160" w:type="dxa"/>
            <w:tcBorders>
              <w:top w:val="nil" w:sz="6" w:space="0" w:color="auto"/>
              <w:left w:val="single" w:sz="4" w:space="0" w:color="FFC000"/>
              <w:bottom w:val="single" w:sz="4" w:space="0" w:color="FFC000"/>
              <w:right w:val="single" w:sz="4" w:space="0" w:color="FFC000"/>
            </w:tcBorders>
            <w:shd w:val="clear" w:color="auto" w:fill="FFF8E6"/>
          </w:tcPr>
          <w:p>
            <w:pPr/>
          </w:p>
        </w:tc>
        <w:tc>
          <w:tcPr>
            <w:tcW w:w="1420" w:type="dxa"/>
            <w:tcBorders>
              <w:top w:val="nil" w:sz="6" w:space="0" w:color="auto"/>
              <w:left w:val="single" w:sz="4" w:space="0" w:color="FFC000"/>
              <w:bottom w:val="single" w:sz="4" w:space="0" w:color="FFC000"/>
              <w:right w:val="single" w:sz="4" w:space="0" w:color="FFC000"/>
            </w:tcBorders>
            <w:shd w:val="clear" w:color="auto" w:fill="FFF8E6"/>
          </w:tcPr>
          <w:p>
            <w:pPr/>
          </w:p>
        </w:tc>
        <w:tc>
          <w:tcPr>
            <w:tcW w:w="1560" w:type="dxa"/>
            <w:tcBorders>
              <w:top w:val="nil" w:sz="6" w:space="0" w:color="auto"/>
              <w:left w:val="single" w:sz="4" w:space="0" w:color="FFC000"/>
              <w:bottom w:val="single" w:sz="4" w:space="0" w:color="FFC000"/>
              <w:right w:val="single" w:sz="4" w:space="0" w:color="FFC000"/>
            </w:tcBorders>
            <w:shd w:val="clear" w:color="auto" w:fill="FFF8E6"/>
          </w:tcPr>
          <w:p>
            <w:pPr/>
          </w:p>
        </w:tc>
        <w:tc>
          <w:tcPr>
            <w:tcW w:w="1418" w:type="dxa"/>
            <w:vMerge/>
            <w:tcBorders>
              <w:left w:val="single" w:sz="4" w:space="0" w:color="FFC000"/>
              <w:bottom w:val="single" w:sz="4" w:space="0" w:color="FFC000"/>
              <w:right w:val="single" w:sz="4" w:space="0" w:color="FFC000"/>
            </w:tcBorders>
            <w:shd w:val="clear" w:color="auto" w:fill="FFF8E6"/>
          </w:tcPr>
          <w:p>
            <w:pPr/>
          </w:p>
        </w:tc>
        <w:tc>
          <w:tcPr>
            <w:tcW w:w="1135"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140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供应商</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A</w:t>
            </w:r>
          </w:p>
        </w:tc>
        <w:tc>
          <w:tcPr>
            <w:tcW w:w="2160" w:type="dxa"/>
            <w:tcBorders>
              <w:top w:val="single" w:sz="4" w:space="0" w:color="FFC000"/>
              <w:left w:val="single" w:sz="9" w:space="0" w:color="FFF8E6"/>
              <w:bottom w:val="single" w:sz="4" w:space="0" w:color="FFC000"/>
              <w:right w:val="single" w:sz="4" w:space="0" w:color="FFC000"/>
            </w:tcBorders>
          </w:tcPr>
          <w:p>
            <w:pPr>
              <w:pStyle w:val="TableParagraph"/>
              <w:spacing w:line="240" w:lineRule="auto" w:before="84"/>
              <w:ind w:left="1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合作结束，预付货款转入</w:t>
            </w:r>
          </w:p>
        </w:tc>
        <w:tc>
          <w:tcPr>
            <w:tcW w:w="14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4"/>
              <w:ind w:right="21"/>
              <w:jc w:val="right"/>
              <w:rPr>
                <w:rFonts w:ascii="华文细黑" w:hAnsi="华文细黑" w:cs="华文细黑" w:eastAsia="华文细黑" w:hint="default"/>
                <w:sz w:val="18"/>
                <w:szCs w:val="18"/>
              </w:rPr>
            </w:pPr>
            <w:r>
              <w:rPr>
                <w:rFonts w:ascii="华文细黑"/>
                <w:sz w:val="18"/>
              </w:rPr>
              <w:t>67,487,941.45</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4"/>
              <w:ind w:right="445"/>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预计无法收回</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4"/>
              <w:ind w:left="22"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董事会审批</w:t>
            </w:r>
          </w:p>
        </w:tc>
        <w:tc>
          <w:tcPr>
            <w:tcW w:w="1135"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否</w:t>
            </w:r>
          </w:p>
        </w:tc>
      </w:tr>
      <w:tr>
        <w:trPr>
          <w:trHeight w:val="491" w:hRule="exact"/>
        </w:trPr>
        <w:tc>
          <w:tcPr>
            <w:tcW w:w="140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41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2160" w:type="dxa"/>
            <w:tcBorders>
              <w:top w:val="single" w:sz="4" w:space="0" w:color="FFC000"/>
              <w:left w:val="single" w:sz="9" w:space="0" w:color="FFF8E6"/>
              <w:bottom w:val="single" w:sz="4" w:space="0" w:color="FFC000"/>
              <w:right w:val="single" w:sz="4" w:space="0" w:color="FFC000"/>
            </w:tcBorders>
          </w:tcPr>
          <w:p>
            <w:pPr/>
          </w:p>
        </w:tc>
        <w:tc>
          <w:tcPr>
            <w:tcW w:w="142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b/>
                <w:w w:val="95"/>
                <w:sz w:val="18"/>
              </w:rPr>
              <w:t>67,487,941.45</w:t>
            </w:r>
            <w:r>
              <w:rPr>
                <w:rFonts w:ascii="华文细黑"/>
                <w:sz w:val="18"/>
              </w:rPr>
            </w:r>
          </w:p>
        </w:tc>
        <w:tc>
          <w:tcPr>
            <w:tcW w:w="1560" w:type="dxa"/>
            <w:tcBorders>
              <w:top w:val="single" w:sz="4" w:space="0" w:color="FFC000"/>
              <w:left w:val="single" w:sz="4" w:space="0" w:color="FFC000"/>
              <w:bottom w:val="single" w:sz="4" w:space="0" w:color="FFC000"/>
              <w:right w:val="single" w:sz="4" w:space="0" w:color="FFC000"/>
            </w:tcBorders>
          </w:tcPr>
          <w:p>
            <w:pPr/>
          </w:p>
        </w:tc>
        <w:tc>
          <w:tcPr>
            <w:tcW w:w="1418" w:type="dxa"/>
            <w:tcBorders>
              <w:top w:val="single" w:sz="4" w:space="0" w:color="FFC000"/>
              <w:left w:val="single" w:sz="4" w:space="0" w:color="FFC000"/>
              <w:bottom w:val="single" w:sz="4" w:space="0" w:color="FFC000"/>
              <w:right w:val="single" w:sz="4" w:space="0" w:color="FFC000"/>
            </w:tcBorders>
          </w:tcPr>
          <w:p>
            <w:pPr/>
          </w:p>
        </w:tc>
        <w:tc>
          <w:tcPr>
            <w:tcW w:w="1135" w:type="dxa"/>
            <w:tcBorders>
              <w:top w:val="single" w:sz="4" w:space="0" w:color="FFC000"/>
              <w:left w:val="single" w:sz="4" w:space="0" w:color="FFC000"/>
              <w:bottom w:val="single" w:sz="4" w:space="0" w:color="FFC000"/>
              <w:right w:val="single" w:sz="4" w:space="0" w:color="FFC000"/>
            </w:tcBorders>
          </w:tcPr>
          <w:p>
            <w:pP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760" w:right="0"/>
        <w:jc w:val="left"/>
      </w:pPr>
      <w:r>
        <w:rPr/>
        <w:t>⑤按欠款方归集的年末余额前五名的其他应收款情况</w:t>
      </w:r>
    </w:p>
    <w:p>
      <w:pPr>
        <w:spacing w:line="240" w:lineRule="auto" w:before="5"/>
        <w:rPr>
          <w:rFonts w:ascii="华文细黑" w:hAnsi="华文细黑" w:cs="华文细黑" w:eastAsia="华文细黑" w:hint="default"/>
          <w:sz w:val="5"/>
          <w:szCs w:val="5"/>
        </w:rPr>
      </w:pPr>
    </w:p>
    <w:tbl>
      <w:tblPr>
        <w:tblW w:w="0" w:type="auto"/>
        <w:jc w:val="left"/>
        <w:tblInd w:w="351" w:type="dxa"/>
        <w:tblLayout w:type="fixed"/>
        <w:tblCellMar>
          <w:top w:w="0" w:type="dxa"/>
          <w:left w:w="0" w:type="dxa"/>
          <w:bottom w:w="0" w:type="dxa"/>
          <w:right w:w="0" w:type="dxa"/>
        </w:tblCellMar>
        <w:tblLook w:val="01E0"/>
      </w:tblPr>
      <w:tblGrid>
        <w:gridCol w:w="1655"/>
        <w:gridCol w:w="1448"/>
        <w:gridCol w:w="1559"/>
        <w:gridCol w:w="992"/>
        <w:gridCol w:w="1844"/>
        <w:gridCol w:w="1418"/>
      </w:tblGrid>
      <w:tr>
        <w:trPr>
          <w:trHeight w:val="226" w:hRule="exact"/>
        </w:trPr>
        <w:tc>
          <w:tcPr>
            <w:tcW w:w="1655" w:type="dxa"/>
            <w:tcBorders>
              <w:top w:val="single" w:sz="4" w:space="0" w:color="FFC000"/>
              <w:left w:val="single" w:sz="4" w:space="0" w:color="FFC000"/>
              <w:bottom w:val="nil" w:sz="6" w:space="0" w:color="auto"/>
              <w:right w:val="single" w:sz="4" w:space="0" w:color="FFC000"/>
            </w:tcBorders>
            <w:shd w:val="clear" w:color="auto" w:fill="FFF8E6"/>
          </w:tcPr>
          <w:p>
            <w:pPr/>
          </w:p>
        </w:tc>
        <w:tc>
          <w:tcPr>
            <w:tcW w:w="1448" w:type="dxa"/>
            <w:tcBorders>
              <w:top w:val="single" w:sz="4" w:space="0" w:color="FFC000"/>
              <w:left w:val="single" w:sz="4" w:space="0" w:color="FFC000"/>
              <w:bottom w:val="nil" w:sz="6" w:space="0" w:color="auto"/>
              <w:right w:val="single" w:sz="4" w:space="0" w:color="FFC000"/>
            </w:tcBorders>
            <w:shd w:val="clear" w:color="auto" w:fill="FFF8E6"/>
          </w:tcPr>
          <w:p>
            <w:pPr/>
          </w:p>
        </w:tc>
        <w:tc>
          <w:tcPr>
            <w:tcW w:w="1559" w:type="dxa"/>
            <w:tcBorders>
              <w:top w:val="single" w:sz="4" w:space="0" w:color="FFC000"/>
              <w:left w:val="single" w:sz="4" w:space="0" w:color="FFC000"/>
              <w:bottom w:val="nil" w:sz="6" w:space="0" w:color="auto"/>
              <w:right w:val="single" w:sz="4" w:space="0" w:color="FFC000"/>
            </w:tcBorders>
            <w:shd w:val="clear" w:color="auto" w:fill="FFF8E6"/>
          </w:tcPr>
          <w:p>
            <w:pPr/>
          </w:p>
        </w:tc>
        <w:tc>
          <w:tcPr>
            <w:tcW w:w="992" w:type="dxa"/>
            <w:tcBorders>
              <w:top w:val="single" w:sz="4" w:space="0" w:color="FFC000"/>
              <w:left w:val="single" w:sz="4" w:space="0" w:color="FFC000"/>
              <w:bottom w:val="nil" w:sz="6" w:space="0" w:color="auto"/>
              <w:right w:val="single" w:sz="4" w:space="0" w:color="FFC000"/>
            </w:tcBorders>
            <w:shd w:val="clear" w:color="auto" w:fill="FFF8E6"/>
          </w:tcPr>
          <w:p>
            <w:pPr/>
          </w:p>
        </w:tc>
        <w:tc>
          <w:tcPr>
            <w:tcW w:w="1844" w:type="dxa"/>
            <w:vMerge w:val="restart"/>
            <w:tcBorders>
              <w:top w:val="single" w:sz="4" w:space="0" w:color="FFC000"/>
              <w:left w:val="single" w:sz="4" w:space="0" w:color="FFC000"/>
              <w:right w:val="single" w:sz="4" w:space="0" w:color="FFC000"/>
            </w:tcBorders>
            <w:shd w:val="clear" w:color="auto" w:fill="FFF8E6"/>
          </w:tcPr>
          <w:p>
            <w:pPr>
              <w:pStyle w:val="TableParagraph"/>
              <w:spacing w:line="379" w:lineRule="auto" w:before="143"/>
              <w:ind w:left="35" w:right="36" w:firstLine="69"/>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占其他应收款年末余 额合计数的比例（</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1418" w:type="dxa"/>
            <w:vMerge w:val="restart"/>
            <w:tcBorders>
              <w:top w:val="single" w:sz="4" w:space="0" w:color="FFC000"/>
              <w:left w:val="single" w:sz="4" w:space="0" w:color="FFC000"/>
              <w:right w:val="single" w:sz="4" w:space="0" w:color="FFC000"/>
            </w:tcBorders>
            <w:shd w:val="clear" w:color="auto" w:fill="FFF8E6"/>
          </w:tcPr>
          <w:p>
            <w:pPr>
              <w:pStyle w:val="TableParagraph"/>
              <w:spacing w:line="440" w:lineRule="exact" w:before="9"/>
              <w:ind w:left="343" w:right="343"/>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坏账准备 年末余额</w:t>
            </w:r>
          </w:p>
        </w:tc>
      </w:tr>
      <w:tr>
        <w:trPr>
          <w:trHeight w:val="480" w:hRule="exact"/>
        </w:trPr>
        <w:tc>
          <w:tcPr>
            <w:tcW w:w="1655"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46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单位名称</w:t>
            </w:r>
          </w:p>
        </w:tc>
        <w:tc>
          <w:tcPr>
            <w:tcW w:w="1448"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right="353"/>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款项性质</w:t>
            </w:r>
          </w:p>
        </w:tc>
        <w:tc>
          <w:tcPr>
            <w:tcW w:w="1559"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41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992"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right="30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账龄</w:t>
            </w:r>
          </w:p>
        </w:tc>
        <w:tc>
          <w:tcPr>
            <w:tcW w:w="1844" w:type="dxa"/>
            <w:vMerge/>
            <w:tcBorders>
              <w:left w:val="single" w:sz="4" w:space="0" w:color="FFC000"/>
              <w:right w:val="single" w:sz="4" w:space="0" w:color="FFC000"/>
            </w:tcBorders>
            <w:shd w:val="clear" w:color="auto" w:fill="FFF8E6"/>
          </w:tcPr>
          <w:p>
            <w:pPr/>
          </w:p>
        </w:tc>
        <w:tc>
          <w:tcPr>
            <w:tcW w:w="1418" w:type="dxa"/>
            <w:vMerge/>
            <w:tcBorders>
              <w:left w:val="single" w:sz="4" w:space="0" w:color="FFC000"/>
              <w:right w:val="single" w:sz="4" w:space="0" w:color="FFC000"/>
            </w:tcBorders>
            <w:shd w:val="clear" w:color="auto" w:fill="FFF8E6"/>
          </w:tcPr>
          <w:p>
            <w:pPr/>
          </w:p>
        </w:tc>
      </w:tr>
      <w:tr>
        <w:trPr>
          <w:trHeight w:val="224" w:hRule="exact"/>
        </w:trPr>
        <w:tc>
          <w:tcPr>
            <w:tcW w:w="1655" w:type="dxa"/>
            <w:tcBorders>
              <w:top w:val="nil" w:sz="6" w:space="0" w:color="auto"/>
              <w:left w:val="single" w:sz="4" w:space="0" w:color="FFC000"/>
              <w:bottom w:val="single" w:sz="4" w:space="0" w:color="FFC000"/>
              <w:right w:val="single" w:sz="4" w:space="0" w:color="FFC000"/>
            </w:tcBorders>
            <w:shd w:val="clear" w:color="auto" w:fill="FFF8E6"/>
          </w:tcPr>
          <w:p>
            <w:pPr/>
          </w:p>
        </w:tc>
        <w:tc>
          <w:tcPr>
            <w:tcW w:w="1448" w:type="dxa"/>
            <w:tcBorders>
              <w:top w:val="nil" w:sz="6" w:space="0" w:color="auto"/>
              <w:left w:val="single" w:sz="4" w:space="0" w:color="FFC000"/>
              <w:bottom w:val="single" w:sz="4" w:space="0" w:color="FFC000"/>
              <w:right w:val="single" w:sz="4" w:space="0" w:color="FFC000"/>
            </w:tcBorders>
            <w:shd w:val="clear" w:color="auto" w:fill="FFF8E6"/>
          </w:tcPr>
          <w:p>
            <w:pPr/>
          </w:p>
        </w:tc>
        <w:tc>
          <w:tcPr>
            <w:tcW w:w="1559" w:type="dxa"/>
            <w:tcBorders>
              <w:top w:val="nil" w:sz="6" w:space="0" w:color="auto"/>
              <w:left w:val="single" w:sz="4" w:space="0" w:color="FFC000"/>
              <w:bottom w:val="single" w:sz="4" w:space="0" w:color="FFC000"/>
              <w:right w:val="single" w:sz="4" w:space="0" w:color="FFC000"/>
            </w:tcBorders>
            <w:shd w:val="clear" w:color="auto" w:fill="FFF8E6"/>
          </w:tcPr>
          <w:p>
            <w:pPr/>
          </w:p>
        </w:tc>
        <w:tc>
          <w:tcPr>
            <w:tcW w:w="992" w:type="dxa"/>
            <w:tcBorders>
              <w:top w:val="nil" w:sz="6" w:space="0" w:color="auto"/>
              <w:left w:val="single" w:sz="4" w:space="0" w:color="FFC000"/>
              <w:bottom w:val="single" w:sz="4" w:space="0" w:color="FFC000"/>
              <w:right w:val="single" w:sz="4" w:space="0" w:color="FFC000"/>
            </w:tcBorders>
            <w:shd w:val="clear" w:color="auto" w:fill="FFF8E6"/>
          </w:tcPr>
          <w:p>
            <w:pPr/>
          </w:p>
        </w:tc>
        <w:tc>
          <w:tcPr>
            <w:tcW w:w="1844" w:type="dxa"/>
            <w:vMerge/>
            <w:tcBorders>
              <w:left w:val="single" w:sz="4" w:space="0" w:color="FFC000"/>
              <w:bottom w:val="single" w:sz="4" w:space="0" w:color="FFC000"/>
              <w:right w:val="single" w:sz="4" w:space="0" w:color="FFC000"/>
            </w:tcBorders>
            <w:shd w:val="clear" w:color="auto" w:fill="FFF8E6"/>
          </w:tcPr>
          <w:p>
            <w:pPr/>
          </w:p>
        </w:tc>
        <w:tc>
          <w:tcPr>
            <w:tcW w:w="1418"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165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第一名</w:t>
            </w:r>
          </w:p>
        </w:tc>
        <w:tc>
          <w:tcPr>
            <w:tcW w:w="144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323"/>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关联公司往来</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179,925,784.72</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7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年以内</w:t>
            </w:r>
          </w:p>
        </w:tc>
        <w:tc>
          <w:tcPr>
            <w:tcW w:w="1844" w:type="dxa"/>
            <w:tcBorders>
              <w:top w:val="single" w:sz="16" w:space="0" w:color="FFF8E6"/>
              <w:left w:val="single" w:sz="4" w:space="0" w:color="FFC000"/>
              <w:bottom w:val="single" w:sz="4" w:space="0" w:color="FFC000"/>
              <w:right w:val="single" w:sz="4" w:space="0" w:color="FFC000"/>
            </w:tcBorders>
          </w:tcPr>
          <w:p>
            <w:pPr>
              <w:pStyle w:val="TableParagraph"/>
              <w:spacing w:line="240" w:lineRule="auto" w:before="129"/>
              <w:ind w:right="23"/>
              <w:jc w:val="right"/>
              <w:rPr>
                <w:rFonts w:ascii="华文细黑" w:hAnsi="华文细黑" w:cs="华文细黑" w:eastAsia="华文细黑" w:hint="default"/>
                <w:sz w:val="18"/>
                <w:szCs w:val="18"/>
              </w:rPr>
            </w:pPr>
            <w:r>
              <w:rPr>
                <w:rFonts w:ascii="华文细黑"/>
                <w:sz w:val="18"/>
              </w:rPr>
              <w:t>17.06</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9,030,126.85</w:t>
            </w:r>
          </w:p>
        </w:tc>
      </w:tr>
      <w:tr>
        <w:trPr>
          <w:trHeight w:val="491" w:hRule="exact"/>
        </w:trPr>
        <w:tc>
          <w:tcPr>
            <w:tcW w:w="165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第二名</w:t>
            </w:r>
          </w:p>
        </w:tc>
        <w:tc>
          <w:tcPr>
            <w:tcW w:w="144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323"/>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关联公司往来</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141,310,416.67</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7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年以内</w:t>
            </w:r>
          </w:p>
        </w:tc>
        <w:tc>
          <w:tcPr>
            <w:tcW w:w="18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z w:val="18"/>
              </w:rPr>
              <w:t>13.40</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7,179,592.70</w:t>
            </w:r>
          </w:p>
        </w:tc>
      </w:tr>
      <w:tr>
        <w:trPr>
          <w:trHeight w:val="490" w:hRule="exact"/>
        </w:trPr>
        <w:tc>
          <w:tcPr>
            <w:tcW w:w="165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第三名</w:t>
            </w:r>
          </w:p>
        </w:tc>
        <w:tc>
          <w:tcPr>
            <w:tcW w:w="144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323"/>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关联公司往来</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125,781,403.92</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7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年以内</w:t>
            </w:r>
          </w:p>
        </w:tc>
        <w:tc>
          <w:tcPr>
            <w:tcW w:w="18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11.93</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6,289,070.20</w:t>
            </w:r>
          </w:p>
        </w:tc>
      </w:tr>
      <w:tr>
        <w:trPr>
          <w:trHeight w:val="490" w:hRule="exact"/>
        </w:trPr>
        <w:tc>
          <w:tcPr>
            <w:tcW w:w="165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第四名</w:t>
            </w:r>
          </w:p>
        </w:tc>
        <w:tc>
          <w:tcPr>
            <w:tcW w:w="144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323"/>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关联公司往来</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115,811,618.09</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7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1</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年以内</w:t>
            </w:r>
          </w:p>
        </w:tc>
        <w:tc>
          <w:tcPr>
            <w:tcW w:w="18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10.98</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5,790,580.90</w:t>
            </w:r>
          </w:p>
        </w:tc>
      </w:tr>
      <w:tr>
        <w:trPr>
          <w:trHeight w:val="491" w:hRule="exact"/>
        </w:trPr>
        <w:tc>
          <w:tcPr>
            <w:tcW w:w="165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6"/>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第五名</w:t>
            </w:r>
          </w:p>
        </w:tc>
        <w:tc>
          <w:tcPr>
            <w:tcW w:w="1448"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6"/>
              <w:ind w:right="323"/>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关联公司往来</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21"/>
              <w:jc w:val="right"/>
              <w:rPr>
                <w:rFonts w:ascii="华文细黑" w:hAnsi="华文细黑" w:cs="华文细黑" w:eastAsia="华文细黑" w:hint="default"/>
                <w:sz w:val="18"/>
                <w:szCs w:val="18"/>
              </w:rPr>
            </w:pPr>
            <w:r>
              <w:rPr>
                <w:rFonts w:ascii="华文细黑"/>
                <w:sz w:val="18"/>
              </w:rPr>
              <w:t>111,886,311.03</w:t>
            </w:r>
          </w:p>
        </w:tc>
        <w:tc>
          <w:tcPr>
            <w:tcW w:w="99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272"/>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3</w:t>
            </w:r>
            <w:r>
              <w:rPr>
                <w:rFonts w:ascii="华文细黑" w:hAnsi="华文细黑" w:cs="华文细黑" w:eastAsia="华文细黑" w:hint="default"/>
                <w:spacing w:val="-1"/>
                <w:sz w:val="18"/>
                <w:szCs w:val="18"/>
              </w:rPr>
              <w:t> </w:t>
            </w:r>
            <w:r>
              <w:rPr>
                <w:rFonts w:ascii="华文细黑" w:hAnsi="华文细黑" w:cs="华文细黑" w:eastAsia="华文细黑" w:hint="default"/>
                <w:sz w:val="18"/>
                <w:szCs w:val="18"/>
              </w:rPr>
              <w:t>年以内</w:t>
            </w:r>
          </w:p>
        </w:tc>
        <w:tc>
          <w:tcPr>
            <w:tcW w:w="18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23"/>
              <w:jc w:val="right"/>
              <w:rPr>
                <w:rFonts w:ascii="华文细黑" w:hAnsi="华文细黑" w:cs="华文细黑" w:eastAsia="华文细黑" w:hint="default"/>
                <w:sz w:val="18"/>
                <w:szCs w:val="18"/>
              </w:rPr>
            </w:pPr>
            <w:r>
              <w:rPr>
                <w:rFonts w:ascii="华文细黑"/>
                <w:sz w:val="18"/>
              </w:rPr>
              <w:t>10.61</w:t>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21"/>
              <w:jc w:val="right"/>
              <w:rPr>
                <w:rFonts w:ascii="华文细黑" w:hAnsi="华文细黑" w:cs="华文细黑" w:eastAsia="华文细黑" w:hint="default"/>
                <w:sz w:val="18"/>
                <w:szCs w:val="18"/>
              </w:rPr>
            </w:pPr>
            <w:r>
              <w:rPr>
                <w:rFonts w:ascii="华文细黑"/>
                <w:sz w:val="18"/>
              </w:rPr>
              <w:t>31,369,913.89</w:t>
            </w:r>
          </w:p>
        </w:tc>
      </w:tr>
      <w:tr>
        <w:trPr>
          <w:trHeight w:val="490" w:hRule="exact"/>
        </w:trPr>
        <w:tc>
          <w:tcPr>
            <w:tcW w:w="165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1448" w:type="dxa"/>
            <w:tcBorders>
              <w:top w:val="single" w:sz="4" w:space="0" w:color="FFC000"/>
              <w:left w:val="single" w:sz="13" w:space="0" w:color="FFF8E6"/>
              <w:bottom w:val="single" w:sz="4" w:space="0" w:color="FFC000"/>
              <w:right w:val="single" w:sz="4" w:space="0" w:color="FFC000"/>
            </w:tcBorders>
          </w:tcPr>
          <w:p>
            <w:pP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674,715,534.43</w:t>
            </w:r>
            <w:r>
              <w:rPr>
                <w:rFonts w:ascii="华文细黑"/>
                <w:sz w:val="18"/>
              </w:rPr>
            </w:r>
          </w:p>
        </w:tc>
        <w:tc>
          <w:tcPr>
            <w:tcW w:w="992" w:type="dxa"/>
            <w:tcBorders>
              <w:top w:val="single" w:sz="4" w:space="0" w:color="FFC000"/>
              <w:left w:val="single" w:sz="4" w:space="0" w:color="FFC000"/>
              <w:bottom w:val="single" w:sz="4" w:space="0" w:color="FFC000"/>
              <w:right w:val="single" w:sz="4" w:space="0" w:color="FFC000"/>
            </w:tcBorders>
          </w:tcPr>
          <w:p>
            <w:pPr/>
          </w:p>
        </w:tc>
        <w:tc>
          <w:tcPr>
            <w:tcW w:w="18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63.98</w:t>
            </w:r>
            <w:r>
              <w:rPr>
                <w:rFonts w:ascii="华文细黑"/>
                <w:sz w:val="18"/>
              </w:rPr>
            </w:r>
          </w:p>
        </w:tc>
        <w:tc>
          <w:tcPr>
            <w:tcW w:w="141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59,659,284.54</w:t>
            </w:r>
            <w:r>
              <w:rPr>
                <w:rFonts w:ascii="华文细黑"/>
                <w:sz w:val="18"/>
              </w:rPr>
            </w:r>
          </w:p>
        </w:tc>
      </w:tr>
    </w:tbl>
    <w:p>
      <w:pPr>
        <w:spacing w:line="240" w:lineRule="auto" w:before="13"/>
        <w:rPr>
          <w:rFonts w:ascii="华文细黑" w:hAnsi="华文细黑" w:cs="华文细黑" w:eastAsia="华文细黑" w:hint="default"/>
          <w:sz w:val="6"/>
          <w:szCs w:val="6"/>
        </w:rPr>
      </w:pPr>
    </w:p>
    <w:p>
      <w:pPr>
        <w:pStyle w:val="Heading5"/>
        <w:spacing w:line="240" w:lineRule="auto"/>
        <w:ind w:left="760" w:right="0"/>
        <w:jc w:val="left"/>
        <w:rPr>
          <w:b w:val="0"/>
          <w:bCs w:val="0"/>
        </w:rPr>
      </w:pPr>
      <w:bookmarkStart w:name="3、长期股权投资" w:id="361"/>
      <w:bookmarkEnd w:id="361"/>
      <w:r>
        <w:rPr>
          <w:b w:val="0"/>
          <w:bCs w:val="0"/>
        </w:rPr>
      </w:r>
      <w:r>
        <w:rPr>
          <w:rFonts w:ascii="华文细黑" w:hAnsi="华文细黑" w:cs="华文细黑" w:eastAsia="华文细黑" w:hint="default"/>
        </w:rPr>
        <w:t>3</w:t>
      </w:r>
      <w:r>
        <w:rPr/>
        <w:t>、长期股权投资</w:t>
      </w:r>
      <w:r>
        <w:rPr>
          <w:b w:val="0"/>
          <w:bCs w:val="0"/>
        </w:rPr>
      </w:r>
    </w:p>
    <w:p>
      <w:pPr>
        <w:pStyle w:val="BodyText"/>
        <w:spacing w:line="240" w:lineRule="auto" w:before="142"/>
        <w:ind w:left="760" w:right="0"/>
        <w:jc w:val="left"/>
      </w:pPr>
      <w:r>
        <w:rPr/>
        <w:t>（</w:t>
      </w:r>
      <w:r>
        <w:rPr>
          <w:rFonts w:ascii="华文细黑" w:hAnsi="华文细黑" w:cs="华文细黑" w:eastAsia="华文细黑" w:hint="default"/>
        </w:rPr>
        <w:t>1</w:t>
      </w:r>
      <w:r>
        <w:rPr/>
        <w:t>）长期股权投资分类</w:t>
      </w:r>
    </w:p>
    <w:p>
      <w:pPr>
        <w:spacing w:line="240" w:lineRule="auto" w:before="6"/>
        <w:rPr>
          <w:rFonts w:ascii="华文细黑" w:hAnsi="华文细黑" w:cs="华文细黑" w:eastAsia="华文细黑" w:hint="default"/>
          <w:sz w:val="5"/>
          <w:szCs w:val="5"/>
        </w:rPr>
      </w:pPr>
    </w:p>
    <w:tbl>
      <w:tblPr>
        <w:tblW w:w="0" w:type="auto"/>
        <w:jc w:val="left"/>
        <w:tblInd w:w="193" w:type="dxa"/>
        <w:tblLayout w:type="fixed"/>
        <w:tblCellMar>
          <w:top w:w="0" w:type="dxa"/>
          <w:left w:w="0" w:type="dxa"/>
          <w:bottom w:w="0" w:type="dxa"/>
          <w:right w:w="0" w:type="dxa"/>
        </w:tblCellMar>
        <w:tblLook w:val="01E0"/>
      </w:tblPr>
      <w:tblGrid>
        <w:gridCol w:w="1560"/>
        <w:gridCol w:w="1559"/>
        <w:gridCol w:w="710"/>
        <w:gridCol w:w="1559"/>
        <w:gridCol w:w="1559"/>
        <w:gridCol w:w="709"/>
        <w:gridCol w:w="1559"/>
      </w:tblGrid>
      <w:tr>
        <w:trPr>
          <w:trHeight w:val="490" w:hRule="exact"/>
        </w:trPr>
        <w:tc>
          <w:tcPr>
            <w:tcW w:w="1560"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ind w:right="0"/>
              <w:jc w:val="left"/>
              <w:rPr>
                <w:rFonts w:ascii="华文细黑" w:hAnsi="华文细黑" w:cs="华文细黑" w:eastAsia="华文细黑" w:hint="default"/>
                <w:sz w:val="18"/>
                <w:szCs w:val="18"/>
              </w:rPr>
            </w:pPr>
          </w:p>
          <w:p>
            <w:pPr>
              <w:pStyle w:val="TableParagraph"/>
              <w:spacing w:line="240" w:lineRule="auto" w:before="0"/>
              <w:ind w:right="0"/>
              <w:jc w:val="left"/>
              <w:rPr>
                <w:rFonts w:ascii="华文细黑" w:hAnsi="华文细黑" w:cs="华文细黑" w:eastAsia="华文细黑" w:hint="default"/>
                <w:sz w:val="16"/>
                <w:szCs w:val="16"/>
              </w:rPr>
            </w:pPr>
          </w:p>
          <w:p>
            <w:pPr>
              <w:pStyle w:val="TableParagraph"/>
              <w:tabs>
                <w:tab w:pos="908" w:val="left" w:leader="none"/>
              </w:tabs>
              <w:spacing w:line="240" w:lineRule="auto"/>
              <w:ind w:left="45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3827" w:type="dxa"/>
            <w:gridSpan w:val="3"/>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3827" w:type="dxa"/>
            <w:gridSpan w:val="3"/>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r>
      <w:tr>
        <w:trPr>
          <w:trHeight w:val="670" w:hRule="exact"/>
        </w:trPr>
        <w:tc>
          <w:tcPr>
            <w:tcW w:w="1560" w:type="dxa"/>
            <w:vMerge/>
            <w:tcBorders>
              <w:left w:val="single" w:sz="4" w:space="0" w:color="FFC000"/>
              <w:bottom w:val="single" w:sz="4" w:space="0" w:color="FFC000"/>
              <w:right w:val="single" w:sz="4" w:space="0" w:color="FFC000"/>
            </w:tcBorders>
            <w:shd w:val="clear" w:color="auto" w:fill="FFF8E6"/>
          </w:tcPr>
          <w:p>
            <w:pPr/>
          </w:p>
        </w:tc>
        <w:tc>
          <w:tcPr>
            <w:tcW w:w="1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
              <w:ind w:right="0"/>
              <w:jc w:val="left"/>
              <w:rPr>
                <w:rFonts w:ascii="华文细黑" w:hAnsi="华文细黑" w:cs="华文细黑" w:eastAsia="华文细黑" w:hint="default"/>
                <w:sz w:val="12"/>
                <w:szCs w:val="12"/>
              </w:rPr>
            </w:pPr>
          </w:p>
          <w:p>
            <w:pPr>
              <w:pStyle w:val="TableParagraph"/>
              <w:spacing w:line="240" w:lineRule="auto"/>
              <w:ind w:left="41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71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69" w:right="168"/>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减值 准备</w:t>
            </w:r>
          </w:p>
        </w:tc>
        <w:tc>
          <w:tcPr>
            <w:tcW w:w="1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
              <w:ind w:right="0"/>
              <w:jc w:val="left"/>
              <w:rPr>
                <w:rFonts w:ascii="华文细黑" w:hAnsi="华文细黑" w:cs="华文细黑" w:eastAsia="华文细黑" w:hint="default"/>
                <w:sz w:val="12"/>
                <w:szCs w:val="12"/>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账面价值</w:t>
            </w:r>
          </w:p>
        </w:tc>
        <w:tc>
          <w:tcPr>
            <w:tcW w:w="1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
              <w:ind w:right="0"/>
              <w:jc w:val="left"/>
              <w:rPr>
                <w:rFonts w:ascii="华文细黑" w:hAnsi="华文细黑" w:cs="华文细黑" w:eastAsia="华文细黑" w:hint="default"/>
                <w:sz w:val="12"/>
                <w:szCs w:val="12"/>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账面余额</w:t>
            </w:r>
          </w:p>
        </w:tc>
        <w:tc>
          <w:tcPr>
            <w:tcW w:w="70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69" w:right="168"/>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减值 准备</w:t>
            </w:r>
          </w:p>
        </w:tc>
        <w:tc>
          <w:tcPr>
            <w:tcW w:w="1559"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6"/>
              <w:ind w:right="0"/>
              <w:jc w:val="left"/>
              <w:rPr>
                <w:rFonts w:ascii="华文细黑" w:hAnsi="华文细黑" w:cs="华文细黑" w:eastAsia="华文细黑" w:hint="default"/>
                <w:sz w:val="12"/>
                <w:szCs w:val="12"/>
              </w:rPr>
            </w:pPr>
          </w:p>
          <w:p>
            <w:pPr>
              <w:pStyle w:val="TableParagraph"/>
              <w:spacing w:line="240" w:lineRule="auto"/>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账面价值</w:t>
            </w:r>
          </w:p>
        </w:tc>
      </w:tr>
      <w:tr>
        <w:trPr>
          <w:trHeight w:val="490" w:hRule="exact"/>
        </w:trPr>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对子公司投资</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1"/>
                <w:szCs w:val="11"/>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spacing w:val="-1"/>
                <w:sz w:val="16"/>
              </w:rPr>
              <w:t>1,742,983,416.73</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1"/>
                <w:szCs w:val="11"/>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1"/>
                <w:szCs w:val="11"/>
              </w:rPr>
            </w:pPr>
          </w:p>
          <w:p>
            <w:pPr>
              <w:pStyle w:val="TableParagraph"/>
              <w:spacing w:line="240" w:lineRule="auto"/>
              <w:ind w:left="101" w:right="0"/>
              <w:jc w:val="center"/>
              <w:rPr>
                <w:rFonts w:ascii="华文细黑" w:hAnsi="华文细黑" w:cs="华文细黑" w:eastAsia="华文细黑" w:hint="default"/>
                <w:sz w:val="16"/>
                <w:szCs w:val="16"/>
              </w:rPr>
            </w:pPr>
            <w:r>
              <w:rPr>
                <w:rFonts w:ascii="华文细黑"/>
                <w:sz w:val="16"/>
              </w:rPr>
              <w:t>1,742,983,416.73</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1"/>
                <w:szCs w:val="11"/>
              </w:rPr>
            </w:pPr>
          </w:p>
          <w:p>
            <w:pPr>
              <w:pStyle w:val="TableParagraph"/>
              <w:spacing w:line="240" w:lineRule="auto"/>
              <w:ind w:left="101" w:right="0"/>
              <w:jc w:val="center"/>
              <w:rPr>
                <w:rFonts w:ascii="华文细黑" w:hAnsi="华文细黑" w:cs="华文细黑" w:eastAsia="华文细黑" w:hint="default"/>
                <w:sz w:val="16"/>
                <w:szCs w:val="16"/>
              </w:rPr>
            </w:pPr>
            <w:r>
              <w:rPr>
                <w:rFonts w:ascii="华文细黑"/>
                <w:sz w:val="16"/>
              </w:rPr>
              <w:t>1,744,583,416.73</w:t>
            </w:r>
          </w:p>
        </w:tc>
        <w:tc>
          <w:tcPr>
            <w:tcW w:w="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1"/>
                <w:szCs w:val="11"/>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1"/>
                <w:szCs w:val="11"/>
              </w:rPr>
            </w:pPr>
          </w:p>
          <w:p>
            <w:pPr>
              <w:pStyle w:val="TableParagraph"/>
              <w:spacing w:line="240" w:lineRule="auto"/>
              <w:ind w:left="101" w:right="0"/>
              <w:jc w:val="center"/>
              <w:rPr>
                <w:rFonts w:ascii="华文细黑" w:hAnsi="华文细黑" w:cs="华文细黑" w:eastAsia="华文细黑" w:hint="default"/>
                <w:sz w:val="16"/>
                <w:szCs w:val="16"/>
              </w:rPr>
            </w:pPr>
            <w:r>
              <w:rPr>
                <w:rFonts w:ascii="华文细黑"/>
                <w:sz w:val="16"/>
              </w:rPr>
              <w:t>1,744,583,416.73</w:t>
            </w:r>
          </w:p>
        </w:tc>
      </w:tr>
      <w:tr>
        <w:trPr>
          <w:trHeight w:val="491" w:hRule="exact"/>
        </w:trPr>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908" w:val="left" w:leader="none"/>
              </w:tabs>
              <w:spacing w:line="240" w:lineRule="auto" w:before="144"/>
              <w:ind w:left="459"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1"/>
                <w:szCs w:val="11"/>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spacing w:val="-1"/>
                <w:sz w:val="16"/>
              </w:rPr>
              <w:t>1,742,983,416.73</w:t>
            </w:r>
          </w:p>
        </w:tc>
        <w:tc>
          <w:tcPr>
            <w:tcW w:w="71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1"/>
                <w:szCs w:val="11"/>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1"/>
                <w:szCs w:val="11"/>
              </w:rPr>
            </w:pPr>
          </w:p>
          <w:p>
            <w:pPr>
              <w:pStyle w:val="TableParagraph"/>
              <w:spacing w:line="240" w:lineRule="auto"/>
              <w:ind w:left="101" w:right="0"/>
              <w:jc w:val="center"/>
              <w:rPr>
                <w:rFonts w:ascii="华文细黑" w:hAnsi="华文细黑" w:cs="华文细黑" w:eastAsia="华文细黑" w:hint="default"/>
                <w:sz w:val="16"/>
                <w:szCs w:val="16"/>
              </w:rPr>
            </w:pPr>
            <w:r>
              <w:rPr>
                <w:rFonts w:ascii="华文细黑"/>
                <w:sz w:val="16"/>
              </w:rPr>
              <w:t>1,742,983,416.73</w:t>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1"/>
                <w:szCs w:val="11"/>
              </w:rPr>
            </w:pPr>
          </w:p>
          <w:p>
            <w:pPr>
              <w:pStyle w:val="TableParagraph"/>
              <w:spacing w:line="240" w:lineRule="auto"/>
              <w:ind w:left="101" w:right="0"/>
              <w:jc w:val="center"/>
              <w:rPr>
                <w:rFonts w:ascii="华文细黑" w:hAnsi="华文细黑" w:cs="华文细黑" w:eastAsia="华文细黑" w:hint="default"/>
                <w:sz w:val="16"/>
                <w:szCs w:val="16"/>
              </w:rPr>
            </w:pPr>
            <w:r>
              <w:rPr>
                <w:rFonts w:ascii="华文细黑"/>
                <w:sz w:val="16"/>
              </w:rPr>
              <w:t>1,744,583,416.73</w:t>
            </w:r>
          </w:p>
        </w:tc>
        <w:tc>
          <w:tcPr>
            <w:tcW w:w="70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1"/>
                <w:szCs w:val="11"/>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59"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3"/>
              <w:ind w:right="0"/>
              <w:jc w:val="left"/>
              <w:rPr>
                <w:rFonts w:ascii="华文细黑" w:hAnsi="华文细黑" w:cs="华文细黑" w:eastAsia="华文细黑" w:hint="default"/>
                <w:sz w:val="11"/>
                <w:szCs w:val="11"/>
              </w:rPr>
            </w:pPr>
          </w:p>
          <w:p>
            <w:pPr>
              <w:pStyle w:val="TableParagraph"/>
              <w:spacing w:line="240" w:lineRule="auto"/>
              <w:ind w:left="101" w:right="0"/>
              <w:jc w:val="center"/>
              <w:rPr>
                <w:rFonts w:ascii="华文细黑" w:hAnsi="华文细黑" w:cs="华文细黑" w:eastAsia="华文细黑" w:hint="default"/>
                <w:sz w:val="16"/>
                <w:szCs w:val="16"/>
              </w:rPr>
            </w:pPr>
            <w:r>
              <w:rPr>
                <w:rFonts w:ascii="华文细黑"/>
                <w:sz w:val="16"/>
              </w:rPr>
              <w:t>1,744,583,416.73</w:t>
            </w:r>
          </w:p>
        </w:tc>
      </w:tr>
    </w:tbl>
    <w:p>
      <w:pPr>
        <w:spacing w:line="240" w:lineRule="auto" w:before="13"/>
        <w:rPr>
          <w:rFonts w:ascii="华文细黑" w:hAnsi="华文细黑" w:cs="华文细黑" w:eastAsia="华文细黑" w:hint="default"/>
          <w:sz w:val="6"/>
          <w:szCs w:val="6"/>
        </w:rPr>
      </w:pPr>
    </w:p>
    <w:p>
      <w:pPr>
        <w:pStyle w:val="BodyText"/>
        <w:spacing w:line="240" w:lineRule="auto" w:before="10"/>
        <w:ind w:left="760" w:right="0"/>
        <w:jc w:val="left"/>
      </w:pPr>
      <w:r>
        <w:rPr/>
        <w:t>（</w:t>
      </w:r>
      <w:r>
        <w:rPr>
          <w:rFonts w:ascii="华文细黑" w:hAnsi="华文细黑" w:cs="华文细黑" w:eastAsia="华文细黑" w:hint="default"/>
        </w:rPr>
        <w:t>2</w:t>
      </w:r>
      <w:r>
        <w:rPr/>
        <w:t>）对子公司投资</w:t>
      </w:r>
    </w:p>
    <w:p>
      <w:pPr>
        <w:spacing w:line="240" w:lineRule="auto" w:before="5"/>
        <w:rPr>
          <w:rFonts w:ascii="华文细黑" w:hAnsi="华文细黑" w:cs="华文细黑" w:eastAsia="华文细黑" w:hint="default"/>
          <w:sz w:val="5"/>
          <w:szCs w:val="5"/>
        </w:rPr>
      </w:pPr>
    </w:p>
    <w:tbl>
      <w:tblPr>
        <w:tblW w:w="0" w:type="auto"/>
        <w:jc w:val="left"/>
        <w:tblInd w:w="101" w:type="dxa"/>
        <w:tblLayout w:type="fixed"/>
        <w:tblCellMar>
          <w:top w:w="0" w:type="dxa"/>
          <w:left w:w="0" w:type="dxa"/>
          <w:bottom w:w="0" w:type="dxa"/>
          <w:right w:w="0" w:type="dxa"/>
        </w:tblCellMar>
        <w:tblLook w:val="01E0"/>
      </w:tblPr>
      <w:tblGrid>
        <w:gridCol w:w="2122"/>
        <w:gridCol w:w="1560"/>
        <w:gridCol w:w="1244"/>
        <w:gridCol w:w="1306"/>
        <w:gridCol w:w="1560"/>
        <w:gridCol w:w="851"/>
        <w:gridCol w:w="851"/>
      </w:tblGrid>
      <w:tr>
        <w:trPr>
          <w:trHeight w:val="960"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26"/>
                <w:szCs w:val="26"/>
              </w:rPr>
            </w:pPr>
          </w:p>
          <w:p>
            <w:pPr>
              <w:pStyle w:val="TableParagraph"/>
              <w:spacing w:line="240" w:lineRule="auto"/>
              <w:ind w:left="60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被投资单位</w:t>
            </w:r>
          </w:p>
        </w:tc>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26"/>
                <w:szCs w:val="26"/>
              </w:rPr>
            </w:pPr>
          </w:p>
          <w:p>
            <w:pPr>
              <w:pStyle w:val="TableParagraph"/>
              <w:spacing w:line="240" w:lineRule="auto"/>
              <w:ind w:left="41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12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26"/>
                <w:szCs w:val="26"/>
              </w:rPr>
            </w:pPr>
          </w:p>
          <w:p>
            <w:pPr>
              <w:pStyle w:val="TableParagraph"/>
              <w:spacing w:line="240" w:lineRule="auto"/>
              <w:ind w:left="25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本年增加</w:t>
            </w:r>
          </w:p>
        </w:tc>
        <w:tc>
          <w:tcPr>
            <w:tcW w:w="130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26"/>
                <w:szCs w:val="26"/>
              </w:rPr>
            </w:pPr>
          </w:p>
          <w:p>
            <w:pPr>
              <w:pStyle w:val="TableParagraph"/>
              <w:spacing w:line="240" w:lineRule="auto"/>
              <w:ind w:left="28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本年减少</w:t>
            </w:r>
          </w:p>
        </w:tc>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3"/>
              <w:ind w:right="0"/>
              <w:jc w:val="left"/>
              <w:rPr>
                <w:rFonts w:ascii="华文细黑" w:hAnsi="华文细黑" w:cs="华文细黑" w:eastAsia="华文细黑" w:hint="default"/>
                <w:sz w:val="26"/>
                <w:szCs w:val="26"/>
              </w:rPr>
            </w:pPr>
          </w:p>
          <w:p>
            <w:pPr>
              <w:pStyle w:val="TableParagraph"/>
              <w:spacing w:line="240" w:lineRule="auto"/>
              <w:ind w:left="41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8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49" w:right="14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本年计 提减值 准备</w:t>
            </w:r>
          </w:p>
        </w:tc>
        <w:tc>
          <w:tcPr>
            <w:tcW w:w="8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49" w:right="14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减值准 备年末 余额</w:t>
            </w:r>
          </w:p>
        </w:tc>
      </w:tr>
      <w:tr>
        <w:trPr>
          <w:trHeight w:val="670"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深圳市爱施德通讯科技</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有限公司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
              <w:ind w:right="0"/>
              <w:jc w:val="left"/>
              <w:rPr>
                <w:rFonts w:ascii="华文细黑" w:hAnsi="华文细黑" w:cs="华文细黑" w:eastAsia="华文细黑" w:hint="default"/>
                <w:sz w:val="18"/>
                <w:szCs w:val="18"/>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sz w:val="16"/>
              </w:rPr>
              <w:t>10,228,434.33</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
              <w:ind w:right="0"/>
              <w:jc w:val="left"/>
              <w:rPr>
                <w:rFonts w:ascii="华文细黑" w:hAnsi="华文细黑" w:cs="华文细黑" w:eastAsia="华文细黑" w:hint="default"/>
                <w:sz w:val="18"/>
                <w:szCs w:val="18"/>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
              <w:ind w:right="0"/>
              <w:jc w:val="left"/>
              <w:rPr>
                <w:rFonts w:ascii="华文细黑" w:hAnsi="华文细黑" w:cs="华文细黑" w:eastAsia="华文细黑" w:hint="default"/>
                <w:sz w:val="18"/>
                <w:szCs w:val="18"/>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
              <w:ind w:right="0"/>
              <w:jc w:val="left"/>
              <w:rPr>
                <w:rFonts w:ascii="华文细黑" w:hAnsi="华文细黑" w:cs="华文细黑" w:eastAsia="华文细黑" w:hint="default"/>
                <w:sz w:val="18"/>
                <w:szCs w:val="18"/>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10,228,434.33</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
              <w:ind w:right="0"/>
              <w:jc w:val="left"/>
              <w:rPr>
                <w:rFonts w:ascii="华文细黑" w:hAnsi="华文细黑" w:cs="华文细黑" w:eastAsia="华文细黑" w:hint="default"/>
                <w:sz w:val="18"/>
                <w:szCs w:val="18"/>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
              <w:ind w:right="0"/>
              <w:jc w:val="left"/>
              <w:rPr>
                <w:rFonts w:ascii="华文细黑" w:hAnsi="华文细黑" w:cs="华文细黑" w:eastAsia="华文细黑" w:hint="default"/>
                <w:sz w:val="18"/>
                <w:szCs w:val="18"/>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671"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深圳市酷动数码有限公</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
              <w:ind w:right="0"/>
              <w:jc w:val="left"/>
              <w:rPr>
                <w:rFonts w:ascii="华文细黑" w:hAnsi="华文细黑" w:cs="华文细黑" w:eastAsia="华文细黑" w:hint="default"/>
                <w:sz w:val="18"/>
                <w:szCs w:val="18"/>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spacing w:val="-1"/>
                <w:sz w:val="16"/>
              </w:rPr>
              <w:t>159,998,600.50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
              <w:ind w:right="0"/>
              <w:jc w:val="left"/>
              <w:rPr>
                <w:rFonts w:ascii="华文细黑" w:hAnsi="华文细黑" w:cs="华文细黑" w:eastAsia="华文细黑" w:hint="default"/>
                <w:sz w:val="18"/>
                <w:szCs w:val="18"/>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
              <w:ind w:right="0"/>
              <w:jc w:val="left"/>
              <w:rPr>
                <w:rFonts w:ascii="华文细黑" w:hAnsi="华文细黑" w:cs="华文细黑" w:eastAsia="华文细黑" w:hint="default"/>
                <w:sz w:val="18"/>
                <w:szCs w:val="18"/>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
              <w:ind w:right="0"/>
              <w:jc w:val="left"/>
              <w:rPr>
                <w:rFonts w:ascii="华文细黑" w:hAnsi="华文细黑" w:cs="华文细黑" w:eastAsia="华文细黑" w:hint="default"/>
                <w:sz w:val="18"/>
                <w:szCs w:val="18"/>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159,998,600.50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
              <w:ind w:right="0"/>
              <w:jc w:val="left"/>
              <w:rPr>
                <w:rFonts w:ascii="华文细黑" w:hAnsi="华文细黑" w:cs="华文细黑" w:eastAsia="华文细黑" w:hint="default"/>
                <w:sz w:val="18"/>
                <w:szCs w:val="18"/>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4"/>
              <w:ind w:right="0"/>
              <w:jc w:val="left"/>
              <w:rPr>
                <w:rFonts w:ascii="华文细黑" w:hAnsi="华文细黑" w:cs="华文细黑" w:eastAsia="华文细黑" w:hint="default"/>
                <w:sz w:val="18"/>
                <w:szCs w:val="18"/>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bl>
    <w:p>
      <w:pPr>
        <w:spacing w:after="0" w:line="240" w:lineRule="auto"/>
        <w:jc w:val="right"/>
        <w:rPr>
          <w:rFonts w:ascii="华文细黑" w:hAnsi="华文细黑" w:cs="华文细黑" w:eastAsia="华文细黑" w:hint="default"/>
          <w:sz w:val="16"/>
          <w:szCs w:val="16"/>
        </w:rPr>
        <w:sectPr>
          <w:pgSz w:w="11910" w:h="16840"/>
          <w:pgMar w:header="917" w:footer="1019" w:top="1100" w:bottom="1200" w:left="110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1" w:type="dxa"/>
        <w:tblLayout w:type="fixed"/>
        <w:tblCellMar>
          <w:top w:w="0" w:type="dxa"/>
          <w:left w:w="0" w:type="dxa"/>
          <w:bottom w:w="0" w:type="dxa"/>
          <w:right w:w="0" w:type="dxa"/>
        </w:tblCellMar>
        <w:tblLook w:val="01E0"/>
      </w:tblPr>
      <w:tblGrid>
        <w:gridCol w:w="2122"/>
        <w:gridCol w:w="1560"/>
        <w:gridCol w:w="1244"/>
        <w:gridCol w:w="1306"/>
        <w:gridCol w:w="1560"/>
        <w:gridCol w:w="851"/>
        <w:gridCol w:w="851"/>
      </w:tblGrid>
      <w:tr>
        <w:trPr>
          <w:trHeight w:val="960"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15"/>
                <w:szCs w:val="15"/>
              </w:rPr>
            </w:pPr>
          </w:p>
          <w:p>
            <w:pPr>
              <w:pStyle w:val="TableParagraph"/>
              <w:spacing w:line="240" w:lineRule="auto"/>
              <w:ind w:left="60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被投资单位</w:t>
            </w:r>
          </w:p>
        </w:tc>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15"/>
                <w:szCs w:val="15"/>
              </w:rPr>
            </w:pPr>
          </w:p>
          <w:p>
            <w:pPr>
              <w:pStyle w:val="TableParagraph"/>
              <w:spacing w:line="240" w:lineRule="auto"/>
              <w:ind w:left="41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12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15"/>
                <w:szCs w:val="15"/>
              </w:rPr>
            </w:pPr>
          </w:p>
          <w:p>
            <w:pPr>
              <w:pStyle w:val="TableParagraph"/>
              <w:spacing w:line="240" w:lineRule="auto"/>
              <w:ind w:left="25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本年增加</w:t>
            </w:r>
          </w:p>
        </w:tc>
        <w:tc>
          <w:tcPr>
            <w:tcW w:w="130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15"/>
                <w:szCs w:val="15"/>
              </w:rPr>
            </w:pPr>
          </w:p>
          <w:p>
            <w:pPr>
              <w:pStyle w:val="TableParagraph"/>
              <w:spacing w:line="240" w:lineRule="auto"/>
              <w:ind w:left="28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本年减少</w:t>
            </w:r>
          </w:p>
        </w:tc>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15"/>
                <w:szCs w:val="15"/>
              </w:rPr>
            </w:pPr>
          </w:p>
          <w:p>
            <w:pPr>
              <w:pStyle w:val="TableParagraph"/>
              <w:spacing w:line="240" w:lineRule="auto"/>
              <w:ind w:left="41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8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49" w:right="14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本年计 提减值 准备</w:t>
            </w:r>
          </w:p>
        </w:tc>
        <w:tc>
          <w:tcPr>
            <w:tcW w:w="8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49" w:right="14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减值准 备年末 余额</w:t>
            </w:r>
          </w:p>
        </w:tc>
      </w:tr>
      <w:tr>
        <w:trPr>
          <w:trHeight w:val="670"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北京酷人通讯科技有限</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公司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sz w:val="16"/>
              </w:rPr>
              <w:t>37,000,000.00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37,000,000.00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671"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深圳市乐享无限通讯有</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限公司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sz w:val="16"/>
              </w:rPr>
              <w:t>10,000,000.00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10,000,000.00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490"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西藏酷爱通信有限公司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spacing w:val="-1"/>
                <w:sz w:val="16"/>
              </w:rPr>
              <w:t>200,000,000.00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200,000,000.00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670"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北京酷沃通讯器材有限</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公司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spacing w:val="-1"/>
                <w:sz w:val="16"/>
              </w:rPr>
              <w:t>1,000,000.00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1,000,000.00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671"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北京瑞成汇达科技有限</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公司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spacing w:val="-1"/>
                <w:sz w:val="16"/>
              </w:rPr>
              <w:t>150,000,000.00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spacing w:val="-1"/>
                <w:sz w:val="16"/>
              </w:rPr>
              <w:t>150,000,000.00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670"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天津爱施迪通讯器材有</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限公司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spacing w:val="-1"/>
                <w:sz w:val="16"/>
              </w:rPr>
              <w:t>5,000,000.00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5,000,000.00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670"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北京酷联通讯科技有限</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公司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spacing w:val="-1"/>
                <w:sz w:val="16"/>
              </w:rPr>
              <w:t>5,000,000.00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5,000,000.00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671"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深圳市享易无限数码有</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限公司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sz w:val="16"/>
              </w:rPr>
              <w:t>10,000,000.00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10,000,000.00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490"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pacing w:val="-7"/>
                <w:sz w:val="18"/>
                <w:szCs w:val="18"/>
              </w:rPr>
              <w:t>爱施德（香港）有限公司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spacing w:val="-1"/>
                <w:sz w:val="16"/>
              </w:rPr>
              <w:t>4,146,400.00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4,146,400.00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670"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7"/>
                <w:sz w:val="18"/>
                <w:szCs w:val="18"/>
              </w:rPr>
              <w:t>优友电子商务（深圳）有</w:t>
            </w:r>
            <w:r>
              <w:rPr>
                <w:rFonts w:ascii="华文细黑" w:hAnsi="华文细黑" w:cs="华文细黑" w:eastAsia="华文细黑" w:hint="default"/>
                <w:spacing w:val="-43"/>
                <w:sz w:val="18"/>
                <w:szCs w:val="18"/>
              </w:rPr>
              <w:t> </w:t>
            </w:r>
            <w:r>
              <w:rPr>
                <w:rFonts w:ascii="华文细黑" w:hAnsi="华文细黑" w:cs="华文细黑" w:eastAsia="华文细黑" w:hint="default"/>
                <w:spacing w:val="-43"/>
                <w:sz w:val="18"/>
                <w:szCs w:val="18"/>
              </w:rPr>
            </w:r>
            <w:r>
              <w:rPr>
                <w:rFonts w:ascii="华文细黑" w:hAnsi="华文细黑" w:cs="华文细黑" w:eastAsia="华文细黑" w:hint="default"/>
                <w:sz w:val="18"/>
                <w:szCs w:val="18"/>
              </w:rPr>
              <w:t>限公司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spacing w:val="-1"/>
                <w:sz w:val="16"/>
              </w:rPr>
              <w:t>5,000,000.00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5,000,000.00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491"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5"/>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彩梦科技公司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sz w:val="16"/>
              </w:rPr>
              <w:t>65,389,981.90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65,389,981.90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670"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深圳市优友互联有限公</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spacing w:val="-1"/>
                <w:sz w:val="16"/>
              </w:rPr>
              <w:t>6,000,000.00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6,000,000.00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670"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长春市酷爱通讯科技有</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限公司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spacing w:val="-1"/>
                <w:sz w:val="16"/>
              </w:rPr>
              <w:t>1,000,000.00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1,000,000.00</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671"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武汉市酷爱星通信科技</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有限公司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spacing w:val="-1"/>
                <w:sz w:val="16"/>
              </w:rPr>
              <w:t>1,000,000.00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1,000,000.00</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490"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84"/>
              <w:ind w:left="10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壹号电子商务有限公司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spacing w:val="-1"/>
                <w:sz w:val="16"/>
              </w:rPr>
              <w:t>9,000,000.00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9,000,000.00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670"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深圳市酷爱星通讯科技</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有限责任公司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sz w:val="16"/>
              </w:rPr>
              <w:t>50,000,000.00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50,000,000.00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671"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西安市爱星通通信器材</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有限公司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spacing w:val="-1"/>
                <w:sz w:val="16"/>
              </w:rPr>
              <w:t>1,000,000.00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1,000,000.00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670"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深圳市优友金融服务有</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限公司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spacing w:val="-1"/>
                <w:sz w:val="16"/>
              </w:rPr>
              <w:t>5,100,000.00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5,100,000.00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670"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深圳市酷脉科技有限公</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w w:val="95"/>
                <w:sz w:val="16"/>
              </w:rPr>
              <w:t>600,000.00</w:t>
            </w:r>
            <w:r>
              <w:rPr>
                <w:rFonts w:ascii="华文细黑"/>
                <w:sz w:val="16"/>
              </w:rPr>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w w:val="95"/>
                <w:sz w:val="16"/>
              </w:rPr>
              <w:t>600,000.00</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671"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江西赣江新区爱施德网</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络小额贷款有限公司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sz w:val="16"/>
              </w:rPr>
              <w:t>1,000,000,000.00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sz w:val="16"/>
              </w:rPr>
              <w:t>1,000,000,000.00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bl>
    <w:p>
      <w:pPr>
        <w:spacing w:after="0" w:line="240" w:lineRule="auto"/>
        <w:jc w:val="right"/>
        <w:rPr>
          <w:rFonts w:ascii="华文细黑" w:hAnsi="华文细黑" w:cs="华文细黑" w:eastAsia="华文细黑" w:hint="default"/>
          <w:sz w:val="16"/>
          <w:szCs w:val="16"/>
        </w:rPr>
        <w:sectPr>
          <w:pgSz w:w="11910" w:h="16840"/>
          <w:pgMar w:header="917" w:footer="1019" w:top="1100" w:bottom="1200" w:left="110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1" w:type="dxa"/>
        <w:tblLayout w:type="fixed"/>
        <w:tblCellMar>
          <w:top w:w="0" w:type="dxa"/>
          <w:left w:w="0" w:type="dxa"/>
          <w:bottom w:w="0" w:type="dxa"/>
          <w:right w:w="0" w:type="dxa"/>
        </w:tblCellMar>
        <w:tblLook w:val="01E0"/>
      </w:tblPr>
      <w:tblGrid>
        <w:gridCol w:w="2122"/>
        <w:gridCol w:w="1560"/>
        <w:gridCol w:w="1244"/>
        <w:gridCol w:w="1306"/>
        <w:gridCol w:w="1560"/>
        <w:gridCol w:w="851"/>
        <w:gridCol w:w="851"/>
      </w:tblGrid>
      <w:tr>
        <w:trPr>
          <w:trHeight w:val="960"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15"/>
                <w:szCs w:val="15"/>
              </w:rPr>
            </w:pPr>
          </w:p>
          <w:p>
            <w:pPr>
              <w:pStyle w:val="TableParagraph"/>
              <w:spacing w:line="240" w:lineRule="auto"/>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被投资单位</w:t>
            </w:r>
          </w:p>
        </w:tc>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15"/>
                <w:szCs w:val="15"/>
              </w:rPr>
            </w:pPr>
          </w:p>
          <w:p>
            <w:pPr>
              <w:pStyle w:val="TableParagraph"/>
              <w:spacing w:line="240" w:lineRule="auto"/>
              <w:ind w:left="414"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年初余额</w:t>
            </w:r>
          </w:p>
        </w:tc>
        <w:tc>
          <w:tcPr>
            <w:tcW w:w="124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15"/>
                <w:szCs w:val="15"/>
              </w:rPr>
            </w:pPr>
          </w:p>
          <w:p>
            <w:pPr>
              <w:pStyle w:val="TableParagraph"/>
              <w:spacing w:line="240" w:lineRule="auto"/>
              <w:ind w:left="256"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本年增加</w:t>
            </w:r>
          </w:p>
        </w:tc>
        <w:tc>
          <w:tcPr>
            <w:tcW w:w="130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15"/>
                <w:szCs w:val="15"/>
              </w:rPr>
            </w:pPr>
          </w:p>
          <w:p>
            <w:pPr>
              <w:pStyle w:val="TableParagraph"/>
              <w:spacing w:line="240" w:lineRule="auto"/>
              <w:ind w:left="287"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本年减少</w:t>
            </w:r>
          </w:p>
        </w:tc>
        <w:tc>
          <w:tcPr>
            <w:tcW w:w="156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15"/>
                <w:szCs w:val="15"/>
              </w:rPr>
            </w:pPr>
          </w:p>
          <w:p>
            <w:pPr>
              <w:pStyle w:val="TableParagraph"/>
              <w:spacing w:line="240" w:lineRule="auto"/>
              <w:ind w:left="415"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年末余额</w:t>
            </w:r>
          </w:p>
        </w:tc>
        <w:tc>
          <w:tcPr>
            <w:tcW w:w="8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49" w:right="14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本年计 提减值 准备</w:t>
            </w:r>
          </w:p>
        </w:tc>
        <w:tc>
          <w:tcPr>
            <w:tcW w:w="85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49" w:right="149"/>
              <w:jc w:val="both"/>
              <w:rPr>
                <w:rFonts w:ascii="华文细黑" w:hAnsi="华文细黑" w:cs="华文细黑" w:eastAsia="华文细黑" w:hint="default"/>
                <w:sz w:val="18"/>
                <w:szCs w:val="18"/>
              </w:rPr>
            </w:pPr>
            <w:r>
              <w:rPr>
                <w:rFonts w:ascii="华文细黑" w:hAnsi="华文细黑" w:cs="华文细黑" w:eastAsia="华文细黑" w:hint="default"/>
                <w:sz w:val="18"/>
                <w:szCs w:val="18"/>
              </w:rPr>
              <w:t>减值准 备年末 余额</w:t>
            </w:r>
          </w:p>
        </w:tc>
      </w:tr>
      <w:tr>
        <w:trPr>
          <w:trHeight w:val="670"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深圳市爱享投资有限公</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spacing w:val="-1"/>
                <w:sz w:val="16"/>
              </w:rPr>
              <w:t>3,020,000.00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3,020,000.00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671"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广州酷爱通讯器材有限</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责任公司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spacing w:val="-1"/>
                <w:sz w:val="16"/>
              </w:rPr>
              <w:t>1,800,000.00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1,800,000.00</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670"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深圳市酷爱通讯科技有</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限公司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spacing w:val="-1"/>
                <w:sz w:val="16"/>
              </w:rPr>
              <w:t>1,800,000.00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w w:val="95"/>
                <w:sz w:val="16"/>
              </w:rPr>
              <w:t>1,800,000.00</w:t>
            </w:r>
            <w:r>
              <w:rPr>
                <w:rFonts w:ascii="华文细黑"/>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670"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29"/>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长沙酷爱炫供应链管理</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有限责任公司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spacing w:val="-1"/>
                <w:sz w:val="16"/>
              </w:rPr>
              <w:t>1,500,000.00</w:t>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1,500,000.00</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671"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73" w:lineRule="auto" w:before="30"/>
              <w:ind w:left="103" w:right="101"/>
              <w:jc w:val="left"/>
              <w:rPr>
                <w:rFonts w:ascii="华文细黑" w:hAnsi="华文细黑" w:cs="华文细黑" w:eastAsia="华文细黑" w:hint="default"/>
                <w:sz w:val="18"/>
                <w:szCs w:val="18"/>
              </w:rPr>
            </w:pPr>
            <w:r>
              <w:rPr>
                <w:rFonts w:ascii="华文细黑" w:hAnsi="华文细黑" w:cs="华文细黑" w:eastAsia="华文细黑" w:hint="default"/>
                <w:spacing w:val="9"/>
                <w:sz w:val="18"/>
                <w:szCs w:val="18"/>
              </w:rPr>
              <w:t>深圳市一号机科技有限</w:t>
            </w:r>
            <w:r>
              <w:rPr>
                <w:rFonts w:ascii="华文细黑" w:hAnsi="华文细黑" w:cs="华文细黑" w:eastAsia="华文细黑" w:hint="default"/>
                <w:spacing w:val="-38"/>
                <w:sz w:val="18"/>
                <w:szCs w:val="18"/>
              </w:rPr>
              <w:t> </w:t>
            </w:r>
            <w:r>
              <w:rPr>
                <w:rFonts w:ascii="华文细黑" w:hAnsi="华文细黑" w:cs="华文细黑" w:eastAsia="华文细黑" w:hint="default"/>
                <w:spacing w:val="-38"/>
                <w:sz w:val="18"/>
                <w:szCs w:val="18"/>
              </w:rPr>
            </w:r>
            <w:r>
              <w:rPr>
                <w:rFonts w:ascii="华文细黑" w:hAnsi="华文细黑" w:cs="华文细黑" w:eastAsia="华文细黑" w:hint="default"/>
                <w:sz w:val="18"/>
                <w:szCs w:val="18"/>
              </w:rPr>
              <w:t>公司</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5"/>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5,500,000.00</w:t>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华文细黑" w:hAnsi="华文细黑" w:cs="华文细黑" w:eastAsia="华文细黑" w:hint="default"/>
                <w:sz w:val="16"/>
                <w:szCs w:val="16"/>
              </w:rPr>
            </w:pPr>
            <w:r>
              <w:rPr>
                <w:rFonts w:ascii="华文细黑"/>
                <w:spacing w:val="-1"/>
                <w:sz w:val="16"/>
              </w:rPr>
              <w:t>5,500,000.00</w:t>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spacing w:val="-1"/>
                <w:w w:val="95"/>
                <w:sz w:val="16"/>
              </w:rPr>
              <w:t>---</w:t>
            </w:r>
            <w:r>
              <w:rPr>
                <w:rFonts w:ascii="华文细黑"/>
                <w:sz w:val="16"/>
              </w:rPr>
            </w:r>
          </w:p>
        </w:tc>
      </w:tr>
      <w:tr>
        <w:trPr>
          <w:trHeight w:val="490" w:hRule="exact"/>
        </w:trPr>
        <w:tc>
          <w:tcPr>
            <w:tcW w:w="212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计</w:t>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b/>
                <w:spacing w:val="-1"/>
                <w:sz w:val="16"/>
              </w:rPr>
              <w:t>1,744,583,416.73</w:t>
            </w:r>
            <w:r>
              <w:rPr>
                <w:rFonts w:ascii="华文细黑"/>
                <w:spacing w:val="-1"/>
                <w:sz w:val="16"/>
              </w:rPr>
            </w:r>
          </w:p>
        </w:tc>
        <w:tc>
          <w:tcPr>
            <w:tcW w:w="1244"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b/>
                <w:spacing w:val="-1"/>
                <w:sz w:val="16"/>
              </w:rPr>
              <w:t>5,500,000.00</w:t>
            </w:r>
            <w:r>
              <w:rPr>
                <w:rFonts w:ascii="华文细黑"/>
                <w:spacing w:val="-1"/>
                <w:sz w:val="16"/>
              </w:rPr>
            </w:r>
          </w:p>
        </w:tc>
        <w:tc>
          <w:tcPr>
            <w:tcW w:w="1306"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b/>
                <w:spacing w:val="-1"/>
                <w:sz w:val="16"/>
              </w:rPr>
              <w:t>7,100,000.00</w:t>
            </w:r>
            <w:r>
              <w:rPr>
                <w:rFonts w:ascii="华文细黑"/>
                <w:spacing w:val="-1"/>
                <w:sz w:val="16"/>
              </w:rPr>
            </w:r>
          </w:p>
        </w:tc>
        <w:tc>
          <w:tcPr>
            <w:tcW w:w="1560"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b/>
                <w:spacing w:val="-1"/>
                <w:sz w:val="16"/>
              </w:rPr>
              <w:t>1,742,983,416.73</w:t>
            </w:r>
            <w:r>
              <w:rPr>
                <w:rFonts w:ascii="华文细黑"/>
                <w:spacing w:val="-1"/>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华文细黑" w:hAnsi="华文细黑" w:cs="华文细黑" w:eastAsia="华文细黑" w:hint="default"/>
                <w:sz w:val="16"/>
                <w:szCs w:val="16"/>
              </w:rPr>
            </w:pPr>
            <w:r>
              <w:rPr>
                <w:rFonts w:ascii="华文细黑"/>
                <w:b/>
                <w:w w:val="95"/>
                <w:sz w:val="16"/>
              </w:rPr>
              <w:t>---</w:t>
            </w:r>
            <w:r>
              <w:rPr>
                <w:rFonts w:ascii="华文细黑"/>
                <w:sz w:val="16"/>
              </w:rPr>
            </w:r>
          </w:p>
        </w:tc>
        <w:tc>
          <w:tcPr>
            <w:tcW w:w="8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华文细黑" w:hAnsi="华文细黑" w:cs="华文细黑" w:eastAsia="华文细黑" w:hint="default"/>
                <w:sz w:val="16"/>
                <w:szCs w:val="16"/>
              </w:rPr>
            </w:pPr>
            <w:r>
              <w:rPr>
                <w:rFonts w:ascii="华文细黑"/>
                <w:b/>
                <w:w w:val="95"/>
                <w:sz w:val="16"/>
              </w:rPr>
              <w:t>---</w:t>
            </w:r>
            <w:r>
              <w:rPr>
                <w:rFonts w:ascii="华文细黑"/>
                <w:sz w:val="16"/>
              </w:rPr>
            </w:r>
          </w:p>
        </w:tc>
      </w:tr>
    </w:tbl>
    <w:p>
      <w:pPr>
        <w:spacing w:line="240" w:lineRule="auto" w:before="6"/>
        <w:rPr>
          <w:rFonts w:ascii="Times New Roman" w:hAnsi="Times New Roman" w:cs="Times New Roman" w:eastAsia="Times New Roman" w:hint="default"/>
          <w:sz w:val="8"/>
          <w:szCs w:val="8"/>
        </w:rPr>
      </w:pPr>
    </w:p>
    <w:p>
      <w:pPr>
        <w:pStyle w:val="Heading5"/>
        <w:spacing w:line="240" w:lineRule="auto"/>
        <w:ind w:left="760" w:right="0"/>
        <w:jc w:val="left"/>
        <w:rPr>
          <w:b w:val="0"/>
          <w:bCs w:val="0"/>
        </w:rPr>
      </w:pPr>
      <w:bookmarkStart w:name="4、营业收入、营业成本" w:id="362"/>
      <w:bookmarkEnd w:id="362"/>
      <w:r>
        <w:rPr>
          <w:b w:val="0"/>
          <w:bCs w:val="0"/>
        </w:rPr>
      </w:r>
      <w:r>
        <w:rPr>
          <w:rFonts w:ascii="华文细黑" w:hAnsi="华文细黑" w:cs="华文细黑" w:eastAsia="华文细黑" w:hint="default"/>
        </w:rPr>
        <w:t>4</w:t>
      </w:r>
      <w:r>
        <w:rPr/>
        <w:t>、营业收入、营业成本</w:t>
      </w:r>
      <w:r>
        <w:rPr>
          <w:b w:val="0"/>
          <w:bCs w:val="0"/>
        </w:rPr>
      </w:r>
    </w:p>
    <w:p>
      <w:pPr>
        <w:spacing w:line="240" w:lineRule="auto" w:before="5"/>
        <w:rPr>
          <w:rFonts w:ascii="华文细黑" w:hAnsi="华文细黑" w:cs="华文细黑" w:eastAsia="华文细黑" w:hint="default"/>
          <w:b/>
          <w:bCs/>
          <w:sz w:val="5"/>
          <w:szCs w:val="5"/>
        </w:rPr>
      </w:pPr>
    </w:p>
    <w:tbl>
      <w:tblPr>
        <w:tblW w:w="0" w:type="auto"/>
        <w:jc w:val="left"/>
        <w:tblInd w:w="258" w:type="dxa"/>
        <w:tblLayout w:type="fixed"/>
        <w:tblCellMar>
          <w:top w:w="0" w:type="dxa"/>
          <w:left w:w="0" w:type="dxa"/>
          <w:bottom w:w="0" w:type="dxa"/>
          <w:right w:w="0" w:type="dxa"/>
        </w:tblCellMar>
        <w:tblLook w:val="01E0"/>
      </w:tblPr>
      <w:tblGrid>
        <w:gridCol w:w="1056"/>
        <w:gridCol w:w="2031"/>
        <w:gridCol w:w="2032"/>
        <w:gridCol w:w="2031"/>
        <w:gridCol w:w="2032"/>
      </w:tblGrid>
      <w:tr>
        <w:trPr>
          <w:trHeight w:val="251" w:hRule="exact"/>
        </w:trPr>
        <w:tc>
          <w:tcPr>
            <w:tcW w:w="1056" w:type="dxa"/>
            <w:tcBorders>
              <w:top w:val="single" w:sz="4" w:space="0" w:color="FFC000"/>
              <w:left w:val="single" w:sz="4" w:space="0" w:color="FFC000"/>
              <w:bottom w:val="nil" w:sz="6" w:space="0" w:color="auto"/>
              <w:right w:val="single" w:sz="4" w:space="0" w:color="FFC000"/>
            </w:tcBorders>
            <w:shd w:val="clear" w:color="auto" w:fill="FFF8E6"/>
          </w:tcPr>
          <w:p>
            <w:pPr/>
          </w:p>
        </w:tc>
        <w:tc>
          <w:tcPr>
            <w:tcW w:w="4063"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4062"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235" w:hRule="exact"/>
        </w:trPr>
        <w:tc>
          <w:tcPr>
            <w:tcW w:w="1056"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25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项  </w:t>
            </w:r>
            <w:r>
              <w:rPr>
                <w:rFonts w:ascii="华文细黑" w:hAnsi="华文细黑" w:cs="华文细黑" w:eastAsia="华文细黑" w:hint="default"/>
                <w:spacing w:val="44"/>
                <w:sz w:val="18"/>
                <w:szCs w:val="18"/>
              </w:rPr>
              <w:t> </w:t>
            </w:r>
            <w:r>
              <w:rPr>
                <w:rFonts w:ascii="华文细黑" w:hAnsi="华文细黑" w:cs="华文细黑" w:eastAsia="华文细黑" w:hint="default"/>
                <w:sz w:val="18"/>
                <w:szCs w:val="18"/>
              </w:rPr>
              <w:t>目</w:t>
            </w:r>
          </w:p>
        </w:tc>
        <w:tc>
          <w:tcPr>
            <w:tcW w:w="4063" w:type="dxa"/>
            <w:gridSpan w:val="2"/>
            <w:vMerge/>
            <w:tcBorders>
              <w:left w:val="single" w:sz="4" w:space="0" w:color="FFC000"/>
              <w:bottom w:val="single" w:sz="4" w:space="0" w:color="FFC000"/>
              <w:right w:val="single" w:sz="4" w:space="0" w:color="FFC000"/>
            </w:tcBorders>
            <w:shd w:val="clear" w:color="auto" w:fill="FFF8E6"/>
          </w:tcPr>
          <w:p>
            <w:pPr/>
          </w:p>
        </w:tc>
        <w:tc>
          <w:tcPr>
            <w:tcW w:w="4062" w:type="dxa"/>
            <w:gridSpan w:val="2"/>
            <w:vMerge/>
            <w:tcBorders>
              <w:left w:val="single" w:sz="4" w:space="0" w:color="FFC000"/>
              <w:bottom w:val="single" w:sz="4" w:space="0" w:color="FFC000"/>
              <w:right w:val="single" w:sz="4" w:space="0" w:color="FFC000"/>
            </w:tcBorders>
            <w:shd w:val="clear" w:color="auto" w:fill="FFF8E6"/>
          </w:tcPr>
          <w:p>
            <w:pPr/>
          </w:p>
        </w:tc>
      </w:tr>
      <w:tr>
        <w:trPr>
          <w:trHeight w:val="245" w:hRule="exact"/>
        </w:trPr>
        <w:tc>
          <w:tcPr>
            <w:tcW w:w="1056" w:type="dxa"/>
            <w:vMerge/>
            <w:tcBorders>
              <w:left w:val="single" w:sz="4" w:space="0" w:color="FFC000"/>
              <w:bottom w:val="nil" w:sz="6" w:space="0" w:color="auto"/>
              <w:right w:val="single" w:sz="4" w:space="0" w:color="FFC000"/>
            </w:tcBorders>
            <w:shd w:val="clear" w:color="auto" w:fill="FFF8E6"/>
          </w:tcPr>
          <w:p>
            <w:pPr/>
          </w:p>
        </w:tc>
        <w:tc>
          <w:tcPr>
            <w:tcW w:w="2031"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收入</w:t>
            </w:r>
          </w:p>
        </w:tc>
        <w:tc>
          <w:tcPr>
            <w:tcW w:w="203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成本</w:t>
            </w:r>
          </w:p>
        </w:tc>
        <w:tc>
          <w:tcPr>
            <w:tcW w:w="2031"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收入</w:t>
            </w:r>
          </w:p>
        </w:tc>
        <w:tc>
          <w:tcPr>
            <w:tcW w:w="2032"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成本</w:t>
            </w:r>
          </w:p>
        </w:tc>
      </w:tr>
      <w:tr>
        <w:trPr>
          <w:trHeight w:val="250" w:hRule="exact"/>
        </w:trPr>
        <w:tc>
          <w:tcPr>
            <w:tcW w:w="1056" w:type="dxa"/>
            <w:tcBorders>
              <w:top w:val="nil" w:sz="6" w:space="0" w:color="auto"/>
              <w:left w:val="single" w:sz="4" w:space="0" w:color="FFC000"/>
              <w:bottom w:val="single" w:sz="4" w:space="0" w:color="FFC000"/>
              <w:right w:val="single" w:sz="4" w:space="0" w:color="FFC000"/>
            </w:tcBorders>
            <w:shd w:val="clear" w:color="auto" w:fill="FFF8E6"/>
          </w:tcPr>
          <w:p>
            <w:pPr/>
          </w:p>
        </w:tc>
        <w:tc>
          <w:tcPr>
            <w:tcW w:w="2031" w:type="dxa"/>
            <w:vMerge/>
            <w:tcBorders>
              <w:left w:val="single" w:sz="4" w:space="0" w:color="FFC000"/>
              <w:bottom w:val="single" w:sz="4" w:space="0" w:color="FFC000"/>
              <w:right w:val="single" w:sz="4" w:space="0" w:color="FFC000"/>
            </w:tcBorders>
            <w:shd w:val="clear" w:color="auto" w:fill="FFF8E6"/>
          </w:tcPr>
          <w:p>
            <w:pPr/>
          </w:p>
        </w:tc>
        <w:tc>
          <w:tcPr>
            <w:tcW w:w="2032" w:type="dxa"/>
            <w:vMerge/>
            <w:tcBorders>
              <w:left w:val="single" w:sz="4" w:space="0" w:color="FFC000"/>
              <w:bottom w:val="single" w:sz="4" w:space="0" w:color="FFC000"/>
              <w:right w:val="single" w:sz="4" w:space="0" w:color="FFC000"/>
            </w:tcBorders>
            <w:shd w:val="clear" w:color="auto" w:fill="FFF8E6"/>
          </w:tcPr>
          <w:p>
            <w:pPr/>
          </w:p>
        </w:tc>
        <w:tc>
          <w:tcPr>
            <w:tcW w:w="2031" w:type="dxa"/>
            <w:vMerge/>
            <w:tcBorders>
              <w:left w:val="single" w:sz="4" w:space="0" w:color="FFC000"/>
              <w:bottom w:val="single" w:sz="4" w:space="0" w:color="FFC000"/>
              <w:right w:val="single" w:sz="4" w:space="0" w:color="FFC000"/>
            </w:tcBorders>
            <w:shd w:val="clear" w:color="auto" w:fill="FFF8E6"/>
          </w:tcPr>
          <w:p>
            <w:pPr/>
          </w:p>
        </w:tc>
        <w:tc>
          <w:tcPr>
            <w:tcW w:w="2032"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105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301"/>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主营业务</w:t>
            </w:r>
          </w:p>
        </w:tc>
        <w:tc>
          <w:tcPr>
            <w:tcW w:w="2031"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42,041,268,663.43</w:t>
            </w:r>
          </w:p>
        </w:tc>
        <w:tc>
          <w:tcPr>
            <w:tcW w:w="203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41,184,190,564.43</w:t>
            </w:r>
          </w:p>
        </w:tc>
        <w:tc>
          <w:tcPr>
            <w:tcW w:w="203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38,818,310,083.69</w:t>
            </w:r>
          </w:p>
        </w:tc>
        <w:tc>
          <w:tcPr>
            <w:tcW w:w="203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37,910,906,480.87</w:t>
            </w:r>
          </w:p>
        </w:tc>
      </w:tr>
      <w:tr>
        <w:trPr>
          <w:trHeight w:val="491" w:hRule="exact"/>
        </w:trPr>
        <w:tc>
          <w:tcPr>
            <w:tcW w:w="105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6"/>
              <w:ind w:right="301"/>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其他业务</w:t>
            </w:r>
          </w:p>
        </w:tc>
        <w:tc>
          <w:tcPr>
            <w:tcW w:w="2031"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6"/>
              <w:ind w:right="20"/>
              <w:jc w:val="right"/>
              <w:rPr>
                <w:rFonts w:ascii="华文细黑" w:hAnsi="华文细黑" w:cs="华文细黑" w:eastAsia="华文细黑" w:hint="default"/>
                <w:sz w:val="18"/>
                <w:szCs w:val="18"/>
              </w:rPr>
            </w:pPr>
            <w:r>
              <w:rPr>
                <w:rFonts w:ascii="华文细黑"/>
                <w:sz w:val="18"/>
              </w:rPr>
              <w:t>81,031,195.06</w:t>
            </w:r>
          </w:p>
        </w:tc>
        <w:tc>
          <w:tcPr>
            <w:tcW w:w="203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23"/>
              <w:jc w:val="right"/>
              <w:rPr>
                <w:rFonts w:ascii="华文细黑" w:hAnsi="华文细黑" w:cs="华文细黑" w:eastAsia="华文细黑" w:hint="default"/>
                <w:sz w:val="18"/>
                <w:szCs w:val="18"/>
              </w:rPr>
            </w:pPr>
            <w:r>
              <w:rPr>
                <w:rFonts w:ascii="华文细黑"/>
                <w:sz w:val="18"/>
              </w:rPr>
              <w:t>8,603.78</w:t>
            </w:r>
          </w:p>
        </w:tc>
        <w:tc>
          <w:tcPr>
            <w:tcW w:w="203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21"/>
              <w:jc w:val="right"/>
              <w:rPr>
                <w:rFonts w:ascii="华文细黑" w:hAnsi="华文细黑" w:cs="华文细黑" w:eastAsia="华文细黑" w:hint="default"/>
                <w:sz w:val="18"/>
                <w:szCs w:val="18"/>
              </w:rPr>
            </w:pPr>
            <w:r>
              <w:rPr>
                <w:rFonts w:ascii="华文细黑"/>
                <w:sz w:val="18"/>
              </w:rPr>
              <w:t>78,204,590.26</w:t>
            </w:r>
          </w:p>
        </w:tc>
        <w:tc>
          <w:tcPr>
            <w:tcW w:w="203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6"/>
              <w:ind w:right="22"/>
              <w:jc w:val="right"/>
              <w:rPr>
                <w:rFonts w:ascii="华文细黑" w:hAnsi="华文细黑" w:cs="华文细黑" w:eastAsia="华文细黑" w:hint="default"/>
                <w:sz w:val="18"/>
                <w:szCs w:val="18"/>
              </w:rPr>
            </w:pPr>
            <w:r>
              <w:rPr>
                <w:rFonts w:ascii="华文细黑"/>
                <w:w w:val="95"/>
                <w:sz w:val="18"/>
              </w:rPr>
              <w:t>287,136.43</w:t>
            </w:r>
          </w:p>
        </w:tc>
      </w:tr>
      <w:tr>
        <w:trPr>
          <w:trHeight w:val="490" w:hRule="exact"/>
        </w:trPr>
        <w:tc>
          <w:tcPr>
            <w:tcW w:w="105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right="254"/>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  </w:t>
            </w:r>
            <w:r>
              <w:rPr>
                <w:rFonts w:ascii="华文细黑" w:hAnsi="华文细黑" w:cs="华文细黑" w:eastAsia="华文细黑" w:hint="default"/>
                <w:spacing w:val="44"/>
                <w:sz w:val="18"/>
                <w:szCs w:val="18"/>
              </w:rPr>
              <w:t> </w:t>
            </w:r>
            <w:r>
              <w:rPr>
                <w:rFonts w:ascii="华文细黑" w:hAnsi="华文细黑" w:cs="华文细黑" w:eastAsia="华文细黑" w:hint="default"/>
                <w:sz w:val="18"/>
                <w:szCs w:val="18"/>
              </w:rPr>
              <w:t>计</w:t>
            </w:r>
          </w:p>
        </w:tc>
        <w:tc>
          <w:tcPr>
            <w:tcW w:w="2031"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42,122,299,858.49</w:t>
            </w:r>
            <w:r>
              <w:rPr>
                <w:rFonts w:ascii="华文细黑"/>
                <w:sz w:val="18"/>
              </w:rPr>
            </w:r>
          </w:p>
        </w:tc>
        <w:tc>
          <w:tcPr>
            <w:tcW w:w="203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41,184,199,168.21</w:t>
            </w:r>
            <w:r>
              <w:rPr>
                <w:rFonts w:ascii="华文细黑"/>
                <w:sz w:val="18"/>
              </w:rPr>
            </w:r>
          </w:p>
        </w:tc>
        <w:tc>
          <w:tcPr>
            <w:tcW w:w="203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38,896,514,673.95</w:t>
            </w:r>
            <w:r>
              <w:rPr>
                <w:rFonts w:ascii="华文细黑"/>
                <w:sz w:val="18"/>
              </w:rPr>
            </w:r>
          </w:p>
        </w:tc>
        <w:tc>
          <w:tcPr>
            <w:tcW w:w="2032"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b/>
                <w:w w:val="95"/>
                <w:sz w:val="18"/>
              </w:rPr>
              <w:t>37,911,193,617.30</w:t>
            </w:r>
            <w:r>
              <w:rPr>
                <w:rFonts w:ascii="华文细黑"/>
                <w:sz w:val="18"/>
              </w:rPr>
            </w:r>
          </w:p>
        </w:tc>
      </w:tr>
    </w:tbl>
    <w:p>
      <w:pPr>
        <w:spacing w:line="240" w:lineRule="auto" w:before="13"/>
        <w:rPr>
          <w:rFonts w:ascii="华文细黑" w:hAnsi="华文细黑" w:cs="华文细黑" w:eastAsia="华文细黑" w:hint="default"/>
          <w:b/>
          <w:bCs/>
          <w:sz w:val="6"/>
          <w:szCs w:val="6"/>
        </w:rPr>
      </w:pPr>
    </w:p>
    <w:p>
      <w:pPr>
        <w:spacing w:before="10"/>
        <w:ind w:left="760" w:right="0" w:firstLine="0"/>
        <w:jc w:val="left"/>
        <w:rPr>
          <w:rFonts w:ascii="华文细黑" w:hAnsi="华文细黑" w:cs="华文细黑" w:eastAsia="华文细黑" w:hint="default"/>
          <w:sz w:val="21"/>
          <w:szCs w:val="21"/>
        </w:rPr>
      </w:pPr>
      <w:bookmarkStart w:name="5、投资收益" w:id="363"/>
      <w:bookmarkEnd w:id="363"/>
      <w:r>
        <w:rPr/>
      </w:r>
      <w:r>
        <w:rPr>
          <w:rFonts w:ascii="华文细黑" w:hAnsi="华文细黑" w:cs="华文细黑" w:eastAsia="华文细黑" w:hint="default"/>
          <w:b/>
          <w:bCs/>
          <w:sz w:val="21"/>
          <w:szCs w:val="21"/>
        </w:rPr>
        <w:t>5</w:t>
      </w:r>
      <w:r>
        <w:rPr>
          <w:rFonts w:ascii="华文细黑" w:hAnsi="华文细黑" w:cs="华文细黑" w:eastAsia="华文细黑" w:hint="default"/>
          <w:b/>
          <w:bCs/>
          <w:sz w:val="21"/>
          <w:szCs w:val="21"/>
        </w:rPr>
        <w:t>、投资收益</w:t>
      </w:r>
      <w:r>
        <w:rPr>
          <w:rFonts w:ascii="华文细黑" w:hAnsi="华文细黑" w:cs="华文细黑" w:eastAsia="华文细黑" w:hint="default"/>
          <w:sz w:val="21"/>
          <w:szCs w:val="21"/>
        </w:rPr>
      </w:r>
    </w:p>
    <w:p>
      <w:pPr>
        <w:spacing w:line="240" w:lineRule="auto" w:before="5"/>
        <w:rPr>
          <w:rFonts w:ascii="华文细黑" w:hAnsi="华文细黑" w:cs="华文细黑" w:eastAsia="华文细黑" w:hint="default"/>
          <w:b/>
          <w:bCs/>
          <w:sz w:val="5"/>
          <w:szCs w:val="5"/>
        </w:rPr>
      </w:pPr>
    </w:p>
    <w:tbl>
      <w:tblPr>
        <w:tblW w:w="0" w:type="auto"/>
        <w:jc w:val="left"/>
        <w:tblInd w:w="254" w:type="dxa"/>
        <w:tblLayout w:type="fixed"/>
        <w:tblCellMar>
          <w:top w:w="0" w:type="dxa"/>
          <w:left w:w="0" w:type="dxa"/>
          <w:bottom w:w="0" w:type="dxa"/>
          <w:right w:w="0" w:type="dxa"/>
        </w:tblCellMar>
        <w:tblLook w:val="01E0"/>
      </w:tblPr>
      <w:tblGrid>
        <w:gridCol w:w="4905"/>
        <w:gridCol w:w="2184"/>
        <w:gridCol w:w="2111"/>
      </w:tblGrid>
      <w:tr>
        <w:trPr>
          <w:trHeight w:val="491" w:hRule="exact"/>
        </w:trPr>
        <w:tc>
          <w:tcPr>
            <w:tcW w:w="490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5"/>
              <w:ind w:right="2131"/>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218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64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本年发生额</w:t>
            </w:r>
          </w:p>
        </w:tc>
        <w:tc>
          <w:tcPr>
            <w:tcW w:w="2111"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60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上年发生额</w:t>
            </w:r>
          </w:p>
        </w:tc>
      </w:tr>
      <w:tr>
        <w:trPr>
          <w:trHeight w:val="490" w:hRule="exact"/>
        </w:trPr>
        <w:tc>
          <w:tcPr>
            <w:tcW w:w="490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成本法核算的长期股权投资收益</w:t>
            </w:r>
          </w:p>
        </w:tc>
        <w:tc>
          <w:tcPr>
            <w:tcW w:w="218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70,291,978.92</w:t>
            </w:r>
          </w:p>
        </w:tc>
        <w:tc>
          <w:tcPr>
            <w:tcW w:w="21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106,800,000.00</w:t>
            </w:r>
          </w:p>
        </w:tc>
      </w:tr>
      <w:tr>
        <w:trPr>
          <w:trHeight w:val="490" w:hRule="exact"/>
        </w:trPr>
        <w:tc>
          <w:tcPr>
            <w:tcW w:w="490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处置长期股权投资产生的投资收益</w:t>
            </w:r>
          </w:p>
        </w:tc>
        <w:tc>
          <w:tcPr>
            <w:tcW w:w="218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2,034,585.94</w:t>
            </w:r>
          </w:p>
        </w:tc>
        <w:tc>
          <w:tcPr>
            <w:tcW w:w="21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w w:val="95"/>
                <w:sz w:val="18"/>
              </w:rPr>
              <w:t>-2,120,540.92</w:t>
            </w:r>
          </w:p>
        </w:tc>
      </w:tr>
      <w:tr>
        <w:trPr>
          <w:trHeight w:val="890" w:hRule="exact"/>
        </w:trPr>
        <w:tc>
          <w:tcPr>
            <w:tcW w:w="490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4"/>
              <w:ind w:left="11" w:right="2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以公允价值计量且其变动计入当期损益的金融资产在持有期间 的投资收益</w:t>
            </w:r>
          </w:p>
        </w:tc>
        <w:tc>
          <w:tcPr>
            <w:tcW w:w="218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5"/>
              <w:ind w:right="0"/>
              <w:jc w:val="left"/>
              <w:rPr>
                <w:rFonts w:ascii="华文细黑" w:hAnsi="华文细黑" w:cs="华文细黑" w:eastAsia="华文细黑" w:hint="default"/>
                <w:b/>
                <w:bCs/>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41,556.34</w:t>
            </w:r>
          </w:p>
        </w:tc>
        <w:tc>
          <w:tcPr>
            <w:tcW w:w="21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5"/>
              <w:ind w:right="0"/>
              <w:jc w:val="left"/>
              <w:rPr>
                <w:rFonts w:ascii="华文细黑" w:hAnsi="华文细黑" w:cs="华文细黑" w:eastAsia="华文细黑" w:hint="default"/>
                <w:b/>
                <w:bCs/>
                <w:sz w:val="24"/>
                <w:szCs w:val="24"/>
              </w:rPr>
            </w:pPr>
          </w:p>
          <w:p>
            <w:pPr>
              <w:pStyle w:val="TableParagraph"/>
              <w:spacing w:line="240" w:lineRule="auto"/>
              <w:ind w:right="18"/>
              <w:jc w:val="right"/>
              <w:rPr>
                <w:rFonts w:ascii="华文细黑" w:hAnsi="华文细黑" w:cs="华文细黑" w:eastAsia="华文细黑" w:hint="default"/>
                <w:sz w:val="18"/>
                <w:szCs w:val="18"/>
              </w:rPr>
            </w:pPr>
            <w:r>
              <w:rPr>
                <w:rFonts w:ascii="华文细黑"/>
                <w:sz w:val="18"/>
              </w:rPr>
              <w:t>---</w:t>
            </w:r>
          </w:p>
        </w:tc>
      </w:tr>
      <w:tr>
        <w:trPr>
          <w:trHeight w:val="890" w:hRule="exact"/>
        </w:trPr>
        <w:tc>
          <w:tcPr>
            <w:tcW w:w="490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9" w:lineRule="auto" w:before="143"/>
              <w:ind w:left="11" w:right="22"/>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处置以公允价值计量且其变动计入当期损益的金融资产取得的 投资收益</w:t>
            </w:r>
          </w:p>
        </w:tc>
        <w:tc>
          <w:tcPr>
            <w:tcW w:w="218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b/>
                <w:bCs/>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29,233,272.42</w:t>
            </w:r>
          </w:p>
        </w:tc>
        <w:tc>
          <w:tcPr>
            <w:tcW w:w="21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6"/>
              <w:ind w:right="0"/>
              <w:jc w:val="left"/>
              <w:rPr>
                <w:rFonts w:ascii="华文细黑" w:hAnsi="华文细黑" w:cs="华文细黑" w:eastAsia="华文细黑" w:hint="default"/>
                <w:b/>
                <w:bCs/>
                <w:sz w:val="24"/>
                <w:szCs w:val="24"/>
              </w:rPr>
            </w:pPr>
          </w:p>
          <w:p>
            <w:pPr>
              <w:pStyle w:val="TableParagraph"/>
              <w:spacing w:line="240" w:lineRule="auto"/>
              <w:ind w:right="18"/>
              <w:jc w:val="right"/>
              <w:rPr>
                <w:rFonts w:ascii="华文细黑" w:hAnsi="华文细黑" w:cs="华文细黑" w:eastAsia="华文细黑" w:hint="default"/>
                <w:sz w:val="18"/>
                <w:szCs w:val="18"/>
              </w:rPr>
            </w:pPr>
            <w:r>
              <w:rPr>
                <w:rFonts w:ascii="华文细黑"/>
                <w:sz w:val="18"/>
              </w:rPr>
              <w:t>---</w:t>
            </w:r>
          </w:p>
        </w:tc>
      </w:tr>
      <w:tr>
        <w:trPr>
          <w:trHeight w:val="490" w:hRule="exact"/>
        </w:trPr>
        <w:tc>
          <w:tcPr>
            <w:tcW w:w="490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理财产品</w:t>
            </w:r>
          </w:p>
        </w:tc>
        <w:tc>
          <w:tcPr>
            <w:tcW w:w="218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2"/>
              <w:jc w:val="right"/>
              <w:rPr>
                <w:rFonts w:ascii="华文细黑" w:hAnsi="华文细黑" w:cs="华文细黑" w:eastAsia="华文细黑" w:hint="default"/>
                <w:sz w:val="18"/>
                <w:szCs w:val="18"/>
              </w:rPr>
            </w:pPr>
            <w:r>
              <w:rPr>
                <w:rFonts w:ascii="华文细黑"/>
                <w:sz w:val="18"/>
              </w:rPr>
              <w:t>18,057,878.23</w:t>
            </w:r>
          </w:p>
        </w:tc>
        <w:tc>
          <w:tcPr>
            <w:tcW w:w="21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19"/>
              <w:jc w:val="right"/>
              <w:rPr>
                <w:rFonts w:ascii="华文细黑" w:hAnsi="华文细黑" w:cs="华文细黑" w:eastAsia="华文细黑" w:hint="default"/>
                <w:sz w:val="18"/>
                <w:szCs w:val="18"/>
              </w:rPr>
            </w:pPr>
            <w:r>
              <w:rPr>
                <w:rFonts w:ascii="华文细黑"/>
                <w:sz w:val="18"/>
              </w:rPr>
              <w:t>6,635,732.67</w:t>
            </w:r>
          </w:p>
        </w:tc>
      </w:tr>
      <w:tr>
        <w:trPr>
          <w:trHeight w:val="491" w:hRule="exact"/>
        </w:trPr>
        <w:tc>
          <w:tcPr>
            <w:tcW w:w="4905"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2131"/>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218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b/>
                <w:w w:val="95"/>
                <w:sz w:val="18"/>
              </w:rPr>
              <w:t>119,659,271.85</w:t>
            </w:r>
            <w:r>
              <w:rPr>
                <w:rFonts w:ascii="华文细黑"/>
                <w:sz w:val="18"/>
              </w:rPr>
            </w:r>
          </w:p>
        </w:tc>
        <w:tc>
          <w:tcPr>
            <w:tcW w:w="211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b/>
                <w:w w:val="95"/>
                <w:sz w:val="18"/>
              </w:rPr>
              <w:t>111,315,191.75</w:t>
            </w:r>
            <w:r>
              <w:rPr>
                <w:rFonts w:ascii="华文细黑"/>
                <w:sz w:val="18"/>
              </w:rPr>
            </w:r>
          </w:p>
        </w:tc>
      </w:tr>
    </w:tbl>
    <w:p>
      <w:pPr>
        <w:spacing w:after="0" w:line="240" w:lineRule="auto"/>
        <w:jc w:val="right"/>
        <w:rPr>
          <w:rFonts w:ascii="华文细黑" w:hAnsi="华文细黑" w:cs="华文细黑" w:eastAsia="华文细黑" w:hint="default"/>
          <w:sz w:val="18"/>
          <w:szCs w:val="18"/>
        </w:rPr>
        <w:sectPr>
          <w:pgSz w:w="11910" w:h="16840"/>
          <w:pgMar w:header="917" w:footer="1019" w:top="1100" w:bottom="1200" w:left="1100" w:right="0"/>
        </w:sectPr>
      </w:pPr>
    </w:p>
    <w:p>
      <w:pPr>
        <w:spacing w:line="20" w:lineRule="exact"/>
        <w:ind w:left="116" w:right="0" w:firstLine="0"/>
        <w:rPr>
          <w:rFonts w:ascii="华文细黑" w:hAnsi="华文细黑" w:cs="华文细黑" w:eastAsia="华文细黑" w:hint="default"/>
          <w:sz w:val="2"/>
          <w:szCs w:val="2"/>
        </w:rPr>
      </w:pPr>
      <w:r>
        <w:rPr>
          <w:rFonts w:ascii="华文细黑" w:hAnsi="华文细黑" w:cs="华文细黑" w:eastAsia="华文细黑"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华文细黑" w:hAnsi="华文细黑" w:cs="华文细黑" w:eastAsia="华文细黑" w:hint="default"/>
          <w:sz w:val="2"/>
          <w:szCs w:val="2"/>
        </w:rPr>
      </w:r>
    </w:p>
    <w:p>
      <w:pPr>
        <w:spacing w:line="240" w:lineRule="auto" w:before="10"/>
        <w:rPr>
          <w:rFonts w:ascii="华文细黑" w:hAnsi="华文细黑" w:cs="华文细黑" w:eastAsia="华文细黑" w:hint="default"/>
          <w:b/>
          <w:bCs/>
          <w:sz w:val="24"/>
          <w:szCs w:val="24"/>
        </w:rPr>
      </w:pPr>
    </w:p>
    <w:p>
      <w:pPr>
        <w:pStyle w:val="Heading4"/>
        <w:spacing w:line="336" w:lineRule="exact"/>
        <w:ind w:left="634" w:right="1217"/>
        <w:jc w:val="left"/>
        <w:rPr>
          <w:b w:val="0"/>
          <w:bCs w:val="0"/>
        </w:rPr>
      </w:pPr>
      <w:bookmarkStart w:name="十六、补充资料" w:id="364"/>
      <w:bookmarkEnd w:id="364"/>
      <w:r>
        <w:rPr>
          <w:b w:val="0"/>
          <w:bCs w:val="0"/>
        </w:rPr>
      </w:r>
      <w:r>
        <w:rPr/>
        <w:t>十六、补充资料</w:t>
      </w:r>
      <w:r>
        <w:rPr>
          <w:b w:val="0"/>
          <w:bCs w:val="0"/>
        </w:rPr>
      </w:r>
    </w:p>
    <w:p>
      <w:pPr>
        <w:pStyle w:val="Heading5"/>
        <w:spacing w:line="240" w:lineRule="auto" w:before="137"/>
        <w:ind w:left="636" w:right="1217"/>
        <w:jc w:val="left"/>
        <w:rPr>
          <w:b w:val="0"/>
          <w:bCs w:val="0"/>
        </w:rPr>
      </w:pPr>
      <w:bookmarkStart w:name="1、本年非经常性损益明细表" w:id="365"/>
      <w:bookmarkEnd w:id="365"/>
      <w:r>
        <w:rPr>
          <w:b w:val="0"/>
          <w:bCs w:val="0"/>
        </w:rPr>
      </w:r>
      <w:r>
        <w:rPr>
          <w:rFonts w:ascii="华文细黑" w:hAnsi="华文细黑" w:cs="华文细黑" w:eastAsia="华文细黑" w:hint="default"/>
        </w:rPr>
        <w:t>1</w:t>
      </w:r>
      <w:r>
        <w:rPr/>
        <w:t>、本年非经常性损益明细表</w:t>
      </w:r>
      <w:r>
        <w:rPr>
          <w:b w:val="0"/>
          <w:bCs w:val="0"/>
        </w:rPr>
      </w:r>
    </w:p>
    <w:p>
      <w:pPr>
        <w:spacing w:line="240" w:lineRule="auto" w:before="12"/>
        <w:rPr>
          <w:rFonts w:ascii="华文细黑" w:hAnsi="华文细黑" w:cs="华文细黑" w:eastAsia="华文细黑" w:hint="default"/>
          <w:b/>
          <w:bCs/>
          <w:sz w:val="5"/>
          <w:szCs w:val="5"/>
        </w:rPr>
      </w:pPr>
    </w:p>
    <w:tbl>
      <w:tblPr>
        <w:tblW w:w="0" w:type="auto"/>
        <w:jc w:val="left"/>
        <w:tblInd w:w="434" w:type="dxa"/>
        <w:tblLayout w:type="fixed"/>
        <w:tblCellMar>
          <w:top w:w="0" w:type="dxa"/>
          <w:left w:w="0" w:type="dxa"/>
          <w:bottom w:w="0" w:type="dxa"/>
          <w:right w:w="0" w:type="dxa"/>
        </w:tblCellMar>
        <w:tblLook w:val="01E0"/>
      </w:tblPr>
      <w:tblGrid>
        <w:gridCol w:w="6112"/>
        <w:gridCol w:w="1692"/>
        <w:gridCol w:w="1274"/>
      </w:tblGrid>
      <w:tr>
        <w:trPr>
          <w:trHeight w:val="506" w:hRule="exact"/>
        </w:trPr>
        <w:tc>
          <w:tcPr>
            <w:tcW w:w="611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627" w:val="left" w:leader="none"/>
              </w:tabs>
              <w:spacing w:line="240" w:lineRule="auto" w:before="152"/>
              <w:ind w:left="87"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169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52"/>
              <w:ind w:left="9"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127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52"/>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说明</w:t>
            </w:r>
          </w:p>
        </w:tc>
      </w:tr>
      <w:tr>
        <w:trPr>
          <w:trHeight w:val="497" w:hRule="exact"/>
        </w:trPr>
        <w:tc>
          <w:tcPr>
            <w:tcW w:w="611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52"/>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非流动性资产处置损益</w:t>
            </w:r>
          </w:p>
        </w:tc>
        <w:tc>
          <w:tcPr>
            <w:tcW w:w="1692" w:type="dxa"/>
            <w:tcBorders>
              <w:top w:val="single" w:sz="6" w:space="0" w:color="FFF8E6"/>
              <w:left w:val="single" w:sz="10" w:space="0" w:color="FFF8E6"/>
              <w:bottom w:val="single" w:sz="4" w:space="0" w:color="FFC000"/>
              <w:right w:val="single" w:sz="4" w:space="0" w:color="FFC000"/>
            </w:tcBorders>
          </w:tcPr>
          <w:p>
            <w:pPr>
              <w:pStyle w:val="TableParagraph"/>
              <w:spacing w:line="240" w:lineRule="auto" w:before="149"/>
              <w:ind w:right="23"/>
              <w:jc w:val="right"/>
              <w:rPr>
                <w:rFonts w:ascii="华文细黑" w:hAnsi="华文细黑" w:cs="华文细黑" w:eastAsia="华文细黑" w:hint="default"/>
                <w:sz w:val="18"/>
                <w:szCs w:val="18"/>
              </w:rPr>
            </w:pPr>
            <w:r>
              <w:rPr>
                <w:rFonts w:ascii="华文细黑"/>
                <w:sz w:val="18"/>
              </w:rPr>
              <w:t>-48,847.63</w:t>
            </w:r>
          </w:p>
        </w:tc>
        <w:tc>
          <w:tcPr>
            <w:tcW w:w="1274" w:type="dxa"/>
            <w:tcBorders>
              <w:top w:val="single" w:sz="6" w:space="0" w:color="FFF8E6"/>
              <w:left w:val="single" w:sz="4" w:space="0" w:color="FFC000"/>
              <w:bottom w:val="single" w:sz="4" w:space="0" w:color="FFC000"/>
              <w:right w:val="single" w:sz="4" w:space="0" w:color="FFC000"/>
            </w:tcBorders>
          </w:tcPr>
          <w:p>
            <w:pPr/>
          </w:p>
        </w:tc>
      </w:tr>
      <w:tr>
        <w:trPr>
          <w:trHeight w:val="490" w:hRule="exact"/>
        </w:trPr>
        <w:tc>
          <w:tcPr>
            <w:tcW w:w="611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越权审批，或无正式批准文件，或偶发的税收返还、减免</w:t>
            </w:r>
          </w:p>
        </w:tc>
        <w:tc>
          <w:tcPr>
            <w:tcW w:w="1692"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w:t>
            </w: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890" w:hRule="exact"/>
        </w:trPr>
        <w:tc>
          <w:tcPr>
            <w:tcW w:w="611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4"/>
              <w:ind w:left="11" w:right="9"/>
              <w:jc w:val="left"/>
              <w:rPr>
                <w:rFonts w:ascii="华文细黑" w:hAnsi="华文细黑" w:cs="华文细黑" w:eastAsia="华文细黑" w:hint="default"/>
                <w:sz w:val="18"/>
                <w:szCs w:val="18"/>
              </w:rPr>
            </w:pPr>
            <w:r>
              <w:rPr>
                <w:rFonts w:ascii="华文细黑" w:hAnsi="华文细黑" w:cs="华文细黑" w:eastAsia="华文细黑" w:hint="default"/>
                <w:spacing w:val="-2"/>
                <w:sz w:val="18"/>
                <w:szCs w:val="18"/>
              </w:rPr>
              <w:t>计入当期损益的政府补助，但与企业正常经营业务密切相关，符合国家政策规</w:t>
            </w:r>
            <w:r>
              <w:rPr>
                <w:rFonts w:ascii="华文细黑" w:hAnsi="华文细黑" w:cs="华文细黑" w:eastAsia="华文细黑" w:hint="default"/>
                <w:spacing w:val="-19"/>
                <w:sz w:val="18"/>
                <w:szCs w:val="18"/>
              </w:rPr>
              <w:t> </w:t>
            </w:r>
            <w:r>
              <w:rPr>
                <w:rFonts w:ascii="华文细黑" w:hAnsi="华文细黑" w:cs="华文细黑" w:eastAsia="华文细黑" w:hint="default"/>
                <w:spacing w:val="-19"/>
                <w:sz w:val="18"/>
                <w:szCs w:val="18"/>
              </w:rPr>
            </w:r>
            <w:r>
              <w:rPr>
                <w:rFonts w:ascii="华文细黑" w:hAnsi="华文细黑" w:cs="华文细黑" w:eastAsia="华文细黑" w:hint="default"/>
                <w:sz w:val="18"/>
                <w:szCs w:val="18"/>
              </w:rPr>
              <w:t>定，按照一定标准定额或定量持续享受的政府补助除外</w:t>
            </w:r>
          </w:p>
        </w:tc>
        <w:tc>
          <w:tcPr>
            <w:tcW w:w="1692"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5"/>
              <w:ind w:right="0"/>
              <w:jc w:val="left"/>
              <w:rPr>
                <w:rFonts w:ascii="华文细黑" w:hAnsi="华文细黑" w:cs="华文细黑" w:eastAsia="华文细黑" w:hint="default"/>
                <w:b/>
                <w:bCs/>
                <w:sz w:val="24"/>
                <w:szCs w:val="24"/>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39,392,384.57</w:t>
            </w: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490" w:hRule="exact"/>
        </w:trPr>
        <w:tc>
          <w:tcPr>
            <w:tcW w:w="611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计入当期损益的对非金融企业收取的资金占用费</w:t>
            </w:r>
          </w:p>
        </w:tc>
        <w:tc>
          <w:tcPr>
            <w:tcW w:w="1692"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w:t>
            </w: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890" w:hRule="exact"/>
        </w:trPr>
        <w:tc>
          <w:tcPr>
            <w:tcW w:w="611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4"/>
              <w:ind w:left="11" w:right="9"/>
              <w:jc w:val="left"/>
              <w:rPr>
                <w:rFonts w:ascii="华文细黑" w:hAnsi="华文细黑" w:cs="华文细黑" w:eastAsia="华文细黑" w:hint="default"/>
                <w:sz w:val="18"/>
                <w:szCs w:val="18"/>
              </w:rPr>
            </w:pPr>
            <w:r>
              <w:rPr>
                <w:rFonts w:ascii="华文细黑" w:hAnsi="华文细黑" w:cs="华文细黑" w:eastAsia="华文细黑" w:hint="default"/>
                <w:spacing w:val="-2"/>
                <w:sz w:val="18"/>
                <w:szCs w:val="18"/>
              </w:rPr>
              <w:t>企业取得子公司、联营企业及合营企业的投资成本小于取得投资时应享有被投</w:t>
            </w:r>
            <w:r>
              <w:rPr>
                <w:rFonts w:ascii="华文细黑" w:hAnsi="华文细黑" w:cs="华文细黑" w:eastAsia="华文细黑" w:hint="default"/>
                <w:spacing w:val="-18"/>
                <w:sz w:val="18"/>
                <w:szCs w:val="18"/>
              </w:rPr>
              <w:t> </w:t>
            </w:r>
            <w:r>
              <w:rPr>
                <w:rFonts w:ascii="华文细黑" w:hAnsi="华文细黑" w:cs="华文细黑" w:eastAsia="华文细黑" w:hint="default"/>
                <w:spacing w:val="-18"/>
                <w:sz w:val="18"/>
                <w:szCs w:val="18"/>
              </w:rPr>
            </w:r>
            <w:r>
              <w:rPr>
                <w:rFonts w:ascii="华文细黑" w:hAnsi="华文细黑" w:cs="华文细黑" w:eastAsia="华文细黑" w:hint="default"/>
                <w:sz w:val="18"/>
                <w:szCs w:val="18"/>
              </w:rPr>
              <w:t>资单位可辨认净资产公允价值产生的收益</w:t>
            </w:r>
          </w:p>
        </w:tc>
        <w:tc>
          <w:tcPr>
            <w:tcW w:w="1692"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5"/>
              <w:ind w:right="23"/>
              <w:jc w:val="right"/>
              <w:rPr>
                <w:rFonts w:ascii="华文细黑" w:hAnsi="华文细黑" w:cs="华文细黑" w:eastAsia="华文细黑" w:hint="default"/>
                <w:sz w:val="18"/>
                <w:szCs w:val="18"/>
              </w:rPr>
            </w:pPr>
            <w:r>
              <w:rPr>
                <w:rFonts w:ascii="华文细黑"/>
                <w:sz w:val="18"/>
              </w:rPr>
              <w:t>---</w:t>
            </w: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490" w:hRule="exact"/>
        </w:trPr>
        <w:tc>
          <w:tcPr>
            <w:tcW w:w="611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非货币性资产交换损益</w:t>
            </w:r>
          </w:p>
        </w:tc>
        <w:tc>
          <w:tcPr>
            <w:tcW w:w="1692"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sz w:val="18"/>
              </w:rPr>
              <w:t>---</w:t>
            </w: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490" w:hRule="exact"/>
        </w:trPr>
        <w:tc>
          <w:tcPr>
            <w:tcW w:w="611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委托他人投资或管理资产的损益</w:t>
            </w:r>
          </w:p>
        </w:tc>
        <w:tc>
          <w:tcPr>
            <w:tcW w:w="1692"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18,108,710.19</w:t>
            </w: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490" w:hRule="exact"/>
        </w:trPr>
        <w:tc>
          <w:tcPr>
            <w:tcW w:w="611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因不可抗力因素，如遭受自然灾害而计提的各项资产减值准备</w:t>
            </w:r>
          </w:p>
        </w:tc>
        <w:tc>
          <w:tcPr>
            <w:tcW w:w="1692"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490" w:hRule="exact"/>
        </w:trPr>
        <w:tc>
          <w:tcPr>
            <w:tcW w:w="611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债务重组损益</w:t>
            </w:r>
          </w:p>
        </w:tc>
        <w:tc>
          <w:tcPr>
            <w:tcW w:w="1692"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491" w:hRule="exact"/>
        </w:trPr>
        <w:tc>
          <w:tcPr>
            <w:tcW w:w="611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企业重组费用，如安置职工的支出、整合费用等</w:t>
            </w:r>
          </w:p>
        </w:tc>
        <w:tc>
          <w:tcPr>
            <w:tcW w:w="1692"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490" w:hRule="exact"/>
        </w:trPr>
        <w:tc>
          <w:tcPr>
            <w:tcW w:w="611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交易价格显失公允的交易产生的超过公允价值部分的损益</w:t>
            </w:r>
          </w:p>
        </w:tc>
        <w:tc>
          <w:tcPr>
            <w:tcW w:w="1692"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490" w:hRule="exact"/>
        </w:trPr>
        <w:tc>
          <w:tcPr>
            <w:tcW w:w="611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pacing w:val="-12"/>
                <w:sz w:val="18"/>
                <w:szCs w:val="18"/>
              </w:rPr>
              <w:t>同一控制下企业合并产生的子公司年初至合并日的当期净损益</w:t>
            </w:r>
            <w:r>
              <w:rPr>
                <w:rFonts w:ascii="华文细黑" w:hAnsi="华文细黑" w:cs="华文细黑" w:eastAsia="华文细黑" w:hint="default"/>
                <w:sz w:val="18"/>
                <w:szCs w:val="18"/>
              </w:rPr>
            </w:r>
          </w:p>
        </w:tc>
        <w:tc>
          <w:tcPr>
            <w:tcW w:w="1692"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490" w:hRule="exact"/>
        </w:trPr>
        <w:tc>
          <w:tcPr>
            <w:tcW w:w="611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与公司正常经营业务无关的或有事项产生的损益</w:t>
            </w:r>
          </w:p>
        </w:tc>
        <w:tc>
          <w:tcPr>
            <w:tcW w:w="1692"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1290" w:hRule="exact"/>
        </w:trPr>
        <w:tc>
          <w:tcPr>
            <w:tcW w:w="611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43"/>
              <w:ind w:left="11" w:right="9"/>
              <w:jc w:val="both"/>
              <w:rPr>
                <w:rFonts w:ascii="华文细黑" w:hAnsi="华文细黑" w:cs="华文细黑" w:eastAsia="华文细黑" w:hint="default"/>
                <w:sz w:val="18"/>
                <w:szCs w:val="18"/>
              </w:rPr>
            </w:pPr>
            <w:r>
              <w:rPr>
                <w:rFonts w:ascii="华文细黑" w:hAnsi="华文细黑" w:cs="华文细黑" w:eastAsia="华文细黑" w:hint="default"/>
                <w:spacing w:val="-2"/>
                <w:sz w:val="18"/>
                <w:szCs w:val="18"/>
              </w:rPr>
              <w:t>除同公司正常经营业务相关的有效套期保值业务外，持有交易性金融资产、交</w:t>
            </w:r>
            <w:r>
              <w:rPr>
                <w:rFonts w:ascii="华文细黑" w:hAnsi="华文细黑" w:cs="华文细黑" w:eastAsia="华文细黑" w:hint="default"/>
                <w:spacing w:val="-19"/>
                <w:sz w:val="18"/>
                <w:szCs w:val="18"/>
              </w:rPr>
              <w:t> </w:t>
            </w:r>
            <w:r>
              <w:rPr>
                <w:rFonts w:ascii="华文细黑" w:hAnsi="华文细黑" w:cs="华文细黑" w:eastAsia="华文细黑" w:hint="default"/>
                <w:spacing w:val="-19"/>
                <w:sz w:val="18"/>
                <w:szCs w:val="18"/>
              </w:rPr>
            </w:r>
            <w:r>
              <w:rPr>
                <w:rFonts w:ascii="华文细黑" w:hAnsi="华文细黑" w:cs="华文细黑" w:eastAsia="华文细黑" w:hint="default"/>
                <w:spacing w:val="-2"/>
                <w:sz w:val="18"/>
                <w:szCs w:val="18"/>
              </w:rPr>
              <w:t>易性金融负债产生的公允价值变动损益，以及处置交易性金融资产、交易性金</w:t>
            </w:r>
            <w:r>
              <w:rPr>
                <w:rFonts w:ascii="华文细黑" w:hAnsi="华文细黑" w:cs="华文细黑" w:eastAsia="华文细黑" w:hint="default"/>
                <w:spacing w:val="-19"/>
                <w:sz w:val="18"/>
                <w:szCs w:val="18"/>
              </w:rPr>
              <w:t> </w:t>
            </w:r>
            <w:r>
              <w:rPr>
                <w:rFonts w:ascii="华文细黑" w:hAnsi="华文细黑" w:cs="华文细黑" w:eastAsia="华文细黑" w:hint="default"/>
                <w:spacing w:val="-19"/>
                <w:sz w:val="18"/>
                <w:szCs w:val="18"/>
              </w:rPr>
            </w:r>
            <w:r>
              <w:rPr>
                <w:rFonts w:ascii="华文细黑" w:hAnsi="华文细黑" w:cs="华文细黑" w:eastAsia="华文细黑" w:hint="default"/>
                <w:sz w:val="18"/>
                <w:szCs w:val="18"/>
              </w:rPr>
              <w:t>融负债和可供出售金融资产取得的投资收益</w:t>
            </w:r>
          </w:p>
        </w:tc>
        <w:tc>
          <w:tcPr>
            <w:tcW w:w="1692"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ind w:right="0"/>
              <w:jc w:val="left"/>
              <w:rPr>
                <w:rFonts w:ascii="华文细黑" w:hAnsi="华文细黑" w:cs="华文细黑" w:eastAsia="华文细黑" w:hint="default"/>
                <w:b/>
                <w:bCs/>
                <w:sz w:val="18"/>
                <w:szCs w:val="18"/>
              </w:rPr>
            </w:pPr>
          </w:p>
          <w:p>
            <w:pPr>
              <w:pStyle w:val="TableParagraph"/>
              <w:spacing w:line="240" w:lineRule="auto" w:before="8"/>
              <w:ind w:right="0"/>
              <w:jc w:val="left"/>
              <w:rPr>
                <w:rFonts w:ascii="华文细黑" w:hAnsi="华文细黑" w:cs="华文细黑" w:eastAsia="华文细黑" w:hint="default"/>
                <w:b/>
                <w:bCs/>
                <w:sz w:val="20"/>
                <w:szCs w:val="20"/>
              </w:rPr>
            </w:pPr>
          </w:p>
          <w:p>
            <w:pPr>
              <w:pStyle w:val="TableParagraph"/>
              <w:spacing w:line="240" w:lineRule="auto"/>
              <w:ind w:right="22"/>
              <w:jc w:val="right"/>
              <w:rPr>
                <w:rFonts w:ascii="华文细黑" w:hAnsi="华文细黑" w:cs="华文细黑" w:eastAsia="华文细黑" w:hint="default"/>
                <w:sz w:val="18"/>
                <w:szCs w:val="18"/>
              </w:rPr>
            </w:pPr>
            <w:r>
              <w:rPr>
                <w:rFonts w:ascii="华文细黑"/>
                <w:sz w:val="18"/>
              </w:rPr>
              <w:t>32,466,373.97</w:t>
            </w: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490" w:hRule="exact"/>
        </w:trPr>
        <w:tc>
          <w:tcPr>
            <w:tcW w:w="611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单独进行减值测试的应收款项减值准备转回</w:t>
            </w:r>
          </w:p>
        </w:tc>
        <w:tc>
          <w:tcPr>
            <w:tcW w:w="1692"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501" w:hRule="exact"/>
        </w:trPr>
        <w:tc>
          <w:tcPr>
            <w:tcW w:w="611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对外委托贷款取得的损益</w:t>
            </w:r>
          </w:p>
        </w:tc>
        <w:tc>
          <w:tcPr>
            <w:tcW w:w="1692"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4"/>
              <w:ind w:right="20"/>
              <w:jc w:val="right"/>
              <w:rPr>
                <w:rFonts w:ascii="华文细黑" w:hAnsi="华文细黑" w:cs="华文细黑" w:eastAsia="华文细黑" w:hint="default"/>
                <w:sz w:val="18"/>
                <w:szCs w:val="18"/>
              </w:rPr>
            </w:pPr>
            <w:r>
              <w:rPr>
                <w:rFonts w:ascii="华文细黑"/>
                <w:sz w:val="18"/>
              </w:rPr>
              <w:t>---</w:t>
            </w: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513" w:hRule="exact"/>
        </w:trPr>
        <w:tc>
          <w:tcPr>
            <w:tcW w:w="611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56"/>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采用公允价值模式进行后续计量的投资性房地产公允价值变动产生的损益</w:t>
            </w:r>
          </w:p>
        </w:tc>
        <w:tc>
          <w:tcPr>
            <w:tcW w:w="1692"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56"/>
              <w:ind w:right="20"/>
              <w:jc w:val="right"/>
              <w:rPr>
                <w:rFonts w:ascii="华文细黑" w:hAnsi="华文细黑" w:cs="华文细黑" w:eastAsia="华文细黑" w:hint="default"/>
                <w:sz w:val="18"/>
                <w:szCs w:val="18"/>
              </w:rPr>
            </w:pPr>
            <w:r>
              <w:rPr>
                <w:rFonts w:ascii="华文细黑"/>
                <w:sz w:val="18"/>
              </w:rPr>
              <w:t>---</w:t>
            </w: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901" w:hRule="exact"/>
        </w:trPr>
        <w:tc>
          <w:tcPr>
            <w:tcW w:w="611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376" w:lineRule="auto" w:before="155"/>
              <w:ind w:left="11" w:right="9"/>
              <w:jc w:val="left"/>
              <w:rPr>
                <w:rFonts w:ascii="华文细黑" w:hAnsi="华文细黑" w:cs="华文细黑" w:eastAsia="华文细黑" w:hint="default"/>
                <w:sz w:val="18"/>
                <w:szCs w:val="18"/>
              </w:rPr>
            </w:pPr>
            <w:r>
              <w:rPr>
                <w:rFonts w:ascii="华文细黑" w:hAnsi="华文细黑" w:cs="华文细黑" w:eastAsia="华文细黑" w:hint="default"/>
                <w:spacing w:val="-2"/>
                <w:sz w:val="18"/>
                <w:szCs w:val="18"/>
              </w:rPr>
              <w:t>根据税收、会计等法律、法规的要求对当期损益进行一次性调整对当期损益的</w:t>
            </w:r>
            <w:r>
              <w:rPr>
                <w:rFonts w:ascii="华文细黑" w:hAnsi="华文细黑" w:cs="华文细黑" w:eastAsia="华文细黑" w:hint="default"/>
                <w:spacing w:val="-19"/>
                <w:sz w:val="18"/>
                <w:szCs w:val="18"/>
              </w:rPr>
              <w:t> </w:t>
            </w:r>
            <w:r>
              <w:rPr>
                <w:rFonts w:ascii="华文细黑" w:hAnsi="华文细黑" w:cs="华文细黑" w:eastAsia="华文细黑" w:hint="default"/>
                <w:spacing w:val="-19"/>
                <w:sz w:val="18"/>
                <w:szCs w:val="18"/>
              </w:rPr>
            </w:r>
            <w:r>
              <w:rPr>
                <w:rFonts w:ascii="华文细黑" w:hAnsi="华文细黑" w:cs="华文细黑" w:eastAsia="华文细黑" w:hint="default"/>
                <w:sz w:val="18"/>
                <w:szCs w:val="18"/>
              </w:rPr>
              <w:t>影响</w:t>
            </w:r>
          </w:p>
        </w:tc>
        <w:tc>
          <w:tcPr>
            <w:tcW w:w="1692"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3"/>
              <w:ind w:right="0"/>
              <w:jc w:val="left"/>
              <w:rPr>
                <w:rFonts w:ascii="华文细黑" w:hAnsi="华文细黑" w:cs="华文细黑" w:eastAsia="华文细黑" w:hint="default"/>
                <w:b/>
                <w:bCs/>
                <w:sz w:val="25"/>
                <w:szCs w:val="25"/>
              </w:rPr>
            </w:pPr>
          </w:p>
          <w:p>
            <w:pPr>
              <w:pStyle w:val="TableParagraph"/>
              <w:spacing w:line="240" w:lineRule="auto"/>
              <w:ind w:right="20"/>
              <w:jc w:val="right"/>
              <w:rPr>
                <w:rFonts w:ascii="华文细黑" w:hAnsi="华文细黑" w:cs="华文细黑" w:eastAsia="华文细黑" w:hint="default"/>
                <w:sz w:val="18"/>
                <w:szCs w:val="18"/>
              </w:rPr>
            </w:pPr>
            <w:r>
              <w:rPr>
                <w:rFonts w:ascii="华文细黑"/>
                <w:sz w:val="18"/>
              </w:rPr>
              <w:t>---</w:t>
            </w: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491" w:hRule="exact"/>
        </w:trPr>
        <w:tc>
          <w:tcPr>
            <w:tcW w:w="611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受托经营取得的托管费收入</w:t>
            </w:r>
          </w:p>
        </w:tc>
        <w:tc>
          <w:tcPr>
            <w:tcW w:w="1692"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5"/>
              <w:ind w:right="20"/>
              <w:jc w:val="right"/>
              <w:rPr>
                <w:rFonts w:ascii="华文细黑" w:hAnsi="华文细黑" w:cs="华文细黑" w:eastAsia="华文细黑" w:hint="default"/>
                <w:sz w:val="18"/>
                <w:szCs w:val="18"/>
              </w:rPr>
            </w:pPr>
            <w:r>
              <w:rPr>
                <w:rFonts w:ascii="华文细黑"/>
                <w:sz w:val="18"/>
              </w:rPr>
              <w:t>---</w:t>
            </w: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490" w:hRule="exact"/>
        </w:trPr>
        <w:tc>
          <w:tcPr>
            <w:tcW w:w="6112"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除上述各项之外的其他营业外收入和支出</w:t>
            </w:r>
          </w:p>
        </w:tc>
        <w:tc>
          <w:tcPr>
            <w:tcW w:w="1692"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5,741,396.71</w:t>
            </w:r>
          </w:p>
        </w:tc>
        <w:tc>
          <w:tcPr>
            <w:tcW w:w="1274" w:type="dxa"/>
            <w:tcBorders>
              <w:top w:val="single" w:sz="4" w:space="0" w:color="FFC000"/>
              <w:left w:val="single" w:sz="4" w:space="0" w:color="FFC000"/>
              <w:bottom w:val="single" w:sz="4" w:space="0" w:color="FFC000"/>
              <w:right w:val="single" w:sz="4" w:space="0" w:color="FFC000"/>
            </w:tcBorders>
          </w:tcPr>
          <w:p>
            <w:pPr/>
          </w:p>
        </w:tc>
      </w:tr>
    </w:tbl>
    <w:p>
      <w:pPr>
        <w:spacing w:after="0"/>
        <w:sectPr>
          <w:footerReference w:type="default" r:id="rId31"/>
          <w:pgSz w:w="11910" w:h="16840"/>
          <w:pgMar w:footer="1476" w:header="917" w:top="1100" w:bottom="1660" w:left="980" w:right="0"/>
          <w:pgNumType w:start="209"/>
        </w:sectPr>
      </w:pPr>
    </w:p>
    <w:p>
      <w:pPr>
        <w:spacing w:line="240" w:lineRule="auto" w:before="2"/>
        <w:rPr>
          <w:rFonts w:ascii="华文细黑" w:hAnsi="华文细黑" w:cs="华文细黑" w:eastAsia="华文细黑" w:hint="default"/>
          <w:b/>
          <w:bCs/>
          <w:sz w:val="24"/>
          <w:szCs w:val="24"/>
        </w:rPr>
      </w:pPr>
    </w:p>
    <w:tbl>
      <w:tblPr>
        <w:tblW w:w="0" w:type="auto"/>
        <w:jc w:val="left"/>
        <w:tblInd w:w="422" w:type="dxa"/>
        <w:tblLayout w:type="fixed"/>
        <w:tblCellMar>
          <w:top w:w="0" w:type="dxa"/>
          <w:left w:w="0" w:type="dxa"/>
          <w:bottom w:w="0" w:type="dxa"/>
          <w:right w:w="0" w:type="dxa"/>
        </w:tblCellMar>
        <w:tblLook w:val="01E0"/>
      </w:tblPr>
      <w:tblGrid>
        <w:gridCol w:w="6136"/>
        <w:gridCol w:w="1680"/>
        <w:gridCol w:w="1274"/>
      </w:tblGrid>
      <w:tr>
        <w:trPr>
          <w:trHeight w:val="505" w:hRule="exact"/>
        </w:trPr>
        <w:tc>
          <w:tcPr>
            <w:tcW w:w="61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627" w:val="left" w:leader="none"/>
              </w:tabs>
              <w:spacing w:line="240" w:lineRule="auto" w:before="152"/>
              <w:ind w:left="87"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项</w:t>
              <w:tab/>
              <w:t>目</w:t>
            </w:r>
          </w:p>
        </w:tc>
        <w:tc>
          <w:tcPr>
            <w:tcW w:w="1680"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52"/>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金额</w:t>
            </w:r>
          </w:p>
        </w:tc>
        <w:tc>
          <w:tcPr>
            <w:tcW w:w="1274"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52"/>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说明</w:t>
            </w:r>
          </w:p>
        </w:tc>
      </w:tr>
      <w:tr>
        <w:trPr>
          <w:trHeight w:val="212" w:hRule="exact"/>
        </w:trPr>
        <w:tc>
          <w:tcPr>
            <w:tcW w:w="6136" w:type="dxa"/>
            <w:tcBorders>
              <w:top w:val="single" w:sz="4" w:space="0" w:color="FFC000"/>
              <w:left w:val="single" w:sz="4" w:space="0" w:color="FFC000"/>
              <w:bottom w:val="nil" w:sz="6" w:space="0" w:color="auto"/>
              <w:right w:val="single" w:sz="4" w:space="0" w:color="FFC000"/>
            </w:tcBorders>
            <w:shd w:val="clear" w:color="auto" w:fill="FFF8E6"/>
          </w:tcPr>
          <w:p>
            <w:pPr/>
          </w:p>
        </w:tc>
        <w:tc>
          <w:tcPr>
            <w:tcW w:w="1680" w:type="dxa"/>
            <w:vMerge w:val="restart"/>
            <w:tcBorders>
              <w:top w:val="single" w:sz="10" w:space="0" w:color="FFF8E6"/>
              <w:left w:val="single" w:sz="10" w:space="0" w:color="FFF8E6"/>
              <w:right w:val="single" w:sz="4" w:space="0" w:color="FFC000"/>
            </w:tcBorders>
          </w:tcPr>
          <w:p>
            <w:pPr>
              <w:pStyle w:val="TableParagraph"/>
              <w:spacing w:line="240" w:lineRule="auto" w:before="5"/>
              <w:ind w:right="0"/>
              <w:jc w:val="left"/>
              <w:rPr>
                <w:rFonts w:ascii="华文细黑" w:hAnsi="华文细黑" w:cs="华文细黑" w:eastAsia="华文细黑" w:hint="default"/>
                <w:b/>
                <w:bCs/>
                <w:sz w:val="24"/>
                <w:szCs w:val="24"/>
              </w:rPr>
            </w:pPr>
          </w:p>
          <w:p>
            <w:pPr>
              <w:pStyle w:val="TableParagraph"/>
              <w:spacing w:line="240" w:lineRule="auto"/>
              <w:ind w:left="333" w:right="0"/>
              <w:jc w:val="left"/>
              <w:rPr>
                <w:rFonts w:ascii="华文细黑" w:hAnsi="华文细黑" w:cs="华文细黑" w:eastAsia="华文细黑" w:hint="default"/>
                <w:sz w:val="18"/>
                <w:szCs w:val="18"/>
              </w:rPr>
            </w:pPr>
            <w:r>
              <w:rPr>
                <w:rFonts w:ascii="华文细黑"/>
                <w:sz w:val="18"/>
              </w:rPr>
              <w:t>-413,408,644.20</w:t>
            </w:r>
          </w:p>
        </w:tc>
        <w:tc>
          <w:tcPr>
            <w:tcW w:w="1274" w:type="dxa"/>
            <w:vMerge w:val="restart"/>
            <w:tcBorders>
              <w:top w:val="single" w:sz="10" w:space="0" w:color="FFF8E6"/>
              <w:left w:val="single" w:sz="4" w:space="0" w:color="FFC000"/>
              <w:right w:val="single" w:sz="4" w:space="0" w:color="FFC000"/>
            </w:tcBorders>
          </w:tcPr>
          <w:p>
            <w:pPr>
              <w:pStyle w:val="TableParagraph"/>
              <w:spacing w:line="376" w:lineRule="auto" w:before="144"/>
              <w:ind w:left="22" w:right="-4"/>
              <w:jc w:val="left"/>
              <w:rPr>
                <w:rFonts w:ascii="华文细黑" w:hAnsi="华文细黑" w:cs="华文细黑" w:eastAsia="华文细黑" w:hint="default"/>
                <w:sz w:val="18"/>
                <w:szCs w:val="18"/>
              </w:rPr>
            </w:pPr>
            <w:r>
              <w:rPr>
                <w:rFonts w:ascii="华文细黑" w:hAnsi="华文细黑" w:cs="华文细黑" w:eastAsia="华文细黑" w:hint="default"/>
                <w:spacing w:val="22"/>
                <w:sz w:val="18"/>
                <w:szCs w:val="18"/>
              </w:rPr>
              <w:t>可供出售金融</w:t>
            </w:r>
            <w:r>
              <w:rPr>
                <w:rFonts w:ascii="华文细黑" w:hAnsi="华文细黑" w:cs="华文细黑" w:eastAsia="华文细黑" w:hint="default"/>
                <w:spacing w:val="-43"/>
                <w:sz w:val="18"/>
                <w:szCs w:val="18"/>
              </w:rPr>
              <w:t> </w:t>
            </w:r>
            <w:r>
              <w:rPr>
                <w:rFonts w:ascii="华文细黑" w:hAnsi="华文细黑" w:cs="华文细黑" w:eastAsia="华文细黑" w:hint="default"/>
                <w:sz w:val="18"/>
                <w:szCs w:val="18"/>
              </w:rPr>
              <w:t>资产减值准备</w:t>
            </w:r>
          </w:p>
        </w:tc>
      </w:tr>
      <w:tr>
        <w:trPr>
          <w:trHeight w:val="480" w:hRule="exact"/>
        </w:trPr>
        <w:tc>
          <w:tcPr>
            <w:tcW w:w="6136" w:type="dxa"/>
            <w:tcBorders>
              <w:top w:val="nil" w:sz="6" w:space="0" w:color="auto"/>
              <w:left w:val="single" w:sz="4" w:space="0" w:color="FFC000"/>
              <w:bottom w:val="nil" w:sz="6" w:space="0" w:color="auto"/>
              <w:right w:val="single" w:sz="4" w:space="0" w:color="FFC000"/>
            </w:tcBorders>
            <w:shd w:val="clear" w:color="auto" w:fill="FFF8E6"/>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其他符合非经常性损益定义的损益项目</w:t>
            </w:r>
          </w:p>
        </w:tc>
        <w:tc>
          <w:tcPr>
            <w:tcW w:w="1680" w:type="dxa"/>
            <w:vMerge/>
            <w:tcBorders>
              <w:left w:val="single" w:sz="10" w:space="0" w:color="FFF8E6"/>
              <w:right w:val="single" w:sz="4" w:space="0" w:color="FFC000"/>
            </w:tcBorders>
          </w:tcPr>
          <w:p>
            <w:pPr/>
          </w:p>
        </w:tc>
        <w:tc>
          <w:tcPr>
            <w:tcW w:w="1274" w:type="dxa"/>
            <w:vMerge/>
            <w:tcBorders>
              <w:left w:val="single" w:sz="4" w:space="0" w:color="FFC000"/>
              <w:right w:val="single" w:sz="4" w:space="0" w:color="FFC000"/>
            </w:tcBorders>
          </w:tcPr>
          <w:p>
            <w:pPr/>
          </w:p>
        </w:tc>
      </w:tr>
      <w:tr>
        <w:trPr>
          <w:trHeight w:val="206" w:hRule="exact"/>
        </w:trPr>
        <w:tc>
          <w:tcPr>
            <w:tcW w:w="6136" w:type="dxa"/>
            <w:tcBorders>
              <w:top w:val="nil" w:sz="6" w:space="0" w:color="auto"/>
              <w:left w:val="single" w:sz="4" w:space="0" w:color="FFC000"/>
              <w:bottom w:val="single" w:sz="4" w:space="0" w:color="FFC000"/>
              <w:right w:val="single" w:sz="4" w:space="0" w:color="FFC000"/>
            </w:tcBorders>
            <w:shd w:val="clear" w:color="auto" w:fill="FFF8E6"/>
          </w:tcPr>
          <w:p>
            <w:pPr/>
          </w:p>
        </w:tc>
        <w:tc>
          <w:tcPr>
            <w:tcW w:w="1680" w:type="dxa"/>
            <w:vMerge/>
            <w:tcBorders>
              <w:left w:val="single" w:sz="10" w:space="0" w:color="FFF8E6"/>
              <w:bottom w:val="single" w:sz="4" w:space="0" w:color="FFC000"/>
              <w:right w:val="single" w:sz="4" w:space="0" w:color="FFC000"/>
            </w:tcBorders>
          </w:tcPr>
          <w:p>
            <w:pPr/>
          </w:p>
        </w:tc>
        <w:tc>
          <w:tcPr>
            <w:tcW w:w="1274" w:type="dxa"/>
            <w:vMerge/>
            <w:tcBorders>
              <w:left w:val="single" w:sz="4" w:space="0" w:color="FFC000"/>
              <w:bottom w:val="single" w:sz="4" w:space="0" w:color="FFC000"/>
              <w:right w:val="single" w:sz="4" w:space="0" w:color="FFC000"/>
            </w:tcBorders>
          </w:tcPr>
          <w:p>
            <w:pPr/>
          </w:p>
        </w:tc>
      </w:tr>
      <w:tr>
        <w:trPr>
          <w:trHeight w:val="490" w:hRule="exact"/>
        </w:trPr>
        <w:tc>
          <w:tcPr>
            <w:tcW w:w="61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小</w:t>
              <w:tab/>
              <w:t>计</w:t>
            </w:r>
          </w:p>
        </w:tc>
        <w:tc>
          <w:tcPr>
            <w:tcW w:w="1680"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4"/>
              <w:ind w:right="24"/>
              <w:jc w:val="right"/>
              <w:rPr>
                <w:rFonts w:ascii="华文细黑" w:hAnsi="华文细黑" w:cs="华文细黑" w:eastAsia="华文细黑" w:hint="default"/>
                <w:sz w:val="18"/>
                <w:szCs w:val="18"/>
              </w:rPr>
            </w:pPr>
            <w:r>
              <w:rPr>
                <w:rFonts w:ascii="华文细黑"/>
                <w:b/>
                <w:spacing w:val="-1"/>
                <w:sz w:val="18"/>
              </w:rPr>
              <w:t>-317,748,626.39</w:t>
            </w:r>
            <w:r>
              <w:rPr>
                <w:rFonts w:ascii="华文细黑"/>
                <w:spacing w:val="-1"/>
                <w:sz w:val="18"/>
              </w:rPr>
            </w: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490" w:hRule="exact"/>
        </w:trPr>
        <w:tc>
          <w:tcPr>
            <w:tcW w:w="61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所得税影响额</w:t>
            </w:r>
          </w:p>
        </w:tc>
        <w:tc>
          <w:tcPr>
            <w:tcW w:w="1680"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-37,747,076.96</w:t>
            </w: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490" w:hRule="exact"/>
        </w:trPr>
        <w:tc>
          <w:tcPr>
            <w:tcW w:w="61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2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少数股东权益影响额（税后）</w:t>
            </w:r>
          </w:p>
        </w:tc>
        <w:tc>
          <w:tcPr>
            <w:tcW w:w="1680"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4"/>
              <w:ind w:right="23"/>
              <w:jc w:val="right"/>
              <w:rPr>
                <w:rFonts w:ascii="华文细黑" w:hAnsi="华文细黑" w:cs="华文细黑" w:eastAsia="华文细黑" w:hint="default"/>
                <w:sz w:val="18"/>
                <w:szCs w:val="18"/>
              </w:rPr>
            </w:pPr>
            <w:r>
              <w:rPr>
                <w:rFonts w:ascii="华文细黑"/>
                <w:w w:val="95"/>
                <w:sz w:val="18"/>
              </w:rPr>
              <w:t>778,381.28</w:t>
            </w:r>
          </w:p>
        </w:tc>
        <w:tc>
          <w:tcPr>
            <w:tcW w:w="1274" w:type="dxa"/>
            <w:tcBorders>
              <w:top w:val="single" w:sz="4" w:space="0" w:color="FFC000"/>
              <w:left w:val="single" w:sz="4" w:space="0" w:color="FFC000"/>
              <w:bottom w:val="single" w:sz="4" w:space="0" w:color="FFC000"/>
              <w:right w:val="single" w:sz="4" w:space="0" w:color="FFC000"/>
            </w:tcBorders>
          </w:tcPr>
          <w:p>
            <w:pPr/>
          </w:p>
        </w:tc>
      </w:tr>
      <w:tr>
        <w:trPr>
          <w:trHeight w:val="490" w:hRule="exact"/>
        </w:trPr>
        <w:tc>
          <w:tcPr>
            <w:tcW w:w="61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tabs>
                <w:tab w:pos="448" w:val="left" w:leader="none"/>
              </w:tabs>
              <w:spacing w:line="240" w:lineRule="auto" w:before="144"/>
              <w:ind w:right="1"/>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合</w:t>
              <w:tab/>
              <w:t>计</w:t>
            </w:r>
          </w:p>
        </w:tc>
        <w:tc>
          <w:tcPr>
            <w:tcW w:w="1680" w:type="dxa"/>
            <w:tcBorders>
              <w:top w:val="single" w:sz="4" w:space="0" w:color="FFC000"/>
              <w:left w:val="single" w:sz="10" w:space="0" w:color="FFF8E6"/>
              <w:bottom w:val="single" w:sz="4" w:space="0" w:color="FFC000"/>
              <w:right w:val="single" w:sz="4" w:space="0" w:color="FFC000"/>
            </w:tcBorders>
          </w:tcPr>
          <w:p>
            <w:pPr>
              <w:pStyle w:val="TableParagraph"/>
              <w:spacing w:line="240" w:lineRule="auto" w:before="144"/>
              <w:ind w:right="24"/>
              <w:jc w:val="right"/>
              <w:rPr>
                <w:rFonts w:ascii="华文细黑" w:hAnsi="华文细黑" w:cs="华文细黑" w:eastAsia="华文细黑" w:hint="default"/>
                <w:sz w:val="18"/>
                <w:szCs w:val="18"/>
              </w:rPr>
            </w:pPr>
            <w:r>
              <w:rPr>
                <w:rFonts w:ascii="华文细黑"/>
                <w:b/>
                <w:spacing w:val="-1"/>
                <w:sz w:val="18"/>
              </w:rPr>
              <w:t>-280,779,930.71</w:t>
            </w:r>
            <w:r>
              <w:rPr>
                <w:rFonts w:ascii="华文细黑"/>
                <w:spacing w:val="-1"/>
                <w:sz w:val="18"/>
              </w:rPr>
            </w:r>
          </w:p>
        </w:tc>
        <w:tc>
          <w:tcPr>
            <w:tcW w:w="1274" w:type="dxa"/>
            <w:tcBorders>
              <w:top w:val="single" w:sz="4" w:space="0" w:color="FFC000"/>
              <w:left w:val="single" w:sz="4" w:space="0" w:color="FFC000"/>
              <w:bottom w:val="single" w:sz="4" w:space="0" w:color="FFC000"/>
              <w:right w:val="single" w:sz="4" w:space="0" w:color="FFC000"/>
            </w:tcBorders>
          </w:tcPr>
          <w:p>
            <w:pPr/>
          </w:p>
        </w:tc>
      </w:tr>
    </w:tbl>
    <w:p>
      <w:pPr>
        <w:spacing w:line="240" w:lineRule="auto" w:before="14"/>
        <w:rPr>
          <w:rFonts w:ascii="华文细黑" w:hAnsi="华文细黑" w:cs="华文细黑" w:eastAsia="华文细黑" w:hint="default"/>
          <w:b/>
          <w:bCs/>
          <w:sz w:val="6"/>
          <w:szCs w:val="6"/>
        </w:rPr>
      </w:pPr>
    </w:p>
    <w:p>
      <w:pPr>
        <w:pStyle w:val="BodyText"/>
        <w:spacing w:line="355" w:lineRule="auto" w:before="10"/>
        <w:ind w:left="694" w:right="1116"/>
        <w:jc w:val="left"/>
      </w:pPr>
      <w:r>
        <w:rPr/>
        <w:t>注：非经常性损益项目中的数字“</w:t>
      </w:r>
      <w:r>
        <w:rPr>
          <w:rFonts w:ascii="华文细黑" w:hAnsi="华文细黑" w:cs="华文细黑" w:eastAsia="华文细黑" w:hint="default"/>
        </w:rPr>
        <w:t>+</w:t>
      </w:r>
      <w:r>
        <w:rPr/>
        <w:t>”表示收益及收入</w:t>
      </w:r>
      <w:r>
        <w:rPr>
          <w:rFonts w:ascii="华文细黑" w:hAnsi="华文细黑" w:cs="华文细黑" w:eastAsia="华文细黑" w:hint="default"/>
        </w:rPr>
        <w:t>,"-"</w:t>
      </w:r>
      <w:r>
        <w:rPr/>
        <w:t>表示损失或支出。 </w:t>
      </w:r>
      <w:r>
        <w:rPr>
          <w:spacing w:val="-2"/>
        </w:rPr>
        <w:t>本公司对非经常性损益项目的确认依照《公开发行证券的公司信息披露解释性公告第</w:t>
      </w:r>
      <w:r>
        <w:rPr>
          <w:rFonts w:ascii="华文细黑" w:hAnsi="华文细黑" w:cs="华文细黑" w:eastAsia="华文细黑" w:hint="default"/>
          <w:spacing w:val="-2"/>
        </w:rPr>
        <w:t>1</w:t>
      </w:r>
      <w:r>
        <w:rPr>
          <w:spacing w:val="-2"/>
        </w:rPr>
        <w:t>号——非经常</w:t>
      </w:r>
    </w:p>
    <w:p>
      <w:pPr>
        <w:spacing w:line="357" w:lineRule="auto" w:before="0"/>
        <w:ind w:left="636" w:right="5922" w:hanging="483"/>
        <w:jc w:val="left"/>
        <w:rPr>
          <w:rFonts w:ascii="华文细黑" w:hAnsi="华文细黑" w:cs="华文细黑" w:eastAsia="华文细黑" w:hint="default"/>
          <w:sz w:val="21"/>
          <w:szCs w:val="21"/>
        </w:rPr>
      </w:pPr>
      <w:r>
        <w:rPr/>
        <w:pict>
          <v:shape style="position:absolute;margin-left:67.739998pt;margin-top:40.631737pt;width:460.7pt;height:98.55pt;mso-position-horizontal-relative:page;mso-position-vertical-relative:paragraph;z-index:16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336"/>
                    <w:gridCol w:w="1854"/>
                    <w:gridCol w:w="1558"/>
                    <w:gridCol w:w="1451"/>
                  </w:tblGrid>
                  <w:tr>
                    <w:trPr>
                      <w:trHeight w:val="250" w:hRule="exact"/>
                    </w:trPr>
                    <w:tc>
                      <w:tcPr>
                        <w:tcW w:w="4336" w:type="dxa"/>
                        <w:tcBorders>
                          <w:top w:val="single" w:sz="4" w:space="0" w:color="FFC000"/>
                          <w:left w:val="single" w:sz="4" w:space="0" w:color="FFC000"/>
                          <w:bottom w:val="nil" w:sz="6" w:space="0" w:color="auto"/>
                          <w:right w:val="single" w:sz="4" w:space="0" w:color="FFC000"/>
                        </w:tcBorders>
                        <w:shd w:val="clear" w:color="auto" w:fill="FFF8E6"/>
                      </w:tcPr>
                      <w:p>
                        <w:pPr/>
                      </w:p>
                    </w:tc>
                    <w:tc>
                      <w:tcPr>
                        <w:tcW w:w="1854" w:type="dxa"/>
                        <w:vMerge w:val="restart"/>
                        <w:tcBorders>
                          <w:top w:val="single" w:sz="4" w:space="0" w:color="FFC000"/>
                          <w:left w:val="single" w:sz="4" w:space="0" w:color="FFC000"/>
                          <w:right w:val="single" w:sz="4" w:space="0" w:color="FFC000"/>
                        </w:tcBorders>
                        <w:shd w:val="clear" w:color="auto" w:fill="FFF8E6"/>
                      </w:tcPr>
                      <w:p>
                        <w:pPr>
                          <w:pStyle w:val="TableParagraph"/>
                          <w:spacing w:line="440" w:lineRule="exact" w:before="35"/>
                          <w:ind w:left="408" w:right="284" w:hanging="111"/>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加权平均净资产 收益率（</w:t>
                        </w:r>
                        <w:r>
                          <w:rPr>
                            <w:rFonts w:ascii="华文细黑" w:hAnsi="华文细黑" w:cs="华文细黑" w:eastAsia="华文细黑" w:hint="default"/>
                            <w:sz w:val="18"/>
                            <w:szCs w:val="18"/>
                          </w:rPr>
                          <w:t>%</w:t>
                        </w:r>
                        <w:r>
                          <w:rPr>
                            <w:rFonts w:ascii="华文细黑" w:hAnsi="华文细黑" w:cs="华文细黑" w:eastAsia="华文细黑" w:hint="default"/>
                            <w:sz w:val="18"/>
                            <w:szCs w:val="18"/>
                          </w:rPr>
                          <w:t>）</w:t>
                        </w:r>
                      </w:p>
                    </w:tc>
                    <w:tc>
                      <w:tcPr>
                        <w:tcW w:w="3009" w:type="dxa"/>
                        <w:gridSpan w:val="2"/>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5"/>
                          <w:ind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每股收益</w:t>
                        </w:r>
                      </w:p>
                    </w:tc>
                  </w:tr>
                  <w:tr>
                    <w:trPr>
                      <w:trHeight w:val="235" w:hRule="exact"/>
                    </w:trPr>
                    <w:tc>
                      <w:tcPr>
                        <w:tcW w:w="4336" w:type="dxa"/>
                        <w:vMerge w:val="restart"/>
                        <w:tcBorders>
                          <w:top w:val="nil" w:sz="6" w:space="0" w:color="auto"/>
                          <w:left w:val="single" w:sz="4" w:space="0" w:color="FFC000"/>
                          <w:right w:val="single" w:sz="4" w:space="0" w:color="FFC000"/>
                        </w:tcBorders>
                        <w:shd w:val="clear" w:color="auto" w:fill="FFF8E6"/>
                      </w:tcPr>
                      <w:p>
                        <w:pPr>
                          <w:pStyle w:val="TableParagraph"/>
                          <w:spacing w:line="240" w:lineRule="auto" w:before="144"/>
                          <w:ind w:left="1" w:right="0"/>
                          <w:jc w:val="center"/>
                          <w:rPr>
                            <w:rFonts w:ascii="华文细黑" w:hAnsi="华文细黑" w:cs="华文细黑" w:eastAsia="华文细黑" w:hint="default"/>
                            <w:sz w:val="18"/>
                            <w:szCs w:val="18"/>
                          </w:rPr>
                        </w:pPr>
                        <w:r>
                          <w:rPr>
                            <w:rFonts w:ascii="华文细黑" w:hAnsi="华文细黑" w:cs="华文细黑" w:eastAsia="华文细黑" w:hint="default"/>
                            <w:sz w:val="18"/>
                            <w:szCs w:val="18"/>
                          </w:rPr>
                          <w:t>报告期利润</w:t>
                        </w:r>
                      </w:p>
                    </w:tc>
                    <w:tc>
                      <w:tcPr>
                        <w:tcW w:w="1854" w:type="dxa"/>
                        <w:vMerge/>
                        <w:tcBorders>
                          <w:left w:val="single" w:sz="4" w:space="0" w:color="FFC000"/>
                          <w:right w:val="single" w:sz="4" w:space="0" w:color="FFC000"/>
                        </w:tcBorders>
                        <w:shd w:val="clear" w:color="auto" w:fill="FFF8E6"/>
                      </w:tcPr>
                      <w:p>
                        <w:pPr/>
                      </w:p>
                    </w:tc>
                    <w:tc>
                      <w:tcPr>
                        <w:tcW w:w="3009" w:type="dxa"/>
                        <w:gridSpan w:val="2"/>
                        <w:vMerge/>
                        <w:tcBorders>
                          <w:left w:val="single" w:sz="4" w:space="0" w:color="FFC000"/>
                          <w:bottom w:val="single" w:sz="4" w:space="0" w:color="FFC000"/>
                          <w:right w:val="single" w:sz="4" w:space="0" w:color="FFC000"/>
                        </w:tcBorders>
                        <w:shd w:val="clear" w:color="auto" w:fill="FFF8E6"/>
                      </w:tcPr>
                      <w:p>
                        <w:pPr/>
                      </w:p>
                    </w:tc>
                  </w:tr>
                  <w:tr>
                    <w:trPr>
                      <w:trHeight w:val="245" w:hRule="exact"/>
                    </w:trPr>
                    <w:tc>
                      <w:tcPr>
                        <w:tcW w:w="4336" w:type="dxa"/>
                        <w:vMerge/>
                        <w:tcBorders>
                          <w:left w:val="single" w:sz="4" w:space="0" w:color="FFC000"/>
                          <w:bottom w:val="nil" w:sz="6" w:space="0" w:color="auto"/>
                          <w:right w:val="single" w:sz="4" w:space="0" w:color="FFC000"/>
                        </w:tcBorders>
                        <w:shd w:val="clear" w:color="auto" w:fill="FFF8E6"/>
                      </w:tcPr>
                      <w:p>
                        <w:pPr/>
                      </w:p>
                    </w:tc>
                    <w:tc>
                      <w:tcPr>
                        <w:tcW w:w="1854" w:type="dxa"/>
                        <w:vMerge/>
                        <w:tcBorders>
                          <w:left w:val="single" w:sz="4" w:space="0" w:color="FFC000"/>
                          <w:right w:val="single" w:sz="4" w:space="0" w:color="FFC000"/>
                        </w:tcBorders>
                        <w:shd w:val="clear" w:color="auto" w:fill="FFF8E6"/>
                      </w:tcPr>
                      <w:p>
                        <w:pPr/>
                      </w:p>
                    </w:tc>
                    <w:tc>
                      <w:tcPr>
                        <w:tcW w:w="1558"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233"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基本每股收益</w:t>
                        </w:r>
                      </w:p>
                    </w:tc>
                    <w:tc>
                      <w:tcPr>
                        <w:tcW w:w="1451" w:type="dxa"/>
                        <w:vMerge w:val="restart"/>
                        <w:tcBorders>
                          <w:top w:val="single" w:sz="4" w:space="0" w:color="FFC000"/>
                          <w:left w:val="single" w:sz="4" w:space="0" w:color="FFC000"/>
                          <w:right w:val="single" w:sz="4" w:space="0" w:color="FFC000"/>
                        </w:tcBorders>
                        <w:shd w:val="clear" w:color="auto" w:fill="FFF8E6"/>
                      </w:tcPr>
                      <w:p>
                        <w:pPr>
                          <w:pStyle w:val="TableParagraph"/>
                          <w:spacing w:line="240" w:lineRule="auto" w:before="149"/>
                          <w:ind w:left="180"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稀释每股收益</w:t>
                        </w:r>
                      </w:p>
                    </w:tc>
                  </w:tr>
                  <w:tr>
                    <w:trPr>
                      <w:trHeight w:val="250" w:hRule="exact"/>
                    </w:trPr>
                    <w:tc>
                      <w:tcPr>
                        <w:tcW w:w="4336" w:type="dxa"/>
                        <w:tcBorders>
                          <w:top w:val="nil" w:sz="6" w:space="0" w:color="auto"/>
                          <w:left w:val="single" w:sz="4" w:space="0" w:color="FFC000"/>
                          <w:bottom w:val="single" w:sz="4" w:space="0" w:color="FFC000"/>
                          <w:right w:val="single" w:sz="4" w:space="0" w:color="FFC000"/>
                        </w:tcBorders>
                        <w:shd w:val="clear" w:color="auto" w:fill="FFF8E6"/>
                      </w:tcPr>
                      <w:p>
                        <w:pPr/>
                      </w:p>
                    </w:tc>
                    <w:tc>
                      <w:tcPr>
                        <w:tcW w:w="1854" w:type="dxa"/>
                        <w:vMerge/>
                        <w:tcBorders>
                          <w:left w:val="single" w:sz="4" w:space="0" w:color="FFC000"/>
                          <w:bottom w:val="single" w:sz="4" w:space="0" w:color="FFC000"/>
                          <w:right w:val="single" w:sz="4" w:space="0" w:color="FFC000"/>
                        </w:tcBorders>
                        <w:shd w:val="clear" w:color="auto" w:fill="FFF8E6"/>
                      </w:tcPr>
                      <w:p>
                        <w:pPr/>
                      </w:p>
                    </w:tc>
                    <w:tc>
                      <w:tcPr>
                        <w:tcW w:w="1558" w:type="dxa"/>
                        <w:vMerge/>
                        <w:tcBorders>
                          <w:left w:val="single" w:sz="4" w:space="0" w:color="FFC000"/>
                          <w:bottom w:val="single" w:sz="4" w:space="0" w:color="FFC000"/>
                          <w:right w:val="single" w:sz="4" w:space="0" w:color="FFC000"/>
                        </w:tcBorders>
                        <w:shd w:val="clear" w:color="auto" w:fill="FFF8E6"/>
                      </w:tcPr>
                      <w:p>
                        <w:pPr/>
                      </w:p>
                    </w:tc>
                    <w:tc>
                      <w:tcPr>
                        <w:tcW w:w="1451" w:type="dxa"/>
                        <w:vMerge/>
                        <w:tcBorders>
                          <w:left w:val="single" w:sz="4" w:space="0" w:color="FFC000"/>
                          <w:bottom w:val="single" w:sz="4" w:space="0" w:color="FFC000"/>
                          <w:right w:val="single" w:sz="4" w:space="0" w:color="FFC000"/>
                        </w:tcBorders>
                        <w:shd w:val="clear" w:color="auto" w:fill="FFF8E6"/>
                      </w:tcPr>
                      <w:p>
                        <w:pPr/>
                      </w:p>
                    </w:tc>
                  </w:tr>
                  <w:tr>
                    <w:trPr>
                      <w:trHeight w:val="490" w:hRule="exact"/>
                    </w:trPr>
                    <w:tc>
                      <w:tcPr>
                        <w:tcW w:w="43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4"/>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归属于公司普通股股东的净利润</w:t>
                        </w:r>
                      </w:p>
                    </w:tc>
                    <w:tc>
                      <w:tcPr>
                        <w:tcW w:w="1854" w:type="dxa"/>
                        <w:tcBorders>
                          <w:top w:val="single" w:sz="10" w:space="0" w:color="FFF8E6"/>
                          <w:left w:val="single" w:sz="13" w:space="0" w:color="FFF8E6"/>
                          <w:bottom w:val="single" w:sz="4" w:space="0" w:color="FFC000"/>
                          <w:right w:val="single" w:sz="4" w:space="0" w:color="FFC000"/>
                        </w:tcBorders>
                      </w:tcPr>
                      <w:p>
                        <w:pPr>
                          <w:pStyle w:val="TableParagraph"/>
                          <w:spacing w:line="240" w:lineRule="auto" w:before="136"/>
                          <w:ind w:right="22"/>
                          <w:jc w:val="right"/>
                          <w:rPr>
                            <w:rFonts w:ascii="华文细黑" w:hAnsi="华文细黑" w:cs="华文细黑" w:eastAsia="华文细黑" w:hint="default"/>
                            <w:sz w:val="18"/>
                            <w:szCs w:val="18"/>
                          </w:rPr>
                        </w:pPr>
                        <w:r>
                          <w:rPr>
                            <w:rFonts w:ascii="华文细黑"/>
                            <w:sz w:val="18"/>
                          </w:rPr>
                          <w:t>-1.80</w:t>
                        </w:r>
                      </w:p>
                    </w:tc>
                    <w:tc>
                      <w:tcPr>
                        <w:tcW w:w="155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-0.0748</w:t>
                        </w:r>
                      </w:p>
                    </w:tc>
                    <w:tc>
                      <w:tcPr>
                        <w:tcW w:w="14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4"/>
                          <w:ind w:right="21"/>
                          <w:jc w:val="right"/>
                          <w:rPr>
                            <w:rFonts w:ascii="华文细黑" w:hAnsi="华文细黑" w:cs="华文细黑" w:eastAsia="华文细黑" w:hint="default"/>
                            <w:sz w:val="18"/>
                            <w:szCs w:val="18"/>
                          </w:rPr>
                        </w:pPr>
                        <w:r>
                          <w:rPr>
                            <w:rFonts w:ascii="华文细黑"/>
                            <w:sz w:val="18"/>
                          </w:rPr>
                          <w:t>-0.0748</w:t>
                        </w:r>
                      </w:p>
                    </w:tc>
                  </w:tr>
                  <w:tr>
                    <w:trPr>
                      <w:trHeight w:val="491" w:hRule="exact"/>
                    </w:trPr>
                    <w:tc>
                      <w:tcPr>
                        <w:tcW w:w="4336" w:type="dxa"/>
                        <w:tcBorders>
                          <w:top w:val="single" w:sz="4" w:space="0" w:color="FFC000"/>
                          <w:left w:val="single" w:sz="4" w:space="0" w:color="FFC000"/>
                          <w:bottom w:val="single" w:sz="4" w:space="0" w:color="FFC000"/>
                          <w:right w:val="single" w:sz="4" w:space="0" w:color="FFC000"/>
                        </w:tcBorders>
                        <w:shd w:val="clear" w:color="auto" w:fill="FFF8E6"/>
                      </w:tcPr>
                      <w:p>
                        <w:pPr>
                          <w:pStyle w:val="TableParagraph"/>
                          <w:spacing w:line="240" w:lineRule="auto" w:before="145"/>
                          <w:ind w:left="11" w:right="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扣除非经常损益后归属于普通股股东的净利润</w:t>
                        </w:r>
                      </w:p>
                    </w:tc>
                    <w:tc>
                      <w:tcPr>
                        <w:tcW w:w="1854" w:type="dxa"/>
                        <w:tcBorders>
                          <w:top w:val="single" w:sz="4" w:space="0" w:color="FFC000"/>
                          <w:left w:val="single" w:sz="13" w:space="0" w:color="FFF8E6"/>
                          <w:bottom w:val="single" w:sz="4" w:space="0" w:color="FFC000"/>
                          <w:right w:val="single" w:sz="4" w:space="0" w:color="FFC000"/>
                        </w:tcBorders>
                      </w:tcPr>
                      <w:p>
                        <w:pPr>
                          <w:pStyle w:val="TableParagraph"/>
                          <w:spacing w:line="240" w:lineRule="auto" w:before="145"/>
                          <w:ind w:right="22"/>
                          <w:jc w:val="right"/>
                          <w:rPr>
                            <w:rFonts w:ascii="华文细黑" w:hAnsi="华文细黑" w:cs="华文细黑" w:eastAsia="华文细黑" w:hint="default"/>
                            <w:sz w:val="18"/>
                            <w:szCs w:val="18"/>
                          </w:rPr>
                        </w:pPr>
                        <w:r>
                          <w:rPr>
                            <w:rFonts w:ascii="华文细黑"/>
                            <w:sz w:val="18"/>
                          </w:rPr>
                          <w:t>3.65</w:t>
                        </w:r>
                      </w:p>
                    </w:tc>
                    <w:tc>
                      <w:tcPr>
                        <w:tcW w:w="1558"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0.1517</w:t>
                        </w:r>
                      </w:p>
                    </w:tc>
                    <w:tc>
                      <w:tcPr>
                        <w:tcW w:w="1451" w:type="dxa"/>
                        <w:tcBorders>
                          <w:top w:val="single" w:sz="4" w:space="0" w:color="FFC000"/>
                          <w:left w:val="single" w:sz="4" w:space="0" w:color="FFC000"/>
                          <w:bottom w:val="single" w:sz="4" w:space="0" w:color="FFC000"/>
                          <w:right w:val="single" w:sz="4" w:space="0" w:color="FFC000"/>
                        </w:tcBorders>
                      </w:tcPr>
                      <w:p>
                        <w:pPr>
                          <w:pStyle w:val="TableParagraph"/>
                          <w:spacing w:line="240" w:lineRule="auto" w:before="145"/>
                          <w:ind w:right="21"/>
                          <w:jc w:val="right"/>
                          <w:rPr>
                            <w:rFonts w:ascii="华文细黑" w:hAnsi="华文细黑" w:cs="华文细黑" w:eastAsia="华文细黑" w:hint="default"/>
                            <w:sz w:val="18"/>
                            <w:szCs w:val="18"/>
                          </w:rPr>
                        </w:pPr>
                        <w:r>
                          <w:rPr>
                            <w:rFonts w:ascii="华文细黑"/>
                            <w:sz w:val="18"/>
                          </w:rPr>
                          <w:t>0.1517</w:t>
                        </w:r>
                      </w:p>
                    </w:tc>
                  </w:tr>
                </w:tbl>
                <w:p>
                  <w:pPr/>
                </w:p>
              </w:txbxContent>
            </v:textbox>
            <w10:wrap type="none"/>
          </v:shape>
        </w:pict>
      </w:r>
      <w:r>
        <w:rPr>
          <w:rFonts w:ascii="华文细黑" w:hAnsi="华文细黑" w:cs="华文细黑" w:eastAsia="华文细黑" w:hint="default"/>
          <w:spacing w:val="-5"/>
          <w:sz w:val="21"/>
          <w:szCs w:val="21"/>
        </w:rPr>
        <w:t>性损益》（证监会公告</w:t>
      </w:r>
      <w:r>
        <w:rPr>
          <w:rFonts w:ascii="华文细黑" w:hAnsi="华文细黑" w:cs="华文细黑" w:eastAsia="华文细黑" w:hint="default"/>
          <w:spacing w:val="-5"/>
          <w:sz w:val="21"/>
          <w:szCs w:val="21"/>
        </w:rPr>
        <w:t>[2008]43</w:t>
      </w:r>
      <w:r>
        <w:rPr>
          <w:rFonts w:ascii="华文细黑" w:hAnsi="华文细黑" w:cs="华文细黑" w:eastAsia="华文细黑" w:hint="default"/>
          <w:spacing w:val="-5"/>
          <w:sz w:val="21"/>
          <w:szCs w:val="21"/>
        </w:rPr>
        <w:t>号）的规定执行。</w:t>
      </w:r>
      <w:r>
        <w:rPr>
          <w:rFonts w:ascii="华文细黑" w:hAnsi="华文细黑" w:cs="华文细黑" w:eastAsia="华文细黑" w:hint="default"/>
          <w:spacing w:val="-31"/>
          <w:sz w:val="21"/>
          <w:szCs w:val="21"/>
        </w:rPr>
        <w:t> </w:t>
      </w:r>
      <w:bookmarkStart w:name="2、净资产收益率及每股收益" w:id="366"/>
      <w:bookmarkEnd w:id="366"/>
      <w:r>
        <w:rPr>
          <w:rFonts w:ascii="华文细黑" w:hAnsi="华文细黑" w:cs="华文细黑" w:eastAsia="华文细黑" w:hint="default"/>
          <w:spacing w:val="-31"/>
          <w:sz w:val="21"/>
          <w:szCs w:val="21"/>
        </w:rPr>
      </w: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、净资产收益率及每股收益</w:t>
      </w:r>
      <w:r>
        <w:rPr>
          <w:rFonts w:ascii="华文细黑" w:hAnsi="华文细黑" w:cs="华文细黑" w:eastAsia="华文细黑" w:hint="default"/>
          <w:sz w:val="21"/>
          <w:szCs w:val="21"/>
        </w:rPr>
      </w: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10"/>
        <w:rPr>
          <w:rFonts w:ascii="华文细黑" w:hAnsi="华文细黑" w:cs="华文细黑" w:eastAsia="华文细黑" w:hint="default"/>
          <w:b/>
          <w:bCs/>
          <w:sz w:val="15"/>
          <w:szCs w:val="15"/>
        </w:rPr>
      </w:pPr>
    </w:p>
    <w:p>
      <w:pPr>
        <w:pStyle w:val="Heading5"/>
        <w:spacing w:line="240" w:lineRule="auto"/>
        <w:ind w:left="154" w:right="1217"/>
        <w:jc w:val="left"/>
        <w:rPr>
          <w:b w:val="0"/>
          <w:bCs w:val="0"/>
        </w:rPr>
      </w:pPr>
      <w:bookmarkStart w:name="3、境内外会计准则下会计数据差异" w:id="367"/>
      <w:bookmarkEnd w:id="367"/>
      <w:r>
        <w:rPr>
          <w:b w:val="0"/>
          <w:bCs w:val="0"/>
        </w:rPr>
      </w:r>
      <w:r>
        <w:rPr>
          <w:rFonts w:ascii="华文细黑" w:hAnsi="华文细黑" w:cs="华文细黑" w:eastAsia="华文细黑" w:hint="default"/>
        </w:rPr>
        <w:t>3</w:t>
      </w:r>
      <w:r>
        <w:rPr/>
        <w:t>、境内外会计准则下会计数据差异</w:t>
      </w:r>
      <w:r>
        <w:rPr>
          <w:b w:val="0"/>
          <w:bCs w:val="0"/>
        </w:rPr>
      </w:r>
    </w:p>
    <w:p>
      <w:pPr>
        <w:spacing w:line="240" w:lineRule="auto" w:before="6"/>
        <w:rPr>
          <w:rFonts w:ascii="华文细黑" w:hAnsi="华文细黑" w:cs="华文细黑" w:eastAsia="华文细黑" w:hint="default"/>
          <w:b/>
          <w:bCs/>
          <w:sz w:val="22"/>
          <w:szCs w:val="22"/>
        </w:rPr>
      </w:pPr>
    </w:p>
    <w:p>
      <w:pPr>
        <w:spacing w:before="0"/>
        <w:ind w:left="154" w:right="1217" w:firstLine="0"/>
        <w:jc w:val="left"/>
        <w:rPr>
          <w:rFonts w:ascii="华文细黑" w:hAnsi="华文细黑" w:cs="华文细黑" w:eastAsia="华文细黑" w:hint="default"/>
          <w:sz w:val="21"/>
          <w:szCs w:val="21"/>
        </w:rPr>
      </w:pPr>
      <w:bookmarkStart w:name="（1）同时按照国际会计准则与按中国会计准则披露的财务报告中净利润和净资产差异情况" w:id="368"/>
      <w:bookmarkEnd w:id="368"/>
      <w:r>
        <w:rPr/>
      </w:r>
      <w:r>
        <w:rPr>
          <w:rFonts w:ascii="华文细黑" w:hAnsi="华文细黑" w:cs="华文细黑" w:eastAsia="华文细黑" w:hint="default"/>
          <w:b/>
          <w:bCs/>
          <w:sz w:val="21"/>
          <w:szCs w:val="21"/>
        </w:rPr>
        <w:t>（</w:t>
      </w:r>
      <w:r>
        <w:rPr>
          <w:rFonts w:ascii="华文细黑" w:hAnsi="华文细黑" w:cs="华文细黑" w:eastAsia="华文细黑" w:hint="default"/>
          <w:b/>
          <w:bCs/>
          <w:sz w:val="21"/>
          <w:szCs w:val="21"/>
        </w:rPr>
        <w:t>1</w:t>
      </w:r>
      <w:r>
        <w:rPr>
          <w:rFonts w:ascii="华文细黑" w:hAnsi="华文细黑" w:cs="华文细黑" w:eastAsia="华文细黑" w:hint="default"/>
          <w:b/>
          <w:bCs/>
          <w:sz w:val="21"/>
          <w:szCs w:val="21"/>
        </w:rPr>
        <w:t>）同时按照国际会计准则与按中国会计准则披露的财务报告中净利润和净资产差异情况</w:t>
      </w:r>
      <w:r>
        <w:rPr>
          <w:rFonts w:ascii="华文细黑" w:hAnsi="华文细黑" w:cs="华文细黑" w:eastAsia="华文细黑" w:hint="default"/>
          <w:sz w:val="21"/>
          <w:szCs w:val="21"/>
        </w:rPr>
      </w:r>
    </w:p>
    <w:p>
      <w:pPr>
        <w:spacing w:line="240" w:lineRule="auto" w:before="4"/>
        <w:rPr>
          <w:rFonts w:ascii="华文细黑" w:hAnsi="华文细黑" w:cs="华文细黑" w:eastAsia="华文细黑" w:hint="default"/>
          <w:b/>
          <w:bCs/>
          <w:sz w:val="24"/>
          <w:szCs w:val="24"/>
        </w:rPr>
      </w:pPr>
    </w:p>
    <w:p>
      <w:pPr>
        <w:spacing w:before="0"/>
        <w:ind w:left="154" w:right="1217" w:firstLine="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  适用  √</w:t>
      </w:r>
      <w:r>
        <w:rPr>
          <w:rFonts w:ascii="华文细黑" w:hAnsi="华文细黑" w:cs="华文细黑" w:eastAsia="华文细黑" w:hint="default"/>
          <w:spacing w:val="44"/>
          <w:sz w:val="18"/>
          <w:szCs w:val="18"/>
        </w:rPr>
        <w:t> </w:t>
      </w:r>
      <w:r>
        <w:rPr>
          <w:rFonts w:ascii="华文细黑" w:hAnsi="华文细黑" w:cs="华文细黑" w:eastAsia="华文细黑" w:hint="default"/>
          <w:sz w:val="18"/>
          <w:szCs w:val="18"/>
        </w:rPr>
        <w:t>不适用</w:t>
      </w:r>
    </w:p>
    <w:p>
      <w:pPr>
        <w:spacing w:line="240" w:lineRule="auto" w:before="5"/>
        <w:rPr>
          <w:rFonts w:ascii="华文细黑" w:hAnsi="华文细黑" w:cs="华文细黑" w:eastAsia="华文细黑" w:hint="default"/>
          <w:sz w:val="23"/>
          <w:szCs w:val="23"/>
        </w:rPr>
      </w:pPr>
    </w:p>
    <w:p>
      <w:pPr>
        <w:pStyle w:val="Heading5"/>
        <w:spacing w:line="240" w:lineRule="auto" w:before="0"/>
        <w:ind w:left="154" w:right="1217"/>
        <w:jc w:val="left"/>
        <w:rPr>
          <w:b w:val="0"/>
          <w:bCs w:val="0"/>
        </w:rPr>
      </w:pPr>
      <w:bookmarkStart w:name="（2）同时按照境外会计准则与按中国会计准则披露的财务报告中净利润和净资产差异情况" w:id="369"/>
      <w:bookmarkEnd w:id="369"/>
      <w:r>
        <w:rPr>
          <w:b w:val="0"/>
          <w:bCs w:val="0"/>
        </w:rPr>
      </w:r>
      <w:r>
        <w:rPr/>
        <w:t>（</w:t>
      </w:r>
      <w:r>
        <w:rPr>
          <w:rFonts w:ascii="华文细黑" w:hAnsi="华文细黑" w:cs="华文细黑" w:eastAsia="华文细黑" w:hint="default"/>
        </w:rPr>
        <w:t>2</w:t>
      </w:r>
      <w:r>
        <w:rPr/>
        <w:t>）同时按照境外会计准则与按中国会计准则披露的财务报告中净利润和净资产差异情况</w:t>
      </w:r>
      <w:r>
        <w:rPr>
          <w:b w:val="0"/>
          <w:bCs w:val="0"/>
        </w:rPr>
      </w:r>
    </w:p>
    <w:p>
      <w:pPr>
        <w:spacing w:line="240" w:lineRule="auto" w:before="6"/>
        <w:rPr>
          <w:rFonts w:ascii="华文细黑" w:hAnsi="华文细黑" w:cs="华文细黑" w:eastAsia="华文细黑" w:hint="default"/>
          <w:b/>
          <w:bCs/>
          <w:sz w:val="24"/>
          <w:szCs w:val="24"/>
        </w:rPr>
      </w:pPr>
    </w:p>
    <w:p>
      <w:pPr>
        <w:spacing w:before="0"/>
        <w:ind w:left="154" w:right="1217" w:firstLine="0"/>
        <w:jc w:val="left"/>
        <w:rPr>
          <w:rFonts w:ascii="华文细黑" w:hAnsi="华文细黑" w:cs="华文细黑" w:eastAsia="华文细黑" w:hint="default"/>
          <w:sz w:val="18"/>
          <w:szCs w:val="18"/>
        </w:rPr>
      </w:pPr>
      <w:r>
        <w:rPr>
          <w:rFonts w:ascii="华文细黑" w:hAnsi="华文细黑" w:cs="华文细黑" w:eastAsia="华文细黑" w:hint="default"/>
          <w:sz w:val="18"/>
          <w:szCs w:val="18"/>
        </w:rPr>
        <w:t>□  适用  √</w:t>
      </w:r>
      <w:r>
        <w:rPr>
          <w:rFonts w:ascii="华文细黑" w:hAnsi="华文细黑" w:cs="华文细黑" w:eastAsia="华文细黑" w:hint="default"/>
          <w:spacing w:val="44"/>
          <w:sz w:val="18"/>
          <w:szCs w:val="18"/>
        </w:rPr>
        <w:t> </w:t>
      </w:r>
      <w:r>
        <w:rPr>
          <w:rFonts w:ascii="华文细黑" w:hAnsi="华文细黑" w:cs="华文细黑" w:eastAsia="华文细黑" w:hint="default"/>
          <w:sz w:val="18"/>
          <w:szCs w:val="18"/>
        </w:rPr>
        <w:t>不适用</w:t>
      </w:r>
    </w:p>
    <w:p>
      <w:pPr>
        <w:spacing w:after="0"/>
        <w:jc w:val="left"/>
        <w:rPr>
          <w:rFonts w:ascii="华文细黑" w:hAnsi="华文细黑" w:cs="华文细黑" w:eastAsia="华文细黑" w:hint="default"/>
          <w:sz w:val="18"/>
          <w:szCs w:val="18"/>
        </w:rPr>
        <w:sectPr>
          <w:pgSz w:w="11910" w:h="16840"/>
          <w:pgMar w:header="917" w:footer="1476" w:top="1100" w:bottom="1660" w:left="980" w:right="0"/>
        </w:sect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4"/>
        <w:rPr>
          <w:rFonts w:ascii="华文细黑" w:hAnsi="华文细黑" w:cs="华文细黑" w:eastAsia="华文细黑" w:hint="default"/>
          <w:sz w:val="14"/>
          <w:szCs w:val="14"/>
        </w:rPr>
      </w:pPr>
    </w:p>
    <w:p>
      <w:pPr>
        <w:pStyle w:val="Heading1"/>
        <w:spacing w:line="416" w:lineRule="exact"/>
        <w:ind w:right="1217"/>
        <w:jc w:val="left"/>
        <w:rPr>
          <w:b w:val="0"/>
          <w:bCs w:val="0"/>
        </w:rPr>
      </w:pPr>
      <w:bookmarkStart w:name="第十二节 备查文件目录" w:id="370"/>
      <w:bookmarkEnd w:id="370"/>
      <w:r>
        <w:rPr>
          <w:b w:val="0"/>
          <w:bCs w:val="0"/>
        </w:rPr>
      </w:r>
      <w:bookmarkStart w:name="_bookmark10" w:id="371"/>
      <w:bookmarkEnd w:id="371"/>
      <w:r>
        <w:rPr>
          <w:b w:val="0"/>
          <w:bCs w:val="0"/>
        </w:rPr>
      </w:r>
      <w:r>
        <w:rPr/>
        <w:t>第十二节</w:t>
      </w:r>
      <w:r>
        <w:rPr>
          <w:spacing w:val="79"/>
        </w:rPr>
        <w:t> </w:t>
      </w:r>
      <w:r>
        <w:rPr/>
        <w:t>备查文件目录</w:t>
      </w:r>
      <w:r>
        <w:rPr>
          <w:b w:val="0"/>
          <w:bCs w:val="0"/>
        </w:rPr>
      </w: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10"/>
        <w:rPr>
          <w:rFonts w:ascii="华文细黑" w:hAnsi="华文细黑" w:cs="华文细黑" w:eastAsia="华文细黑" w:hint="default"/>
          <w:b/>
          <w:bCs/>
          <w:sz w:val="13"/>
          <w:szCs w:val="13"/>
        </w:rPr>
      </w:pPr>
    </w:p>
    <w:p>
      <w:pPr>
        <w:pStyle w:val="Heading5"/>
        <w:spacing w:line="379" w:lineRule="auto"/>
        <w:ind w:left="154" w:right="2437"/>
        <w:jc w:val="left"/>
        <w:rPr>
          <w:b w:val="0"/>
          <w:bCs w:val="0"/>
        </w:rPr>
      </w:pPr>
      <w:r>
        <w:rPr/>
        <w:t>公司在办公地点备置下列文件：</w:t>
      </w:r>
      <w:r>
        <w:rPr>
          <w:w w:val="99"/>
        </w:rPr>
        <w:t> </w:t>
      </w:r>
      <w:r>
        <w:rPr>
          <w:rFonts w:ascii="华文细黑" w:hAnsi="华文细黑" w:cs="华文细黑" w:eastAsia="华文细黑" w:hint="default"/>
        </w:rPr>
        <w:t>1</w:t>
      </w:r>
      <w:r>
        <w:rPr/>
        <w:t>、载有公司法定代表人、主管会计工作负责人、会计机构负责人签名并盖章的会计报表。</w:t>
      </w:r>
      <w:r>
        <w:rPr>
          <w:b w:val="0"/>
          <w:bCs w:val="0"/>
        </w:rPr>
      </w:r>
    </w:p>
    <w:p>
      <w:pPr>
        <w:spacing w:before="40"/>
        <w:ind w:left="154" w:right="1217" w:firstLine="0"/>
        <w:jc w:val="left"/>
        <w:rPr>
          <w:rFonts w:ascii="华文细黑" w:hAnsi="华文细黑" w:cs="华文细黑" w:eastAsia="华文细黑" w:hint="default"/>
          <w:sz w:val="21"/>
          <w:szCs w:val="21"/>
        </w:rPr>
      </w:pPr>
      <w:r>
        <w:rPr>
          <w:rFonts w:ascii="华文细黑" w:hAnsi="华文细黑" w:cs="华文细黑" w:eastAsia="华文细黑" w:hint="default"/>
          <w:b/>
          <w:bCs/>
          <w:sz w:val="21"/>
          <w:szCs w:val="21"/>
        </w:rPr>
        <w:t>2</w:t>
      </w:r>
      <w:r>
        <w:rPr>
          <w:rFonts w:ascii="华文细黑" w:hAnsi="华文细黑" w:cs="华文细黑" w:eastAsia="华文细黑" w:hint="default"/>
          <w:b/>
          <w:bCs/>
          <w:sz w:val="21"/>
          <w:szCs w:val="21"/>
        </w:rPr>
        <w:t>、载有瑞华会计师事务所（特殊普通合伙）盖章、注册会计师签名并盖章的审计报告原件。</w:t>
      </w:r>
      <w:r>
        <w:rPr>
          <w:rFonts w:ascii="华文细黑" w:hAnsi="华文细黑" w:cs="华文细黑" w:eastAsia="华文细黑" w:hint="default"/>
          <w:sz w:val="21"/>
          <w:szCs w:val="21"/>
        </w:rPr>
      </w:r>
    </w:p>
    <w:p>
      <w:pPr>
        <w:spacing w:before="171"/>
        <w:ind w:left="154" w:right="1217" w:firstLine="0"/>
        <w:jc w:val="left"/>
        <w:rPr>
          <w:rFonts w:ascii="华文细黑" w:hAnsi="华文细黑" w:cs="华文细黑" w:eastAsia="华文细黑" w:hint="default"/>
          <w:sz w:val="21"/>
          <w:szCs w:val="21"/>
        </w:rPr>
      </w:pPr>
      <w:r>
        <w:rPr>
          <w:rFonts w:ascii="华文细黑" w:hAnsi="华文细黑" w:cs="华文细黑" w:eastAsia="华文细黑" w:hint="default"/>
          <w:b/>
          <w:bCs/>
          <w:w w:val="99"/>
          <w:sz w:val="21"/>
          <w:szCs w:val="21"/>
        </w:rPr>
        <w:t>3</w:t>
      </w:r>
      <w:r>
        <w:rPr>
          <w:rFonts w:ascii="华文细黑" w:hAnsi="华文细黑" w:cs="华文细黑" w:eastAsia="华文细黑" w:hint="default"/>
          <w:b/>
          <w:bCs/>
          <w:w w:val="99"/>
          <w:sz w:val="21"/>
          <w:szCs w:val="21"/>
        </w:rPr>
        <w:t>、</w:t>
      </w:r>
      <w:r>
        <w:rPr>
          <w:rFonts w:ascii="华文细黑" w:hAnsi="华文细黑" w:cs="华文细黑" w:eastAsia="华文细黑" w:hint="default"/>
          <w:b/>
          <w:bCs/>
          <w:spacing w:val="1"/>
          <w:w w:val="99"/>
          <w:sz w:val="21"/>
          <w:szCs w:val="21"/>
        </w:rPr>
        <w:t>报</w:t>
      </w:r>
      <w:r>
        <w:rPr>
          <w:rFonts w:ascii="华文细黑" w:hAnsi="华文细黑" w:cs="华文细黑" w:eastAsia="华文细黑" w:hint="default"/>
          <w:b/>
          <w:bCs/>
          <w:w w:val="99"/>
          <w:sz w:val="21"/>
          <w:szCs w:val="21"/>
        </w:rPr>
        <w:t>告期内在</w:t>
      </w:r>
      <w:r>
        <w:rPr>
          <w:rFonts w:ascii="华文细黑" w:hAnsi="华文细黑" w:cs="华文细黑" w:eastAsia="华文细黑" w:hint="default"/>
          <w:b/>
          <w:bCs/>
          <w:spacing w:val="1"/>
          <w:w w:val="99"/>
          <w:sz w:val="21"/>
          <w:szCs w:val="21"/>
        </w:rPr>
        <w:t>《</w:t>
      </w:r>
      <w:r>
        <w:rPr>
          <w:rFonts w:ascii="华文细黑" w:hAnsi="华文细黑" w:cs="华文细黑" w:eastAsia="华文细黑" w:hint="default"/>
          <w:b/>
          <w:bCs/>
          <w:w w:val="99"/>
          <w:sz w:val="21"/>
          <w:szCs w:val="21"/>
        </w:rPr>
        <w:t>中国证券</w:t>
      </w:r>
      <w:r>
        <w:rPr>
          <w:rFonts w:ascii="华文细黑" w:hAnsi="华文细黑" w:cs="华文细黑" w:eastAsia="华文细黑" w:hint="default"/>
          <w:b/>
          <w:bCs/>
          <w:spacing w:val="1"/>
          <w:w w:val="99"/>
          <w:sz w:val="21"/>
          <w:szCs w:val="21"/>
        </w:rPr>
        <w:t>报</w:t>
      </w:r>
      <w:r>
        <w:rPr>
          <w:rFonts w:ascii="华文细黑" w:hAnsi="华文细黑" w:cs="华文细黑" w:eastAsia="华文细黑" w:hint="default"/>
          <w:b/>
          <w:bCs/>
          <w:spacing w:val="-105"/>
          <w:w w:val="99"/>
          <w:sz w:val="21"/>
          <w:szCs w:val="21"/>
        </w:rPr>
        <w:t>》</w:t>
      </w:r>
      <w:r>
        <w:rPr>
          <w:rFonts w:ascii="华文细黑" w:hAnsi="华文细黑" w:cs="华文细黑" w:eastAsia="华文细黑" w:hint="default"/>
          <w:b/>
          <w:bCs/>
          <w:spacing w:val="-106"/>
          <w:w w:val="99"/>
          <w:sz w:val="21"/>
          <w:szCs w:val="21"/>
        </w:rPr>
        <w:t>、</w:t>
      </w:r>
      <w:r>
        <w:rPr>
          <w:rFonts w:ascii="华文细黑" w:hAnsi="华文细黑" w:cs="华文细黑" w:eastAsia="华文细黑" w:hint="default"/>
          <w:b/>
          <w:bCs/>
          <w:w w:val="99"/>
          <w:sz w:val="21"/>
          <w:szCs w:val="21"/>
        </w:rPr>
        <w:t>《证券</w:t>
      </w:r>
      <w:r>
        <w:rPr>
          <w:rFonts w:ascii="华文细黑" w:hAnsi="华文细黑" w:cs="华文细黑" w:eastAsia="华文细黑" w:hint="default"/>
          <w:b/>
          <w:bCs/>
          <w:spacing w:val="1"/>
          <w:w w:val="99"/>
          <w:sz w:val="21"/>
          <w:szCs w:val="21"/>
        </w:rPr>
        <w:t>时</w:t>
      </w:r>
      <w:r>
        <w:rPr>
          <w:rFonts w:ascii="华文细黑" w:hAnsi="华文细黑" w:cs="华文细黑" w:eastAsia="华文细黑" w:hint="default"/>
          <w:b/>
          <w:bCs/>
          <w:w w:val="99"/>
          <w:sz w:val="21"/>
          <w:szCs w:val="21"/>
        </w:rPr>
        <w:t>报》上公</w:t>
      </w:r>
      <w:r>
        <w:rPr>
          <w:rFonts w:ascii="华文细黑" w:hAnsi="华文细黑" w:cs="华文细黑" w:eastAsia="华文细黑" w:hint="default"/>
          <w:b/>
          <w:bCs/>
          <w:spacing w:val="1"/>
          <w:w w:val="99"/>
          <w:sz w:val="21"/>
          <w:szCs w:val="21"/>
        </w:rPr>
        <w:t>开</w:t>
      </w:r>
      <w:r>
        <w:rPr>
          <w:rFonts w:ascii="华文细黑" w:hAnsi="华文细黑" w:cs="华文细黑" w:eastAsia="华文细黑" w:hint="default"/>
          <w:b/>
          <w:bCs/>
          <w:w w:val="99"/>
          <w:sz w:val="21"/>
          <w:szCs w:val="21"/>
        </w:rPr>
        <w:t>披露过的</w:t>
      </w:r>
      <w:r>
        <w:rPr>
          <w:rFonts w:ascii="华文细黑" w:hAnsi="华文细黑" w:cs="华文细黑" w:eastAsia="华文细黑" w:hint="default"/>
          <w:b/>
          <w:bCs/>
          <w:spacing w:val="1"/>
          <w:w w:val="99"/>
          <w:sz w:val="21"/>
          <w:szCs w:val="21"/>
        </w:rPr>
        <w:t>所</w:t>
      </w:r>
      <w:r>
        <w:rPr>
          <w:rFonts w:ascii="华文细黑" w:hAnsi="华文细黑" w:cs="华文细黑" w:eastAsia="华文细黑" w:hint="default"/>
          <w:b/>
          <w:bCs/>
          <w:w w:val="99"/>
          <w:sz w:val="21"/>
          <w:szCs w:val="21"/>
        </w:rPr>
        <w:t>有公司文</w:t>
      </w:r>
      <w:r>
        <w:rPr>
          <w:rFonts w:ascii="华文细黑" w:hAnsi="华文细黑" w:cs="华文细黑" w:eastAsia="华文细黑" w:hint="default"/>
          <w:b/>
          <w:bCs/>
          <w:spacing w:val="1"/>
          <w:w w:val="99"/>
          <w:sz w:val="21"/>
          <w:szCs w:val="21"/>
        </w:rPr>
        <w:t>件</w:t>
      </w:r>
      <w:r>
        <w:rPr>
          <w:rFonts w:ascii="华文细黑" w:hAnsi="华文细黑" w:cs="华文细黑" w:eastAsia="华文细黑" w:hint="default"/>
          <w:b/>
          <w:bCs/>
          <w:w w:val="99"/>
          <w:sz w:val="21"/>
          <w:szCs w:val="21"/>
        </w:rPr>
        <w:t>的正本及</w:t>
      </w:r>
      <w:r>
        <w:rPr>
          <w:rFonts w:ascii="华文细黑" w:hAnsi="华文细黑" w:cs="华文细黑" w:eastAsia="华文细黑" w:hint="default"/>
          <w:b/>
          <w:bCs/>
          <w:spacing w:val="1"/>
          <w:w w:val="99"/>
          <w:sz w:val="21"/>
          <w:szCs w:val="21"/>
        </w:rPr>
        <w:t>公</w:t>
      </w:r>
      <w:r>
        <w:rPr>
          <w:rFonts w:ascii="华文细黑" w:hAnsi="华文细黑" w:cs="华文细黑" w:eastAsia="华文细黑" w:hint="default"/>
          <w:b/>
          <w:bCs/>
          <w:w w:val="99"/>
          <w:sz w:val="21"/>
          <w:szCs w:val="21"/>
        </w:rPr>
        <w:t>告的原稿。</w:t>
      </w:r>
      <w:r>
        <w:rPr>
          <w:rFonts w:ascii="华文细黑" w:hAnsi="华文细黑" w:cs="华文细黑" w:eastAsia="华文细黑" w:hint="default"/>
          <w:sz w:val="21"/>
          <w:szCs w:val="21"/>
        </w:rPr>
      </w: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0"/>
        <w:rPr>
          <w:rFonts w:ascii="华文细黑" w:hAnsi="华文细黑" w:cs="华文细黑" w:eastAsia="华文细黑" w:hint="default"/>
          <w:b/>
          <w:bCs/>
          <w:sz w:val="20"/>
          <w:szCs w:val="20"/>
        </w:rPr>
      </w:pPr>
    </w:p>
    <w:p>
      <w:pPr>
        <w:spacing w:line="240" w:lineRule="auto" w:before="9"/>
        <w:rPr>
          <w:rFonts w:ascii="华文细黑" w:hAnsi="华文细黑" w:cs="华文细黑" w:eastAsia="华文细黑" w:hint="default"/>
          <w:b/>
          <w:bCs/>
          <w:sz w:val="22"/>
          <w:szCs w:val="22"/>
        </w:rPr>
      </w:pPr>
    </w:p>
    <w:p>
      <w:pPr>
        <w:pStyle w:val="BodyText"/>
        <w:spacing w:line="240" w:lineRule="auto"/>
        <w:ind w:left="7253" w:right="1113"/>
        <w:jc w:val="center"/>
      </w:pPr>
      <w:r>
        <w:rPr/>
        <w:t>深圳市爱施德股份有限公司</w:t>
      </w:r>
    </w:p>
    <w:p>
      <w:pPr>
        <w:pStyle w:val="BodyText"/>
        <w:spacing w:line="379" w:lineRule="auto" w:before="171"/>
        <w:ind w:left="7545" w:right="1279" w:firstLine="105"/>
        <w:jc w:val="center"/>
      </w:pPr>
      <w:r>
        <w:rPr/>
        <w:t>董事会 二○一九年四月十六日</w:t>
      </w:r>
    </w:p>
    <w:sectPr>
      <w:pgSz w:w="11910" w:h="16840"/>
      <w:pgMar w:header="917" w:footer="1476" w:top="1100" w:bottom="1660" w:left="9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华文细黑">
    <w:altName w:val="华文细黑"/>
    <w:charset w:val="86"/>
    <w:family w:val="auto"/>
    <w:pitch w:val="variable"/>
  </w:font>
  <w:font w:name="宋体">
    <w:altName w:val="宋体"/>
    <w:charset w:val="86"/>
    <w:family w:val="auto"/>
    <w:pitch w:val="variable"/>
  </w:font>
  <w:font w:name="Calibri">
    <w:altName w:val="Calibri"/>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97608" type="#_x0000_t75" stroked="false">
          <v:imagedata r:id="rId1" o:title=""/>
        </v:shape>
      </w:pict>
    </w:r>
    <w:r>
      <w:rPr/>
      <w:pict>
        <v:shape style="position:absolute;margin-left:293.420013pt;margin-top:779.977905pt;width:8.6pt;height:12.95pt;mso-position-horizontal-relative:page;mso-position-vertical-relative:page;z-index:-1097584" type="#_x0000_t202" filled="false" stroked="false">
          <v:textbox inset="0,0,0,0">
            <w:txbxContent>
              <w:p>
                <w:pPr>
                  <w:spacing w:before="35"/>
                  <w:ind w:left="41"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97416" type="#_x0000_t75" stroked="false">
          <v:imagedata r:id="rId1" o:title=""/>
        </v:shape>
      </w:pict>
    </w:r>
    <w:r>
      <w:rPr/>
      <w:pict>
        <v:shape style="position:absolute;margin-left:291.200012pt;margin-top:779.977905pt;width:13pt;height:11pt;mso-position-horizontal-relative:page;mso-position-vertical-relative:page;z-index:-10973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97368" type="#_x0000_t75" stroked="false">
          <v:imagedata r:id="rId1" o:title=""/>
        </v:shape>
      </w:pict>
    </w:r>
    <w:r>
      <w:rPr/>
      <w:pict>
        <v:shape style="position:absolute;margin-left:289.920013pt;margin-top:779.977905pt;width:15.5pt;height:11pt;mso-position-horizontal-relative:page;mso-position-vertical-relative:page;z-index:-109734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97320" type="#_x0000_t75" stroked="false">
          <v:imagedata r:id="rId1" o:title=""/>
        </v:shape>
      </w:pict>
    </w:r>
    <w:r>
      <w:rPr/>
      <w:pict>
        <v:shape style="position:absolute;margin-left:288.920013pt;margin-top:779.977905pt;width:17.5pt;height:11pt;mso-position-horizontal-relative:page;mso-position-vertical-relative:page;z-index:-10972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97272" type="#_x0000_t75" stroked="false">
          <v:imagedata r:id="rId1" o:title=""/>
        </v:shape>
      </w:pict>
    </w:r>
    <w:r>
      <w:rPr/>
      <w:pict>
        <v:shape style="position:absolute;margin-left:289.920013pt;margin-top:779.977905pt;width:15.5pt;height:11pt;mso-position-horizontal-relative:page;mso-position-vertical-relative:page;z-index:-109724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200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97224" type="#_x0000_t75" stroked="false">
          <v:imagedata r:id="rId1" o:title=""/>
        </v:shape>
      </w:pict>
    </w:r>
    <w:r>
      <w:rPr/>
      <w:pict>
        <v:shape style="position:absolute;margin-left:288.920013pt;margin-top:779.977905pt;width:17.5pt;height:11pt;mso-position-horizontal-relative:page;mso-position-vertical-relative:page;z-index:-109720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201</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97176" type="#_x0000_t75" stroked="false">
          <v:imagedata r:id="rId1" o:title=""/>
        </v:shape>
      </w:pict>
    </w:r>
    <w:r>
      <w:rPr/>
      <w:pict>
        <v:shape style="position:absolute;margin-left:288.260010pt;margin-top:757.127136pt;width:18.95pt;height:11pt;mso-position-horizontal-relative:page;mso-position-vertical-relative:page;z-index:-1097152" type="#_x0000_t202" filled="false" stroked="false">
          <v:textbox inset="0,0,0,0">
            <w:txbxContent>
              <w:p>
                <w:pPr>
                  <w:spacing w:line="204" w:lineRule="exact" w:before="0"/>
                  <w:ind w:left="40" w:right="0" w:firstLine="0"/>
                  <w:jc w:val="left"/>
                  <w:rPr>
                    <w:rFonts w:ascii="Arial" w:hAnsi="Arial" w:cs="Arial" w:eastAsia="Arial" w:hint="default"/>
                    <w:sz w:val="18"/>
                    <w:szCs w:val="18"/>
                  </w:rPr>
                </w:pPr>
                <w:r>
                  <w:rPr>
                    <w:rFonts w:ascii="Arial"/>
                    <w:w w:val="99"/>
                    <w:sz w:val="18"/>
                  </w:rPr>
                </w:r>
                <w:r>
                  <w:rPr/>
                  <w:fldChar w:fldCharType="begin"/>
                </w:r>
                <w:r>
                  <w:rPr>
                    <w:rFonts w:ascii="Arial"/>
                    <w:sz w:val="18"/>
                  </w:rPr>
                  <w:instrText> PAGE </w:instrText>
                </w:r>
                <w:r>
                  <w:rPr/>
                  <w:fldChar w:fldCharType="separate"/>
                </w:r>
                <w:r>
                  <w:rPr/>
                  <w:t>209</w:t>
                </w:r>
                <w:r>
                  <w:rPr/>
                  <w:fldChar w:fldCharType="end"/>
                </w:r>
                <w:r>
                  <w:rPr>
                    <w:rFonts w:ascii="Arial"/>
                    <w:spacing w:val="-1"/>
                    <w:sz w:val="18"/>
                  </w:rPr>
                </w:r>
                <w:r>
                  <w:rPr>
                    <w:rFonts w:ascii="Arial"/>
                    <w:sz w:val="18"/>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6.519981pt;width:485pt;height:.1pt;mso-position-horizontal-relative:page;mso-position-vertical-relative:page;z-index:-1097680" coordorigin="1104,1130" coordsize="9700,2">
          <v:shape style="position:absolute;left:1104;top:1130;width:9700;height:2" coordorigin="1104,1130" coordsize="9700,0" path="m1104,1130l10804,1130e" filled="false" stroked="true" strokeweight=".48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55.700001pt;margin-top:44.845608pt;width:110pt;height:11pt;mso-position-horizontal-relative:page;mso-position-vertical-relative:page;z-index:-109765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深圳市爱施德股份有限公司</w:t>
                </w:r>
              </w:p>
            </w:txbxContent>
          </v:textbox>
          <w10:wrap type="none"/>
        </v:shape>
      </w:pict>
    </w:r>
    <w:r>
      <w:rPr/>
      <w:pict>
        <v:shape style="position:absolute;margin-left:451.76001pt;margin-top:44.845608pt;width:85.25pt;height:11.5pt;mso-position-horizontal-relative:page;mso-position-vertical-relative:page;z-index:-109763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group style="position:absolute;margin-left:55.200001pt;margin-top:56.519981pt;width:485pt;height:.1pt;mso-position-horizontal-relative:page;mso-position-vertical-relative:page;z-index:-1097560" coordorigin="1104,1130" coordsize="9700,2">
          <v:shape style="position:absolute;left:1104;top:1130;width:9700;height:2" coordorigin="1104,1130" coordsize="9700,0" path="m1104,1130l10804,1130e" filled="false" stroked="true" strokeweight=".48pt" strokecolor="#000000">
            <v:path arrowok="t"/>
          </v:shape>
          <w10:wrap type="none"/>
        </v:group>
      </w:pict>
    </w:r>
    <w:r>
      <w:rPr/>
      <w:pict>
        <v:shape style="position:absolute;margin-left:55.700001pt;margin-top:44.845608pt;width:110.05pt;height:11pt;mso-position-horizontal-relative:page;mso-position-vertical-relative:page;z-index:-109753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深圳市爱施德股份有限公司</w:t>
                </w:r>
              </w:p>
            </w:txbxContent>
          </v:textbox>
          <w10:wrap type="none"/>
        </v:shape>
      </w:pict>
    </w:r>
    <w:r>
      <w:rPr/>
      <w:pict>
        <v:shape style="position:absolute;margin-left:424.76001pt;margin-top:44.845608pt;width:85.25pt;height:11.5pt;mso-position-horizontal-relative:page;mso-position-vertical-relative:page;z-index:-109751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6.519981pt;width:485pt;height:.1pt;mso-position-horizontal-relative:page;mso-position-vertical-relative:page;z-index:-1097488" coordorigin="1104,1130" coordsize="9700,2">
          <v:shape style="position:absolute;left:1104;top:1130;width:9700;height:2" coordorigin="1104,1130" coordsize="9700,0" path="m1104,1130l10804,1130e" filled="false" stroked="true" strokeweight=".48pt" strokecolor="#000000">
            <v:path arrowok="t"/>
          </v:shape>
          <w10:wrap type="none"/>
        </v:group>
      </w:pict>
    </w:r>
    <w:r>
      <w:rPr/>
      <w:pict>
        <v:shape style="position:absolute;margin-left:55.700001pt;margin-top:44.845608pt;width:110.05pt;height:11pt;mso-position-horizontal-relative:page;mso-position-vertical-relative:page;z-index:-109746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深圳市爱施德股份有限公司</w:t>
                </w:r>
              </w:p>
            </w:txbxContent>
          </v:textbox>
          <w10:wrap type="none"/>
        </v:shape>
      </w:pict>
    </w:r>
    <w:r>
      <w:rPr/>
      <w:pict>
        <v:shape style="position:absolute;margin-left:424.76001pt;margin-top:44.845608pt;width:85.25pt;height:11.5pt;mso-position-horizontal-relative:page;mso-position-vertical-relative:page;z-index:-109744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324"/>
      <w:ind w:left="154"/>
    </w:pPr>
    <w:rPr>
      <w:rFonts w:ascii="华文细黑" w:hAnsi="华文细黑" w:eastAsia="华文细黑"/>
      <w:b/>
      <w:bCs/>
      <w:sz w:val="24"/>
      <w:szCs w:val="24"/>
    </w:rPr>
  </w:style>
  <w:style w:styleId="TOC2" w:type="paragraph">
    <w:name w:val="TOC 2"/>
    <w:basedOn w:val="Normal"/>
    <w:uiPriority w:val="1"/>
    <w:qFormat/>
    <w:pPr>
      <w:spacing w:before="324"/>
      <w:ind w:left="154"/>
    </w:pPr>
    <w:rPr>
      <w:rFonts w:ascii="华文细黑" w:hAnsi="华文细黑" w:eastAsia="华文细黑"/>
      <w:b/>
      <w:bCs/>
      <w:i/>
    </w:rPr>
  </w:style>
  <w:style w:styleId="BodyText" w:type="paragraph">
    <w:name w:val="Body Text"/>
    <w:basedOn w:val="Normal"/>
    <w:uiPriority w:val="1"/>
    <w:qFormat/>
    <w:pPr>
      <w:ind w:left="140"/>
    </w:pPr>
    <w:rPr>
      <w:rFonts w:ascii="华文细黑" w:hAnsi="华文细黑" w:eastAsia="华文细黑"/>
      <w:sz w:val="21"/>
      <w:szCs w:val="21"/>
    </w:rPr>
  </w:style>
  <w:style w:styleId="Heading1" w:type="paragraph">
    <w:name w:val="Heading 1"/>
    <w:basedOn w:val="Normal"/>
    <w:uiPriority w:val="1"/>
    <w:qFormat/>
    <w:pPr>
      <w:ind w:left="3291"/>
      <w:outlineLvl w:val="1"/>
    </w:pPr>
    <w:rPr>
      <w:rFonts w:ascii="华文细黑" w:hAnsi="华文细黑" w:eastAsia="华文细黑"/>
      <w:b/>
      <w:bCs/>
      <w:sz w:val="32"/>
      <w:szCs w:val="32"/>
    </w:rPr>
  </w:style>
  <w:style w:styleId="Heading2" w:type="paragraph">
    <w:name w:val="Heading 2"/>
    <w:basedOn w:val="Normal"/>
    <w:uiPriority w:val="1"/>
    <w:qFormat/>
    <w:pPr>
      <w:ind w:left="234"/>
      <w:outlineLvl w:val="2"/>
    </w:pPr>
    <w:rPr>
      <w:rFonts w:ascii="华文细黑" w:hAnsi="华文细黑" w:eastAsia="华文细黑"/>
      <w:b/>
      <w:bCs/>
      <w:sz w:val="30"/>
      <w:szCs w:val="30"/>
    </w:rPr>
  </w:style>
  <w:style w:styleId="Heading3" w:type="paragraph">
    <w:name w:val="Heading 3"/>
    <w:basedOn w:val="Normal"/>
    <w:uiPriority w:val="1"/>
    <w:qFormat/>
    <w:pPr>
      <w:ind w:left="2772"/>
      <w:outlineLvl w:val="3"/>
    </w:pPr>
    <w:rPr>
      <w:rFonts w:ascii="华文细黑" w:hAnsi="华文细黑" w:eastAsia="华文细黑"/>
      <w:b/>
      <w:bCs/>
      <w:sz w:val="28"/>
      <w:szCs w:val="28"/>
    </w:rPr>
  </w:style>
  <w:style w:styleId="Heading4" w:type="paragraph">
    <w:name w:val="Heading 4"/>
    <w:basedOn w:val="Normal"/>
    <w:uiPriority w:val="1"/>
    <w:qFormat/>
    <w:pPr>
      <w:ind w:left="620"/>
      <w:outlineLvl w:val="4"/>
    </w:pPr>
    <w:rPr>
      <w:rFonts w:ascii="华文细黑" w:hAnsi="华文细黑" w:eastAsia="华文细黑"/>
      <w:b/>
      <w:bCs/>
      <w:sz w:val="24"/>
      <w:szCs w:val="24"/>
    </w:rPr>
  </w:style>
  <w:style w:styleId="Heading5" w:type="paragraph">
    <w:name w:val="Heading 5"/>
    <w:basedOn w:val="Normal"/>
    <w:uiPriority w:val="1"/>
    <w:qFormat/>
    <w:pPr>
      <w:spacing w:before="10"/>
      <w:ind w:left="234"/>
      <w:outlineLvl w:val="5"/>
    </w:pPr>
    <w:rPr>
      <w:rFonts w:ascii="华文细黑" w:hAnsi="华文细黑" w:eastAsia="华文细黑"/>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image" Target="media/image7.jpeg"/><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image" Target="media/image8.png"/><Relationship Id="rId17" Type="http://schemas.openxmlformats.org/officeDocument/2006/relationships/image" Target="media/image6.jpeg"/><Relationship Id="rId18" Type="http://schemas.openxmlformats.org/officeDocument/2006/relationships/footer" Target="footer3.xml"/><Relationship Id="rId19" Type="http://schemas.openxmlformats.org/officeDocument/2006/relationships/hyperlink" Target="http://www.aisidi.com/" TargetMode="External"/><Relationship Id="rId20" Type="http://schemas.openxmlformats.org/officeDocument/2006/relationships/hyperlink" Target="mailto:ir@aisidi.com" TargetMode="External"/><Relationship Id="rId21" Type="http://schemas.openxmlformats.org/officeDocument/2006/relationships/hyperlink" Target="http://www.cninfo.com.cn/" TargetMode="External"/><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hyperlink" Target="http://www.cninfo.com/" TargetMode="External"/><Relationship Id="rId27" Type="http://schemas.openxmlformats.org/officeDocument/2006/relationships/footer" Target="footer4.xml"/><Relationship Id="rId28" Type="http://schemas.openxmlformats.org/officeDocument/2006/relationships/footer" Target="footer5.xml"/><Relationship Id="rId29" Type="http://schemas.openxmlformats.org/officeDocument/2006/relationships/footer" Target="footer6.xml"/><Relationship Id="rId30" Type="http://schemas.openxmlformats.org/officeDocument/2006/relationships/footer" Target="footer7.xml"/><Relationship Id="rId31" Type="http://schemas.openxmlformats.org/officeDocument/2006/relationships/footer" Target="footer8.xml"/></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footer3.xml.rels><?xml version="1.0" encoding="UTF-8" standalone="yes"?>
<Relationships xmlns="http://schemas.openxmlformats.org/package/2006/relationships"><Relationship Id="rId1" Type="http://schemas.openxmlformats.org/officeDocument/2006/relationships/image" Target="media/image6.jpeg"/></Relationships>

</file>

<file path=word/_rels/footer4.xml.rels><?xml version="1.0" encoding="UTF-8" standalone="yes"?>
<Relationships xmlns="http://schemas.openxmlformats.org/package/2006/relationships"><Relationship Id="rId1" Type="http://schemas.openxmlformats.org/officeDocument/2006/relationships/image" Target="media/image6.jpeg"/></Relationships>

</file>

<file path=word/_rels/footer5.xml.rels><?xml version="1.0" encoding="UTF-8" standalone="yes"?>
<Relationships xmlns="http://schemas.openxmlformats.org/package/2006/relationships"><Relationship Id="rId1" Type="http://schemas.openxmlformats.org/officeDocument/2006/relationships/image" Target="media/image6.jpeg"/></Relationships>

</file>

<file path=word/_rels/footer6.xml.rels><?xml version="1.0" encoding="UTF-8" standalone="yes"?>
<Relationships xmlns="http://schemas.openxmlformats.org/package/2006/relationships"><Relationship Id="rId1" Type="http://schemas.openxmlformats.org/officeDocument/2006/relationships/image" Target="media/image6.jpeg"/></Relationships>

</file>

<file path=word/_rels/footer7.xml.rels><?xml version="1.0" encoding="UTF-8" standalone="yes"?>
<Relationships xmlns="http://schemas.openxmlformats.org/package/2006/relationships"><Relationship Id="rId1" Type="http://schemas.openxmlformats.org/officeDocument/2006/relationships/image" Target="media/image6.jpeg"/></Relationships>

</file>

<file path=word/_rels/footer8.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LIENX-51</dc:creator>
  <dcterms:created xsi:type="dcterms:W3CDTF">2020-05-04T23:45:25Z</dcterms:created>
  <dcterms:modified xsi:type="dcterms:W3CDTF">2020-05-04T23:45:25Z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2019-04-15T00:00:00Z</vt:filetime>
  </property>
  <property fmtid="{D5CDD505-2E9C-101B-9397-08002B2CF9AE}" pid="3" name="Creator">
    <vt:lpwstr>Microsoft® Office Word 2007</vt:lpwstr>
  </property>
  <property fmtid="{D5CDD505-2E9C-101B-9397-08002B2CF9AE}" pid="4" name="LastSaved">
    <vt:filetime>2020-05-04T00:00:00Z</vt:filetime>
  </property>
</Properties>
</file>