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6"/>
          <w:szCs w:val="6"/>
        </w:rPr>
      </w:pPr>
      <w:r>
        <w:rPr/>
        <w:pict>
          <v:shape style="position:absolute;margin-left:.48pt;margin-top:544.799988pt;width:594.24pt;height:268.8pt;mso-position-horizontal-relative:page;mso-position-vertical-relative:page;z-index:1096" type="#_x0000_t75" stroked="false">
            <v:imagedata r:id="rId5" o:title=""/>
          </v:shape>
        </w:pict>
      </w:r>
    </w:p>
    <w:p>
      <w:pPr>
        <w:tabs>
          <w:tab w:pos="9830" w:val="left" w:leader="none"/>
        </w:tabs>
        <w:spacing w:line="1142" w:lineRule="exact"/>
        <w:ind w:left="1176" w:right="0" w:firstLine="0"/>
        <w:rPr>
          <w:rFonts w:ascii="Times New Roman" w:hAnsi="Times New Roman" w:cs="Times New Roman" w:eastAsia="Times New Roman" w:hint="default"/>
          <w:sz w:val="20"/>
          <w:szCs w:val="20"/>
        </w:rPr>
      </w:pPr>
      <w:r>
        <w:rPr>
          <w:rFonts w:ascii="Times New Roman"/>
          <w:position w:val="23"/>
          <w:sz w:val="20"/>
        </w:rPr>
        <w:drawing>
          <wp:inline distT="0" distB="0" distL="0" distR="0">
            <wp:extent cx="4443983" cy="1706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4443983" cy="170688"/>
                    </a:xfrm>
                    <a:prstGeom prst="rect">
                      <a:avLst/>
                    </a:prstGeom>
                  </pic:spPr>
                </pic:pic>
              </a:graphicData>
            </a:graphic>
          </wp:inline>
        </w:drawing>
      </w:r>
      <w:r>
        <w:rPr>
          <w:rFonts w:ascii="Times New Roman"/>
          <w:position w:val="23"/>
          <w:sz w:val="20"/>
        </w:rPr>
      </w:r>
      <w:r>
        <w:rPr>
          <w:rFonts w:ascii="Times New Roman"/>
          <w:position w:val="23"/>
          <w:sz w:val="20"/>
        </w:rPr>
        <w:tab/>
      </w:r>
      <w:r>
        <w:rPr>
          <w:rFonts w:ascii="Times New Roman"/>
          <w:position w:val="-22"/>
          <w:sz w:val="20"/>
        </w:rPr>
        <w:pict>
          <v:group style="width:71.05pt;height:57.15pt;mso-position-horizontal-relative:char;mso-position-vertical-relative:line" coordorigin="0,0" coordsize="1421,1143">
            <v:shape style="position:absolute;left:0;top:173;width:240;height:451" type="#_x0000_t75" stroked="false">
              <v:imagedata r:id="rId7" o:title=""/>
            </v:shape>
            <v:shape style="position:absolute;left:341;top:0;width:91;height:672" type="#_x0000_t75" stroked="false">
              <v:imagedata r:id="rId8" o:title=""/>
            </v:shape>
            <v:shape style="position:absolute;left:528;top:0;width:365;height:672" type="#_x0000_t75" stroked="false">
              <v:imagedata r:id="rId9" o:title=""/>
            </v:shape>
            <v:shape style="position:absolute;left:5;top:5;width:1416;height:1138" type="#_x0000_t75" stroked="false">
              <v:imagedata r:id="rId10" o:title=""/>
            </v:shape>
          </v:group>
        </w:pict>
      </w:r>
      <w:r>
        <w:rPr>
          <w:rFonts w:ascii="Times New Roman"/>
          <w:position w:val="-22"/>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tabs>
          <w:tab w:pos="3984" w:val="left" w:leader="none"/>
          <w:tab w:pos="5433" w:val="left" w:leader="none"/>
          <w:tab w:pos="6451" w:val="left" w:leader="none"/>
          <w:tab w:pos="7824" w:val="left" w:leader="none"/>
        </w:tabs>
        <w:spacing w:line="1665" w:lineRule="exact"/>
        <w:ind w:left="2640" w:right="0" w:firstLine="0"/>
        <w:rPr>
          <w:rFonts w:ascii="Times New Roman" w:hAnsi="Times New Roman" w:cs="Times New Roman" w:eastAsia="Times New Roman" w:hint="default"/>
          <w:sz w:val="20"/>
          <w:szCs w:val="20"/>
        </w:rPr>
      </w:pPr>
      <w:r>
        <w:rPr>
          <w:rFonts w:ascii="Times New Roman"/>
          <w:position w:val="-19"/>
          <w:sz w:val="20"/>
        </w:rPr>
        <w:drawing>
          <wp:inline distT="0" distB="0" distL="0" distR="0">
            <wp:extent cx="679704" cy="920496"/>
            <wp:effectExtent l="0" t="0" r="0" b="0"/>
            <wp:docPr id="3" name="image7.jpeg" descr=""/>
            <wp:cNvGraphicFramePr>
              <a:graphicFrameLocks noChangeAspect="1"/>
            </wp:cNvGraphicFramePr>
            <a:graphic>
              <a:graphicData uri="http://schemas.openxmlformats.org/drawingml/2006/picture">
                <pic:pic>
                  <pic:nvPicPr>
                    <pic:cNvPr id="4" name="image7.jpeg"/>
                    <pic:cNvPicPr/>
                  </pic:nvPicPr>
                  <pic:blipFill>
                    <a:blip r:embed="rId11" cstate="print"/>
                    <a:stretch>
                      <a:fillRect/>
                    </a:stretch>
                  </pic:blipFill>
                  <pic:spPr>
                    <a:xfrm>
                      <a:off x="0" y="0"/>
                      <a:ext cx="679704" cy="920496"/>
                    </a:xfrm>
                    <a:prstGeom prst="rect">
                      <a:avLst/>
                    </a:prstGeom>
                  </pic:spPr>
                </pic:pic>
              </a:graphicData>
            </a:graphic>
          </wp:inline>
        </w:drawing>
      </w:r>
      <w:r>
        <w:rPr>
          <w:rFonts w:ascii="Times New Roman"/>
          <w:position w:val="-19"/>
          <w:sz w:val="20"/>
        </w:rPr>
      </w:r>
      <w:r>
        <w:rPr>
          <w:rFonts w:ascii="Times New Roman"/>
          <w:position w:val="-19"/>
          <w:sz w:val="20"/>
        </w:rPr>
        <w:tab/>
      </w:r>
      <w:r>
        <w:rPr>
          <w:rFonts w:ascii="Times New Roman"/>
          <w:position w:val="-21"/>
          <w:sz w:val="20"/>
        </w:rPr>
        <w:drawing>
          <wp:inline distT="0" distB="0" distL="0" distR="0">
            <wp:extent cx="719327" cy="932688"/>
            <wp:effectExtent l="0" t="0" r="0" b="0"/>
            <wp:docPr id="5" name="image8.jpeg" descr=""/>
            <wp:cNvGraphicFramePr>
              <a:graphicFrameLocks noChangeAspect="1"/>
            </wp:cNvGraphicFramePr>
            <a:graphic>
              <a:graphicData uri="http://schemas.openxmlformats.org/drawingml/2006/picture">
                <pic:pic>
                  <pic:nvPicPr>
                    <pic:cNvPr id="6" name="image8.jpeg"/>
                    <pic:cNvPicPr/>
                  </pic:nvPicPr>
                  <pic:blipFill>
                    <a:blip r:embed="rId12" cstate="print"/>
                    <a:stretch>
                      <a:fillRect/>
                    </a:stretch>
                  </pic:blipFill>
                  <pic:spPr>
                    <a:xfrm>
                      <a:off x="0" y="0"/>
                      <a:ext cx="719327" cy="932688"/>
                    </a:xfrm>
                    <a:prstGeom prst="rect">
                      <a:avLst/>
                    </a:prstGeom>
                  </pic:spPr>
                </pic:pic>
              </a:graphicData>
            </a:graphic>
          </wp:inline>
        </w:drawing>
      </w:r>
      <w:r>
        <w:rPr>
          <w:rFonts w:ascii="Times New Roman"/>
          <w:position w:val="-21"/>
          <w:sz w:val="20"/>
        </w:rPr>
      </w:r>
      <w:r>
        <w:rPr>
          <w:rFonts w:ascii="Times New Roman"/>
          <w:position w:val="-21"/>
          <w:sz w:val="20"/>
        </w:rPr>
        <w:tab/>
      </w:r>
      <w:r>
        <w:rPr>
          <w:rFonts w:ascii="Times New Roman"/>
          <w:position w:val="-18"/>
          <w:sz w:val="20"/>
        </w:rPr>
        <w:drawing>
          <wp:inline distT="0" distB="0" distL="0" distR="0">
            <wp:extent cx="338327" cy="905255"/>
            <wp:effectExtent l="0" t="0" r="0" b="0"/>
            <wp:docPr id="7" name="image9.jpeg" descr=""/>
            <wp:cNvGraphicFramePr>
              <a:graphicFrameLocks noChangeAspect="1"/>
            </wp:cNvGraphicFramePr>
            <a:graphic>
              <a:graphicData uri="http://schemas.openxmlformats.org/drawingml/2006/picture">
                <pic:pic>
                  <pic:nvPicPr>
                    <pic:cNvPr id="8" name="image9.jpeg"/>
                    <pic:cNvPicPr/>
                  </pic:nvPicPr>
                  <pic:blipFill>
                    <a:blip r:embed="rId13" cstate="print"/>
                    <a:stretch>
                      <a:fillRect/>
                    </a:stretch>
                  </pic:blipFill>
                  <pic:spPr>
                    <a:xfrm>
                      <a:off x="0" y="0"/>
                      <a:ext cx="338327" cy="905255"/>
                    </a:xfrm>
                    <a:prstGeom prst="rect">
                      <a:avLst/>
                    </a:prstGeom>
                  </pic:spPr>
                </pic:pic>
              </a:graphicData>
            </a:graphic>
          </wp:inline>
        </w:drawing>
      </w:r>
      <w:r>
        <w:rPr>
          <w:rFonts w:ascii="Times New Roman"/>
          <w:position w:val="-18"/>
          <w:sz w:val="20"/>
        </w:rPr>
      </w:r>
      <w:r>
        <w:rPr>
          <w:rFonts w:ascii="Times New Roman"/>
          <w:position w:val="-18"/>
          <w:sz w:val="20"/>
        </w:rPr>
        <w:tab/>
      </w:r>
      <w:r>
        <w:rPr>
          <w:rFonts w:ascii="Times New Roman"/>
          <w:position w:val="-21"/>
          <w:sz w:val="20"/>
        </w:rPr>
        <w:drawing>
          <wp:inline distT="0" distB="0" distL="0" distR="0">
            <wp:extent cx="685799" cy="932688"/>
            <wp:effectExtent l="0" t="0" r="0" b="0"/>
            <wp:docPr id="9" name="image10.jpeg" descr=""/>
            <wp:cNvGraphicFramePr>
              <a:graphicFrameLocks noChangeAspect="1"/>
            </wp:cNvGraphicFramePr>
            <a:graphic>
              <a:graphicData uri="http://schemas.openxmlformats.org/drawingml/2006/picture">
                <pic:pic>
                  <pic:nvPicPr>
                    <pic:cNvPr id="10" name="image10.jpeg"/>
                    <pic:cNvPicPr/>
                  </pic:nvPicPr>
                  <pic:blipFill>
                    <a:blip r:embed="rId14" cstate="print"/>
                    <a:stretch>
                      <a:fillRect/>
                    </a:stretch>
                  </pic:blipFill>
                  <pic:spPr>
                    <a:xfrm>
                      <a:off x="0" y="0"/>
                      <a:ext cx="685799" cy="932688"/>
                    </a:xfrm>
                    <a:prstGeom prst="rect">
                      <a:avLst/>
                    </a:prstGeom>
                  </pic:spPr>
                </pic:pic>
              </a:graphicData>
            </a:graphic>
          </wp:inline>
        </w:drawing>
      </w:r>
      <w:r>
        <w:rPr>
          <w:rFonts w:ascii="Times New Roman"/>
          <w:position w:val="-21"/>
          <w:sz w:val="20"/>
        </w:rPr>
      </w:r>
      <w:r>
        <w:rPr>
          <w:rFonts w:ascii="Times New Roman"/>
          <w:position w:val="-21"/>
          <w:sz w:val="20"/>
        </w:rPr>
        <w:tab/>
      </w:r>
      <w:r>
        <w:rPr>
          <w:rFonts w:ascii="Times New Roman"/>
          <w:position w:val="-32"/>
          <w:sz w:val="20"/>
        </w:rPr>
        <w:drawing>
          <wp:inline distT="0" distB="0" distL="0" distR="0">
            <wp:extent cx="1014984" cy="1057655"/>
            <wp:effectExtent l="0" t="0" r="0" b="0"/>
            <wp:docPr id="11" name="image11.jpeg" descr=""/>
            <wp:cNvGraphicFramePr>
              <a:graphicFrameLocks noChangeAspect="1"/>
            </wp:cNvGraphicFramePr>
            <a:graphic>
              <a:graphicData uri="http://schemas.openxmlformats.org/drawingml/2006/picture">
                <pic:pic>
                  <pic:nvPicPr>
                    <pic:cNvPr id="12" name="image11.jpeg"/>
                    <pic:cNvPicPr/>
                  </pic:nvPicPr>
                  <pic:blipFill>
                    <a:blip r:embed="rId15" cstate="print"/>
                    <a:stretch>
                      <a:fillRect/>
                    </a:stretch>
                  </pic:blipFill>
                  <pic:spPr>
                    <a:xfrm>
                      <a:off x="0" y="0"/>
                      <a:ext cx="1014984" cy="1057655"/>
                    </a:xfrm>
                    <a:prstGeom prst="rect">
                      <a:avLst/>
                    </a:prstGeom>
                  </pic:spPr>
                </pic:pic>
              </a:graphicData>
            </a:graphic>
          </wp:inline>
        </w:drawing>
      </w:r>
      <w:r>
        <w:rPr>
          <w:rFonts w:ascii="Times New Roman"/>
          <w:position w:val="-32"/>
          <w:sz w:val="20"/>
        </w:rPr>
      </w:r>
    </w:p>
    <w:p>
      <w:pPr>
        <w:spacing w:line="240" w:lineRule="auto" w:before="5"/>
        <w:rPr>
          <w:rFonts w:ascii="Times New Roman" w:hAnsi="Times New Roman" w:cs="Times New Roman" w:eastAsia="Times New Roman" w:hint="default"/>
          <w:sz w:val="28"/>
          <w:szCs w:val="28"/>
        </w:rPr>
      </w:pPr>
    </w:p>
    <w:p>
      <w:pPr>
        <w:tabs>
          <w:tab w:pos="4233" w:val="left" w:leader="none"/>
          <w:tab w:pos="6172" w:val="left" w:leader="none"/>
        </w:tabs>
        <w:spacing w:line="1665" w:lineRule="exact"/>
        <w:ind w:left="2400" w:right="0" w:firstLine="0"/>
        <w:rPr>
          <w:rFonts w:ascii="Times New Roman" w:hAnsi="Times New Roman" w:cs="Times New Roman" w:eastAsia="Times New Roman" w:hint="default"/>
          <w:sz w:val="20"/>
          <w:szCs w:val="20"/>
        </w:rPr>
      </w:pPr>
      <w:r>
        <w:rPr>
          <w:rFonts w:ascii="Times New Roman"/>
          <w:position w:val="-32"/>
          <w:sz w:val="20"/>
        </w:rPr>
        <w:drawing>
          <wp:inline distT="0" distB="0" distL="0" distR="0">
            <wp:extent cx="1014983" cy="1057655"/>
            <wp:effectExtent l="0" t="0" r="0" b="0"/>
            <wp:docPr id="13" name="image12.jpeg" descr=""/>
            <wp:cNvGraphicFramePr>
              <a:graphicFrameLocks noChangeAspect="1"/>
            </wp:cNvGraphicFramePr>
            <a:graphic>
              <a:graphicData uri="http://schemas.openxmlformats.org/drawingml/2006/picture">
                <pic:pic>
                  <pic:nvPicPr>
                    <pic:cNvPr id="14" name="image12.jpeg"/>
                    <pic:cNvPicPr/>
                  </pic:nvPicPr>
                  <pic:blipFill>
                    <a:blip r:embed="rId16" cstate="print"/>
                    <a:stretch>
                      <a:fillRect/>
                    </a:stretch>
                  </pic:blipFill>
                  <pic:spPr>
                    <a:xfrm>
                      <a:off x="0" y="0"/>
                      <a:ext cx="1014983" cy="1057655"/>
                    </a:xfrm>
                    <a:prstGeom prst="rect">
                      <a:avLst/>
                    </a:prstGeom>
                  </pic:spPr>
                </pic:pic>
              </a:graphicData>
            </a:graphic>
          </wp:inline>
        </w:drawing>
      </w:r>
      <w:r>
        <w:rPr>
          <w:rFonts w:ascii="Times New Roman"/>
          <w:position w:val="-32"/>
          <w:sz w:val="20"/>
        </w:rPr>
      </w:r>
      <w:r>
        <w:rPr>
          <w:rFonts w:ascii="Times New Roman"/>
          <w:position w:val="-32"/>
          <w:sz w:val="20"/>
        </w:rPr>
        <w:tab/>
      </w:r>
      <w:r>
        <w:rPr>
          <w:rFonts w:ascii="Times New Roman"/>
          <w:position w:val="-32"/>
          <w:sz w:val="20"/>
        </w:rPr>
        <w:drawing>
          <wp:inline distT="0" distB="0" distL="0" distR="0">
            <wp:extent cx="1054608" cy="1054608"/>
            <wp:effectExtent l="0" t="0" r="0" b="0"/>
            <wp:docPr id="15" name="image13.jpeg" descr=""/>
            <wp:cNvGraphicFramePr>
              <a:graphicFrameLocks noChangeAspect="1"/>
            </wp:cNvGraphicFramePr>
            <a:graphic>
              <a:graphicData uri="http://schemas.openxmlformats.org/drawingml/2006/picture">
                <pic:pic>
                  <pic:nvPicPr>
                    <pic:cNvPr id="16" name="image13.jpeg"/>
                    <pic:cNvPicPr/>
                  </pic:nvPicPr>
                  <pic:blipFill>
                    <a:blip r:embed="rId17" cstate="print"/>
                    <a:stretch>
                      <a:fillRect/>
                    </a:stretch>
                  </pic:blipFill>
                  <pic:spPr>
                    <a:xfrm>
                      <a:off x="0" y="0"/>
                      <a:ext cx="1054608" cy="1054608"/>
                    </a:xfrm>
                    <a:prstGeom prst="rect">
                      <a:avLst/>
                    </a:prstGeom>
                  </pic:spPr>
                </pic:pic>
              </a:graphicData>
            </a:graphic>
          </wp:inline>
        </w:drawing>
      </w:r>
      <w:r>
        <w:rPr>
          <w:rFonts w:ascii="Times New Roman"/>
          <w:position w:val="-32"/>
          <w:sz w:val="20"/>
        </w:rPr>
      </w:r>
      <w:r>
        <w:rPr>
          <w:rFonts w:ascii="Times New Roman"/>
          <w:position w:val="-32"/>
          <w:sz w:val="20"/>
        </w:rPr>
        <w:tab/>
      </w:r>
      <w:r>
        <w:rPr>
          <w:rFonts w:ascii="Times New Roman"/>
          <w:position w:val="-32"/>
          <w:sz w:val="20"/>
        </w:rPr>
        <w:drawing>
          <wp:inline distT="0" distB="0" distL="0" distR="0">
            <wp:extent cx="1036320" cy="1045463"/>
            <wp:effectExtent l="0" t="0" r="0" b="0"/>
            <wp:docPr id="17" name="image14.jpeg" descr=""/>
            <wp:cNvGraphicFramePr>
              <a:graphicFrameLocks noChangeAspect="1"/>
            </wp:cNvGraphicFramePr>
            <a:graphic>
              <a:graphicData uri="http://schemas.openxmlformats.org/drawingml/2006/picture">
                <pic:pic>
                  <pic:nvPicPr>
                    <pic:cNvPr id="18" name="image14.jpeg"/>
                    <pic:cNvPicPr/>
                  </pic:nvPicPr>
                  <pic:blipFill>
                    <a:blip r:embed="rId18" cstate="print"/>
                    <a:stretch>
                      <a:fillRect/>
                    </a:stretch>
                  </pic:blipFill>
                  <pic:spPr>
                    <a:xfrm>
                      <a:off x="0" y="0"/>
                      <a:ext cx="1036320" cy="1045463"/>
                    </a:xfrm>
                    <a:prstGeom prst="rect">
                      <a:avLst/>
                    </a:prstGeom>
                  </pic:spPr>
                </pic:pic>
              </a:graphicData>
            </a:graphic>
          </wp:inline>
        </w:drawing>
      </w:r>
      <w:r>
        <w:rPr>
          <w:rFonts w:ascii="Times New Roman"/>
          <w:position w:val="-32"/>
          <w:sz w:val="20"/>
        </w:rPr>
      </w:r>
    </w:p>
    <w:p>
      <w:pPr>
        <w:spacing w:line="240" w:lineRule="auto" w:before="0"/>
        <w:rPr>
          <w:rFonts w:ascii="Times New Roman" w:hAnsi="Times New Roman" w:cs="Times New Roman" w:eastAsia="Times New Roman" w:hint="default"/>
          <w:sz w:val="20"/>
          <w:szCs w:val="20"/>
        </w:rPr>
      </w:pPr>
    </w:p>
    <w:p>
      <w:pPr>
        <w:tabs>
          <w:tab w:pos="4689" w:val="left" w:leader="none"/>
          <w:tab w:pos="7060" w:val="left" w:leader="none"/>
        </w:tabs>
        <w:spacing w:before="185"/>
        <w:ind w:left="3134" w:right="0" w:firstLine="0"/>
        <w:jc w:val="left"/>
        <w:rPr>
          <w:rFonts w:ascii="Arial" w:hAnsi="Arial" w:cs="Arial" w:eastAsia="Arial" w:hint="default"/>
          <w:sz w:val="50"/>
          <w:szCs w:val="50"/>
        </w:rPr>
      </w:pPr>
      <w:r>
        <w:rPr/>
        <w:pict>
          <v:shape style="position:absolute;margin-left:402.720001pt;margin-top:-93.06028pt;width:79.44pt;height:41.28pt;mso-position-horizontal-relative:page;mso-position-vertical-relative:paragraph;z-index:1048" type="#_x0000_t75" stroked="false">
            <v:imagedata r:id="rId19" o:title=""/>
          </v:shape>
        </w:pict>
      </w:r>
      <w:r>
        <w:rPr/>
        <w:pict>
          <v:shape style="position:absolute;margin-left:412.320007pt;margin-top:-46.980278pt;width:60.96pt;height:35.520pt;mso-position-horizontal-relative:page;mso-position-vertical-relative:paragraph;z-index:1072" type="#_x0000_t75" stroked="false">
            <v:imagedata r:id="rId20" o:title=""/>
          </v:shape>
        </w:pict>
      </w:r>
      <w:r>
        <w:rPr>
          <w:rFonts w:ascii="Arial"/>
          <w:color w:val="001831"/>
          <w:w w:val="105"/>
          <w:sz w:val="50"/>
        </w:rPr>
        <w:t>2</w:t>
      </w:r>
      <w:r>
        <w:rPr>
          <w:rFonts w:ascii="Arial"/>
          <w:color w:val="001831"/>
          <w:spacing w:val="-42"/>
          <w:w w:val="105"/>
          <w:sz w:val="50"/>
        </w:rPr>
        <w:t> </w:t>
      </w:r>
      <w:r>
        <w:rPr>
          <w:rFonts w:ascii="Arial"/>
          <w:color w:val="001634"/>
          <w:w w:val="105"/>
          <w:sz w:val="50"/>
        </w:rPr>
        <w:t>019</w:t>
        <w:tab/>
      </w:r>
      <w:r>
        <w:rPr>
          <w:rFonts w:ascii="Arial"/>
          <w:color w:val="001833"/>
          <w:w w:val="105"/>
          <w:sz w:val="50"/>
        </w:rPr>
        <w:t>A</w:t>
      </w:r>
      <w:r>
        <w:rPr>
          <w:rFonts w:ascii="Arial"/>
          <w:color w:val="001833"/>
          <w:spacing w:val="-28"/>
          <w:w w:val="105"/>
          <w:sz w:val="50"/>
        </w:rPr>
        <w:t> </w:t>
      </w:r>
      <w:r>
        <w:rPr>
          <w:rFonts w:ascii="Arial"/>
          <w:color w:val="031528"/>
          <w:w w:val="105"/>
          <w:sz w:val="50"/>
        </w:rPr>
        <w:t>n</w:t>
      </w:r>
      <w:r>
        <w:rPr>
          <w:rFonts w:ascii="Arial"/>
          <w:color w:val="031528"/>
          <w:spacing w:val="-68"/>
          <w:w w:val="105"/>
          <w:sz w:val="50"/>
        </w:rPr>
        <w:t> </w:t>
      </w:r>
      <w:r>
        <w:rPr>
          <w:rFonts w:ascii="Arial"/>
          <w:color w:val="001A33"/>
          <w:w w:val="105"/>
          <w:sz w:val="50"/>
        </w:rPr>
        <w:t>n</w:t>
      </w:r>
      <w:r>
        <w:rPr>
          <w:rFonts w:ascii="Arial"/>
          <w:color w:val="001A33"/>
          <w:spacing w:val="-77"/>
          <w:w w:val="105"/>
          <w:sz w:val="50"/>
        </w:rPr>
        <w:t> </w:t>
      </w:r>
      <w:r>
        <w:rPr>
          <w:rFonts w:ascii="Arial"/>
          <w:color w:val="03162D"/>
          <w:spacing w:val="29"/>
          <w:w w:val="105"/>
          <w:sz w:val="50"/>
        </w:rPr>
        <w:t>u</w:t>
      </w:r>
      <w:r>
        <w:rPr>
          <w:rFonts w:ascii="Arial"/>
          <w:color w:val="031A31"/>
          <w:spacing w:val="29"/>
          <w:w w:val="105"/>
          <w:sz w:val="50"/>
        </w:rPr>
        <w:t>a</w:t>
      </w:r>
      <w:r>
        <w:rPr>
          <w:rFonts w:ascii="Arial"/>
          <w:color w:val="031A31"/>
          <w:spacing w:val="-41"/>
          <w:w w:val="105"/>
          <w:sz w:val="50"/>
        </w:rPr>
        <w:t> </w:t>
      </w:r>
      <w:r>
        <w:rPr>
          <w:rFonts w:ascii="Arial"/>
          <w:color w:val="00132D"/>
          <w:w w:val="105"/>
          <w:sz w:val="50"/>
        </w:rPr>
        <w:t>I</w:t>
        <w:tab/>
      </w:r>
      <w:r>
        <w:rPr>
          <w:rFonts w:ascii="Arial"/>
          <w:color w:val="031C34"/>
          <w:w w:val="105"/>
          <w:sz w:val="50"/>
        </w:rPr>
        <w:t>R</w:t>
      </w:r>
      <w:r>
        <w:rPr>
          <w:rFonts w:ascii="Arial"/>
          <w:color w:val="031C34"/>
          <w:spacing w:val="-73"/>
          <w:w w:val="105"/>
          <w:sz w:val="50"/>
        </w:rPr>
        <w:t> </w:t>
      </w:r>
      <w:r>
        <w:rPr>
          <w:rFonts w:ascii="Arial"/>
          <w:color w:val="031C38"/>
          <w:w w:val="105"/>
          <w:sz w:val="50"/>
        </w:rPr>
        <w:t>e</w:t>
      </w:r>
      <w:r>
        <w:rPr>
          <w:rFonts w:ascii="Arial"/>
          <w:color w:val="031C38"/>
          <w:spacing w:val="-55"/>
          <w:w w:val="105"/>
          <w:sz w:val="50"/>
        </w:rPr>
        <w:t> </w:t>
      </w:r>
      <w:r>
        <w:rPr>
          <w:rFonts w:ascii="Arial"/>
          <w:color w:val="001636"/>
          <w:w w:val="105"/>
          <w:sz w:val="50"/>
        </w:rPr>
        <w:t>p</w:t>
      </w:r>
      <w:r>
        <w:rPr>
          <w:rFonts w:ascii="Arial"/>
          <w:color w:val="001636"/>
          <w:spacing w:val="-84"/>
          <w:w w:val="105"/>
          <w:sz w:val="50"/>
        </w:rPr>
        <w:t> </w:t>
      </w:r>
      <w:r>
        <w:rPr>
          <w:rFonts w:ascii="Arial"/>
          <w:color w:val="01182F"/>
          <w:w w:val="105"/>
          <w:sz w:val="50"/>
        </w:rPr>
        <w:t>o</w:t>
      </w:r>
      <w:r>
        <w:rPr>
          <w:rFonts w:ascii="Arial"/>
          <w:color w:val="01182F"/>
          <w:spacing w:val="-51"/>
          <w:w w:val="105"/>
          <w:sz w:val="50"/>
        </w:rPr>
        <w:t> </w:t>
      </w:r>
      <w:r>
        <w:rPr>
          <w:rFonts w:ascii="Arial"/>
          <w:color w:val="001C38"/>
          <w:w w:val="105"/>
          <w:sz w:val="50"/>
        </w:rPr>
        <w:t>r</w:t>
      </w:r>
      <w:r>
        <w:rPr>
          <w:rFonts w:ascii="Arial"/>
          <w:color w:val="001C38"/>
          <w:spacing w:val="-66"/>
          <w:w w:val="105"/>
          <w:sz w:val="50"/>
        </w:rPr>
        <w:t> </w:t>
      </w:r>
      <w:r>
        <w:rPr>
          <w:rFonts w:ascii="Arial"/>
          <w:color w:val="051A31"/>
          <w:w w:val="105"/>
          <w:sz w:val="50"/>
        </w:rPr>
        <w:t>t</w:t>
      </w:r>
      <w:r>
        <w:rPr>
          <w:rFonts w:ascii="Arial"/>
          <w:sz w:val="5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5"/>
          <w:szCs w:val="15"/>
        </w:rPr>
      </w:pPr>
    </w:p>
    <w:p>
      <w:pPr>
        <w:spacing w:line="240" w:lineRule="exact"/>
        <w:ind w:left="5006" w:right="0" w:firstLine="0"/>
        <w:rPr>
          <w:rFonts w:ascii="Arial" w:hAnsi="Arial" w:cs="Arial" w:eastAsia="Arial" w:hint="default"/>
          <w:sz w:val="20"/>
          <w:szCs w:val="20"/>
        </w:rPr>
      </w:pPr>
      <w:r>
        <w:rPr>
          <w:rFonts w:ascii="Arial" w:hAnsi="Arial" w:cs="Arial" w:eastAsia="Arial" w:hint="default"/>
          <w:position w:val="-4"/>
          <w:sz w:val="20"/>
          <w:szCs w:val="20"/>
        </w:rPr>
        <w:drawing>
          <wp:inline distT="0" distB="0" distL="0" distR="0">
            <wp:extent cx="1392936" cy="152400"/>
            <wp:effectExtent l="0" t="0" r="0" b="0"/>
            <wp:docPr id="19" name="image17.jpeg" descr=""/>
            <wp:cNvGraphicFramePr>
              <a:graphicFrameLocks noChangeAspect="1"/>
            </wp:cNvGraphicFramePr>
            <a:graphic>
              <a:graphicData uri="http://schemas.openxmlformats.org/drawingml/2006/picture">
                <pic:pic>
                  <pic:nvPicPr>
                    <pic:cNvPr id="20" name="image17.jpeg"/>
                    <pic:cNvPicPr/>
                  </pic:nvPicPr>
                  <pic:blipFill>
                    <a:blip r:embed="rId21" cstate="print"/>
                    <a:stretch>
                      <a:fillRect/>
                    </a:stretch>
                  </pic:blipFill>
                  <pic:spPr>
                    <a:xfrm>
                      <a:off x="0" y="0"/>
                      <a:ext cx="1392936" cy="152400"/>
                    </a:xfrm>
                    <a:prstGeom prst="rect">
                      <a:avLst/>
                    </a:prstGeom>
                  </pic:spPr>
                </pic:pic>
              </a:graphicData>
            </a:graphic>
          </wp:inline>
        </w:drawing>
      </w:r>
      <w:r>
        <w:rPr>
          <w:rFonts w:ascii="Arial" w:hAnsi="Arial" w:cs="Arial" w:eastAsia="Arial" w:hint="default"/>
          <w:position w:val="-4"/>
          <w:sz w:val="20"/>
          <w:szCs w:val="20"/>
        </w:rPr>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1"/>
          <w:szCs w:val="21"/>
        </w:rPr>
      </w:pPr>
    </w:p>
    <w:p>
      <w:pPr>
        <w:spacing w:line="230" w:lineRule="exact"/>
        <w:ind w:left="4540" w:right="0" w:firstLine="0"/>
        <w:rPr>
          <w:rFonts w:ascii="Arial" w:hAnsi="Arial" w:cs="Arial" w:eastAsia="Arial" w:hint="default"/>
          <w:sz w:val="20"/>
          <w:szCs w:val="20"/>
        </w:rPr>
      </w:pPr>
      <w:r>
        <w:rPr>
          <w:rFonts w:ascii="Arial" w:hAnsi="Arial" w:cs="Arial" w:eastAsia="Arial" w:hint="default"/>
          <w:position w:val="-4"/>
          <w:sz w:val="20"/>
          <w:szCs w:val="20"/>
        </w:rPr>
        <w:drawing>
          <wp:inline distT="0" distB="0" distL="0" distR="0">
            <wp:extent cx="1962912" cy="146303"/>
            <wp:effectExtent l="0" t="0" r="0" b="0"/>
            <wp:docPr id="21" name="image18.jpeg" descr=""/>
            <wp:cNvGraphicFramePr>
              <a:graphicFrameLocks noChangeAspect="1"/>
            </wp:cNvGraphicFramePr>
            <a:graphic>
              <a:graphicData uri="http://schemas.openxmlformats.org/drawingml/2006/picture">
                <pic:pic>
                  <pic:nvPicPr>
                    <pic:cNvPr id="22" name="image18.jpeg"/>
                    <pic:cNvPicPr/>
                  </pic:nvPicPr>
                  <pic:blipFill>
                    <a:blip r:embed="rId22" cstate="print"/>
                    <a:stretch>
                      <a:fillRect/>
                    </a:stretch>
                  </pic:blipFill>
                  <pic:spPr>
                    <a:xfrm>
                      <a:off x="0" y="0"/>
                      <a:ext cx="1962912" cy="146303"/>
                    </a:xfrm>
                    <a:prstGeom prst="rect">
                      <a:avLst/>
                    </a:prstGeom>
                  </pic:spPr>
                </pic:pic>
              </a:graphicData>
            </a:graphic>
          </wp:inline>
        </w:drawing>
      </w:r>
      <w:r>
        <w:rPr>
          <w:rFonts w:ascii="Arial" w:hAnsi="Arial" w:cs="Arial" w:eastAsia="Arial" w:hint="default"/>
          <w:position w:val="-4"/>
          <w:sz w:val="20"/>
          <w:szCs w:val="20"/>
        </w:rPr>
      </w:r>
    </w:p>
    <w:p>
      <w:pPr>
        <w:spacing w:after="0" w:line="230" w:lineRule="exact"/>
        <w:rPr>
          <w:rFonts w:ascii="Arial" w:hAnsi="Arial" w:cs="Arial" w:eastAsia="Arial" w:hint="default"/>
          <w:sz w:val="20"/>
          <w:szCs w:val="20"/>
        </w:rPr>
        <w:sectPr>
          <w:type w:val="continuous"/>
          <w:pgSz w:w="11910" w:h="16840"/>
          <w:pgMar w:top="620" w:bottom="280" w:left="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7"/>
          <w:szCs w:val="27"/>
        </w:rPr>
      </w:pPr>
    </w:p>
    <w:p>
      <w:pPr>
        <w:pStyle w:val="Heading1"/>
        <w:spacing w:line="240" w:lineRule="auto"/>
        <w:ind w:left="2803" w:right="1126"/>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
        </w:rPr>
        <w:t> </w:t>
      </w:r>
      <w:r>
        <w:rPr/>
        <w:t>重要提示、目录和释义</w:t>
      </w:r>
      <w:r>
        <w:rPr>
          <w:b w:val="0"/>
          <w:bCs w:val="0"/>
        </w:rPr>
      </w:r>
    </w:p>
    <w:p>
      <w:pPr>
        <w:spacing w:line="240" w:lineRule="auto" w:before="11"/>
        <w:rPr>
          <w:rFonts w:ascii="宋体" w:hAnsi="宋体" w:cs="宋体" w:eastAsia="宋体" w:hint="default"/>
          <w:b/>
          <w:bCs/>
          <w:sz w:val="47"/>
          <w:szCs w:val="47"/>
        </w:rPr>
      </w:pPr>
    </w:p>
    <w:p>
      <w:pPr>
        <w:spacing w:line="408" w:lineRule="auto" w:before="0"/>
        <w:ind w:left="153" w:right="1131" w:firstLine="561"/>
        <w:jc w:val="both"/>
        <w:rPr>
          <w:rFonts w:ascii="宋体" w:hAnsi="宋体" w:cs="宋体" w:eastAsia="宋体" w:hint="default"/>
          <w:sz w:val="28"/>
          <w:szCs w:val="28"/>
        </w:rPr>
      </w:pPr>
      <w:r>
        <w:rPr>
          <w:rFonts w:ascii="宋体" w:hAnsi="宋体" w:cs="宋体" w:eastAsia="宋体" w:hint="default"/>
          <w:spacing w:val="4"/>
          <w:w w:val="95"/>
          <w:sz w:val="28"/>
          <w:szCs w:val="28"/>
        </w:rPr>
        <w:t>公司董事会、监事会及董事、监事、高级管理人员保证年度报告内容的真</w:t>
      </w:r>
      <w:r>
        <w:rPr>
          <w:rFonts w:ascii="宋体" w:hAnsi="宋体" w:cs="宋体" w:eastAsia="宋体" w:hint="default"/>
          <w:spacing w:val="4"/>
          <w:w w:val="99"/>
          <w:sz w:val="28"/>
          <w:szCs w:val="28"/>
        </w:rPr>
        <w:t> </w:t>
      </w:r>
      <w:r>
        <w:rPr>
          <w:rFonts w:ascii="宋体" w:hAnsi="宋体" w:cs="宋体" w:eastAsia="宋体" w:hint="default"/>
          <w:spacing w:val="4"/>
          <w:w w:val="95"/>
          <w:sz w:val="28"/>
          <w:szCs w:val="28"/>
        </w:rPr>
        <w:t>实、准确、完整，不存在虚假记载、误导性陈述或重大遗漏，并承担个别和连</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z w:val="28"/>
          <w:szCs w:val="28"/>
        </w:rPr>
        <w:t>带的法律责任。</w:t>
      </w:r>
    </w:p>
    <w:p>
      <w:pPr>
        <w:spacing w:line="386" w:lineRule="auto" w:before="162"/>
        <w:ind w:left="153" w:right="1132" w:firstLine="561"/>
        <w:jc w:val="both"/>
        <w:rPr>
          <w:rFonts w:ascii="宋体" w:hAnsi="宋体" w:cs="宋体" w:eastAsia="宋体" w:hint="default"/>
          <w:sz w:val="28"/>
          <w:szCs w:val="28"/>
        </w:rPr>
      </w:pPr>
      <w:r>
        <w:rPr>
          <w:rFonts w:ascii="宋体" w:hAnsi="宋体" w:cs="宋体" w:eastAsia="宋体" w:hint="default"/>
          <w:sz w:val="28"/>
          <w:szCs w:val="28"/>
        </w:rPr>
        <w:t>公司负责人黄文辉、主管会计工作负责人米泽东及会计机构负责人</w:t>
      </w:r>
      <w:r>
        <w:rPr>
          <w:rFonts w:ascii="Times New Roman" w:hAnsi="Times New Roman" w:cs="Times New Roman" w:eastAsia="Times New Roman" w:hint="default"/>
          <w:sz w:val="28"/>
          <w:szCs w:val="28"/>
        </w:rPr>
        <w:t>(</w:t>
      </w:r>
      <w:r>
        <w:rPr>
          <w:rFonts w:ascii="宋体" w:hAnsi="宋体" w:cs="宋体" w:eastAsia="宋体" w:hint="default"/>
          <w:sz w:val="28"/>
          <w:szCs w:val="28"/>
        </w:rPr>
        <w:t>会计主</w:t>
      </w:r>
      <w:r>
        <w:rPr>
          <w:rFonts w:ascii="宋体" w:hAnsi="宋体" w:cs="宋体" w:eastAsia="宋体" w:hint="default"/>
          <w:w w:val="99"/>
          <w:sz w:val="28"/>
          <w:szCs w:val="28"/>
        </w:rPr>
        <w:t> </w:t>
      </w:r>
      <w:r>
        <w:rPr>
          <w:rFonts w:ascii="宋体" w:hAnsi="宋体" w:cs="宋体" w:eastAsia="宋体" w:hint="default"/>
          <w:sz w:val="28"/>
          <w:szCs w:val="28"/>
        </w:rPr>
        <w:t>管人员</w:t>
      </w:r>
      <w:r>
        <w:rPr>
          <w:rFonts w:ascii="Times New Roman" w:hAnsi="Times New Roman" w:cs="Times New Roman" w:eastAsia="Times New Roman" w:hint="default"/>
          <w:sz w:val="28"/>
          <w:szCs w:val="28"/>
        </w:rPr>
        <w:t>)</w:t>
      </w:r>
      <w:r>
        <w:rPr>
          <w:rFonts w:ascii="宋体" w:hAnsi="宋体" w:cs="宋体" w:eastAsia="宋体" w:hint="default"/>
          <w:sz w:val="28"/>
          <w:szCs w:val="28"/>
        </w:rPr>
        <w:t>米泽东声明：保证年度报告中财务报告的真实、准确、完整。</w:t>
      </w:r>
    </w:p>
    <w:p>
      <w:pPr>
        <w:spacing w:line="475" w:lineRule="auto" w:before="148"/>
        <w:ind w:left="714" w:right="1126"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w w:val="99"/>
          <w:sz w:val="28"/>
          <w:szCs w:val="28"/>
        </w:rPr>
        <w:t> </w:t>
      </w:r>
      <w:r>
        <w:rPr>
          <w:rFonts w:ascii="宋体" w:hAnsi="宋体" w:cs="宋体" w:eastAsia="宋体" w:hint="default"/>
          <w:sz w:val="28"/>
          <w:szCs w:val="28"/>
        </w:rPr>
        <w:t>公司经董事会审议通过的利润分配预案为：以</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2019</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年</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月</w:t>
      </w:r>
      <w:r>
        <w:rPr>
          <w:rFonts w:ascii="宋体" w:hAnsi="宋体" w:cs="宋体" w:eastAsia="宋体" w:hint="default"/>
          <w:spacing w:val="-76"/>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6"/>
          <w:sz w:val="28"/>
          <w:szCs w:val="28"/>
        </w:rPr>
        <w:t> </w:t>
      </w:r>
      <w:r>
        <w:rPr>
          <w:rFonts w:ascii="宋体" w:hAnsi="宋体" w:cs="宋体" w:eastAsia="宋体" w:hint="default"/>
          <w:sz w:val="28"/>
          <w:szCs w:val="28"/>
        </w:rPr>
        <w:t>日的公司总</w:t>
      </w:r>
    </w:p>
    <w:p>
      <w:pPr>
        <w:spacing w:line="320" w:lineRule="exact" w:before="0"/>
        <w:ind w:left="153" w:right="0" w:firstLine="0"/>
        <w:jc w:val="left"/>
        <w:rPr>
          <w:rFonts w:ascii="宋体" w:hAnsi="宋体" w:cs="宋体" w:eastAsia="宋体" w:hint="default"/>
          <w:sz w:val="28"/>
          <w:szCs w:val="28"/>
        </w:rPr>
      </w:pPr>
      <w:r>
        <w:rPr>
          <w:rFonts w:ascii="宋体" w:hAnsi="宋体" w:cs="宋体" w:eastAsia="宋体" w:hint="default"/>
          <w:w w:val="99"/>
          <w:sz w:val="28"/>
          <w:szCs w:val="28"/>
        </w:rPr>
        <w:t>股本</w:t>
      </w:r>
      <w:r>
        <w:rPr>
          <w:rFonts w:ascii="宋体" w:hAnsi="宋体" w:cs="宋体" w:eastAsia="宋体" w:hint="default"/>
          <w:spacing w:val="-88"/>
          <w:sz w:val="28"/>
          <w:szCs w:val="28"/>
        </w:rPr>
        <w:t> </w:t>
      </w:r>
      <w:r>
        <w:rPr>
          <w:rFonts w:ascii="Times New Roman" w:hAnsi="Times New Roman" w:cs="Times New Roman" w:eastAsia="Times New Roman" w:hint="default"/>
          <w:w w:val="99"/>
          <w:sz w:val="28"/>
          <w:szCs w:val="28"/>
        </w:rPr>
        <w:t>1</w:t>
      </w:r>
      <w:r>
        <w:rPr>
          <w:rFonts w:ascii="Times New Roman" w:hAnsi="Times New Roman" w:cs="Times New Roman" w:eastAsia="Times New Roman" w:hint="default"/>
          <w:spacing w:val="2"/>
          <w:w w:val="99"/>
          <w:sz w:val="28"/>
          <w:szCs w:val="28"/>
        </w:rPr>
        <w:t>,</w:t>
      </w:r>
      <w:r>
        <w:rPr>
          <w:rFonts w:ascii="Times New Roman" w:hAnsi="Times New Roman" w:cs="Times New Roman" w:eastAsia="Times New Roman" w:hint="default"/>
          <w:w w:val="99"/>
          <w:sz w:val="28"/>
          <w:szCs w:val="28"/>
        </w:rPr>
        <w:t>239</w:t>
      </w:r>
      <w:r>
        <w:rPr>
          <w:rFonts w:ascii="Times New Roman" w:hAnsi="Times New Roman" w:cs="Times New Roman" w:eastAsia="Times New Roman" w:hint="default"/>
          <w:spacing w:val="2"/>
          <w:w w:val="99"/>
          <w:sz w:val="28"/>
          <w:szCs w:val="28"/>
        </w:rPr>
        <w:t>,</w:t>
      </w:r>
      <w:r>
        <w:rPr>
          <w:rFonts w:ascii="Times New Roman" w:hAnsi="Times New Roman" w:cs="Times New Roman" w:eastAsia="Times New Roman" w:hint="default"/>
          <w:w w:val="99"/>
          <w:sz w:val="28"/>
          <w:szCs w:val="28"/>
        </w:rPr>
        <w:t>281</w:t>
      </w:r>
      <w:r>
        <w:rPr>
          <w:rFonts w:ascii="Times New Roman" w:hAnsi="Times New Roman" w:cs="Times New Roman" w:eastAsia="Times New Roman" w:hint="default"/>
          <w:spacing w:val="2"/>
          <w:w w:val="99"/>
          <w:sz w:val="28"/>
          <w:szCs w:val="28"/>
        </w:rPr>
        <w:t>,</w:t>
      </w:r>
      <w:r>
        <w:rPr>
          <w:rFonts w:ascii="Times New Roman" w:hAnsi="Times New Roman" w:cs="Times New Roman" w:eastAsia="Times New Roman" w:hint="default"/>
          <w:w w:val="99"/>
          <w:sz w:val="28"/>
          <w:szCs w:val="28"/>
        </w:rPr>
        <w:t>806</w:t>
      </w:r>
      <w:r>
        <w:rPr>
          <w:rFonts w:ascii="Times New Roman" w:hAnsi="Times New Roman" w:cs="Times New Roman" w:eastAsia="Times New Roman" w:hint="default"/>
          <w:sz w:val="28"/>
          <w:szCs w:val="28"/>
        </w:rPr>
        <w:t> </w:t>
      </w:r>
      <w:r>
        <w:rPr>
          <w:rFonts w:ascii="Times New Roman" w:hAnsi="Times New Roman" w:cs="Times New Roman" w:eastAsia="Times New Roman" w:hint="default"/>
          <w:spacing w:val="5"/>
          <w:sz w:val="28"/>
          <w:szCs w:val="28"/>
        </w:rPr>
        <w:t> </w:t>
      </w:r>
      <w:r>
        <w:rPr>
          <w:rFonts w:ascii="宋体" w:hAnsi="宋体" w:cs="宋体" w:eastAsia="宋体" w:hint="default"/>
          <w:w w:val="99"/>
          <w:sz w:val="28"/>
          <w:szCs w:val="28"/>
        </w:rPr>
        <w:t>股为基数</w:t>
      </w:r>
      <w:r>
        <w:rPr>
          <w:rFonts w:ascii="宋体" w:hAnsi="宋体" w:cs="宋体" w:eastAsia="宋体" w:hint="default"/>
          <w:spacing w:val="-135"/>
          <w:w w:val="99"/>
          <w:sz w:val="28"/>
          <w:szCs w:val="28"/>
        </w:rPr>
        <w:t>，</w:t>
      </w:r>
      <w:r>
        <w:rPr>
          <w:rFonts w:ascii="宋体" w:hAnsi="宋体" w:cs="宋体" w:eastAsia="宋体" w:hint="default"/>
          <w:w w:val="99"/>
          <w:sz w:val="28"/>
          <w:szCs w:val="28"/>
        </w:rPr>
        <w:t>向全</w:t>
      </w:r>
      <w:r>
        <w:rPr>
          <w:rFonts w:ascii="宋体" w:hAnsi="宋体" w:cs="宋体" w:eastAsia="宋体" w:hint="default"/>
          <w:spacing w:val="4"/>
          <w:w w:val="99"/>
          <w:sz w:val="28"/>
          <w:szCs w:val="28"/>
        </w:rPr>
        <w:t>体股</w:t>
      </w:r>
      <w:r>
        <w:rPr>
          <w:rFonts w:ascii="宋体" w:hAnsi="宋体" w:cs="宋体" w:eastAsia="宋体" w:hint="default"/>
          <w:w w:val="99"/>
          <w:sz w:val="28"/>
          <w:szCs w:val="28"/>
        </w:rPr>
        <w:t>东每</w:t>
      </w:r>
      <w:r>
        <w:rPr>
          <w:rFonts w:ascii="宋体" w:hAnsi="宋体" w:cs="宋体" w:eastAsia="宋体" w:hint="default"/>
          <w:spacing w:val="-86"/>
          <w:sz w:val="28"/>
          <w:szCs w:val="28"/>
        </w:rPr>
        <w:t> </w:t>
      </w:r>
      <w:r>
        <w:rPr>
          <w:rFonts w:ascii="Times New Roman" w:hAnsi="Times New Roman" w:cs="Times New Roman" w:eastAsia="Times New Roman" w:hint="default"/>
          <w:w w:val="99"/>
          <w:sz w:val="28"/>
          <w:szCs w:val="28"/>
        </w:rPr>
        <w:t>10</w:t>
      </w:r>
      <w:r>
        <w:rPr>
          <w:rFonts w:ascii="Times New Roman" w:hAnsi="Times New Roman" w:cs="Times New Roman" w:eastAsia="Times New Roman" w:hint="default"/>
          <w:spacing w:val="-18"/>
          <w:sz w:val="28"/>
          <w:szCs w:val="28"/>
        </w:rPr>
        <w:t> </w:t>
      </w:r>
      <w:r>
        <w:rPr>
          <w:rFonts w:ascii="宋体" w:hAnsi="宋体" w:cs="宋体" w:eastAsia="宋体" w:hint="default"/>
          <w:w w:val="99"/>
          <w:sz w:val="28"/>
          <w:szCs w:val="28"/>
        </w:rPr>
        <w:t>股派</w:t>
      </w:r>
      <w:r>
        <w:rPr>
          <w:rFonts w:ascii="宋体" w:hAnsi="宋体" w:cs="宋体" w:eastAsia="宋体" w:hint="default"/>
          <w:spacing w:val="4"/>
          <w:w w:val="99"/>
          <w:sz w:val="28"/>
          <w:szCs w:val="28"/>
        </w:rPr>
        <w:t>发</w:t>
      </w:r>
      <w:r>
        <w:rPr>
          <w:rFonts w:ascii="宋体" w:hAnsi="宋体" w:cs="宋体" w:eastAsia="宋体" w:hint="default"/>
          <w:w w:val="99"/>
          <w:sz w:val="28"/>
          <w:szCs w:val="28"/>
        </w:rPr>
        <w:t>现金红利</w:t>
      </w:r>
      <w:r>
        <w:rPr>
          <w:rFonts w:ascii="宋体" w:hAnsi="宋体" w:cs="宋体" w:eastAsia="宋体" w:hint="default"/>
          <w:spacing w:val="-82"/>
          <w:sz w:val="28"/>
          <w:szCs w:val="28"/>
        </w:rPr>
        <w:t> </w:t>
      </w:r>
      <w:r>
        <w:rPr>
          <w:rFonts w:ascii="Times New Roman" w:hAnsi="Times New Roman" w:cs="Times New Roman" w:eastAsia="Times New Roman" w:hint="default"/>
          <w:w w:val="99"/>
          <w:sz w:val="28"/>
          <w:szCs w:val="28"/>
        </w:rPr>
        <w:t>2</w:t>
      </w:r>
      <w:r>
        <w:rPr>
          <w:rFonts w:ascii="Times New Roman" w:hAnsi="Times New Roman" w:cs="Times New Roman" w:eastAsia="Times New Roman" w:hint="default"/>
          <w:spacing w:val="2"/>
          <w:w w:val="99"/>
          <w:sz w:val="28"/>
          <w:szCs w:val="28"/>
        </w:rPr>
        <w:t>.</w:t>
      </w:r>
      <w:r>
        <w:rPr>
          <w:rFonts w:ascii="Times New Roman" w:hAnsi="Times New Roman" w:cs="Times New Roman" w:eastAsia="Times New Roman" w:hint="default"/>
          <w:w w:val="99"/>
          <w:sz w:val="28"/>
          <w:szCs w:val="28"/>
        </w:rPr>
        <w:t>00</w:t>
      </w:r>
      <w:r>
        <w:rPr>
          <w:rFonts w:ascii="Times New Roman" w:hAnsi="Times New Roman" w:cs="Times New Roman" w:eastAsia="Times New Roman" w:hint="default"/>
          <w:spacing w:val="-18"/>
          <w:sz w:val="28"/>
          <w:szCs w:val="28"/>
        </w:rPr>
        <w:t> </w:t>
      </w:r>
      <w:r>
        <w:rPr>
          <w:rFonts w:ascii="宋体" w:hAnsi="宋体" w:cs="宋体" w:eastAsia="宋体" w:hint="default"/>
          <w:spacing w:val="-140"/>
          <w:w w:val="99"/>
          <w:sz w:val="28"/>
          <w:szCs w:val="28"/>
        </w:rPr>
        <w:t>元</w:t>
      </w:r>
      <w:r>
        <w:rPr>
          <w:rFonts w:ascii="宋体" w:hAnsi="宋体" w:cs="宋体" w:eastAsia="宋体" w:hint="default"/>
          <w:w w:val="99"/>
          <w:sz w:val="28"/>
          <w:szCs w:val="28"/>
        </w:rPr>
        <w:t>（含</w:t>
      </w:r>
      <w:r>
        <w:rPr>
          <w:rFonts w:ascii="宋体" w:hAnsi="宋体" w:cs="宋体" w:eastAsia="宋体" w:hint="default"/>
          <w:spacing w:val="4"/>
          <w:w w:val="99"/>
          <w:sz w:val="28"/>
          <w:szCs w:val="28"/>
        </w:rPr>
        <w:t>税</w:t>
      </w:r>
      <w:r>
        <w:rPr>
          <w:rFonts w:ascii="宋体" w:hAnsi="宋体" w:cs="宋体" w:eastAsia="宋体" w:hint="default"/>
          <w:spacing w:val="-140"/>
          <w:w w:val="99"/>
          <w:sz w:val="28"/>
          <w:szCs w:val="28"/>
        </w:rPr>
        <w:t>）</w:t>
      </w:r>
      <w:r>
        <w:rPr>
          <w:rFonts w:ascii="宋体" w:hAnsi="宋体" w:cs="宋体" w:eastAsia="宋体" w:hint="default"/>
          <w:w w:val="99"/>
          <w:sz w:val="28"/>
          <w:szCs w:val="28"/>
        </w:rPr>
        <w:t>，</w:t>
      </w:r>
      <w:r>
        <w:rPr>
          <w:rFonts w:ascii="宋体" w:hAnsi="宋体" w:cs="宋体" w:eastAsia="宋体" w:hint="default"/>
          <w:sz w:val="28"/>
          <w:szCs w:val="28"/>
        </w:rPr>
      </w:r>
    </w:p>
    <w:p>
      <w:pPr>
        <w:spacing w:before="236"/>
        <w:ind w:left="153" w:right="1126" w:firstLine="0"/>
        <w:jc w:val="left"/>
        <w:rPr>
          <w:rFonts w:ascii="宋体" w:hAnsi="宋体" w:cs="宋体" w:eastAsia="宋体" w:hint="default"/>
          <w:sz w:val="28"/>
          <w:szCs w:val="28"/>
        </w:rPr>
      </w:pPr>
      <w:r>
        <w:rPr>
          <w:rFonts w:ascii="宋体" w:hAnsi="宋体" w:cs="宋体" w:eastAsia="宋体" w:hint="default"/>
          <w:sz w:val="28"/>
          <w:szCs w:val="28"/>
        </w:rPr>
        <w:t>不送红股，不以资本公积金转增股本。</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4"/>
          <w:szCs w:val="24"/>
        </w:rPr>
      </w:pPr>
    </w:p>
    <w:p>
      <w:pPr>
        <w:spacing w:before="0"/>
        <w:ind w:left="138" w:right="1112" w:firstLine="0"/>
        <w:jc w:val="center"/>
        <w:rPr>
          <w:rFonts w:ascii="宋体" w:hAnsi="宋体" w:cs="宋体" w:eastAsia="宋体" w:hint="default"/>
          <w:sz w:val="32"/>
          <w:szCs w:val="32"/>
        </w:rPr>
      </w:pPr>
      <w:r>
        <w:rPr>
          <w:rFonts w:ascii="宋体" w:hAnsi="宋体" w:cs="宋体" w:eastAsia="宋体" w:hint="default"/>
          <w:b/>
          <w:bCs/>
          <w:sz w:val="32"/>
          <w:szCs w:val="32"/>
        </w:rPr>
        <w:t>免责声明</w:t>
      </w:r>
      <w:r>
        <w:rPr>
          <w:rFonts w:ascii="宋体" w:hAnsi="宋体" w:cs="宋体" w:eastAsia="宋体" w:hint="default"/>
          <w:sz w:val="32"/>
          <w:szCs w:val="32"/>
        </w:rPr>
      </w:r>
    </w:p>
    <w:p>
      <w:pPr>
        <w:spacing w:line="410" w:lineRule="auto" w:before="276"/>
        <w:ind w:left="153" w:right="1254" w:firstLine="556"/>
        <w:jc w:val="both"/>
        <w:rPr>
          <w:rFonts w:ascii="宋体" w:hAnsi="宋体" w:cs="宋体" w:eastAsia="宋体" w:hint="default"/>
          <w:sz w:val="28"/>
          <w:szCs w:val="28"/>
        </w:rPr>
      </w:pPr>
      <w:r>
        <w:rPr>
          <w:rFonts w:ascii="宋体" w:hAnsi="宋体" w:cs="宋体" w:eastAsia="宋体" w:hint="default"/>
          <w:sz w:val="28"/>
          <w:szCs w:val="28"/>
        </w:rPr>
        <w:t>本报告包含若干对本公司财务状况、经营业绩及业务发展的展望性陈述。</w:t>
      </w:r>
      <w:r>
        <w:rPr>
          <w:rFonts w:ascii="宋体" w:hAnsi="宋体" w:cs="宋体" w:eastAsia="宋体" w:hint="default"/>
          <w:w w:val="99"/>
          <w:sz w:val="28"/>
          <w:szCs w:val="28"/>
        </w:rPr>
        <w:t> </w:t>
      </w:r>
      <w:r>
        <w:rPr>
          <w:rFonts w:ascii="宋体" w:hAnsi="宋体" w:cs="宋体" w:eastAsia="宋体" w:hint="default"/>
          <w:spacing w:val="-35"/>
          <w:w w:val="99"/>
          <w:sz w:val="28"/>
          <w:szCs w:val="28"/>
        </w:rPr>
        <w:t>报告中使用诸如“将”、“可能”、“努力”、“计划”、“预计”、“目标”及类似字</w:t>
      </w:r>
      <w:r>
        <w:rPr>
          <w:rFonts w:ascii="宋体" w:hAnsi="宋体" w:cs="宋体" w:eastAsia="宋体" w:hint="default"/>
          <w:spacing w:val="-131"/>
          <w:w w:val="99"/>
          <w:sz w:val="28"/>
          <w:szCs w:val="28"/>
        </w:rPr>
        <w:t> </w:t>
      </w:r>
      <w:r>
        <w:rPr>
          <w:rFonts w:ascii="宋体" w:hAnsi="宋体" w:cs="宋体" w:eastAsia="宋体" w:hint="default"/>
          <w:spacing w:val="-131"/>
          <w:w w:val="99"/>
          <w:sz w:val="28"/>
          <w:szCs w:val="28"/>
        </w:rPr>
      </w:r>
      <w:r>
        <w:rPr>
          <w:rFonts w:ascii="宋体" w:hAnsi="宋体" w:cs="宋体" w:eastAsia="宋体" w:hint="default"/>
          <w:sz w:val="28"/>
          <w:szCs w:val="28"/>
        </w:rPr>
        <w:t>眼以表达展望性陈述。这些陈述乃基于现行计划、估计及预测而作出。</w:t>
      </w:r>
    </w:p>
    <w:p>
      <w:pPr>
        <w:spacing w:line="410" w:lineRule="auto" w:before="92"/>
        <w:ind w:left="153" w:right="1254" w:firstLine="556"/>
        <w:jc w:val="both"/>
        <w:rPr>
          <w:rFonts w:ascii="宋体" w:hAnsi="宋体" w:cs="宋体" w:eastAsia="宋体" w:hint="default"/>
          <w:sz w:val="28"/>
          <w:szCs w:val="28"/>
        </w:rPr>
      </w:pPr>
      <w:r>
        <w:rPr>
          <w:rFonts w:ascii="宋体" w:hAnsi="宋体" w:cs="宋体" w:eastAsia="宋体" w:hint="default"/>
          <w:sz w:val="28"/>
          <w:szCs w:val="28"/>
        </w:rPr>
        <w:t>虽然本公司相信这些展望性陈述中所反映的期望是合理的，但本公司不能</w:t>
      </w:r>
      <w:r>
        <w:rPr>
          <w:rFonts w:ascii="宋体" w:hAnsi="宋体" w:cs="宋体" w:eastAsia="宋体" w:hint="default"/>
          <w:w w:val="99"/>
          <w:sz w:val="28"/>
          <w:szCs w:val="28"/>
        </w:rPr>
        <w:t> </w:t>
      </w:r>
      <w:r>
        <w:rPr>
          <w:rFonts w:ascii="宋体" w:hAnsi="宋体" w:cs="宋体" w:eastAsia="宋体" w:hint="default"/>
          <w:w w:val="95"/>
          <w:sz w:val="28"/>
          <w:szCs w:val="28"/>
        </w:rPr>
        <w:t>保证这些期望被实现或将会证实为正确，故不应对其过分依赖。务请注意，该</w:t>
      </w:r>
      <w:r>
        <w:rPr>
          <w:rFonts w:ascii="宋体" w:hAnsi="宋体" w:cs="宋体" w:eastAsia="宋体" w:hint="default"/>
          <w:spacing w:val="66"/>
          <w:w w:val="95"/>
          <w:sz w:val="28"/>
          <w:szCs w:val="28"/>
        </w:rPr>
        <w:t> </w:t>
      </w:r>
      <w:r>
        <w:rPr>
          <w:rFonts w:ascii="宋体" w:hAnsi="宋体" w:cs="宋体" w:eastAsia="宋体" w:hint="default"/>
          <w:spacing w:val="66"/>
          <w:w w:val="95"/>
          <w:sz w:val="28"/>
          <w:szCs w:val="28"/>
        </w:rPr>
      </w:r>
      <w:r>
        <w:rPr>
          <w:rFonts w:ascii="宋体" w:hAnsi="宋体" w:cs="宋体" w:eastAsia="宋体" w:hint="default"/>
          <w:w w:val="95"/>
          <w:sz w:val="28"/>
          <w:szCs w:val="28"/>
        </w:rPr>
        <w:t>等展望性陈述与日后事件或本公司日后财务、业务或其他表现有关，并受若干</w:t>
      </w:r>
      <w:r>
        <w:rPr>
          <w:rFonts w:ascii="宋体" w:hAnsi="宋体" w:cs="宋体" w:eastAsia="宋体" w:hint="default"/>
          <w:spacing w:val="66"/>
          <w:w w:val="95"/>
          <w:sz w:val="28"/>
          <w:szCs w:val="28"/>
        </w:rPr>
        <w:t> </w:t>
      </w:r>
      <w:r>
        <w:rPr>
          <w:rFonts w:ascii="宋体" w:hAnsi="宋体" w:cs="宋体" w:eastAsia="宋体" w:hint="default"/>
          <w:spacing w:val="66"/>
          <w:w w:val="95"/>
          <w:sz w:val="28"/>
          <w:szCs w:val="28"/>
        </w:rPr>
      </w:r>
      <w:r>
        <w:rPr>
          <w:rFonts w:ascii="宋体" w:hAnsi="宋体" w:cs="宋体" w:eastAsia="宋体" w:hint="default"/>
          <w:sz w:val="28"/>
          <w:szCs w:val="28"/>
        </w:rPr>
        <w:t>可能会导致实际结果出现重大差异的不明确因素的影响。</w:t>
      </w:r>
    </w:p>
    <w:p>
      <w:pPr>
        <w:spacing w:after="0" w:line="410" w:lineRule="auto"/>
        <w:jc w:val="both"/>
        <w:rPr>
          <w:rFonts w:ascii="宋体" w:hAnsi="宋体" w:cs="宋体" w:eastAsia="宋体" w:hint="default"/>
          <w:sz w:val="28"/>
          <w:szCs w:val="28"/>
        </w:rPr>
        <w:sectPr>
          <w:headerReference w:type="default" r:id="rId23"/>
          <w:footerReference w:type="default" r:id="rId24"/>
          <w:pgSz w:w="11910" w:h="16840"/>
          <w:pgMar w:header="871" w:footer="1186"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2"/>
        <w:ind w:left="139" w:right="469"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spacing w:line="408" w:lineRule="auto" w:before="12"/>
        <w:ind w:left="575" w:right="1126" w:firstLine="139"/>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、市场风险</w:t>
      </w:r>
      <w:r>
        <w:rPr>
          <w:rFonts w:ascii="宋体" w:hAnsi="宋体" w:cs="宋体" w:eastAsia="宋体" w:hint="default"/>
          <w:b/>
          <w:bCs/>
          <w:w w:val="99"/>
          <w:sz w:val="28"/>
          <w:szCs w:val="28"/>
        </w:rPr>
        <w:t> </w:t>
      </w:r>
      <w:r>
        <w:rPr>
          <w:rFonts w:ascii="宋体" w:hAnsi="宋体" w:cs="宋体" w:eastAsia="宋体" w:hint="default"/>
          <w:w w:val="95"/>
          <w:sz w:val="28"/>
          <w:szCs w:val="28"/>
        </w:rPr>
        <w:t>智能手机品牌集中度不断提高，线上线下的渠道进一步融合，对我们的服务</w:t>
      </w:r>
      <w:r>
        <w:rPr>
          <w:rFonts w:ascii="宋体" w:hAnsi="宋体" w:cs="宋体" w:eastAsia="宋体" w:hint="default"/>
          <w:sz w:val="28"/>
          <w:szCs w:val="28"/>
        </w:rPr>
      </w:r>
    </w:p>
    <w:p>
      <w:pPr>
        <w:spacing w:line="398" w:lineRule="auto" w:before="61"/>
        <w:ind w:left="153" w:right="1133" w:firstLine="0"/>
        <w:jc w:val="both"/>
        <w:rPr>
          <w:rFonts w:ascii="宋体" w:hAnsi="宋体" w:cs="宋体" w:eastAsia="宋体" w:hint="default"/>
          <w:sz w:val="28"/>
          <w:szCs w:val="28"/>
        </w:rPr>
      </w:pPr>
      <w:r>
        <w:rPr>
          <w:rFonts w:ascii="宋体" w:hAnsi="宋体" w:cs="宋体" w:eastAsia="宋体" w:hint="default"/>
          <w:spacing w:val="4"/>
          <w:w w:val="95"/>
          <w:sz w:val="28"/>
          <w:szCs w:val="28"/>
        </w:rPr>
        <w:t>能力提出更高要求。面对挑战，公司正在持续构建全渠道销售服务能力和线上</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z w:val="28"/>
          <w:szCs w:val="28"/>
        </w:rPr>
        <w:t>线下融合的新零售赋能体系，持续构建更高效的风控体系和</w:t>
      </w:r>
      <w:r>
        <w:rPr>
          <w:rFonts w:ascii="宋体" w:hAnsi="宋体" w:cs="宋体" w:eastAsia="宋体" w:hint="default"/>
          <w:spacing w:val="-74"/>
          <w:sz w:val="28"/>
          <w:szCs w:val="28"/>
        </w:rPr>
        <w:t> </w:t>
      </w:r>
      <w:r>
        <w:rPr>
          <w:rFonts w:ascii="Times New Roman" w:hAnsi="Times New Roman" w:cs="Times New Roman" w:eastAsia="Times New Roman" w:hint="default"/>
          <w:sz w:val="28"/>
          <w:szCs w:val="28"/>
        </w:rPr>
        <w:t>IT</w:t>
      </w:r>
      <w:r>
        <w:rPr>
          <w:rFonts w:ascii="Times New Roman" w:hAnsi="Times New Roman" w:cs="Times New Roman" w:eastAsia="Times New Roman" w:hint="default"/>
          <w:spacing w:val="-11"/>
          <w:sz w:val="28"/>
          <w:szCs w:val="28"/>
        </w:rPr>
        <w:t> </w:t>
      </w:r>
      <w:r>
        <w:rPr>
          <w:rFonts w:ascii="宋体" w:hAnsi="宋体" w:cs="宋体" w:eastAsia="宋体" w:hint="default"/>
          <w:sz w:val="28"/>
          <w:szCs w:val="28"/>
        </w:rPr>
        <w:t>支撑能力，有效</w:t>
      </w:r>
      <w:r>
        <w:rPr>
          <w:rFonts w:ascii="宋体" w:hAnsi="宋体" w:cs="宋体" w:eastAsia="宋体" w:hint="default"/>
          <w:w w:val="99"/>
          <w:sz w:val="28"/>
          <w:szCs w:val="28"/>
        </w:rPr>
        <w:t> </w:t>
      </w:r>
      <w:r>
        <w:rPr>
          <w:rFonts w:ascii="宋体" w:hAnsi="宋体" w:cs="宋体" w:eastAsia="宋体" w:hint="default"/>
          <w:sz w:val="28"/>
          <w:szCs w:val="28"/>
        </w:rPr>
        <w:t>控制业务风险。</w:t>
      </w:r>
    </w:p>
    <w:p>
      <w:pPr>
        <w:spacing w:line="240" w:lineRule="auto" w:before="2"/>
        <w:rPr>
          <w:rFonts w:ascii="宋体" w:hAnsi="宋体" w:cs="宋体" w:eastAsia="宋体" w:hint="default"/>
          <w:sz w:val="30"/>
          <w:szCs w:val="30"/>
        </w:rPr>
      </w:pPr>
    </w:p>
    <w:p>
      <w:pPr>
        <w:spacing w:line="408" w:lineRule="auto" w:before="0"/>
        <w:ind w:left="575" w:right="1126" w:firstLine="139"/>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、管理风险</w:t>
      </w:r>
      <w:r>
        <w:rPr>
          <w:rFonts w:ascii="宋体" w:hAnsi="宋体" w:cs="宋体" w:eastAsia="宋体" w:hint="default"/>
          <w:b/>
          <w:bCs/>
          <w:w w:val="99"/>
          <w:sz w:val="28"/>
          <w:szCs w:val="28"/>
        </w:rPr>
        <w:t> </w:t>
      </w:r>
      <w:r>
        <w:rPr>
          <w:rFonts w:ascii="宋体" w:hAnsi="宋体" w:cs="宋体" w:eastAsia="宋体" w:hint="default"/>
          <w:w w:val="95"/>
          <w:sz w:val="28"/>
          <w:szCs w:val="28"/>
        </w:rPr>
        <w:t>公司已建立较规范的组织管理体系，但随着市场竞争加剧，业务领域的不断</w:t>
      </w:r>
      <w:r>
        <w:rPr>
          <w:rFonts w:ascii="宋体" w:hAnsi="宋体" w:cs="宋体" w:eastAsia="宋体" w:hint="default"/>
          <w:sz w:val="28"/>
          <w:szCs w:val="28"/>
        </w:rPr>
      </w:r>
    </w:p>
    <w:p>
      <w:pPr>
        <w:spacing w:before="66"/>
        <w:ind w:left="153" w:right="0" w:firstLine="0"/>
        <w:jc w:val="both"/>
        <w:rPr>
          <w:rFonts w:ascii="宋体" w:hAnsi="宋体" w:cs="宋体" w:eastAsia="宋体" w:hint="default"/>
          <w:sz w:val="28"/>
          <w:szCs w:val="28"/>
        </w:rPr>
      </w:pPr>
      <w:r>
        <w:rPr>
          <w:rFonts w:ascii="宋体" w:hAnsi="宋体" w:cs="宋体" w:eastAsia="宋体" w:hint="default"/>
          <w:sz w:val="28"/>
          <w:szCs w:val="28"/>
        </w:rPr>
        <w:t>拓展，风险管控能力面临挑战。</w:t>
      </w:r>
    </w:p>
    <w:p>
      <w:pPr>
        <w:spacing w:line="240" w:lineRule="auto" w:before="0"/>
        <w:rPr>
          <w:rFonts w:ascii="宋体" w:hAnsi="宋体" w:cs="宋体" w:eastAsia="宋体" w:hint="default"/>
          <w:sz w:val="28"/>
          <w:szCs w:val="28"/>
        </w:rPr>
      </w:pPr>
    </w:p>
    <w:p>
      <w:pPr>
        <w:spacing w:line="408" w:lineRule="auto" w:before="213"/>
        <w:ind w:left="575" w:right="1126" w:firstLine="139"/>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、财务风险</w:t>
      </w:r>
      <w:r>
        <w:rPr>
          <w:rFonts w:ascii="宋体" w:hAnsi="宋体" w:cs="宋体" w:eastAsia="宋体" w:hint="default"/>
          <w:b/>
          <w:bCs/>
          <w:w w:val="99"/>
          <w:sz w:val="28"/>
          <w:szCs w:val="28"/>
        </w:rPr>
        <w:t> </w:t>
      </w:r>
      <w:r>
        <w:rPr>
          <w:rFonts w:ascii="宋体" w:hAnsi="宋体" w:cs="宋体" w:eastAsia="宋体" w:hint="default"/>
          <w:w w:val="95"/>
          <w:sz w:val="28"/>
          <w:szCs w:val="28"/>
        </w:rPr>
        <w:t>公司主营业务对资金成本比较敏感，国家金融政策的调整将会对公司短期经</w:t>
      </w:r>
      <w:r>
        <w:rPr>
          <w:rFonts w:ascii="宋体" w:hAnsi="宋体" w:cs="宋体" w:eastAsia="宋体" w:hint="default"/>
          <w:sz w:val="28"/>
          <w:szCs w:val="28"/>
        </w:rPr>
      </w:r>
    </w:p>
    <w:p>
      <w:pPr>
        <w:spacing w:before="67"/>
        <w:ind w:left="153" w:right="0" w:firstLine="0"/>
        <w:jc w:val="both"/>
        <w:rPr>
          <w:rFonts w:ascii="宋体" w:hAnsi="宋体" w:cs="宋体" w:eastAsia="宋体" w:hint="default"/>
          <w:sz w:val="28"/>
          <w:szCs w:val="28"/>
        </w:rPr>
      </w:pPr>
      <w:r>
        <w:rPr>
          <w:rFonts w:ascii="宋体" w:hAnsi="宋体" w:cs="宋体" w:eastAsia="宋体" w:hint="default"/>
          <w:sz w:val="28"/>
          <w:szCs w:val="28"/>
        </w:rPr>
        <w:t>营业绩产生一定的影响。</w:t>
      </w:r>
    </w:p>
    <w:p>
      <w:pPr>
        <w:spacing w:after="0"/>
        <w:jc w:val="both"/>
        <w:rPr>
          <w:rFonts w:ascii="宋体" w:hAnsi="宋体" w:cs="宋体" w:eastAsia="宋体" w:hint="default"/>
          <w:sz w:val="28"/>
          <w:szCs w:val="28"/>
        </w:rPr>
        <w:sectPr>
          <w:footerReference w:type="default" r:id="rId25"/>
          <w:pgSz w:w="11910" w:h="16840"/>
          <w:pgMar w:footer="1186" w:header="871" w:top="1100" w:bottom="1380" w:left="980" w:right="0"/>
          <w:pgNumType w:start="2"/>
        </w:sectPr>
      </w:pPr>
    </w:p>
    <w:p>
      <w:pPr>
        <w:spacing w:line="240" w:lineRule="auto" w:before="9"/>
        <w:rPr>
          <w:rFonts w:ascii="宋体" w:hAnsi="宋体" w:cs="宋体" w:eastAsia="宋体" w:hint="default"/>
          <w:sz w:val="26"/>
          <w:szCs w:val="26"/>
        </w:rPr>
      </w:pPr>
    </w:p>
    <w:p>
      <w:pPr>
        <w:spacing w:line="460" w:lineRule="exact" w:before="0"/>
        <w:ind w:left="138" w:right="1112"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1</w:t>
            </w:r>
          </w:hyperlink>
        </w:p>
        <w:p>
          <w:pPr>
            <w:pStyle w:val="TOC1"/>
            <w:tabs>
              <w:tab w:pos="9785" w:val="right" w:leader="dot"/>
            </w:tabs>
            <w:spacing w:line="240" w:lineRule="auto" w:before="133"/>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5" w:val="right" w:leader="dot"/>
            </w:tabs>
            <w:spacing w:line="240" w:lineRule="auto" w:before="133"/>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32</w:t>
            </w:r>
          </w:hyperlink>
        </w:p>
        <w:p>
          <w:pPr>
            <w:pStyle w:val="TOC1"/>
            <w:tabs>
              <w:tab w:pos="9785" w:val="right" w:leader="dot"/>
            </w:tabs>
            <w:spacing w:line="240" w:lineRule="auto" w:before="134"/>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58</w:t>
            </w:r>
          </w:hyperlink>
        </w:p>
        <w:p>
          <w:pPr>
            <w:pStyle w:val="TOC1"/>
            <w:tabs>
              <w:tab w:pos="9785" w:val="right" w:leader="dot"/>
            </w:tabs>
            <w:spacing w:line="240" w:lineRule="auto" w:before="133"/>
            <w:ind w:right="0"/>
            <w:jc w:val="left"/>
            <w:rPr>
              <w:rFonts w:ascii="Times New Roman" w:hAnsi="Times New Roman" w:cs="Times New Roman" w:eastAsia="Times New Roman" w:hint="default"/>
            </w:rPr>
          </w:pPr>
          <w:hyperlink w:history="true" w:anchor="_bookmark7">
            <w:r>
              <w:rPr/>
              <w:t>第八节 可转换公司债券相关情况</w:t>
            </w:r>
            <w:r>
              <w:rPr>
                <w:rFonts w:ascii="Times New Roman" w:hAnsi="Times New Roman" w:cs="Times New Roman" w:eastAsia="Times New Roman" w:hint="default"/>
              </w:rPr>
              <w:tab/>
              <w:t>59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8">
            <w:r>
              <w:rPr/>
              <w:t>第九节 董事、监事、高级管理人员和员工情况</w:t>
            </w:r>
            <w:r>
              <w:rPr>
                <w:rFonts w:ascii="Times New Roman" w:hAnsi="Times New Roman" w:cs="Times New Roman" w:eastAsia="Times New Roman" w:hint="default"/>
              </w:rPr>
              <w:tab/>
              <w:t>60</w:t>
            </w:r>
          </w:hyperlink>
        </w:p>
        <w:p>
          <w:pPr>
            <w:pStyle w:val="TOC1"/>
            <w:tabs>
              <w:tab w:pos="9785" w:val="right" w:leader="dot"/>
            </w:tabs>
            <w:spacing w:line="240" w:lineRule="auto" w:before="133"/>
            <w:ind w:right="0"/>
            <w:jc w:val="left"/>
            <w:rPr>
              <w:rFonts w:ascii="Times New Roman" w:hAnsi="Times New Roman" w:cs="Times New Roman" w:eastAsia="Times New Roman" w:hint="default"/>
            </w:rPr>
          </w:pPr>
          <w:hyperlink w:history="true" w:anchor="_bookmark9">
            <w:r>
              <w:rPr/>
              <w:t>第十节 公司治理</w:t>
            </w:r>
            <w:r>
              <w:rPr>
                <w:rFonts w:ascii="Times New Roman" w:hAnsi="Times New Roman" w:cs="Times New Roman" w:eastAsia="Times New Roman" w:hint="default"/>
              </w:rPr>
              <w:tab/>
              <w:t>68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 公司债券相关情况</w:t>
            </w:r>
            <w:r>
              <w:rPr>
                <w:rFonts w:ascii="Times New Roman" w:hAnsi="Times New Roman" w:cs="Times New Roman" w:eastAsia="Times New Roman" w:hint="default"/>
              </w:rPr>
              <w:tab/>
              <w:t>76</w:t>
            </w:r>
          </w:hyperlink>
        </w:p>
        <w:p>
          <w:pPr>
            <w:pStyle w:val="TOC1"/>
            <w:tabs>
              <w:tab w:pos="9785" w:val="right" w:leader="dot"/>
            </w:tabs>
            <w:spacing w:line="240" w:lineRule="auto" w:before="133"/>
            <w:ind w:right="0"/>
            <w:jc w:val="left"/>
            <w:rPr>
              <w:rFonts w:ascii="Times New Roman" w:hAnsi="Times New Roman" w:cs="Times New Roman" w:eastAsia="Times New Roman" w:hint="default"/>
            </w:rPr>
          </w:pPr>
          <w:hyperlink w:history="true" w:anchor="_bookmark11">
            <w:r>
              <w:rPr/>
              <w:t>第十二节 财务报告</w:t>
            </w:r>
            <w:r>
              <w:rPr>
                <w:rFonts w:ascii="Times New Roman" w:hAnsi="Times New Roman" w:cs="Times New Roman" w:eastAsia="Times New Roman" w:hint="default"/>
              </w:rPr>
              <w:tab/>
              <w:t>77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2">
            <w:r>
              <w:rPr/>
              <w:t>第十三节 备查文件目录</w:t>
            </w:r>
            <w:r>
              <w:rPr>
                <w:rFonts w:ascii="Times New Roman" w:hAnsi="Times New Roman" w:cs="Times New Roman" w:eastAsia="Times New Roman" w:hint="default"/>
              </w:rPr>
              <w:tab/>
              <w:t>206</w:t>
            </w:r>
          </w:hyperlink>
        </w:p>
        <w:p>
          <w:pPr/>
          <w:r>
            <w:fldChar w:fldCharType="end"/>
          </w:r>
        </w:p>
      </w:sdtContent>
    </w:sdt>
    <w:p>
      <w:pPr>
        <w:spacing w:after="0"/>
        <w:sectPr>
          <w:pgSz w:w="11910" w:h="16840"/>
          <w:pgMar w:header="871" w:footer="1186" w:top="1100" w:bottom="1380" w:left="980" w:right="0"/>
        </w:sectPr>
      </w:pPr>
    </w:p>
    <w:p>
      <w:pPr>
        <w:spacing w:line="240" w:lineRule="auto" w:before="9"/>
        <w:rPr>
          <w:rFonts w:ascii="Times New Roman" w:hAnsi="Times New Roman" w:cs="Times New Roman" w:eastAsia="Times New Roman" w:hint="default"/>
          <w:sz w:val="29"/>
          <w:szCs w:val="29"/>
        </w:rPr>
      </w:pPr>
    </w:p>
    <w:p>
      <w:pPr>
        <w:spacing w:before="0"/>
        <w:ind w:left="134" w:right="1112" w:firstLine="0"/>
        <w:jc w:val="center"/>
        <w:rPr>
          <w:rFonts w:ascii="宋体" w:hAnsi="宋体" w:cs="宋体" w:eastAsia="宋体" w:hint="default"/>
          <w:sz w:val="36"/>
          <w:szCs w:val="36"/>
        </w:rPr>
      </w:pPr>
      <w:r>
        <w:rPr>
          <w:rFonts w:ascii="宋体" w:hAnsi="宋体" w:cs="宋体" w:eastAsia="宋体" w:hint="default"/>
          <w:b/>
          <w:bCs/>
          <w:sz w:val="36"/>
          <w:szCs w:val="36"/>
        </w:rPr>
        <w:t>致 股</w:t>
      </w:r>
      <w:r>
        <w:rPr>
          <w:rFonts w:ascii="宋体" w:hAnsi="宋体" w:cs="宋体" w:eastAsia="宋体" w:hint="default"/>
          <w:b/>
          <w:bCs/>
          <w:spacing w:val="-3"/>
          <w:sz w:val="36"/>
          <w:szCs w:val="36"/>
        </w:rPr>
        <w:t> </w:t>
      </w:r>
      <w:r>
        <w:rPr>
          <w:rFonts w:ascii="宋体" w:hAnsi="宋体" w:cs="宋体" w:eastAsia="宋体" w:hint="default"/>
          <w:b/>
          <w:bCs/>
          <w:sz w:val="36"/>
          <w:szCs w:val="36"/>
        </w:rPr>
        <w:t>东</w:t>
      </w:r>
      <w:r>
        <w:rPr>
          <w:rFonts w:ascii="宋体" w:hAnsi="宋体" w:cs="宋体" w:eastAsia="宋体" w:hint="default"/>
          <w:sz w:val="36"/>
          <w:szCs w:val="36"/>
        </w:rPr>
      </w:r>
    </w:p>
    <w:p>
      <w:pPr>
        <w:spacing w:line="240" w:lineRule="auto" w:before="12"/>
        <w:rPr>
          <w:rFonts w:ascii="宋体" w:hAnsi="宋体" w:cs="宋体" w:eastAsia="宋体" w:hint="default"/>
          <w:b/>
          <w:bCs/>
          <w:sz w:val="38"/>
          <w:szCs w:val="38"/>
        </w:rPr>
      </w:pPr>
    </w:p>
    <w:p>
      <w:pPr>
        <w:spacing w:line="319" w:lineRule="auto" w:before="0"/>
        <w:ind w:left="153" w:right="1132" w:firstLine="480"/>
        <w:jc w:val="both"/>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84"/>
          <w:sz w:val="24"/>
          <w:szCs w:val="24"/>
        </w:rPr>
        <w:t> </w:t>
      </w:r>
      <w:r>
        <w:rPr>
          <w:rFonts w:ascii="宋体" w:hAnsi="宋体" w:cs="宋体" w:eastAsia="宋体" w:hint="default"/>
          <w:sz w:val="24"/>
          <w:szCs w:val="24"/>
        </w:rPr>
        <w:t>年，在全球经济成长动能放缓，中美贸易摩擦升级，国内流动性收紧和金融去杠杆 的冲击下，行业挑战加剧，融资压力上升。与此同时，</w:t>
      </w:r>
      <w:r>
        <w:rPr>
          <w:rFonts w:ascii="宋体" w:hAnsi="宋体" w:cs="宋体" w:eastAsia="宋体" w:hint="default"/>
          <w:sz w:val="24"/>
          <w:szCs w:val="24"/>
        </w:rPr>
        <w:t>5G</w:t>
      </w:r>
      <w:r>
        <w:rPr>
          <w:rFonts w:ascii="宋体" w:hAnsi="宋体" w:cs="宋体" w:eastAsia="宋体" w:hint="default"/>
          <w:spacing w:val="-83"/>
          <w:sz w:val="24"/>
          <w:szCs w:val="24"/>
        </w:rPr>
        <w:t> </w:t>
      </w:r>
      <w:r>
        <w:rPr>
          <w:rFonts w:ascii="宋体" w:hAnsi="宋体" w:cs="宋体" w:eastAsia="宋体" w:hint="default"/>
          <w:sz w:val="24"/>
          <w:szCs w:val="24"/>
        </w:rPr>
        <w:t>商用推进万物互联、万物感知、万 物智联，带动技术创新、业态创新、管理创新、服务创新，为具有创新实干奋斗精神的企业</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持续发展带来了巨大的发展机遇。</w:t>
      </w:r>
    </w:p>
    <w:p>
      <w:pPr>
        <w:spacing w:line="321" w:lineRule="auto" w:before="68"/>
        <w:ind w:left="153" w:right="1129" w:firstLine="480"/>
        <w:jc w:val="both"/>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80"/>
          <w:sz w:val="24"/>
          <w:szCs w:val="24"/>
        </w:rPr>
        <w:t> </w:t>
      </w:r>
      <w:r>
        <w:rPr>
          <w:rFonts w:ascii="宋体" w:hAnsi="宋体" w:cs="宋体" w:eastAsia="宋体" w:hint="default"/>
          <w:sz w:val="24"/>
          <w:szCs w:val="24"/>
        </w:rPr>
        <w:t>年，我们合作共赢筑平台，砥砺奋进拓市场。以实干家精神，以为客户创造价值为 己任，推进组织架构及</w:t>
      </w:r>
      <w:r>
        <w:rPr>
          <w:rFonts w:ascii="宋体" w:hAnsi="宋体" w:cs="宋体" w:eastAsia="宋体" w:hint="default"/>
          <w:spacing w:val="-59"/>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pacing w:val="-3"/>
          <w:sz w:val="24"/>
          <w:szCs w:val="24"/>
        </w:rPr>
        <w:t>应用升级，推进平台数字化升级，拓展合作品牌和品类，赋能打造</w:t>
      </w:r>
      <w:r>
        <w:rPr>
          <w:rFonts w:ascii="宋体" w:hAnsi="宋体" w:cs="宋体" w:eastAsia="宋体" w:hint="default"/>
          <w:sz w:val="24"/>
          <w:szCs w:val="24"/>
        </w:rPr>
        <w:t> 线上线下融合的新零售，逆势实现了稳健发展。在新形势下构建的“智慧供应链、智慧零售</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5"/>
          <w:sz w:val="24"/>
          <w:szCs w:val="24"/>
        </w:rPr>
        <w:t>和智慧连接”三大平台已见成效；公司四大主营业务，均持续良好发展，保持行业领先地位。</w:t>
      </w:r>
      <w:r>
        <w:rPr>
          <w:rFonts w:ascii="宋体" w:hAnsi="宋体" w:cs="宋体" w:eastAsia="宋体" w:hint="default"/>
          <w:sz w:val="24"/>
          <w:szCs w:val="24"/>
        </w:rPr>
        <w:t> </w:t>
      </w:r>
      <w:r>
        <w:rPr>
          <w:rFonts w:ascii="宋体" w:hAnsi="宋体" w:cs="宋体" w:eastAsia="宋体" w:hint="default"/>
          <w:sz w:val="24"/>
          <w:szCs w:val="24"/>
        </w:rPr>
        <w:t>2019</w:t>
      </w:r>
      <w:r>
        <w:rPr>
          <w:rFonts w:ascii="宋体" w:hAnsi="宋体" w:cs="宋体" w:eastAsia="宋体" w:hint="default"/>
          <w:spacing w:val="-64"/>
          <w:sz w:val="24"/>
          <w:szCs w:val="24"/>
        </w:rPr>
        <w:t> </w:t>
      </w:r>
      <w:r>
        <w:rPr>
          <w:rFonts w:ascii="宋体" w:hAnsi="宋体" w:cs="宋体" w:eastAsia="宋体" w:hint="default"/>
          <w:sz w:val="24"/>
          <w:szCs w:val="24"/>
        </w:rPr>
        <w:t>年公司营业收入达到</w:t>
      </w:r>
      <w:r>
        <w:rPr>
          <w:rFonts w:ascii="宋体" w:hAnsi="宋体" w:cs="宋体" w:eastAsia="宋体" w:hint="default"/>
          <w:spacing w:val="-63"/>
          <w:sz w:val="24"/>
          <w:szCs w:val="24"/>
        </w:rPr>
        <w:t> </w:t>
      </w:r>
      <w:r>
        <w:rPr>
          <w:rFonts w:ascii="宋体" w:hAnsi="宋体" w:cs="宋体" w:eastAsia="宋体" w:hint="default"/>
          <w:sz w:val="24"/>
          <w:szCs w:val="24"/>
        </w:rPr>
        <w:t>559.69</w:t>
      </w:r>
      <w:r>
        <w:rPr>
          <w:rFonts w:ascii="宋体" w:hAnsi="宋体" w:cs="宋体" w:eastAsia="宋体" w:hint="default"/>
          <w:spacing w:val="-63"/>
          <w:sz w:val="24"/>
          <w:szCs w:val="24"/>
        </w:rPr>
        <w:t> </w:t>
      </w:r>
      <w:r>
        <w:rPr>
          <w:rFonts w:ascii="宋体" w:hAnsi="宋体" w:cs="宋体" w:eastAsia="宋体" w:hint="default"/>
          <w:sz w:val="24"/>
          <w:szCs w:val="24"/>
        </w:rPr>
        <w:t>亿元人民币，归属于上市公司股东的净利润</w:t>
      </w:r>
      <w:r>
        <w:rPr>
          <w:rFonts w:ascii="宋体" w:hAnsi="宋体" w:cs="宋体" w:eastAsia="宋体" w:hint="default"/>
          <w:spacing w:val="-62"/>
          <w:sz w:val="24"/>
          <w:szCs w:val="24"/>
        </w:rPr>
        <w:t> </w:t>
      </w:r>
      <w:r>
        <w:rPr>
          <w:rFonts w:ascii="宋体" w:hAnsi="宋体" w:cs="宋体" w:eastAsia="宋体" w:hint="default"/>
          <w:sz w:val="24"/>
          <w:szCs w:val="24"/>
        </w:rPr>
        <w:t>3.44</w:t>
      </w:r>
      <w:r>
        <w:rPr>
          <w:rFonts w:ascii="宋体" w:hAnsi="宋体" w:cs="宋体" w:eastAsia="宋体" w:hint="default"/>
          <w:spacing w:val="-63"/>
          <w:sz w:val="24"/>
          <w:szCs w:val="24"/>
        </w:rPr>
        <w:t> </w:t>
      </w:r>
      <w:r>
        <w:rPr>
          <w:rFonts w:ascii="宋体" w:hAnsi="宋体" w:cs="宋体" w:eastAsia="宋体" w:hint="default"/>
          <w:spacing w:val="-3"/>
          <w:sz w:val="24"/>
          <w:szCs w:val="24"/>
        </w:rPr>
        <w:t>亿元，同</w:t>
      </w:r>
    </w:p>
    <w:p>
      <w:pPr>
        <w:spacing w:before="22"/>
        <w:ind w:left="139" w:right="1112" w:firstLine="0"/>
        <w:jc w:val="center"/>
        <w:rPr>
          <w:rFonts w:ascii="宋体" w:hAnsi="宋体" w:cs="宋体" w:eastAsia="宋体" w:hint="default"/>
          <w:sz w:val="24"/>
          <w:szCs w:val="24"/>
        </w:rPr>
      </w:pPr>
      <w:r>
        <w:rPr>
          <w:rFonts w:ascii="宋体" w:hAnsi="宋体" w:cs="宋体" w:eastAsia="宋体" w:hint="default"/>
          <w:sz w:val="24"/>
          <w:szCs w:val="24"/>
        </w:rPr>
        <w:t>比增长</w:t>
      </w:r>
      <w:r>
        <w:rPr>
          <w:rFonts w:ascii="宋体" w:hAnsi="宋体" w:cs="宋体" w:eastAsia="宋体" w:hint="default"/>
          <w:spacing w:val="-62"/>
          <w:sz w:val="24"/>
          <w:szCs w:val="24"/>
        </w:rPr>
        <w:t> </w:t>
      </w:r>
      <w:r>
        <w:rPr>
          <w:rFonts w:ascii="宋体" w:hAnsi="宋体" w:cs="宋体" w:eastAsia="宋体" w:hint="default"/>
          <w:spacing w:val="-3"/>
          <w:sz w:val="24"/>
          <w:szCs w:val="24"/>
        </w:rPr>
        <w:t>470.67%</w:t>
      </w:r>
      <w:r>
        <w:rPr>
          <w:rFonts w:ascii="宋体" w:hAnsi="宋体" w:cs="宋体" w:eastAsia="宋体" w:hint="default"/>
          <w:spacing w:val="-3"/>
          <w:sz w:val="24"/>
          <w:szCs w:val="24"/>
        </w:rPr>
        <w:t>。公司连年实力上榜，名列《财富》中国</w:t>
      </w:r>
      <w:r>
        <w:rPr>
          <w:rFonts w:ascii="宋体" w:hAnsi="宋体" w:cs="宋体" w:eastAsia="宋体" w:hint="default"/>
          <w:spacing w:val="-61"/>
          <w:sz w:val="24"/>
          <w:szCs w:val="24"/>
        </w:rPr>
        <w:t> </w:t>
      </w:r>
      <w:r>
        <w:rPr>
          <w:rFonts w:ascii="宋体" w:hAnsi="宋体" w:cs="宋体" w:eastAsia="宋体" w:hint="default"/>
          <w:sz w:val="24"/>
          <w:szCs w:val="24"/>
        </w:rPr>
        <w:t>500</w:t>
      </w:r>
      <w:r>
        <w:rPr>
          <w:rFonts w:ascii="宋体" w:hAnsi="宋体" w:cs="宋体" w:eastAsia="宋体" w:hint="default"/>
          <w:spacing w:val="-63"/>
          <w:sz w:val="24"/>
          <w:szCs w:val="24"/>
        </w:rPr>
        <w:t> </w:t>
      </w:r>
      <w:r>
        <w:rPr>
          <w:rFonts w:ascii="宋体" w:hAnsi="宋体" w:cs="宋体" w:eastAsia="宋体" w:hint="default"/>
          <w:sz w:val="24"/>
          <w:szCs w:val="24"/>
        </w:rPr>
        <w:t>强第</w:t>
      </w:r>
      <w:r>
        <w:rPr>
          <w:rFonts w:ascii="宋体" w:hAnsi="宋体" w:cs="宋体" w:eastAsia="宋体" w:hint="default"/>
          <w:spacing w:val="-63"/>
          <w:sz w:val="24"/>
          <w:szCs w:val="24"/>
        </w:rPr>
        <w:t> </w:t>
      </w:r>
      <w:r>
        <w:rPr>
          <w:rFonts w:ascii="宋体" w:hAnsi="宋体" w:cs="宋体" w:eastAsia="宋体" w:hint="default"/>
          <w:sz w:val="24"/>
          <w:szCs w:val="24"/>
        </w:rPr>
        <w:t>158</w:t>
      </w:r>
      <w:r>
        <w:rPr>
          <w:rFonts w:ascii="宋体" w:hAnsi="宋体" w:cs="宋体" w:eastAsia="宋体" w:hint="default"/>
          <w:spacing w:val="-62"/>
          <w:sz w:val="24"/>
          <w:szCs w:val="24"/>
        </w:rPr>
        <w:t> </w:t>
      </w:r>
      <w:r>
        <w:rPr>
          <w:rFonts w:ascii="宋体" w:hAnsi="宋体" w:cs="宋体" w:eastAsia="宋体" w:hint="default"/>
          <w:sz w:val="24"/>
          <w:szCs w:val="24"/>
        </w:rPr>
        <w:t>位，中国民营企业</w:t>
      </w:r>
      <w:r>
        <w:rPr>
          <w:rFonts w:ascii="宋体" w:hAnsi="宋体" w:cs="宋体" w:eastAsia="宋体" w:hint="default"/>
          <w:spacing w:val="-62"/>
          <w:sz w:val="24"/>
          <w:szCs w:val="24"/>
        </w:rPr>
        <w:t> </w:t>
      </w:r>
      <w:r>
        <w:rPr>
          <w:rFonts w:ascii="宋体" w:hAnsi="宋体" w:cs="宋体" w:eastAsia="宋体" w:hint="default"/>
          <w:sz w:val="24"/>
          <w:szCs w:val="24"/>
        </w:rPr>
        <w:t>500</w:t>
      </w:r>
    </w:p>
    <w:p>
      <w:pPr>
        <w:spacing w:before="108"/>
        <w:ind w:left="153" w:right="1126" w:firstLine="0"/>
        <w:jc w:val="left"/>
        <w:rPr>
          <w:rFonts w:ascii="宋体" w:hAnsi="宋体" w:cs="宋体" w:eastAsia="宋体" w:hint="default"/>
          <w:sz w:val="24"/>
          <w:szCs w:val="24"/>
        </w:rPr>
      </w:pPr>
      <w:r>
        <w:rPr>
          <w:rFonts w:ascii="宋体" w:hAnsi="宋体" w:cs="宋体" w:eastAsia="宋体" w:hint="default"/>
          <w:sz w:val="24"/>
          <w:szCs w:val="24"/>
        </w:rPr>
        <w:t>强第</w:t>
      </w:r>
      <w:r>
        <w:rPr>
          <w:rFonts w:ascii="宋体" w:hAnsi="宋体" w:cs="宋体" w:eastAsia="宋体" w:hint="default"/>
          <w:spacing w:val="-63"/>
          <w:sz w:val="24"/>
          <w:szCs w:val="24"/>
        </w:rPr>
        <w:t> </w:t>
      </w:r>
      <w:r>
        <w:rPr>
          <w:rFonts w:ascii="宋体" w:hAnsi="宋体" w:cs="宋体" w:eastAsia="宋体" w:hint="default"/>
          <w:sz w:val="24"/>
          <w:szCs w:val="24"/>
        </w:rPr>
        <w:t>122</w:t>
      </w:r>
      <w:r>
        <w:rPr>
          <w:rFonts w:ascii="宋体" w:hAnsi="宋体" w:cs="宋体" w:eastAsia="宋体" w:hint="default"/>
          <w:spacing w:val="-62"/>
          <w:sz w:val="24"/>
          <w:szCs w:val="24"/>
        </w:rPr>
        <w:t> </w:t>
      </w:r>
      <w:r>
        <w:rPr>
          <w:rFonts w:ascii="宋体" w:hAnsi="宋体" w:cs="宋体" w:eastAsia="宋体" w:hint="default"/>
          <w:sz w:val="24"/>
          <w:szCs w:val="24"/>
        </w:rPr>
        <w:t>位。</w:t>
      </w:r>
    </w:p>
    <w:p>
      <w:pPr>
        <w:spacing w:line="321" w:lineRule="auto" w:before="146"/>
        <w:ind w:left="153" w:right="1127" w:firstLine="480"/>
        <w:jc w:val="both"/>
        <w:rPr>
          <w:rFonts w:ascii="宋体" w:hAnsi="宋体" w:cs="宋体" w:eastAsia="宋体" w:hint="default"/>
          <w:sz w:val="24"/>
          <w:szCs w:val="24"/>
        </w:rPr>
      </w:pPr>
      <w:r>
        <w:rPr>
          <w:rFonts w:ascii="宋体" w:hAnsi="宋体" w:cs="宋体" w:eastAsia="宋体" w:hint="default"/>
          <w:sz w:val="24"/>
          <w:szCs w:val="24"/>
        </w:rPr>
        <w:t>2020</w:t>
      </w:r>
      <w:r>
        <w:rPr>
          <w:rFonts w:ascii="宋体" w:hAnsi="宋体" w:cs="宋体" w:eastAsia="宋体" w:hint="default"/>
          <w:spacing w:val="-42"/>
          <w:sz w:val="24"/>
          <w:szCs w:val="24"/>
        </w:rPr>
        <w:t> </w:t>
      </w:r>
      <w:r>
        <w:rPr>
          <w:rFonts w:ascii="宋体" w:hAnsi="宋体" w:cs="宋体" w:eastAsia="宋体" w:hint="default"/>
          <w:spacing w:val="-8"/>
          <w:sz w:val="24"/>
          <w:szCs w:val="24"/>
        </w:rPr>
        <w:t>年初始，面对突如其来的疫情，我们快速反应，科学应对，成立新冠疫情防控小组，</w:t>
      </w:r>
      <w:r>
        <w:rPr>
          <w:rFonts w:ascii="宋体" w:hAnsi="宋体" w:cs="宋体" w:eastAsia="宋体" w:hint="default"/>
          <w:sz w:val="24"/>
          <w:szCs w:val="24"/>
        </w:rPr>
        <w:t> 发布防护手册，切实保护员工身体健康与生命安全，实现公司员工零感染，公司业务稳健经</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4"/>
          <w:sz w:val="24"/>
          <w:szCs w:val="24"/>
        </w:rPr>
        <w:t>营。同时，我们主动践行社会责任，组织向湖北籍员工献爱心活动，并通过红十字会捐赠</w:t>
      </w:r>
      <w:r>
        <w:rPr>
          <w:rFonts w:ascii="宋体" w:hAnsi="宋体" w:cs="宋体" w:eastAsia="宋体" w:hint="default"/>
          <w:spacing w:val="-48"/>
          <w:sz w:val="24"/>
          <w:szCs w:val="24"/>
        </w:rPr>
        <w:t> </w:t>
      </w:r>
      <w:r>
        <w:rPr>
          <w:rFonts w:ascii="宋体" w:hAnsi="宋体" w:cs="宋体" w:eastAsia="宋体" w:hint="default"/>
          <w:sz w:val="24"/>
          <w:szCs w:val="24"/>
        </w:rPr>
        <w:t>100</w:t>
      </w:r>
      <w:r>
        <w:rPr>
          <w:rFonts w:ascii="宋体" w:hAnsi="宋体" w:cs="宋体" w:eastAsia="宋体" w:hint="default"/>
          <w:spacing w:val="-118"/>
          <w:sz w:val="24"/>
          <w:szCs w:val="24"/>
        </w:rPr>
        <w:t> </w:t>
      </w:r>
      <w:r>
        <w:rPr>
          <w:rFonts w:ascii="宋体" w:hAnsi="宋体" w:cs="宋体" w:eastAsia="宋体" w:hint="default"/>
          <w:sz w:val="24"/>
          <w:szCs w:val="24"/>
        </w:rPr>
        <w:t>万元人民币。</w:t>
      </w:r>
    </w:p>
    <w:p>
      <w:pPr>
        <w:spacing w:line="321" w:lineRule="auto" w:before="65"/>
        <w:ind w:left="153" w:right="1132" w:firstLine="480"/>
        <w:jc w:val="both"/>
        <w:rPr>
          <w:rFonts w:ascii="宋体" w:hAnsi="宋体" w:cs="宋体" w:eastAsia="宋体" w:hint="default"/>
          <w:sz w:val="24"/>
          <w:szCs w:val="24"/>
        </w:rPr>
      </w:pPr>
      <w:r>
        <w:rPr>
          <w:rFonts w:ascii="宋体" w:hAnsi="宋体" w:cs="宋体" w:eastAsia="宋体" w:hint="default"/>
          <w:sz w:val="24"/>
          <w:szCs w:val="24"/>
        </w:rPr>
        <w:t>凡是过往，皆为序章。我们每前进的一步，无不得益于迎难而上。这次疫情，消费电子 产品需求虽在短期受到影响，但长期来看，未来的市场蕴藏着巨大的机遇。</w:t>
      </w:r>
      <w:r>
        <w:rPr>
          <w:rFonts w:ascii="宋体" w:hAnsi="宋体" w:cs="宋体" w:eastAsia="宋体" w:hint="default"/>
          <w:sz w:val="24"/>
          <w:szCs w:val="24"/>
        </w:rPr>
        <w:t>5G</w:t>
      </w:r>
      <w:r>
        <w:rPr>
          <w:rFonts w:ascii="宋体" w:hAnsi="宋体" w:cs="宋体" w:eastAsia="宋体" w:hint="default"/>
          <w:spacing w:val="-83"/>
          <w:sz w:val="24"/>
          <w:szCs w:val="24"/>
        </w:rPr>
        <w:t> </w:t>
      </w:r>
      <w:r>
        <w:rPr>
          <w:rFonts w:ascii="宋体" w:hAnsi="宋体" w:cs="宋体" w:eastAsia="宋体" w:hint="default"/>
          <w:sz w:val="24"/>
          <w:szCs w:val="24"/>
        </w:rPr>
        <w:t>有望进入高速 发展期，带动各类新应用蓬勃发展，远程医疗，自动驾驶，智能家居都离不开智能终端设备</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的加持，智能手机行业有望迎来巨大换机需求。面对新形势，我们将顺势调整产品策略，积</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极采取线上线下融合的运营模式，持续提升全渠道销售服务能力，坚持以问题为导向、目标</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为导向、结果为导向，用担当来体现认同、用破解来体现能力、用付出来体现奋斗、用成果</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来体现业绩。</w:t>
      </w:r>
    </w:p>
    <w:p>
      <w:pPr>
        <w:spacing w:line="321" w:lineRule="auto" w:before="65"/>
        <w:ind w:left="153" w:right="1136" w:firstLine="480"/>
        <w:jc w:val="both"/>
        <w:rPr>
          <w:rFonts w:ascii="宋体" w:hAnsi="宋体" w:cs="宋体" w:eastAsia="宋体" w:hint="default"/>
          <w:sz w:val="24"/>
          <w:szCs w:val="24"/>
        </w:rPr>
      </w:pPr>
      <w:r>
        <w:rPr>
          <w:rFonts w:ascii="宋体" w:hAnsi="宋体" w:cs="宋体" w:eastAsia="宋体" w:hint="default"/>
          <w:sz w:val="24"/>
          <w:szCs w:val="24"/>
        </w:rPr>
        <w:t>历史长河奔腾不息，有风平浪静，也有波涛汹涌。作为行业的领先者和探索者，我们具 有强烈的使命感，不惧风雨，也不畏险阻，勇担发展责任，为股东、为社会创造价值。身处</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这样一个充满机遇的时代，我们很荣幸跟各位股东一起，以必成之心，创未有之业，共享成</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功，共话百年！</w:t>
      </w:r>
    </w:p>
    <w:p>
      <w:pPr>
        <w:spacing w:line="441" w:lineRule="auto" w:before="215"/>
        <w:ind w:left="7245" w:right="1126" w:hanging="1263"/>
        <w:jc w:val="left"/>
        <w:rPr>
          <w:rFonts w:ascii="宋体" w:hAnsi="宋体" w:cs="宋体" w:eastAsia="宋体" w:hint="default"/>
          <w:sz w:val="28"/>
          <w:szCs w:val="28"/>
        </w:rPr>
      </w:pPr>
      <w:r>
        <w:rPr>
          <w:rFonts w:ascii="宋体" w:hAnsi="宋体" w:cs="宋体" w:eastAsia="宋体" w:hint="default"/>
          <w:b/>
          <w:bCs/>
          <w:spacing w:val="2"/>
          <w:w w:val="95"/>
          <w:sz w:val="28"/>
          <w:szCs w:val="28"/>
        </w:rPr>
        <w:t>深圳市爱施德股份有限公司</w:t>
      </w:r>
      <w:r>
        <w:rPr>
          <w:rFonts w:ascii="宋体" w:hAnsi="宋体" w:cs="宋体" w:eastAsia="宋体" w:hint="default"/>
          <w:b/>
          <w:bCs/>
          <w:spacing w:val="6"/>
          <w:w w:val="95"/>
          <w:sz w:val="28"/>
          <w:szCs w:val="28"/>
        </w:rPr>
        <w:t> </w:t>
      </w:r>
      <w:r>
        <w:rPr>
          <w:rFonts w:ascii="宋体" w:hAnsi="宋体" w:cs="宋体" w:eastAsia="宋体" w:hint="default"/>
          <w:b/>
          <w:bCs/>
          <w:spacing w:val="6"/>
          <w:w w:val="95"/>
          <w:sz w:val="28"/>
          <w:szCs w:val="28"/>
        </w:rPr>
      </w:r>
      <w:r>
        <w:rPr>
          <w:rFonts w:ascii="宋体" w:hAnsi="宋体" w:cs="宋体" w:eastAsia="宋体" w:hint="default"/>
          <w:b/>
          <w:bCs/>
          <w:spacing w:val="4"/>
          <w:sz w:val="28"/>
          <w:szCs w:val="28"/>
        </w:rPr>
        <w:t>董事会</w:t>
      </w:r>
      <w:r>
        <w:rPr>
          <w:rFonts w:ascii="宋体" w:hAnsi="宋体" w:cs="宋体" w:eastAsia="宋体" w:hint="default"/>
          <w:sz w:val="28"/>
          <w:szCs w:val="28"/>
        </w:rPr>
      </w:r>
    </w:p>
    <w:p>
      <w:pPr>
        <w:spacing w:after="0" w:line="441" w:lineRule="auto"/>
        <w:jc w:val="left"/>
        <w:rPr>
          <w:rFonts w:ascii="宋体" w:hAnsi="宋体" w:cs="宋体" w:eastAsia="宋体" w:hint="default"/>
          <w:sz w:val="28"/>
          <w:szCs w:val="28"/>
        </w:rPr>
        <w:sectPr>
          <w:footerReference w:type="default" r:id="rId26"/>
          <w:pgSz w:w="11910" w:h="16840"/>
          <w:pgMar w:footer="1474" w:header="871" w:top="1100" w:bottom="1660" w:left="980" w:right="0"/>
          <w:pgNumType w:start="4"/>
        </w:sectPr>
      </w:pPr>
    </w:p>
    <w:p>
      <w:pPr>
        <w:spacing w:line="240" w:lineRule="auto" w:before="11"/>
        <w:rPr>
          <w:rFonts w:ascii="宋体" w:hAnsi="宋体" w:cs="宋体" w:eastAsia="宋体" w:hint="default"/>
          <w:b/>
          <w:bCs/>
          <w:sz w:val="28"/>
          <w:szCs w:val="28"/>
        </w:rPr>
      </w:pPr>
    </w:p>
    <w:p>
      <w:pPr>
        <w:spacing w:before="2"/>
        <w:ind w:left="138" w:right="111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341"/>
        <w:gridCol w:w="1119"/>
        <w:gridCol w:w="6115"/>
      </w:tblGrid>
      <w:tr>
        <w:trPr>
          <w:trHeight w:val="403" w:hRule="exact"/>
        </w:trPr>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98"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公司、本公司或爱施德</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深圳市爱施德股份有限公司</w:t>
            </w:r>
          </w:p>
        </w:tc>
      </w:tr>
      <w:tr>
        <w:trPr>
          <w:trHeight w:val="403"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4"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中国联合通信有限公司</w:t>
            </w:r>
          </w:p>
        </w:tc>
      </w:tr>
      <w:tr>
        <w:trPr>
          <w:trHeight w:val="403"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酷动数码、</w:t>
            </w:r>
            <w:r>
              <w:rPr>
                <w:rFonts w:ascii="Times New Roman" w:hAnsi="Times New Roman" w:cs="Times New Roman" w:eastAsia="Times New Roman" w:hint="default"/>
                <w:sz w:val="18"/>
                <w:szCs w:val="18"/>
              </w:rPr>
              <w:t>coodoo</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深圳市酷动数码有限公司</w:t>
            </w:r>
          </w:p>
        </w:tc>
      </w:tr>
      <w:tr>
        <w:trPr>
          <w:trHeight w:val="398"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国鑫基金</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国鑫基金管理有限公司</w:t>
            </w:r>
          </w:p>
        </w:tc>
      </w:tr>
      <w:tr>
        <w:trPr>
          <w:trHeight w:val="403"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爱施德小贷</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江西赣江新区爱施德网络小额贷款有限公司</w:t>
            </w:r>
          </w:p>
        </w:tc>
      </w:tr>
      <w:tr>
        <w:trPr>
          <w:trHeight w:val="404"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瑞成汇达</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北京瑞成汇达科技有限公司</w:t>
            </w:r>
          </w:p>
        </w:tc>
      </w:tr>
      <w:tr>
        <w:trPr>
          <w:trHeight w:val="403"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海南小贷</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海南先锋网信小额贷款有限公司</w:t>
            </w:r>
          </w:p>
        </w:tc>
      </w:tr>
      <w:tr>
        <w:trPr>
          <w:trHeight w:val="398"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实丰科技</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深圳市实丰科技有限公司</w:t>
            </w:r>
          </w:p>
        </w:tc>
      </w:tr>
      <w:tr>
        <w:trPr>
          <w:trHeight w:val="403"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5G</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第五代移动电话行动通信标准，也称第五代移动通信技术</w:t>
            </w:r>
          </w:p>
        </w:tc>
      </w:tr>
      <w:tr>
        <w:trPr>
          <w:trHeight w:val="404"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MVNE</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Mobile </w:t>
            </w:r>
            <w:r>
              <w:rPr>
                <w:rFonts w:ascii="Times New Roman" w:hAnsi="Times New Roman" w:cs="Times New Roman" w:eastAsia="Times New Roman" w:hint="default"/>
                <w:spacing w:val="-4"/>
                <w:sz w:val="18"/>
                <w:szCs w:val="18"/>
              </w:rPr>
              <w:t>Virtual </w:t>
            </w:r>
            <w:r>
              <w:rPr>
                <w:rFonts w:ascii="Times New Roman" w:hAnsi="Times New Roman" w:cs="Times New Roman" w:eastAsia="Times New Roman" w:hint="default"/>
                <w:sz w:val="18"/>
                <w:szCs w:val="18"/>
              </w:rPr>
              <w:t>Network Enabler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的简称，即移动虚拟网络提供商</w:t>
            </w:r>
          </w:p>
        </w:tc>
      </w:tr>
      <w:tr>
        <w:trPr>
          <w:trHeight w:val="403"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3C</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中国强制性产品认证。</w:t>
            </w:r>
          </w:p>
        </w:tc>
      </w:tr>
      <w:tr>
        <w:trPr>
          <w:trHeight w:val="317" w:hRule="exact"/>
        </w:trPr>
        <w:tc>
          <w:tcPr>
            <w:tcW w:w="234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B2B2C</w:t>
            </w:r>
          </w:p>
        </w:tc>
        <w:tc>
          <w:tcPr>
            <w:tcW w:w="1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6115" w:type="dxa"/>
            <w:vMerge w:val="restart"/>
            <w:tcBorders>
              <w:top w:val="single" w:sz="4" w:space="0" w:color="000000"/>
              <w:left w:val="single" w:sz="10" w:space="0" w:color="D2D2D2"/>
              <w:right w:val="single" w:sz="4" w:space="0" w:color="000000"/>
            </w:tcBorders>
          </w:tcPr>
          <w:p>
            <w:pPr>
              <w:pStyle w:val="TableParagraph"/>
              <w:spacing w:line="300" w:lineRule="auto" w:before="53"/>
              <w:ind w:left="28" w:right="17"/>
              <w:jc w:val="left"/>
              <w:rPr>
                <w:rFonts w:ascii="宋体" w:hAnsi="宋体" w:cs="宋体" w:eastAsia="宋体" w:hint="default"/>
                <w:sz w:val="18"/>
                <w:szCs w:val="18"/>
              </w:rPr>
            </w:pPr>
            <w:r>
              <w:rPr>
                <w:rFonts w:ascii="宋体" w:hAnsi="宋体" w:cs="宋体" w:eastAsia="宋体" w:hint="default"/>
                <w:spacing w:val="-3"/>
                <w:sz w:val="18"/>
                <w:szCs w:val="18"/>
              </w:rPr>
              <w:t>一种电子商务类型的网络购物商业模式，</w:t>
            </w:r>
            <w:r>
              <w:rPr>
                <w:rFonts w:ascii="Times New Roman" w:hAnsi="Times New Roman" w:cs="Times New Roman" w:eastAsia="Times New Roman" w:hint="default"/>
                <w:spacing w:val="-3"/>
                <w:sz w:val="18"/>
                <w:szCs w:val="18"/>
              </w:rPr>
              <w:t>B </w:t>
            </w:r>
            <w:r>
              <w:rPr>
                <w:rFonts w:ascii="宋体" w:hAnsi="宋体" w:cs="宋体" w:eastAsia="宋体" w:hint="default"/>
                <w:sz w:val="18"/>
                <w:szCs w:val="18"/>
              </w:rPr>
              <w:t>是 </w:t>
            </w:r>
            <w:r>
              <w:rPr>
                <w:rFonts w:ascii="Times New Roman" w:hAnsi="Times New Roman" w:cs="Times New Roman" w:eastAsia="Times New Roman" w:hint="default"/>
                <w:spacing w:val="-3"/>
                <w:sz w:val="18"/>
                <w:szCs w:val="18"/>
              </w:rPr>
              <w:t>BUSINESS </w:t>
            </w:r>
            <w:r>
              <w:rPr>
                <w:rFonts w:ascii="宋体" w:hAnsi="宋体" w:cs="宋体" w:eastAsia="宋体" w:hint="default"/>
                <w:sz w:val="18"/>
                <w:szCs w:val="18"/>
              </w:rPr>
              <w:t>的简称，</w:t>
            </w:r>
            <w:r>
              <w:rPr>
                <w:rFonts w:ascii="Times New Roman" w:hAnsi="Times New Roman" w:cs="Times New Roman" w:eastAsia="Times New Roman" w:hint="default"/>
                <w:sz w:val="18"/>
                <w:szCs w:val="18"/>
              </w:rPr>
              <w:t>C </w:t>
            </w:r>
            <w:r>
              <w:rPr>
                <w:rFonts w:ascii="宋体" w:hAnsi="宋体" w:cs="宋体" w:eastAsia="宋体" w:hint="default"/>
                <w:sz w:val="18"/>
                <w:szCs w:val="18"/>
              </w:rPr>
              <w:t>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CUSTOMER</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的简称，第一个</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指的是商品或服务的供应商，第二个</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指的是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从事电子商务的企业，</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则是表示消费者。</w:t>
            </w:r>
          </w:p>
        </w:tc>
      </w:tr>
      <w:tr>
        <w:trPr>
          <w:trHeight w:val="389" w:hRule="exact"/>
        </w:trPr>
        <w:tc>
          <w:tcPr>
            <w:tcW w:w="2341" w:type="dxa"/>
            <w:vMerge/>
            <w:tcBorders>
              <w:left w:val="single" w:sz="4" w:space="0" w:color="000000"/>
              <w:right w:val="single" w:sz="10" w:space="0" w:color="D2D2D2"/>
            </w:tcBorders>
          </w:tcPr>
          <w:p>
            <w:pPr/>
          </w:p>
        </w:tc>
        <w:tc>
          <w:tcPr>
            <w:tcW w:w="11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vMerge/>
            <w:tcBorders>
              <w:left w:val="single" w:sz="10" w:space="0" w:color="D2D2D2"/>
              <w:right w:val="single" w:sz="4" w:space="0" w:color="000000"/>
            </w:tcBorders>
          </w:tcPr>
          <w:p>
            <w:pPr/>
          </w:p>
        </w:tc>
      </w:tr>
      <w:tr>
        <w:trPr>
          <w:trHeight w:val="317" w:hRule="exact"/>
        </w:trPr>
        <w:tc>
          <w:tcPr>
            <w:tcW w:w="2341" w:type="dxa"/>
            <w:vMerge/>
            <w:tcBorders>
              <w:left w:val="single" w:sz="4" w:space="0" w:color="000000"/>
              <w:bottom w:val="single" w:sz="4" w:space="0" w:color="000000"/>
              <w:right w:val="single" w:sz="10" w:space="0" w:color="D2D2D2"/>
            </w:tcBorders>
          </w:tcPr>
          <w:p>
            <w:pPr/>
          </w:p>
        </w:tc>
        <w:tc>
          <w:tcPr>
            <w:tcW w:w="1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6115" w:type="dxa"/>
            <w:vMerge/>
            <w:tcBorders>
              <w:left w:val="single" w:sz="10" w:space="0" w:color="D2D2D2"/>
              <w:bottom w:val="single" w:sz="4" w:space="0" w:color="000000"/>
              <w:right w:val="single" w:sz="4" w:space="0" w:color="000000"/>
            </w:tcBorders>
          </w:tcPr>
          <w:p>
            <w:pPr/>
          </w:p>
        </w:tc>
      </w:tr>
      <w:tr>
        <w:trPr>
          <w:trHeight w:val="476" w:hRule="exact"/>
        </w:trPr>
        <w:tc>
          <w:tcPr>
            <w:tcW w:w="234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7"/>
                <w:sz w:val="18"/>
              </w:rPr>
              <w:t>ToC</w:t>
            </w:r>
          </w:p>
        </w:tc>
        <w:tc>
          <w:tcPr>
            <w:tcW w:w="1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6115" w:type="dxa"/>
            <w:vMerge w:val="restart"/>
            <w:tcBorders>
              <w:top w:val="single" w:sz="4" w:space="0" w:color="000000"/>
              <w:left w:val="single" w:sz="10" w:space="0" w:color="D2D2D2"/>
              <w:right w:val="single" w:sz="4" w:space="0" w:color="000000"/>
            </w:tcBorders>
          </w:tcPr>
          <w:p>
            <w:pPr>
              <w:pStyle w:val="TableParagraph"/>
              <w:spacing w:line="302" w:lineRule="auto" w:before="54"/>
              <w:ind w:left="28"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TOC(Theory of </w:t>
            </w:r>
            <w:r>
              <w:rPr>
                <w:rFonts w:ascii="Times New Roman" w:hAnsi="Times New Roman" w:cs="Times New Roman" w:eastAsia="Times New Roman" w:hint="default"/>
                <w:spacing w:val="-5"/>
                <w:sz w:val="18"/>
                <w:szCs w:val="18"/>
              </w:rPr>
              <w:t>constraints)</w:t>
            </w:r>
            <w:r>
              <w:rPr>
                <w:rFonts w:ascii="宋体" w:hAnsi="宋体" w:cs="宋体" w:eastAsia="宋体" w:hint="default"/>
                <w:spacing w:val="-5"/>
                <w:sz w:val="18"/>
                <w:szCs w:val="18"/>
              </w:rPr>
              <w:t>，中文译为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瓶颈理论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，也被称为制约理论或约束理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论，由以色列物理学家高德拉特</w:t>
            </w:r>
            <w:r>
              <w:rPr>
                <w:rFonts w:ascii="Times New Roman" w:hAnsi="Times New Roman" w:cs="Times New Roman" w:eastAsia="Times New Roman" w:hint="default"/>
                <w:spacing w:val="-3"/>
                <w:sz w:val="18"/>
                <w:szCs w:val="18"/>
              </w:rPr>
              <w:t>(Eliyahu </w:t>
            </w:r>
            <w:r>
              <w:rPr>
                <w:rFonts w:ascii="Times New Roman" w:hAnsi="Times New Roman" w:cs="Times New Roman" w:eastAsia="Times New Roman" w:hint="default"/>
                <w:sz w:val="18"/>
                <w:szCs w:val="18"/>
              </w:rPr>
              <w:t>M. Goldratt)</w:t>
            </w:r>
            <w:r>
              <w:rPr>
                <w:rFonts w:ascii="宋体" w:hAnsi="宋体" w:cs="宋体" w:eastAsia="宋体" w:hint="default"/>
                <w:sz w:val="18"/>
                <w:szCs w:val="18"/>
              </w:rPr>
              <w:t>博士创立，与精益生产、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六西格玛并称为全球三大管理理论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其核心观点为立足于企业系统，通过聚焦</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于瓶颈的改善，达到系统各环节同步、整体改善的目标。</w:t>
            </w:r>
          </w:p>
        </w:tc>
      </w:tr>
      <w:tr>
        <w:trPr>
          <w:trHeight w:val="394" w:hRule="exact"/>
        </w:trPr>
        <w:tc>
          <w:tcPr>
            <w:tcW w:w="2341" w:type="dxa"/>
            <w:vMerge/>
            <w:tcBorders>
              <w:left w:val="single" w:sz="4" w:space="0" w:color="000000"/>
              <w:right w:val="single" w:sz="10" w:space="0" w:color="D2D2D2"/>
            </w:tcBorders>
          </w:tcPr>
          <w:p>
            <w:pPr/>
          </w:p>
        </w:tc>
        <w:tc>
          <w:tcPr>
            <w:tcW w:w="11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vMerge/>
            <w:tcBorders>
              <w:left w:val="single" w:sz="10" w:space="0" w:color="D2D2D2"/>
              <w:right w:val="single" w:sz="4" w:space="0" w:color="000000"/>
            </w:tcBorders>
          </w:tcPr>
          <w:p>
            <w:pPr/>
          </w:p>
        </w:tc>
      </w:tr>
      <w:tr>
        <w:trPr>
          <w:trHeight w:val="470" w:hRule="exact"/>
        </w:trPr>
        <w:tc>
          <w:tcPr>
            <w:tcW w:w="2341" w:type="dxa"/>
            <w:vMerge/>
            <w:tcBorders>
              <w:left w:val="single" w:sz="4" w:space="0" w:color="000000"/>
              <w:bottom w:val="single" w:sz="4" w:space="0" w:color="000000"/>
              <w:right w:val="single" w:sz="10" w:space="0" w:color="D2D2D2"/>
            </w:tcBorders>
          </w:tcPr>
          <w:p>
            <w:pPr/>
          </w:p>
        </w:tc>
        <w:tc>
          <w:tcPr>
            <w:tcW w:w="1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6115" w:type="dxa"/>
            <w:vMerge/>
            <w:tcBorders>
              <w:left w:val="single" w:sz="10" w:space="0" w:color="D2D2D2"/>
              <w:bottom w:val="single" w:sz="4" w:space="0" w:color="000000"/>
              <w:right w:val="single" w:sz="4" w:space="0" w:color="000000"/>
            </w:tcBorders>
          </w:tcPr>
          <w:p>
            <w:pPr/>
          </w:p>
        </w:tc>
      </w:tr>
      <w:tr>
        <w:trPr>
          <w:trHeight w:val="403"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2"/>
                <w:sz w:val="18"/>
              </w:rPr>
              <w:t>RCS</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Rich Communication Suite  </w:t>
            </w:r>
            <w:r>
              <w:rPr>
                <w:rFonts w:ascii="宋体" w:hAnsi="宋体" w:cs="宋体" w:eastAsia="宋体" w:hint="default"/>
                <w:sz w:val="18"/>
                <w:szCs w:val="18"/>
              </w:rPr>
              <w:t>融合通信，</w:t>
            </w:r>
            <w:r>
              <w:rPr>
                <w:rFonts w:ascii="宋体" w:hAnsi="宋体" w:cs="宋体" w:eastAsia="宋体" w:hint="default"/>
                <w:spacing w:val="44"/>
                <w:sz w:val="18"/>
                <w:szCs w:val="18"/>
              </w:rPr>
              <w:t> </w:t>
            </w:r>
            <w:r>
              <w:rPr>
                <w:rFonts w:ascii="宋体" w:hAnsi="宋体" w:cs="宋体" w:eastAsia="宋体" w:hint="default"/>
                <w:spacing w:val="-3"/>
                <w:sz w:val="18"/>
                <w:szCs w:val="18"/>
              </w:rPr>
              <w:t>即支持通过短信应用发送富媒体消息。</w:t>
            </w:r>
          </w:p>
        </w:tc>
      </w:tr>
      <w:tr>
        <w:trPr>
          <w:trHeight w:val="404" w:hRule="exact"/>
        </w:trPr>
        <w:tc>
          <w:tcPr>
            <w:tcW w:w="23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1"/>
              <w:jc w:val="righ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1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1" w:footer="1474" w:top="1100" w:bottom="1660" w:left="980" w:right="0"/>
        </w:sectPr>
      </w:pPr>
    </w:p>
    <w:p>
      <w:pPr>
        <w:spacing w:line="240" w:lineRule="auto" w:before="0"/>
        <w:rPr>
          <w:rFonts w:ascii="宋体" w:hAnsi="宋体" w:cs="宋体" w:eastAsia="宋体" w:hint="default"/>
          <w:b/>
          <w:bCs/>
          <w:sz w:val="20"/>
          <w:szCs w:val="20"/>
        </w:rPr>
      </w:pPr>
      <w:r>
        <w:rPr/>
        <w:pict>
          <v:group style="position:absolute;margin-left:171.190002pt;margin-top:272.109985pt;width:362.8pt;height:20.9pt;mso-position-horizontal-relative:page;mso-position-vertical-relative:page;z-index:-1180720" coordorigin="3424,5442" coordsize="7256,418">
            <v:group style="position:absolute;left:3436;top:5454;width:2;height:394" coordorigin="3436,5454" coordsize="2,394">
              <v:shape style="position:absolute;left:3436;top:5454;width:2;height:394" coordorigin="3436,5454" coordsize="0,394" path="m3436,5454l3436,5848e" filled="false" stroked="true" strokeweight="1.2pt" strokecolor="#ffffff">
                <v:path arrowok="t"/>
              </v:shape>
            </v:group>
            <v:group style="position:absolute;left:3448;top:5454;width:7232;height:394" coordorigin="3448,5454" coordsize="7232,394">
              <v:shape style="position:absolute;left:3448;top:5454;width:7232;height:394" coordorigin="3448,5454" coordsize="7232,394" path="m3448,5848l10679,5848,10679,5454,3448,5454,3448,5848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2645" w:right="1126"/>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26"/>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爱施德</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002416</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深圳市爱施德股份有限公司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爱施德</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Shenzhen Aisidi</w:t>
            </w:r>
            <w:r>
              <w:rPr>
                <w:rFonts w:ascii="Times New Roman"/>
                <w:spacing w:val="-1"/>
                <w:sz w:val="18"/>
              </w:rPr>
              <w:t> </w:t>
            </w:r>
            <w:r>
              <w:rPr>
                <w:rFonts w:ascii="Times New Roman"/>
                <w:spacing w:val="-4"/>
                <w:sz w:val="18"/>
              </w:rPr>
              <w:t>CO.,LTD.</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aisidi</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黄文辉</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深圳市福田区泰然大道东泰然劲松大厦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20F</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518040</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深圳市南山区沙河西路 </w:t>
            </w:r>
            <w:r>
              <w:rPr>
                <w:rFonts w:ascii="Times New Roman" w:hAnsi="Times New Roman" w:cs="Times New Roman" w:eastAsia="Times New Roman" w:hint="default"/>
                <w:sz w:val="18"/>
                <w:szCs w:val="18"/>
              </w:rPr>
              <w:t>3151  </w:t>
            </w:r>
            <w:r>
              <w:rPr>
                <w:rFonts w:ascii="宋体" w:hAnsi="宋体" w:cs="宋体" w:eastAsia="宋体" w:hint="default"/>
                <w:spacing w:val="-3"/>
                <w:sz w:val="18"/>
                <w:szCs w:val="18"/>
              </w:rPr>
              <w:t>号新兴产业园（健兴科技大厦）</w:t>
            </w:r>
            <w:r>
              <w:rPr>
                <w:rFonts w:ascii="Times New Roman" w:hAnsi="Times New Roman" w:cs="Times New Roman" w:eastAsia="Times New Roman" w:hint="default"/>
                <w:spacing w:val="-3"/>
                <w:sz w:val="18"/>
                <w:szCs w:val="18"/>
              </w:rPr>
              <w:t>C  </w:t>
            </w:r>
            <w:r>
              <w:rPr>
                <w:rFonts w:ascii="宋体" w:hAnsi="宋体" w:cs="宋体" w:eastAsia="宋体" w:hint="default"/>
                <w:sz w:val="18"/>
                <w:szCs w:val="18"/>
              </w:rPr>
              <w:t>栋 </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楼</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518055</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27">
              <w:r>
                <w:rPr>
                  <w:rFonts w:ascii="Times New Roman"/>
                  <w:spacing w:val="-3"/>
                  <w:sz w:val="18"/>
                </w:rPr>
                <w:t>http://www.aisidi.com</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28">
              <w:r>
                <w:rPr>
                  <w:rFonts w:ascii="Times New Roman"/>
                  <w:sz w:val="18"/>
                </w:rPr>
                <w:t>ir@aisidi.com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126"/>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6"/>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514"/>
        <w:gridCol w:w="3510"/>
        <w:gridCol w:w="3539"/>
      </w:tblGrid>
      <w:tr>
        <w:trPr>
          <w:trHeight w:val="398" w:hRule="exact"/>
        </w:trPr>
        <w:tc>
          <w:tcPr>
            <w:tcW w:w="25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吴海南</w:t>
            </w:r>
          </w:p>
        </w:tc>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赵玲玲</w:t>
            </w:r>
          </w:p>
        </w:tc>
      </w:tr>
      <w:tr>
        <w:trPr>
          <w:trHeight w:val="163" w:hRule="exact"/>
        </w:trPr>
        <w:tc>
          <w:tcPr>
            <w:tcW w:w="2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0" w:type="dxa"/>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深圳市南山区沙河西路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号新兴产业园</w:t>
            </w:r>
          </w:p>
          <w:p>
            <w:pPr>
              <w:pStyle w:val="TableParagraph"/>
              <w:spacing w:line="240" w:lineRule="auto" w:before="68"/>
              <w:ind w:left="16" w:right="0"/>
              <w:jc w:val="left"/>
              <w:rPr>
                <w:rFonts w:ascii="宋体" w:hAnsi="宋体" w:cs="宋体" w:eastAsia="宋体" w:hint="default"/>
                <w:sz w:val="18"/>
                <w:szCs w:val="18"/>
              </w:rPr>
            </w:pPr>
            <w:r>
              <w:rPr>
                <w:rFonts w:ascii="宋体" w:hAnsi="宋体" w:cs="宋体" w:eastAsia="宋体" w:hint="default"/>
                <w:sz w:val="18"/>
                <w:szCs w:val="18"/>
              </w:rPr>
              <w:t>（健兴科技大厦）</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539"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深圳市南山区沙河西路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号新兴产业园</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（健兴科技大厦）</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89" w:hRule="exact"/>
        </w:trPr>
        <w:tc>
          <w:tcPr>
            <w:tcW w:w="25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10" w:type="dxa"/>
            <w:vMerge/>
            <w:tcBorders>
              <w:left w:val="single" w:sz="10" w:space="0" w:color="D2D2D2"/>
              <w:right w:val="single" w:sz="4" w:space="0" w:color="000000"/>
            </w:tcBorders>
          </w:tcPr>
          <w:p>
            <w:pPr/>
          </w:p>
        </w:tc>
        <w:tc>
          <w:tcPr>
            <w:tcW w:w="3539" w:type="dxa"/>
            <w:vMerge/>
            <w:tcBorders>
              <w:left w:val="single" w:sz="4" w:space="0" w:color="000000"/>
              <w:right w:val="single" w:sz="4" w:space="0" w:color="000000"/>
            </w:tcBorders>
          </w:tcPr>
          <w:p>
            <w:pPr/>
          </w:p>
        </w:tc>
      </w:tr>
      <w:tr>
        <w:trPr>
          <w:trHeight w:val="163" w:hRule="exact"/>
        </w:trPr>
        <w:tc>
          <w:tcPr>
            <w:tcW w:w="2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510" w:type="dxa"/>
            <w:vMerge/>
            <w:tcBorders>
              <w:left w:val="single" w:sz="10" w:space="0" w:color="D2D2D2"/>
              <w:bottom w:val="single" w:sz="4" w:space="0" w:color="000000"/>
              <w:right w:val="single" w:sz="4" w:space="0" w:color="000000"/>
            </w:tcBorders>
          </w:tcPr>
          <w:p>
            <w:pPr/>
          </w:p>
        </w:tc>
        <w:tc>
          <w:tcPr>
            <w:tcW w:w="3539" w:type="dxa"/>
            <w:vMerge/>
            <w:tcBorders>
              <w:left w:val="single" w:sz="4" w:space="0" w:color="000000"/>
              <w:bottom w:val="single" w:sz="4" w:space="0" w:color="000000"/>
              <w:right w:val="single" w:sz="4" w:space="0" w:color="000000"/>
            </w:tcBorders>
          </w:tcPr>
          <w:p>
            <w:pPr/>
          </w:p>
        </w:tc>
      </w:tr>
      <w:tr>
        <w:trPr>
          <w:trHeight w:val="158" w:hRule="exact"/>
        </w:trPr>
        <w:tc>
          <w:tcPr>
            <w:tcW w:w="2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0" w:type="dxa"/>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0755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21</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199</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7</w:t>
            </w:r>
            <w:r>
              <w:rPr>
                <w:rFonts w:ascii="宋体" w:hAnsi="宋体" w:cs="宋体" w:eastAsia="宋体" w:hint="default"/>
                <w:spacing w:val="-87"/>
                <w:w w:val="101"/>
                <w:sz w:val="18"/>
                <w:szCs w:val="18"/>
              </w:rPr>
              <w:t>；</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1"/>
                <w:w w:val="101"/>
                <w:sz w:val="18"/>
                <w:szCs w:val="18"/>
              </w:rPr>
              <w:t>5</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215</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9888</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转</w:t>
            </w:r>
            <w:r>
              <w:rPr>
                <w:rFonts w:ascii="宋体" w:hAnsi="宋体" w:cs="宋体" w:eastAsia="宋体" w:hint="default"/>
                <w:spacing w:val="-4"/>
                <w:sz w:val="18"/>
                <w:szCs w:val="18"/>
              </w:rPr>
              <w:t> </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办</w:t>
            </w:r>
            <w:r>
              <w:rPr>
                <w:rFonts w:ascii="宋体" w:hAnsi="宋体" w:cs="宋体" w:eastAsia="宋体"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公室</w:t>
            </w:r>
          </w:p>
        </w:tc>
        <w:tc>
          <w:tcPr>
            <w:tcW w:w="3539"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0755-21519907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0755-21519888   </w:t>
            </w:r>
            <w:r>
              <w:rPr>
                <w:rFonts w:ascii="宋体" w:hAnsi="宋体" w:cs="宋体" w:eastAsia="宋体" w:hint="default"/>
                <w:sz w:val="18"/>
                <w:szCs w:val="18"/>
              </w:rPr>
              <w:t>转</w:t>
            </w:r>
            <w:r>
              <w:rPr>
                <w:rFonts w:ascii="宋体" w:hAnsi="宋体" w:cs="宋体" w:eastAsia="宋体" w:hint="default"/>
                <w:spacing w:val="14"/>
                <w:sz w:val="18"/>
                <w:szCs w:val="18"/>
              </w:rPr>
              <w:t> </w:t>
            </w:r>
            <w:r>
              <w:rPr>
                <w:rFonts w:ascii="宋体" w:hAnsi="宋体" w:cs="宋体" w:eastAsia="宋体" w:hint="default"/>
                <w:sz w:val="18"/>
                <w:szCs w:val="18"/>
              </w:rPr>
              <w:t>董事会办</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公室</w:t>
            </w:r>
          </w:p>
        </w:tc>
      </w:tr>
      <w:tr>
        <w:trPr>
          <w:trHeight w:val="394" w:hRule="exact"/>
        </w:trPr>
        <w:tc>
          <w:tcPr>
            <w:tcW w:w="25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10" w:type="dxa"/>
            <w:vMerge/>
            <w:tcBorders>
              <w:left w:val="single" w:sz="10" w:space="0" w:color="D2D2D2"/>
              <w:right w:val="single" w:sz="4" w:space="0" w:color="000000"/>
            </w:tcBorders>
          </w:tcPr>
          <w:p>
            <w:pPr/>
          </w:p>
        </w:tc>
        <w:tc>
          <w:tcPr>
            <w:tcW w:w="3539" w:type="dxa"/>
            <w:vMerge/>
            <w:tcBorders>
              <w:left w:val="single" w:sz="4" w:space="0" w:color="000000"/>
              <w:right w:val="single" w:sz="4" w:space="0" w:color="000000"/>
            </w:tcBorders>
          </w:tcPr>
          <w:p>
            <w:pPr/>
          </w:p>
        </w:tc>
      </w:tr>
      <w:tr>
        <w:trPr>
          <w:trHeight w:val="163" w:hRule="exact"/>
        </w:trPr>
        <w:tc>
          <w:tcPr>
            <w:tcW w:w="2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510" w:type="dxa"/>
            <w:vMerge/>
            <w:tcBorders>
              <w:left w:val="single" w:sz="10" w:space="0" w:color="D2D2D2"/>
              <w:bottom w:val="single" w:sz="4" w:space="0" w:color="000000"/>
              <w:right w:val="single" w:sz="4" w:space="0" w:color="000000"/>
            </w:tcBorders>
          </w:tcPr>
          <w:p>
            <w:pPr/>
          </w:p>
        </w:tc>
        <w:tc>
          <w:tcPr>
            <w:tcW w:w="3539" w:type="dxa"/>
            <w:vMerge/>
            <w:tcBorders>
              <w:left w:val="single" w:sz="4" w:space="0" w:color="000000"/>
              <w:bottom w:val="single" w:sz="4" w:space="0" w:color="000000"/>
              <w:right w:val="single" w:sz="4" w:space="0" w:color="000000"/>
            </w:tcBorders>
          </w:tcPr>
          <w:p>
            <w:pPr/>
          </w:p>
        </w:tc>
      </w:tr>
      <w:tr>
        <w:trPr>
          <w:trHeight w:val="398" w:hRule="exact"/>
        </w:trPr>
        <w:tc>
          <w:tcPr>
            <w:tcW w:w="2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0755-83890101</w:t>
            </w:r>
          </w:p>
        </w:tc>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0755-83890101</w:t>
            </w:r>
          </w:p>
        </w:tc>
      </w:tr>
      <w:tr>
        <w:trPr>
          <w:trHeight w:val="403" w:hRule="exact"/>
        </w:trPr>
        <w:tc>
          <w:tcPr>
            <w:tcW w:w="2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1" w:right="0"/>
              <w:jc w:val="left"/>
              <w:rPr>
                <w:rFonts w:ascii="Times New Roman" w:hAnsi="Times New Roman" w:cs="Times New Roman" w:eastAsia="Times New Roman" w:hint="default"/>
                <w:sz w:val="18"/>
                <w:szCs w:val="18"/>
              </w:rPr>
            </w:pPr>
            <w:hyperlink r:id="rId28">
              <w:r>
                <w:rPr>
                  <w:rFonts w:ascii="Times New Roman"/>
                  <w:sz w:val="18"/>
                </w:rPr>
                <w:t>ir@aisidi.com</w:t>
              </w:r>
            </w:hyperlink>
          </w:p>
        </w:tc>
        <w:tc>
          <w:tcPr>
            <w:tcW w:w="3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28">
              <w:r>
                <w:rPr>
                  <w:rFonts w:ascii="Times New Roman"/>
                  <w:sz w:val="18"/>
                </w:rPr>
                <w:t>ir@aisidi.com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126"/>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时</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29">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1" w:footer="1474" w:top="1100" w:bottom="1660" w:left="980" w:right="0"/>
        </w:sectPr>
      </w:pPr>
    </w:p>
    <w:p>
      <w:pPr>
        <w:spacing w:line="240" w:lineRule="auto" w:before="7"/>
        <w:rPr>
          <w:rFonts w:ascii="宋体" w:hAnsi="宋体" w:cs="宋体" w:eastAsia="宋体" w:hint="default"/>
          <w:b/>
          <w:bCs/>
          <w:sz w:val="19"/>
          <w:szCs w:val="19"/>
        </w:rPr>
      </w:pPr>
    </w:p>
    <w:p>
      <w:pPr>
        <w:pStyle w:val="Heading2"/>
        <w:spacing w:line="240" w:lineRule="auto" w:before="26"/>
        <w:ind w:right="1126"/>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69"/>
        <w:gridCol w:w="5601"/>
      </w:tblGrid>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91440300708415957K</w:t>
            </w:r>
          </w:p>
        </w:tc>
      </w:tr>
      <w:tr>
        <w:trPr>
          <w:trHeight w:val="399"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公司上市以来主营业务的变化情况（如有）</w:t>
            </w:r>
          </w:p>
        </w:tc>
        <w:tc>
          <w:tcPr>
            <w:tcW w:w="5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5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9"/>
        <w:rPr>
          <w:rFonts w:ascii="宋体" w:hAnsi="宋体" w:cs="宋体" w:eastAsia="宋体" w:hint="default"/>
          <w:b/>
          <w:bCs/>
          <w:sz w:val="17"/>
          <w:szCs w:val="17"/>
        </w:rPr>
      </w:pPr>
    </w:p>
    <w:p>
      <w:pPr>
        <w:pStyle w:val="Heading2"/>
        <w:spacing w:line="240" w:lineRule="auto" w:before="26"/>
        <w:ind w:right="1126"/>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26"/>
        <w:jc w:val="left"/>
      </w:pPr>
      <w:r>
        <w:rPr>
          <w:spacing w:val="-3"/>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029"/>
        <w:gridCol w:w="5541"/>
      </w:tblGrid>
      <w:tr>
        <w:trPr>
          <w:trHeight w:val="401" w:hRule="exact"/>
        </w:trPr>
        <w:tc>
          <w:tcPr>
            <w:tcW w:w="4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5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pacing w:val="-3"/>
                <w:sz w:val="18"/>
                <w:szCs w:val="18"/>
              </w:rPr>
              <w:t>亚太（集团）会计师事务所（特殊普通合伙）</w:t>
            </w:r>
          </w:p>
        </w:tc>
      </w:tr>
      <w:tr>
        <w:trPr>
          <w:trHeight w:val="401" w:hRule="exact"/>
        </w:trPr>
        <w:tc>
          <w:tcPr>
            <w:tcW w:w="4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5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北京市西城区车公庄大街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B2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301 </w:t>
            </w:r>
            <w:r>
              <w:rPr>
                <w:rFonts w:ascii="宋体" w:hAnsi="宋体" w:cs="宋体" w:eastAsia="宋体" w:hint="default"/>
                <w:sz w:val="18"/>
                <w:szCs w:val="18"/>
              </w:rPr>
              <w:t>室</w:t>
            </w:r>
          </w:p>
        </w:tc>
      </w:tr>
      <w:tr>
        <w:trPr>
          <w:trHeight w:val="403" w:hRule="exact"/>
        </w:trPr>
        <w:tc>
          <w:tcPr>
            <w:tcW w:w="4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55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周英、林丹妮</w:t>
            </w:r>
          </w:p>
        </w:tc>
      </w:tr>
    </w:tbl>
    <w:p>
      <w:pPr>
        <w:pStyle w:val="BodyText"/>
        <w:spacing w:line="240" w:lineRule="auto" w:before="54"/>
        <w:ind w:right="1126"/>
        <w:jc w:val="left"/>
      </w:pPr>
      <w:r>
        <w:rPr>
          <w:spacing w:val="-3"/>
        </w:rPr>
        <w:t>公司聘请的报告期内履行持续督导职责的保荐机构</w:t>
      </w:r>
    </w:p>
    <w:p>
      <w:pPr>
        <w:pStyle w:val="BodyText"/>
        <w:spacing w:line="338" w:lineRule="auto" w:before="119"/>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41"/>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26"/>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6"/>
        <w:jc w:val="left"/>
      </w:pPr>
      <w:r>
        <w:rPr>
          <w:spacing w:val="-3"/>
        </w:rPr>
        <w:t>公司是否需追溯调整或重述以前年度会计数据</w:t>
      </w:r>
    </w:p>
    <w:p>
      <w:pPr>
        <w:pStyle w:val="BodyText"/>
        <w:spacing w:line="240" w:lineRule="auto" w:before="115"/>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55,969,322,613.03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56,983,791,975.82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56,735,870,506.54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343,682,499.84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-92,720,082.99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470.67%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378,967,619.06</w:t>
            </w:r>
          </w:p>
        </w:tc>
      </w:tr>
      <w:tr>
        <w:trPr>
          <w:trHeight w:val="71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273,954,553.97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188,059,847.72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245,725,614.39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1,691,513,845.13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492,248,739.91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243.63%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-1,542,790,911.28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0.2773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470.72%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0.3058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0.2773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470.72%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0.3058</w:t>
            </w:r>
          </w:p>
        </w:tc>
      </w:tr>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10,224,200,140.51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10,247,229,234.89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12,481,003,219.90</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4,954,610,253.33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4,921,808,809.07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5,386,377,182.84</w:t>
            </w:r>
          </w:p>
        </w:tc>
      </w:tr>
    </w:tbl>
    <w:p>
      <w:pPr>
        <w:pStyle w:val="BodyText"/>
        <w:spacing w:line="316" w:lineRule="auto" w:before="53"/>
        <w:ind w:right="1126"/>
        <w:jc w:val="left"/>
      </w:pPr>
      <w:r>
        <w:rPr>
          <w:spacing w:val="-8"/>
          <w:w w:val="101"/>
        </w:rPr>
        <w:t>注：营业收入（元）取自第十二节财务报告中合并利润表的营业总收入，包括营业收入（含主营业务收入及其他业务收入）、</w:t>
      </w:r>
      <w:r>
        <w:rPr>
          <w:spacing w:val="-48"/>
          <w:w w:val="101"/>
        </w:rPr>
        <w:t> </w:t>
      </w:r>
      <w:r>
        <w:rPr>
          <w:spacing w:val="-48"/>
          <w:w w:val="101"/>
        </w:rPr>
      </w:r>
      <w:r>
        <w:rPr/>
        <w:t>利息收入。</w:t>
      </w:r>
    </w:p>
    <w:p>
      <w:pPr>
        <w:spacing w:after="0" w:line="316" w:lineRule="auto"/>
        <w:jc w:val="left"/>
        <w:sectPr>
          <w:pgSz w:w="11910" w:h="16840"/>
          <w:pgMar w:header="871" w:footer="1474" w:top="1100" w:bottom="166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1126"/>
        <w:jc w:val="left"/>
      </w:pPr>
      <w:r>
        <w:rPr>
          <w:spacing w:val="-3"/>
        </w:rPr>
        <w:t>截止披露前一交易日的公司总股本：</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13"/>
        <w:gridCol w:w="5056"/>
      </w:tblGrid>
      <w:tr>
        <w:trPr>
          <w:trHeight w:val="403" w:hRule="exact"/>
        </w:trPr>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截止披露前一交易日的公司总股本（股）</w:t>
            </w:r>
          </w:p>
        </w:tc>
        <w:tc>
          <w:tcPr>
            <w:tcW w:w="50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1,239,281,806</w:t>
            </w:r>
          </w:p>
        </w:tc>
      </w:tr>
    </w:tbl>
    <w:p>
      <w:pPr>
        <w:pStyle w:val="BodyText"/>
        <w:spacing w:line="240" w:lineRule="auto" w:before="53"/>
        <w:ind w:right="1126"/>
        <w:jc w:val="left"/>
      </w:pPr>
      <w:r>
        <w:rPr>
          <w:spacing w:val="-3"/>
        </w:rPr>
        <w:t>用最新股本计算的全面摊薄每股收益：</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13"/>
        <w:gridCol w:w="5056"/>
      </w:tblGrid>
      <w:tr>
        <w:trPr>
          <w:trHeight w:val="403" w:hRule="exact"/>
        </w:trPr>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用最新股本计算的全面摊薄每股收益（元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50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0.2773</w:t>
            </w:r>
          </w:p>
        </w:tc>
      </w:tr>
    </w:tbl>
    <w:p>
      <w:pPr>
        <w:pStyle w:val="BodyText"/>
        <w:spacing w:line="302" w:lineRule="auto" w:before="53"/>
        <w:ind w:right="1126"/>
        <w:jc w:val="both"/>
      </w:pPr>
      <w:r>
        <w:rPr>
          <w:spacing w:val="-7"/>
        </w:rPr>
        <w:t>注：</w:t>
      </w:r>
      <w:r>
        <w:rPr>
          <w:rFonts w:ascii="Times New Roman" w:hAnsi="Times New Roman" w:cs="Times New Roman" w:eastAsia="Times New Roman" w:hint="default"/>
          <w:spacing w:val="-7"/>
        </w:rPr>
        <w:t>“</w:t>
      </w:r>
      <w:r>
        <w:rPr>
          <w:spacing w:val="-7"/>
        </w:rPr>
        <w:t>用最新股本计算的全面摊薄每股收益（元</w:t>
      </w:r>
      <w:r>
        <w:rPr>
          <w:rFonts w:ascii="Times New Roman" w:hAnsi="Times New Roman" w:cs="Times New Roman" w:eastAsia="Times New Roman" w:hint="default"/>
          <w:spacing w:val="-7"/>
        </w:rPr>
        <w:t>/</w:t>
      </w:r>
      <w:r>
        <w:rPr>
          <w:spacing w:val="-7"/>
        </w:rPr>
        <w:t>股）</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31"/>
        </w:rPr>
        <w:t> </w:t>
      </w:r>
      <w:r>
        <w:rPr>
          <w:spacing w:val="-6"/>
        </w:rPr>
        <w:t>主要用于计算市盈率等指标，应根据证监会《证券期货统计指标（</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5"/>
          <w:w w:val="101"/>
        </w:rPr>
        <w:t>年修订）》规定口径计算，请以</w:t>
      </w:r>
      <w:r>
        <w:rPr>
          <w:rFonts w:ascii="Times New Roman" w:hAnsi="Times New Roman" w:cs="Times New Roman" w:eastAsia="Times New Roman" w:hint="default"/>
          <w:spacing w:val="-5"/>
          <w:w w:val="101"/>
        </w:rPr>
        <w:t>“</w:t>
      </w:r>
      <w:r>
        <w:rPr>
          <w:spacing w:val="-5"/>
          <w:w w:val="101"/>
        </w:rPr>
        <w:t>截止披露前一交易日的公司总股本（股）</w:t>
      </w:r>
      <w:r>
        <w:rPr>
          <w:rFonts w:ascii="Times New Roman" w:hAnsi="Times New Roman" w:cs="Times New Roman" w:eastAsia="Times New Roman" w:hint="default"/>
          <w:spacing w:val="-5"/>
          <w:w w:val="101"/>
        </w:rPr>
        <w:t>”</w:t>
      </w:r>
      <w:r>
        <w:rPr>
          <w:spacing w:val="-5"/>
          <w:w w:val="101"/>
        </w:rPr>
        <w:t>为基数（包括回购股份）进行计算，与利润表中</w:t>
      </w:r>
      <w:r>
        <w:rPr>
          <w:spacing w:val="-43"/>
          <w:w w:val="101"/>
        </w:rPr>
        <w:t> </w:t>
      </w:r>
      <w:r>
        <w:rPr>
          <w:spacing w:val="-43"/>
          <w:w w:val="101"/>
        </w:rPr>
      </w:r>
      <w:r>
        <w:rPr>
          <w:spacing w:val="-3"/>
        </w:rPr>
        <w:t>每股收益计算口径可能存在不一致的情形。</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20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220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11,384,108,886.69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12,410,977,536.47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17,187,861,522.04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14,986,374,667.83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94,169,772.73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77,698,467.27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133,764,689.95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38,049,569.89</w:t>
            </w:r>
          </w:p>
        </w:tc>
      </w:tr>
      <w:tr>
        <w:trPr>
          <w:trHeight w:val="71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69,101,381.70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63,160,387.89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126,865,173.38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14,827,611.00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1,233,219,546.50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-1,925,240,536.30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307,850,350.45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2,075,684,484.48</w:t>
            </w:r>
          </w:p>
        </w:tc>
      </w:tr>
    </w:tbl>
    <w:p>
      <w:pPr>
        <w:pStyle w:val="BodyText"/>
        <w:spacing w:line="312" w:lineRule="auto" w:before="53"/>
        <w:ind w:right="1124" w:firstLine="360"/>
        <w:jc w:val="both"/>
      </w:pPr>
      <w:r>
        <w:rPr>
          <w:spacing w:val="-3"/>
        </w:rPr>
        <w:t>说明：公司第三季度净利润优于其他季度系 </w:t>
      </w:r>
      <w:r>
        <w:rPr>
          <w:rFonts w:ascii="Times New Roman" w:hAnsi="Times New Roman" w:cs="Times New Roman" w:eastAsia="Times New Roman" w:hint="default"/>
        </w:rPr>
        <w:t>8</w:t>
      </w:r>
      <w:r>
        <w:rPr/>
        <w:t>、</w:t>
      </w:r>
      <w:r>
        <w:rPr>
          <w:rFonts w:ascii="Times New Roman" w:hAnsi="Times New Roman" w:cs="Times New Roman" w:eastAsia="Times New Roman" w:hint="default"/>
        </w:rPr>
        <w:t>9</w:t>
      </w:r>
      <w:r>
        <w:rPr>
          <w:rFonts w:ascii="Times New Roman" w:hAnsi="Times New Roman" w:cs="Times New Roman" w:eastAsia="Times New Roman" w:hint="default"/>
          <w:spacing w:val="27"/>
        </w:rPr>
        <w:t> </w:t>
      </w:r>
      <w:r>
        <w:rPr>
          <w:spacing w:val="-3"/>
        </w:rPr>
        <w:t>月公司代理的两大品牌均有新品上市，带来利润增加所致，第四季度</w:t>
      </w:r>
      <w:r>
        <w:rPr>
          <w:w w:val="101"/>
        </w:rPr>
        <w:t> </w:t>
      </w:r>
      <w:r>
        <w:rPr>
          <w:spacing w:val="-5"/>
        </w:rPr>
        <w:t>净利润劣于其他季度系发放贷款及垫款减值准备计提增加所致；第二季度经营活动产生的现金流量净额为负，主要系第三季</w:t>
      </w:r>
      <w:r>
        <w:rPr>
          <w:spacing w:val="6"/>
        </w:rPr>
        <w:t> </w:t>
      </w:r>
      <w:r>
        <w:rPr>
          <w:spacing w:val="6"/>
        </w:rPr>
      </w:r>
      <w:r>
        <w:rPr>
          <w:spacing w:val="-4"/>
        </w:rPr>
        <w:t>度新品上市预付货款增加所致；第四季度经营活动产生的现金流量净额优于其他季度，系第三季度新品上市后，客户回款增</w:t>
      </w:r>
      <w:r>
        <w:rPr>
          <w:spacing w:val="43"/>
        </w:rPr>
        <w:t> </w:t>
      </w:r>
      <w:r>
        <w:rPr>
          <w:spacing w:val="43"/>
        </w:rPr>
      </w:r>
      <w:r>
        <w:rPr>
          <w:spacing w:val="-3"/>
        </w:rPr>
        <w:t>加和额度采购增加所致。</w:t>
      </w:r>
    </w:p>
    <w:p>
      <w:pPr>
        <w:pStyle w:val="BodyText"/>
        <w:spacing w:line="240" w:lineRule="auto" w:before="65"/>
        <w:ind w:right="1126"/>
        <w:jc w:val="left"/>
      </w:pPr>
      <w:r>
        <w:rPr>
          <w:spacing w:val="-3"/>
        </w:rPr>
        <w:t>上述财务指标或其加总数是否与公司已披露季度报告、半年度报告相关财务指标存在重大差异</w:t>
      </w:r>
    </w:p>
    <w:p>
      <w:pPr>
        <w:pStyle w:val="BodyText"/>
        <w:spacing w:line="240" w:lineRule="auto" w:before="115"/>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2"/>
          <w:szCs w:val="22"/>
        </w:rPr>
      </w:pPr>
    </w:p>
    <w:p>
      <w:pPr>
        <w:pStyle w:val="Heading2"/>
        <w:spacing w:line="240" w:lineRule="auto"/>
        <w:ind w:right="1126"/>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footerReference w:type="default" r:id="rId30"/>
          <w:pgSz w:w="11910" w:h="16840"/>
          <w:pgMar w:footer="1474" w:header="871" w:top="1100" w:bottom="1660" w:left="980" w:right="0"/>
          <w:pgNumType w:start="8"/>
        </w:sectPr>
      </w:pPr>
    </w:p>
    <w:p>
      <w:pPr>
        <w:spacing w:line="240" w:lineRule="auto" w:before="3"/>
        <w:rPr>
          <w:rFonts w:ascii="宋体" w:hAnsi="宋体" w:cs="宋体" w:eastAsia="宋体" w:hint="default"/>
          <w:sz w:val="22"/>
          <w:szCs w:val="22"/>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26,797,751.41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-48,847.63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12,827,699.54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0"/>
              <w:jc w:val="left"/>
              <w:rPr>
                <w:rFonts w:ascii="宋体" w:hAnsi="宋体" w:cs="宋体" w:eastAsia="宋体" w:hint="default"/>
                <w:sz w:val="18"/>
                <w:szCs w:val="18"/>
              </w:rPr>
            </w:pPr>
            <w:r>
              <w:rPr>
                <w:rFonts w:ascii="宋体" w:hAnsi="宋体" w:cs="宋体" w:eastAsia="宋体" w:hint="default"/>
                <w:spacing w:val="-3"/>
                <w:sz w:val="18"/>
                <w:szCs w:val="18"/>
              </w:rPr>
              <w:t>主要系处置子公司产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生的收益</w:t>
            </w:r>
          </w:p>
        </w:tc>
      </w:tr>
      <w:tr>
        <w:trPr>
          <w:trHeight w:val="102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22,842,641.97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39,392,384.57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25,211,583.11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380,142.42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12,941,863.12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18,108,710.19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6,977,880.53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r>
        <w:trPr>
          <w:trHeight w:val="227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27,834,898.49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32,466,373.97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113,578,563.37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50"/>
              <w:jc w:val="left"/>
              <w:rPr>
                <w:rFonts w:ascii="宋体" w:hAnsi="宋体" w:cs="宋体" w:eastAsia="宋体" w:hint="default"/>
                <w:sz w:val="18"/>
                <w:szCs w:val="18"/>
              </w:rPr>
            </w:pPr>
            <w:r>
              <w:rPr>
                <w:rFonts w:ascii="宋体" w:hAnsi="宋体" w:cs="宋体" w:eastAsia="宋体" w:hint="default"/>
                <w:spacing w:val="-3"/>
                <w:sz w:val="18"/>
                <w:szCs w:val="18"/>
              </w:rPr>
              <w:t>投资收益、公允价值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变动损益</w:t>
            </w: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4,888,455.74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5,741,396.71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3,158,071.50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30" w:type="dxa"/>
            <w:tcBorders>
              <w:top w:val="single" w:sz="4" w:space="0" w:color="000000"/>
              <w:left w:val="single" w:sz="14"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-413,408,644.20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23,421,477.60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-37,747,076.96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28,399,914.58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2,536,329.68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778,381.28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111,878.80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69,727,945.87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-280,779,930.71</w:t>
            </w:r>
          </w:p>
        </w:tc>
        <w:tc>
          <w:tcPr>
            <w:tcW w:w="152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133,242,004.67</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126"/>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102"/>
        <w:ind w:right="1126"/>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871" w:footer="1474" w:top="110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112"/>
        <w:jc w:val="center"/>
        <w:rPr>
          <w:b w:val="0"/>
          <w:bCs w:val="0"/>
        </w:rPr>
      </w:pPr>
      <w:bookmarkStart w:name="第三节 公司业务概要" w:id="16"/>
      <w:bookmarkEnd w:id="16"/>
      <w:r>
        <w:rPr>
          <w:b w:val="0"/>
          <w:bCs w:val="0"/>
        </w:rPr>
      </w:r>
      <w:bookmarkStart w:name="_bookmark2" w:id="17"/>
      <w:bookmarkEnd w:id="17"/>
      <w:r>
        <w:rPr>
          <w:b w:val="0"/>
          <w:bCs w:val="0"/>
        </w:rPr>
      </w:r>
      <w:r>
        <w:rPr/>
        <w:t>第三节 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26"/>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31"/>
          <w:szCs w:val="31"/>
        </w:rPr>
      </w:pPr>
    </w:p>
    <w:p>
      <w:pPr>
        <w:pStyle w:val="Heading4"/>
        <w:spacing w:line="408" w:lineRule="auto"/>
        <w:ind w:right="1122" w:firstLine="422"/>
        <w:jc w:val="both"/>
      </w:pPr>
      <w:bookmarkStart w:name="报告期内，公司四大主营业务，即智能终端分销、金融及供应链服务、智慧零售业务和通信" w:id="19"/>
      <w:bookmarkEnd w:id="19"/>
      <w:r>
        <w:rPr/>
      </w:r>
      <w:r>
        <w:rPr>
          <w:spacing w:val="-2"/>
        </w:rPr>
        <w:t>报告期内，公司四大主营业务，即智能终端分销、金融及供应链服务、智慧零售业务和通信服务，均</w:t>
      </w:r>
      <w:r>
        <w:rPr>
          <w:w w:val="100"/>
        </w:rPr>
        <w:t> </w:t>
      </w:r>
      <w:r>
        <w:rPr>
          <w:spacing w:val="-2"/>
        </w:rPr>
        <w:t>取得持续良好发展，在新形势下打造的“智慧供应链、智慧零售和智慧连接”三大平台已见成效。凭借高</w:t>
      </w:r>
      <w:r>
        <w:rPr>
          <w:spacing w:val="-38"/>
        </w:rPr>
        <w:t> </w:t>
      </w:r>
      <w:r>
        <w:rPr>
          <w:spacing w:val="-38"/>
        </w:rPr>
      </w:r>
      <w:r>
        <w:rPr/>
        <w:t>效的组织、创新的机制和良好的业绩，公司连年实力霸榜，名列《财富》中国</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强第</w:t>
      </w:r>
      <w:r>
        <w:rPr>
          <w:spacing w:val="-58"/>
        </w:rPr>
        <w:t> </w:t>
      </w:r>
      <w:r>
        <w:rPr>
          <w:rFonts w:ascii="Times New Roman" w:hAnsi="Times New Roman" w:cs="Times New Roman" w:eastAsia="Times New Roman" w:hint="default"/>
        </w:rPr>
        <w:t>158</w:t>
      </w:r>
      <w:r>
        <w:rPr>
          <w:rFonts w:ascii="Times New Roman" w:hAnsi="Times New Roman" w:cs="Times New Roman" w:eastAsia="Times New Roman" w:hint="default"/>
          <w:spacing w:val="-5"/>
        </w:rPr>
        <w:t> </w:t>
      </w:r>
      <w:r>
        <w:rPr/>
        <w:t>位，跻身中国</w:t>
      </w:r>
    </w:p>
    <w:p>
      <w:pPr>
        <w:pStyle w:val="Heading4"/>
        <w:spacing w:line="240" w:lineRule="auto" w:before="7"/>
        <w:ind w:right="1126"/>
        <w:jc w:val="left"/>
      </w:pPr>
      <w:r>
        <w:rPr/>
        <w:t>民营企业</w:t>
      </w:r>
      <w:r>
        <w:rPr>
          <w:spacing w:val="-52"/>
        </w:rPr>
        <w:t> </w:t>
      </w:r>
      <w:r>
        <w:rPr>
          <w:rFonts w:ascii="Times New Roman" w:hAnsi="Times New Roman" w:cs="Times New Roman" w:eastAsia="Times New Roman" w:hint="default"/>
        </w:rPr>
        <w:t>500 </w:t>
      </w:r>
      <w:r>
        <w:rPr/>
        <w:t>强第</w:t>
      </w:r>
      <w:r>
        <w:rPr>
          <w:spacing w:val="-53"/>
        </w:rPr>
        <w:t> </w:t>
      </w:r>
      <w:r>
        <w:rPr>
          <w:rFonts w:ascii="Times New Roman" w:hAnsi="Times New Roman" w:cs="Times New Roman" w:eastAsia="Times New Roman" w:hint="default"/>
        </w:rPr>
        <w:t>122 </w:t>
      </w:r>
      <w:r>
        <w:rPr/>
        <w:t>位。</w:t>
      </w:r>
    </w:p>
    <w:p>
      <w:pPr>
        <w:spacing w:line="240" w:lineRule="auto" w:before="6"/>
        <w:rPr>
          <w:rFonts w:ascii="宋体" w:hAnsi="宋体" w:cs="宋体" w:eastAsia="宋体" w:hint="default"/>
          <w:sz w:val="25"/>
          <w:szCs w:val="25"/>
        </w:rPr>
      </w:pPr>
    </w:p>
    <w:p>
      <w:pPr>
        <w:pStyle w:val="Heading3"/>
        <w:spacing w:line="240" w:lineRule="auto"/>
        <w:ind w:left="575" w:right="1126"/>
        <w:jc w:val="left"/>
        <w:rPr>
          <w:b w:val="0"/>
          <w:bCs w:val="0"/>
        </w:rPr>
      </w:pPr>
      <w:bookmarkStart w:name="（一）公司主营业务" w:id="20"/>
      <w:bookmarkEnd w:id="20"/>
      <w:r>
        <w:rPr>
          <w:b w:val="0"/>
          <w:bCs w:val="0"/>
        </w:rPr>
      </w:r>
      <w:r>
        <w:rPr/>
        <w:t>（一）公司主营业务</w:t>
      </w:r>
      <w:r>
        <w:rPr>
          <w:b w:val="0"/>
          <w:bCs w:val="0"/>
        </w:rPr>
      </w:r>
    </w:p>
    <w:p>
      <w:pPr>
        <w:pStyle w:val="Heading4"/>
        <w:spacing w:line="610" w:lineRule="atLeast" w:before="30"/>
        <w:ind w:left="575" w:right="1126"/>
        <w:jc w:val="left"/>
      </w:pPr>
      <w:bookmarkStart w:name="1、智能终端分销" w:id="21"/>
      <w:bookmarkEnd w:id="21"/>
      <w:r>
        <w:rPr/>
      </w:r>
      <w:r>
        <w:rPr>
          <w:rFonts w:ascii="Times New Roman" w:hAnsi="Times New Roman" w:cs="Times New Roman" w:eastAsia="Times New Roman" w:hint="default"/>
          <w:b/>
          <w:bCs/>
        </w:rPr>
        <w:t>1</w:t>
      </w:r>
      <w:r>
        <w:rPr>
          <w:rFonts w:ascii="宋体" w:hAnsi="宋体" w:cs="宋体" w:eastAsia="宋体" w:hint="default"/>
          <w:b/>
          <w:bCs/>
        </w:rPr>
        <w:t>、智能终端分销</w:t>
      </w:r>
      <w:r>
        <w:rPr>
          <w:rFonts w:ascii="宋体" w:hAnsi="宋体" w:cs="宋体" w:eastAsia="宋体" w:hint="default"/>
          <w:b/>
          <w:bCs/>
          <w:spacing w:val="-103"/>
        </w:rPr>
        <w:t> </w:t>
      </w:r>
      <w:bookmarkStart w:name="智能终端分销是公司核心业务，是连接智能终端上游厂商和下游客户的综合销售赋能渠道。" w:id="22"/>
      <w:bookmarkEnd w:id="22"/>
      <w:r>
        <w:rPr>
          <w:rFonts w:ascii="宋体" w:hAnsi="宋体" w:cs="宋体" w:eastAsia="宋体" w:hint="default"/>
          <w:b/>
          <w:bCs/>
          <w:spacing w:val="-103"/>
        </w:rPr>
      </w:r>
      <w:r>
        <w:rPr>
          <w:spacing w:val="-2"/>
        </w:rPr>
        <w:t>智能终端分销是公司核心业务，是连接智能终端上游厂商和下游客户的综合销售赋能渠道。公司向上</w:t>
      </w:r>
    </w:p>
    <w:p>
      <w:pPr>
        <w:spacing w:line="240" w:lineRule="auto" w:before="12"/>
        <w:rPr>
          <w:rFonts w:ascii="宋体" w:hAnsi="宋体" w:cs="宋体" w:eastAsia="宋体" w:hint="default"/>
          <w:sz w:val="14"/>
          <w:szCs w:val="14"/>
        </w:rPr>
      </w:pPr>
    </w:p>
    <w:p>
      <w:pPr>
        <w:pStyle w:val="Heading4"/>
        <w:spacing w:line="381" w:lineRule="auto"/>
        <w:ind w:right="0"/>
        <w:jc w:val="left"/>
      </w:pPr>
      <w:r>
        <w:rPr/>
        <w:t>游采购智能手机、平板电脑、智能穿戴、智能家居、无人机等 </w:t>
      </w:r>
      <w:r>
        <w:rPr>
          <w:rFonts w:ascii="Times New Roman" w:hAnsi="Times New Roman" w:cs="Times New Roman" w:eastAsia="Times New Roman" w:hint="default"/>
        </w:rPr>
        <w:t>3C</w:t>
      </w:r>
      <w:r>
        <w:rPr>
          <w:rFonts w:ascii="Times New Roman" w:hAnsi="Times New Roman" w:cs="Times New Roman" w:eastAsia="Times New Roman" w:hint="default"/>
          <w:spacing w:val="-1"/>
        </w:rPr>
        <w:t> </w:t>
      </w:r>
      <w:r>
        <w:rPr/>
        <w:t>智能产品，通过覆盖全国且线上线下融</w:t>
      </w:r>
      <w:r>
        <w:rPr>
          <w:w w:val="100"/>
        </w:rPr>
        <w:t> </w:t>
      </w:r>
      <w:r>
        <w:rPr/>
        <w:t>合的销售服务网络向零售商客户提供商品及赋能服务，协同厂商做好产品全生命周期和零售门店的管理。</w:t>
      </w:r>
    </w:p>
    <w:p>
      <w:pPr>
        <w:spacing w:line="240" w:lineRule="auto" w:before="8"/>
        <w:rPr>
          <w:rFonts w:ascii="宋体" w:hAnsi="宋体" w:cs="宋体" w:eastAsia="宋体" w:hint="default"/>
          <w:sz w:val="17"/>
          <w:szCs w:val="17"/>
        </w:rPr>
      </w:pPr>
    </w:p>
    <w:p>
      <w:pPr>
        <w:pStyle w:val="Heading4"/>
        <w:spacing w:line="410" w:lineRule="auto"/>
        <w:ind w:right="1115" w:firstLine="422"/>
        <w:jc w:val="left"/>
      </w:pPr>
      <w:bookmarkStart w:name="公司的运营效率、行业地位、品牌合作和服务价值持续保持行业领先，通过爱施德分销大数" w:id="23"/>
      <w:bookmarkEnd w:id="23"/>
      <w:r>
        <w:rPr/>
      </w:r>
      <w:r>
        <w:rPr>
          <w:spacing w:val="-2"/>
        </w:rPr>
        <w:t>公司的运营效率、行业地位、品牌合作和服务价值持续保持行业领先，通过爱施德分销大数据平台连</w:t>
      </w:r>
      <w:r>
        <w:rPr>
          <w:w w:val="100"/>
        </w:rPr>
        <w:t> </w:t>
      </w:r>
      <w:r>
        <w:rPr/>
        <w:t>接全国</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多个分支机构和办事处，服务</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个省级区域，覆盖</w:t>
      </w:r>
      <w:r>
        <w:rPr>
          <w:spacing w:val="-42"/>
        </w:rPr>
        <w:t> </w:t>
      </w:r>
      <w:r>
        <w:rPr>
          <w:rFonts w:ascii="Times New Roman" w:hAnsi="Times New Roman" w:cs="Times New Roman" w:eastAsia="Times New Roman" w:hint="default"/>
        </w:rPr>
        <w:t>T1-T6</w:t>
      </w:r>
      <w:r>
        <w:rPr>
          <w:rFonts w:ascii="Times New Roman" w:hAnsi="Times New Roman" w:cs="Times New Roman" w:eastAsia="Times New Roman" w:hint="default"/>
          <w:spacing w:val="10"/>
        </w:rPr>
        <w:t> </w:t>
      </w:r>
      <w:r>
        <w:rPr/>
        <w:t>全渠道和</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万家实体零售门店以及</w:t>
      </w:r>
    </w:p>
    <w:p>
      <w:pPr>
        <w:pStyle w:val="Heading4"/>
        <w:spacing w:line="240" w:lineRule="auto" w:before="5"/>
        <w:ind w:right="1126"/>
        <w:jc w:val="left"/>
      </w:pPr>
      <w:r>
        <w:rPr/>
        <w:t>线上零售商，管控</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大配送中心和</w:t>
      </w:r>
      <w:r>
        <w:rPr>
          <w:spacing w:val="-52"/>
        </w:rPr>
        <w:t> </w:t>
      </w:r>
      <w:r>
        <w:rPr>
          <w:rFonts w:ascii="Times New Roman" w:hAnsi="Times New Roman" w:cs="Times New Roman" w:eastAsia="Times New Roman" w:hint="default"/>
        </w:rPr>
        <w:t>30 </w:t>
      </w:r>
      <w:r>
        <w:rPr/>
        <w:t>余个区域分仓，确定了分销行业领导者地位。</w:t>
      </w:r>
    </w:p>
    <w:p>
      <w:pPr>
        <w:pStyle w:val="Heading4"/>
        <w:spacing w:line="610" w:lineRule="atLeast" w:before="14"/>
        <w:ind w:left="575" w:right="1126"/>
        <w:jc w:val="left"/>
      </w:pPr>
      <w:bookmarkStart w:name="2、金融及供应链服务" w:id="24"/>
      <w:bookmarkEnd w:id="24"/>
      <w:r>
        <w:rPr/>
      </w:r>
      <w:r>
        <w:rPr>
          <w:rFonts w:ascii="Times New Roman" w:hAnsi="Times New Roman" w:cs="Times New Roman" w:eastAsia="Times New Roman" w:hint="default"/>
          <w:b/>
          <w:bCs/>
        </w:rPr>
        <w:t>2</w:t>
      </w:r>
      <w:r>
        <w:rPr>
          <w:rFonts w:ascii="宋体" w:hAnsi="宋体" w:cs="宋体" w:eastAsia="宋体" w:hint="default"/>
          <w:b/>
          <w:bCs/>
        </w:rPr>
        <w:t>、金融及供应链服务</w:t>
      </w:r>
      <w:r>
        <w:rPr>
          <w:rFonts w:ascii="宋体" w:hAnsi="宋体" w:cs="宋体" w:eastAsia="宋体" w:hint="default"/>
          <w:b/>
          <w:bCs/>
          <w:spacing w:val="-102"/>
        </w:rPr>
        <w:t> </w:t>
      </w:r>
      <w:bookmarkStart w:name="公司依托网络小贷牌照，聚焦智能终端供应链服务场景，充分发挥对行业的深度理解、金融" w:id="25"/>
      <w:bookmarkEnd w:id="25"/>
      <w:r>
        <w:rPr>
          <w:rFonts w:ascii="宋体" w:hAnsi="宋体" w:cs="宋体" w:eastAsia="宋体" w:hint="default"/>
          <w:b/>
          <w:bCs/>
          <w:spacing w:val="-102"/>
        </w:rPr>
      </w:r>
      <w:r>
        <w:rPr>
          <w:spacing w:val="-2"/>
        </w:rPr>
        <w:t>公司依托网络小贷牌照，聚焦智能终端供应链服务场景，充分发挥对行业的深度理解、金融科技能力</w:t>
      </w:r>
    </w:p>
    <w:p>
      <w:pPr>
        <w:spacing w:line="240" w:lineRule="auto" w:before="13"/>
        <w:rPr>
          <w:rFonts w:ascii="宋体" w:hAnsi="宋体" w:cs="宋体" w:eastAsia="宋体" w:hint="default"/>
          <w:sz w:val="14"/>
          <w:szCs w:val="14"/>
        </w:rPr>
      </w:pPr>
    </w:p>
    <w:p>
      <w:pPr>
        <w:pStyle w:val="Heading4"/>
        <w:spacing w:line="403" w:lineRule="auto"/>
        <w:ind w:right="1126"/>
        <w:jc w:val="left"/>
      </w:pPr>
      <w:r>
        <w:rPr>
          <w:spacing w:val="-2"/>
        </w:rPr>
        <w:t>以及风险控制能力，为全球智能终端产业链客户提供高效的供应链金融服务，实现公司产业与金融的融合</w:t>
      </w:r>
      <w:r>
        <w:rPr>
          <w:spacing w:val="-33"/>
        </w:rPr>
        <w:t> </w:t>
      </w:r>
      <w:r>
        <w:rPr>
          <w:spacing w:val="-33"/>
        </w:rPr>
      </w:r>
      <w:r>
        <w:rPr/>
        <w:t>发展和相互促进。</w:t>
      </w:r>
    </w:p>
    <w:p>
      <w:pPr>
        <w:spacing w:line="240" w:lineRule="auto" w:before="2"/>
        <w:rPr>
          <w:rFonts w:ascii="宋体" w:hAnsi="宋体" w:cs="宋体" w:eastAsia="宋体" w:hint="default"/>
          <w:sz w:val="16"/>
          <w:szCs w:val="16"/>
        </w:rPr>
      </w:pPr>
    </w:p>
    <w:p>
      <w:pPr>
        <w:pStyle w:val="Heading4"/>
        <w:spacing w:line="384" w:lineRule="auto"/>
        <w:ind w:right="1126" w:firstLine="422"/>
        <w:jc w:val="left"/>
      </w:pPr>
      <w:bookmarkStart w:name="公司已构建国内手机流通全链条生态体系，为厂家/国代商、省代/经销商、零售/电商和" w:id="26"/>
      <w:bookmarkEnd w:id="26"/>
      <w:r>
        <w:rPr/>
      </w:r>
      <w:r>
        <w:rPr>
          <w:spacing w:val="-1"/>
        </w:rPr>
        <w:t>公司已构建国内手机流通全链条生态体系，为厂家</w:t>
      </w:r>
      <w:r>
        <w:rPr>
          <w:rFonts w:ascii="Times New Roman" w:hAnsi="Times New Roman" w:cs="Times New Roman" w:eastAsia="Times New Roman" w:hint="default"/>
          <w:spacing w:val="-1"/>
        </w:rPr>
        <w:t>/</w:t>
      </w:r>
      <w:r>
        <w:rPr>
          <w:spacing w:val="-1"/>
        </w:rPr>
        <w:t>国代商、省代</w:t>
      </w:r>
      <w:r>
        <w:rPr>
          <w:rFonts w:ascii="Times New Roman" w:hAnsi="Times New Roman" w:cs="Times New Roman" w:eastAsia="Times New Roman" w:hint="default"/>
          <w:spacing w:val="-1"/>
        </w:rPr>
        <w:t>/</w:t>
      </w:r>
      <w:r>
        <w:rPr>
          <w:spacing w:val="-1"/>
        </w:rPr>
        <w:t>经销商、零售</w:t>
      </w:r>
      <w:r>
        <w:rPr>
          <w:rFonts w:ascii="Times New Roman" w:hAnsi="Times New Roman" w:cs="Times New Roman" w:eastAsia="Times New Roman" w:hint="default"/>
          <w:spacing w:val="-1"/>
        </w:rPr>
        <w:t>/</w:t>
      </w:r>
      <w:r>
        <w:rPr>
          <w:spacing w:val="-1"/>
        </w:rPr>
        <w:t>电商和终端消费者提</w:t>
      </w:r>
      <w:r>
        <w:rPr>
          <w:w w:val="100"/>
        </w:rPr>
        <w:t> </w:t>
      </w:r>
      <w:r>
        <w:rPr/>
        <w:t>供金融及供应链服务。同时，海外供应链业务持续发展，现已在全球</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个国家和地区实现仓储布局。</w:t>
      </w:r>
    </w:p>
    <w:p>
      <w:pPr>
        <w:pStyle w:val="Heading3"/>
        <w:spacing w:line="240" w:lineRule="auto" w:before="193"/>
        <w:ind w:left="575" w:right="1126"/>
        <w:jc w:val="left"/>
        <w:rPr>
          <w:b w:val="0"/>
          <w:bCs w:val="0"/>
        </w:rPr>
      </w:pPr>
      <w:bookmarkStart w:name="3、智慧零售业务" w:id="27"/>
      <w:bookmarkEnd w:id="27"/>
      <w:r>
        <w:rPr>
          <w:b w:val="0"/>
          <w:bCs w:val="0"/>
        </w:rPr>
      </w:r>
      <w:r>
        <w:rPr>
          <w:rFonts w:ascii="Times New Roman" w:hAnsi="Times New Roman" w:cs="Times New Roman" w:eastAsia="Times New Roman" w:hint="default"/>
        </w:rPr>
        <w:t>3</w:t>
      </w:r>
      <w:r>
        <w:rPr/>
        <w:t>、智慧零售业务</w:t>
      </w:r>
      <w:r>
        <w:rPr>
          <w:b w:val="0"/>
          <w:bCs w:val="0"/>
        </w:rPr>
      </w:r>
    </w:p>
    <w:p>
      <w:pPr>
        <w:spacing w:line="240" w:lineRule="auto" w:before="11"/>
        <w:rPr>
          <w:rFonts w:ascii="宋体" w:hAnsi="宋体" w:cs="宋体" w:eastAsia="宋体" w:hint="default"/>
          <w:b/>
          <w:bCs/>
          <w:sz w:val="25"/>
          <w:szCs w:val="25"/>
        </w:rPr>
      </w:pPr>
    </w:p>
    <w:p>
      <w:pPr>
        <w:pStyle w:val="Heading4"/>
        <w:spacing w:line="396" w:lineRule="auto"/>
        <w:ind w:right="1005" w:firstLine="422"/>
        <w:jc w:val="left"/>
      </w:pPr>
      <w:bookmarkStart w:name="公司以苹果零售业务为基础，逐渐向泛智能终端及周边产品延伸，依托不同的业务场景，搭" w:id="28"/>
      <w:bookmarkEnd w:id="28"/>
      <w:r>
        <w:rPr/>
      </w:r>
      <w:r>
        <w:rPr/>
        <w:t>公司以苹果零售业务为基础，逐渐向泛智能终端及周边产品延伸，依托不同的业务场景，搭建智慧零</w:t>
      </w:r>
      <w:r>
        <w:rPr>
          <w:w w:val="100"/>
        </w:rPr>
        <w:t> </w:t>
      </w:r>
      <w:r>
        <w:rPr/>
        <w:t>售云平台，通过线上</w:t>
      </w:r>
      <w:r>
        <w:rPr>
          <w:spacing w:val="15"/>
        </w:rPr>
        <w:t> </w:t>
      </w:r>
      <w:r>
        <w:rPr>
          <w:rFonts w:ascii="Times New Roman" w:hAnsi="Times New Roman" w:cs="Times New Roman" w:eastAsia="Times New Roman" w:hint="default"/>
        </w:rPr>
        <w:t>APP</w:t>
      </w:r>
      <w:r>
        <w:rPr/>
        <w:t>、小程序、公众号、新媒体与线下门店融合的新零售模式，打通线上线下流量，</w:t>
      </w:r>
      <w:r>
        <w:rPr>
          <w:w w:val="100"/>
        </w:rPr>
        <w:t> </w:t>
      </w:r>
      <w:r>
        <w:rPr/>
        <w:t>升级会员管理和运营，贯穿售前售后服务，实现智能导购和精准营销，提升零售服务和消费体验。</w:t>
      </w:r>
    </w:p>
    <w:p>
      <w:pPr>
        <w:spacing w:after="0" w:line="396" w:lineRule="auto"/>
        <w:jc w:val="left"/>
        <w:sectPr>
          <w:pgSz w:w="11910" w:h="16840"/>
          <w:pgMar w:header="871" w:footer="1474" w:top="1100" w:bottom="1660" w:left="980" w:right="0"/>
        </w:sectPr>
      </w:pPr>
    </w:p>
    <w:p>
      <w:pPr>
        <w:spacing w:line="240" w:lineRule="auto" w:before="12"/>
        <w:rPr>
          <w:rFonts w:ascii="宋体" w:hAnsi="宋体" w:cs="宋体" w:eastAsia="宋体" w:hint="default"/>
          <w:sz w:val="26"/>
          <w:szCs w:val="26"/>
        </w:rPr>
      </w:pPr>
    </w:p>
    <w:p>
      <w:pPr>
        <w:pStyle w:val="Heading4"/>
        <w:spacing w:line="384" w:lineRule="auto" w:before="36"/>
        <w:ind w:right="1123" w:firstLine="422"/>
        <w:jc w:val="both"/>
      </w:pPr>
      <w:bookmarkStart w:name="公司旗下的酷动数码（Coodoo）是中国最大的苹果产品连锁门店，是苹果授权优质经" w:id="29"/>
      <w:bookmarkEnd w:id="29"/>
      <w:r>
        <w:rPr/>
      </w:r>
      <w:r>
        <w:rPr>
          <w:spacing w:val="-3"/>
        </w:rPr>
        <w:t>公司旗下的酷动数码（</w:t>
      </w:r>
      <w:r>
        <w:rPr>
          <w:rFonts w:ascii="Times New Roman" w:hAnsi="Times New Roman" w:cs="Times New Roman" w:eastAsia="Times New Roman" w:hint="default"/>
          <w:spacing w:val="-3"/>
        </w:rPr>
        <w:t>Coodoo</w:t>
      </w:r>
      <w:r>
        <w:rPr>
          <w:spacing w:val="-3"/>
        </w:rPr>
        <w:t>）是中国最大的苹果产品连锁门店，是苹果授权优质经销商（</w:t>
      </w:r>
      <w:r>
        <w:rPr>
          <w:rFonts w:ascii="Times New Roman" w:hAnsi="Times New Roman" w:cs="Times New Roman" w:eastAsia="Times New Roman" w:hint="default"/>
          <w:spacing w:val="-3"/>
        </w:rPr>
        <w:t>APR</w:t>
      </w:r>
      <w:r>
        <w:rPr>
          <w:spacing w:val="-3"/>
        </w:rPr>
        <w:t>）和</w:t>
      </w:r>
      <w:r>
        <w:rPr>
          <w:spacing w:val="-10"/>
          <w:w w:val="100"/>
        </w:rPr>
        <w:t> </w:t>
      </w:r>
      <w:r>
        <w:rPr>
          <w:spacing w:val="-3"/>
        </w:rPr>
        <w:t>服务提供商，在全国拥有近</w:t>
      </w:r>
      <w:r>
        <w:rPr>
          <w:spacing w:val="-3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9"/>
        </w:rPr>
        <w:t> </w:t>
      </w:r>
      <w:r>
        <w:rPr>
          <w:spacing w:val="-3"/>
        </w:rPr>
        <w:t>家苹果零售门店和维修站。</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9"/>
        </w:rPr>
        <w:t> </w:t>
      </w:r>
      <w:r>
        <w:rPr>
          <w:spacing w:val="-3"/>
        </w:rPr>
        <w:t>年，公司获得苹果中国区唯一一个线下渠</w:t>
      </w:r>
      <w:r>
        <w:rPr>
          <w:spacing w:val="-100"/>
        </w:rPr>
        <w:t> </w:t>
      </w:r>
      <w:r>
        <w:rPr>
          <w:spacing w:val="-100"/>
        </w:rPr>
      </w:r>
      <w:r>
        <w:rPr/>
        <w:t>道</w:t>
      </w:r>
      <w:r>
        <w:rPr>
          <w:spacing w:val="-55"/>
        </w:rPr>
        <w:t> </w:t>
      </w:r>
      <w:r>
        <w:rPr>
          <w:rFonts w:ascii="Times New Roman" w:hAnsi="Times New Roman" w:cs="Times New Roman" w:eastAsia="Times New Roman" w:hint="default"/>
        </w:rPr>
        <w:t>ACS</w:t>
      </w:r>
      <w:r>
        <w:rPr/>
        <w:t>（</w:t>
      </w:r>
      <w:r>
        <w:rPr>
          <w:rFonts w:ascii="Times New Roman" w:hAnsi="Times New Roman" w:cs="Times New Roman" w:eastAsia="Times New Roman" w:hint="default"/>
        </w:rPr>
        <w:t>AppleCare</w:t>
      </w:r>
      <w:r>
        <w:rPr>
          <w:rFonts w:ascii="Times New Roman" w:hAnsi="Times New Roman" w:cs="Times New Roman" w:eastAsia="Times New Roman" w:hint="default"/>
          <w:spacing w:val="-5"/>
        </w:rPr>
        <w:t> </w:t>
      </w:r>
      <w:r>
        <w:rPr>
          <w:rFonts w:ascii="Times New Roman" w:hAnsi="Times New Roman" w:cs="Times New Roman" w:eastAsia="Times New Roman" w:hint="default"/>
        </w:rPr>
        <w:t>Services</w:t>
      </w:r>
      <w:r>
        <w:rPr/>
        <w:t>）授权服务资质，提供厂家级的检测维修、升级换新、屏幕保障等服务。</w:t>
      </w:r>
    </w:p>
    <w:p>
      <w:pPr>
        <w:pStyle w:val="Heading3"/>
        <w:spacing w:line="240" w:lineRule="auto" w:before="193"/>
        <w:ind w:left="575" w:right="1126"/>
        <w:jc w:val="left"/>
        <w:rPr>
          <w:b w:val="0"/>
          <w:bCs w:val="0"/>
        </w:rPr>
      </w:pPr>
      <w:bookmarkStart w:name="4、通信服务" w:id="30"/>
      <w:bookmarkEnd w:id="30"/>
      <w:r>
        <w:rPr>
          <w:b w:val="0"/>
          <w:bCs w:val="0"/>
        </w:rPr>
      </w:r>
      <w:r>
        <w:rPr>
          <w:rFonts w:ascii="Times New Roman" w:hAnsi="Times New Roman" w:cs="Times New Roman" w:eastAsia="Times New Roman" w:hint="default"/>
        </w:rPr>
        <w:t>4</w:t>
      </w:r>
      <w:r>
        <w:rPr/>
        <w:t>、通信服务</w:t>
      </w:r>
      <w:r>
        <w:rPr>
          <w:b w:val="0"/>
          <w:bCs w:val="0"/>
        </w:rPr>
      </w:r>
    </w:p>
    <w:p>
      <w:pPr>
        <w:spacing w:line="240" w:lineRule="auto" w:before="11"/>
        <w:rPr>
          <w:rFonts w:ascii="宋体" w:hAnsi="宋体" w:cs="宋体" w:eastAsia="宋体" w:hint="default"/>
          <w:b/>
          <w:bCs/>
          <w:sz w:val="25"/>
          <w:szCs w:val="25"/>
        </w:rPr>
      </w:pPr>
    </w:p>
    <w:p>
      <w:pPr>
        <w:pStyle w:val="Heading4"/>
        <w:spacing w:line="396" w:lineRule="auto"/>
        <w:ind w:right="1117" w:firstLine="422"/>
        <w:jc w:val="both"/>
      </w:pPr>
      <w:bookmarkStart w:name="公司经营移动转售业务，通过自建的连接管理平台、物联网设备管理平台、大数据/AI平" w:id="31"/>
      <w:bookmarkEnd w:id="31"/>
      <w:r>
        <w:rPr/>
      </w:r>
      <w:r>
        <w:rPr/>
        <w:t>公司经营移动转售业务，通过自建的连接管理平台、物联网设备管理平台、大数据</w:t>
      </w:r>
      <w:r>
        <w:rPr>
          <w:rFonts w:ascii="Times New Roman" w:hAnsi="Times New Roman" w:cs="Times New Roman" w:eastAsia="Times New Roman" w:hint="default"/>
        </w:rPr>
        <w:t>/AI</w:t>
      </w:r>
      <w:r>
        <w:rPr>
          <w:rFonts w:ascii="Times New Roman" w:hAnsi="Times New Roman" w:cs="Times New Roman" w:eastAsia="Times New Roman" w:hint="default"/>
          <w:spacing w:val="18"/>
        </w:rPr>
        <w:t> </w:t>
      </w:r>
      <w:r>
        <w:rPr/>
        <w:t>平台和计费、</w:t>
      </w:r>
      <w:r>
        <w:rPr>
          <w:w w:val="100"/>
        </w:rPr>
        <w:t> </w:t>
      </w:r>
      <w:r>
        <w:rPr>
          <w:spacing w:val="-2"/>
        </w:rPr>
        <w:t>客服等业务支撑系统，连接基础运营商的核心网络，依靠覆盖全国的销售网点，为个人用户和企业客户提</w:t>
      </w:r>
      <w:r>
        <w:rPr>
          <w:spacing w:val="-31"/>
        </w:rPr>
        <w:t> </w:t>
      </w:r>
      <w:r>
        <w:rPr>
          <w:spacing w:val="-31"/>
        </w:rPr>
      </w:r>
      <w:r>
        <w:rPr/>
        <w:t>供专业、可靠的移动通信服务和物联网整体解决方案。</w:t>
      </w:r>
    </w:p>
    <w:p>
      <w:pPr>
        <w:spacing w:line="240" w:lineRule="auto" w:before="8"/>
        <w:rPr>
          <w:rFonts w:ascii="宋体" w:hAnsi="宋体" w:cs="宋体" w:eastAsia="宋体" w:hint="default"/>
          <w:sz w:val="16"/>
          <w:szCs w:val="16"/>
        </w:rPr>
      </w:pPr>
    </w:p>
    <w:p>
      <w:pPr>
        <w:pStyle w:val="Heading4"/>
        <w:spacing w:line="396" w:lineRule="auto"/>
        <w:ind w:right="1126" w:firstLine="422"/>
        <w:jc w:val="both"/>
      </w:pPr>
      <w:bookmarkStart w:name="公司坚持“智能连接+创新服务”，旗下的运营商品牌“U.友”已发展成为中国虚拟运营" w:id="32"/>
      <w:bookmarkEnd w:id="32"/>
      <w:r>
        <w:rPr/>
      </w:r>
      <w:r>
        <w:rPr/>
        <w:t>公司坚持“智能连接</w:t>
      </w:r>
      <w:r>
        <w:rPr>
          <w:rFonts w:ascii="Times New Roman" w:hAnsi="Times New Roman" w:cs="Times New Roman" w:eastAsia="Times New Roman" w:hint="default"/>
        </w:rPr>
        <w:t>+</w:t>
      </w:r>
      <w:r>
        <w:rPr/>
        <w:t>创新服务”，旗下的运营商品牌“</w:t>
      </w:r>
      <w:r>
        <w:rPr>
          <w:rFonts w:ascii="Times New Roman" w:hAnsi="Times New Roman" w:cs="Times New Roman" w:eastAsia="Times New Roman" w:hint="default"/>
        </w:rPr>
        <w:t>U.</w:t>
      </w:r>
      <w:r>
        <w:rPr/>
        <w:t>友”已发展成为中国虚拟运营商的头部品</w:t>
      </w:r>
      <w:r>
        <w:rPr>
          <w:w w:val="100"/>
        </w:rPr>
        <w:t> </w:t>
      </w:r>
      <w:r>
        <w:rPr>
          <w:spacing w:val="-2"/>
        </w:rPr>
        <w:t>牌。如今，公司已收获移动转售业务、国内多方通信、国内呼叫中心和互联网信息服务等多项通信服务资</w:t>
      </w:r>
      <w:r>
        <w:rPr>
          <w:spacing w:val="-33"/>
        </w:rPr>
        <w:t> </w:t>
      </w:r>
      <w:r>
        <w:rPr>
          <w:spacing w:val="-33"/>
        </w:rPr>
      </w:r>
      <w:r>
        <w:rPr/>
        <w:t>质，并持续深化与三大运营商在</w:t>
      </w:r>
      <w:r>
        <w:rPr>
          <w:spacing w:val="-49"/>
        </w:rPr>
        <w:t> </w:t>
      </w:r>
      <w:r>
        <w:rPr>
          <w:rFonts w:ascii="Times New Roman" w:hAnsi="Times New Roman" w:cs="Times New Roman" w:eastAsia="Times New Roman" w:hint="default"/>
        </w:rPr>
        <w:t>5G </w:t>
      </w:r>
      <w:r>
        <w:rPr/>
        <w:t>业务上的技术和服务创新。</w:t>
      </w:r>
    </w:p>
    <w:p>
      <w:pPr>
        <w:pStyle w:val="Heading3"/>
        <w:spacing w:line="240" w:lineRule="auto" w:before="182"/>
        <w:ind w:left="575" w:right="1126"/>
        <w:jc w:val="left"/>
        <w:rPr>
          <w:b w:val="0"/>
          <w:bCs w:val="0"/>
        </w:rPr>
      </w:pPr>
      <w:bookmarkStart w:name="（二）行业发展情况" w:id="33"/>
      <w:bookmarkEnd w:id="33"/>
      <w:r>
        <w:rPr>
          <w:b w:val="0"/>
          <w:bCs w:val="0"/>
        </w:rPr>
      </w:r>
      <w:r>
        <w:rPr/>
        <w:t>（二）行业发展情况</w:t>
      </w:r>
      <w:r>
        <w:rPr>
          <w:b w:val="0"/>
          <w:bCs w:val="0"/>
        </w:rPr>
      </w:r>
    </w:p>
    <w:p>
      <w:pPr>
        <w:spacing w:line="240" w:lineRule="auto" w:before="1"/>
        <w:rPr>
          <w:rFonts w:ascii="宋体" w:hAnsi="宋体" w:cs="宋体" w:eastAsia="宋体" w:hint="default"/>
          <w:b/>
          <w:bCs/>
          <w:sz w:val="27"/>
          <w:szCs w:val="27"/>
        </w:rPr>
      </w:pPr>
    </w:p>
    <w:p>
      <w:pPr>
        <w:pStyle w:val="Heading4"/>
        <w:spacing w:line="403" w:lineRule="auto"/>
        <w:ind w:right="1125" w:firstLine="422"/>
        <w:jc w:val="both"/>
      </w:pPr>
      <w:bookmarkStart w:name="公司是智能终端分销、供应链金融、零售和移动转售领域的行业领先者，在过去二十多年时" w:id="34"/>
      <w:bookmarkEnd w:id="34"/>
      <w:r>
        <w:rPr/>
      </w:r>
      <w:r>
        <w:rPr>
          <w:spacing w:val="-2"/>
        </w:rPr>
        <w:t>公司是智能终端分销、供应链金融、零售和移动转售领域的行业领先者，在过去二十多年时间里，随</w:t>
      </w:r>
      <w:r>
        <w:rPr>
          <w:w w:val="100"/>
        </w:rPr>
        <w:t> </w:t>
      </w:r>
      <w:r>
        <w:rPr/>
        <w:t>着中国移动通信和智能终端的大发展而快速成长，如今迈入</w:t>
      </w:r>
      <w:r>
        <w:rPr>
          <w:spacing w:val="-49"/>
        </w:rPr>
        <w:t> </w:t>
      </w:r>
      <w:r>
        <w:rPr>
          <w:rFonts w:ascii="Times New Roman" w:hAnsi="Times New Roman" w:cs="Times New Roman" w:eastAsia="Times New Roman" w:hint="default"/>
        </w:rPr>
        <w:t>5G</w:t>
      </w:r>
      <w:r>
        <w:rPr>
          <w:rFonts w:ascii="Times New Roman" w:hAnsi="Times New Roman" w:cs="Times New Roman" w:eastAsia="Times New Roman" w:hint="default"/>
          <w:spacing w:val="-3"/>
        </w:rPr>
        <w:t> </w:t>
      </w:r>
      <w:r>
        <w:rPr/>
        <w:t>通信和万物互联的新时代。</w:t>
      </w:r>
    </w:p>
    <w:p>
      <w:pPr>
        <w:pStyle w:val="Heading4"/>
        <w:spacing w:line="386" w:lineRule="auto" w:before="180"/>
        <w:ind w:right="1122" w:firstLine="422"/>
        <w:jc w:val="both"/>
      </w:pPr>
      <w:bookmarkStart w:name="中央政治局常委会会议指出，要加快释放新型消费潜力，积极丰富5G技术应用场景，带动" w:id="35"/>
      <w:bookmarkEnd w:id="35"/>
      <w:r>
        <w:rPr/>
      </w:r>
      <w:r>
        <w:rPr/>
        <w:t>中央政治局常委会会议指出，要加快释放新型消费潜力，积极丰富 </w:t>
      </w:r>
      <w:r>
        <w:rPr>
          <w:rFonts w:ascii="Times New Roman" w:hAnsi="Times New Roman" w:cs="Times New Roman" w:eastAsia="Times New Roman" w:hint="default"/>
        </w:rPr>
        <w:t>5G </w:t>
      </w:r>
      <w:r>
        <w:rPr/>
        <w:t>技术应用场景，带动 </w:t>
      </w:r>
      <w:r>
        <w:rPr>
          <w:rFonts w:ascii="Times New Roman" w:hAnsi="Times New Roman" w:cs="Times New Roman" w:eastAsia="Times New Roman" w:hint="default"/>
        </w:rPr>
        <w:t>5G</w:t>
      </w:r>
      <w:r>
        <w:rPr>
          <w:rFonts w:ascii="Times New Roman" w:hAnsi="Times New Roman" w:cs="Times New Roman" w:eastAsia="Times New Roman" w:hint="default"/>
          <w:spacing w:val="-9"/>
        </w:rPr>
        <w:t> </w:t>
      </w:r>
      <w:r>
        <w:rPr/>
        <w:t>手机</w:t>
      </w:r>
      <w:r>
        <w:rPr>
          <w:w w:val="100"/>
        </w:rPr>
        <w:t> </w:t>
      </w:r>
      <w:r>
        <w:rPr>
          <w:spacing w:val="-4"/>
        </w:rPr>
        <w:t>等终端消费。</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4"/>
        </w:rPr>
        <w:t> </w:t>
      </w:r>
      <w:r>
        <w:rPr>
          <w:spacing w:val="-9"/>
        </w:rPr>
        <w:t>年，中国</w:t>
      </w:r>
      <w:r>
        <w:rPr>
          <w:spacing w:val="-48"/>
        </w:rPr>
        <w:t> </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5"/>
        </w:rPr>
        <w:t> </w:t>
      </w:r>
      <w:r>
        <w:rPr/>
        <w:t>手机出货量近</w:t>
      </w:r>
      <w:r>
        <w:rPr>
          <w:spacing w:val="-54"/>
        </w:rPr>
        <w:t> </w:t>
      </w:r>
      <w:r>
        <w:rPr>
          <w:rFonts w:ascii="Times New Roman" w:hAnsi="Times New Roman" w:cs="Times New Roman" w:eastAsia="Times New Roman" w:hint="default"/>
        </w:rPr>
        <w:t>1,400</w:t>
      </w:r>
      <w:r>
        <w:rPr>
          <w:rFonts w:ascii="Times New Roman" w:hAnsi="Times New Roman" w:cs="Times New Roman" w:eastAsia="Times New Roman" w:hint="default"/>
          <w:spacing w:val="-2"/>
        </w:rPr>
        <w:t> </w:t>
      </w:r>
      <w:r>
        <w:rPr>
          <w:spacing w:val="-8"/>
        </w:rPr>
        <w:t>万台，在</w:t>
      </w:r>
      <w:r>
        <w:rPr>
          <w:spacing w:val="-49"/>
        </w:rPr>
        <w:t> </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5"/>
        </w:rPr>
        <w:t> </w:t>
      </w:r>
      <w:r>
        <w:rPr/>
        <w:t>商用短短</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7"/>
        </w:rPr>
        <w:t>个月、发牌</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个月的时间里，</w:t>
      </w:r>
      <w:r>
        <w:rPr>
          <w:w w:val="100"/>
        </w:rPr>
        <w:t> </w:t>
      </w:r>
      <w:r>
        <w:rPr/>
        <w:t>已形成全球最大的</w:t>
      </w:r>
      <w:r>
        <w:rPr>
          <w:spacing w:val="-46"/>
        </w:rPr>
        <w:t> </w:t>
      </w:r>
      <w:r>
        <w:rPr>
          <w:rFonts w:ascii="Times New Roman" w:hAnsi="Times New Roman" w:cs="Times New Roman" w:eastAsia="Times New Roman" w:hint="default"/>
        </w:rPr>
        <w:t>5G</w:t>
      </w:r>
      <w:r>
        <w:rPr>
          <w:rFonts w:ascii="Times New Roman" w:hAnsi="Times New Roman" w:cs="Times New Roman" w:eastAsia="Times New Roman" w:hint="default"/>
          <w:spacing w:val="7"/>
        </w:rPr>
        <w:t> </w:t>
      </w:r>
      <w:r>
        <w:rPr/>
        <w:t>手机市场。预计</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年，在</w:t>
      </w:r>
      <w:r>
        <w:rPr>
          <w:spacing w:val="-46"/>
        </w:rPr>
        <w:t> </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7"/>
        </w:rPr>
        <w:t> </w:t>
      </w:r>
      <w:r>
        <w:rPr/>
        <w:t>换机潮的推动下，</w:t>
      </w:r>
      <w:r>
        <w:rPr>
          <w:rFonts w:ascii="Times New Roman" w:hAnsi="Times New Roman" w:cs="Times New Roman" w:eastAsia="Times New Roman" w:hint="default"/>
        </w:rPr>
        <w:t>5G</w:t>
      </w:r>
      <w:r>
        <w:rPr>
          <w:rFonts w:ascii="Times New Roman" w:hAnsi="Times New Roman" w:cs="Times New Roman" w:eastAsia="Times New Roman" w:hint="default"/>
          <w:spacing w:val="7"/>
        </w:rPr>
        <w:t> </w:t>
      </w:r>
      <w:r>
        <w:rPr/>
        <w:t>手机会明显起量，将有约</w:t>
      </w:r>
      <w:r>
        <w:rPr>
          <w:spacing w:val="-46"/>
        </w:rPr>
        <w:t> </w:t>
      </w:r>
      <w:r>
        <w:rPr>
          <w:rFonts w:ascii="Times New Roman" w:hAnsi="Times New Roman" w:cs="Times New Roman" w:eastAsia="Times New Roman" w:hint="default"/>
          <w:spacing w:val="-5"/>
        </w:rPr>
        <w:t>10</w:t>
      </w:r>
      <w:r>
        <w:rPr>
          <w:rFonts w:ascii="Times New Roman" w:hAnsi="Times New Roman" w:cs="Times New Roman" w:eastAsia="Times New Roman" w:hint="default"/>
          <w:spacing w:val="-5"/>
          <w:w w:val="100"/>
        </w:rPr>
        <w:t> </w:t>
      </w:r>
      <w:r>
        <w:rPr/>
        <w:t>个品牌厂商推出</w:t>
      </w:r>
      <w:r>
        <w:rPr>
          <w:spacing w:val="-51"/>
        </w:rPr>
        <w:t> </w:t>
      </w:r>
      <w:r>
        <w:rPr>
          <w:rFonts w:ascii="Times New Roman" w:hAnsi="Times New Roman" w:cs="Times New Roman" w:eastAsia="Times New Roman" w:hint="default"/>
        </w:rPr>
        <w:t>5G</w:t>
      </w:r>
      <w:r>
        <w:rPr>
          <w:rFonts w:ascii="Times New Roman" w:hAnsi="Times New Roman" w:cs="Times New Roman" w:eastAsia="Times New Roman" w:hint="default"/>
          <w:spacing w:val="-3"/>
        </w:rPr>
        <w:t> </w:t>
      </w:r>
      <w:r>
        <w:rPr/>
        <w:t>手机，款型超</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款。</w:t>
      </w:r>
    </w:p>
    <w:p>
      <w:pPr>
        <w:pStyle w:val="Heading4"/>
        <w:spacing w:line="384" w:lineRule="auto" w:before="196"/>
        <w:ind w:right="1120" w:firstLine="422"/>
        <w:jc w:val="both"/>
      </w:pPr>
      <w:bookmarkStart w:name="伴随5G技术的发展，泛智能终端开始广泛应用，智能穿戴、智能家居、智慧医疗、无人机" w:id="36"/>
      <w:bookmarkEnd w:id="36"/>
      <w:r>
        <w:rPr/>
      </w:r>
      <w:r>
        <w:rPr/>
        <w:t>伴随 </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6"/>
        </w:rPr>
        <w:t> </w:t>
      </w:r>
      <w:r>
        <w:rPr/>
        <w:t>技术的发展，泛智能终端开始广泛应用，智能穿戴、智能家居、智慧医疗、无人机等快速进</w:t>
      </w:r>
      <w:r>
        <w:rPr>
          <w:w w:val="100"/>
        </w:rPr>
        <w:t> </w:t>
      </w:r>
      <w:r>
        <w:rPr/>
        <w:t>入到我们的生活，推动“物联网</w:t>
      </w:r>
      <w:r>
        <w:rPr>
          <w:rFonts w:ascii="Times New Roman" w:hAnsi="Times New Roman" w:cs="Times New Roman" w:eastAsia="Times New Roman" w:hint="default"/>
        </w:rPr>
        <w:t>+</w:t>
      </w:r>
      <w:r>
        <w:rPr/>
        <w:t>”全面升级。据前瞻产业研究院的数据显示，</w:t>
      </w:r>
      <w:r>
        <w:rPr>
          <w:rFonts w:ascii="Times New Roman" w:hAnsi="Times New Roman" w:cs="Times New Roman" w:eastAsia="Times New Roman" w:hint="default"/>
        </w:rPr>
        <w:t>2020</w:t>
      </w:r>
      <w:r>
        <w:rPr>
          <w:rFonts w:ascii="Times New Roman" w:hAnsi="Times New Roman" w:cs="Times New Roman" w:eastAsia="Times New Roman" w:hint="default"/>
          <w:spacing w:val="20"/>
        </w:rPr>
        <w:t> </w:t>
      </w:r>
      <w:r>
        <w:rPr/>
        <w:t>年中国物联网连接数</w:t>
      </w:r>
      <w:r>
        <w:rPr>
          <w:w w:val="100"/>
        </w:rPr>
        <w:t> </w:t>
      </w:r>
      <w:r>
        <w:rPr/>
        <w:t>将达到</w:t>
      </w:r>
      <w:r>
        <w:rPr>
          <w:spacing w:val="-53"/>
        </w:rPr>
        <w:t> </w:t>
      </w:r>
      <w:r>
        <w:rPr>
          <w:rFonts w:ascii="Times New Roman" w:hAnsi="Times New Roman" w:cs="Times New Roman" w:eastAsia="Times New Roman" w:hint="default"/>
        </w:rPr>
        <w:t>40 </w:t>
      </w:r>
      <w:r>
        <w:rPr/>
        <w:t>亿，产业规模突破</w:t>
      </w:r>
      <w:r>
        <w:rPr>
          <w:spacing w:val="-52"/>
        </w:rPr>
        <w:t> </w:t>
      </w:r>
      <w:r>
        <w:rPr>
          <w:rFonts w:ascii="Times New Roman" w:hAnsi="Times New Roman" w:cs="Times New Roman" w:eastAsia="Times New Roman" w:hint="default"/>
        </w:rPr>
        <w:t>16,500 </w:t>
      </w:r>
      <w:r>
        <w:rPr/>
        <w:t>亿元。</w:t>
      </w:r>
    </w:p>
    <w:p>
      <w:pPr>
        <w:spacing w:line="240" w:lineRule="auto" w:before="2"/>
        <w:rPr>
          <w:rFonts w:ascii="宋体" w:hAnsi="宋体" w:cs="宋体" w:eastAsia="宋体" w:hint="default"/>
          <w:sz w:val="15"/>
          <w:szCs w:val="15"/>
        </w:rPr>
      </w:pPr>
    </w:p>
    <w:p>
      <w:pPr>
        <w:pStyle w:val="Heading4"/>
        <w:spacing w:line="381" w:lineRule="auto"/>
        <w:ind w:right="1126" w:firstLine="422"/>
        <w:jc w:val="both"/>
      </w:pPr>
      <w:r>
        <w:rPr>
          <w:rFonts w:ascii="Times New Roman" w:hAnsi="Times New Roman" w:cs="Times New Roman" w:eastAsia="Times New Roman" w:hint="default"/>
          <w:spacing w:val="-3"/>
        </w:rPr>
        <w:t>5G</w:t>
      </w:r>
      <w:r>
        <w:rPr>
          <w:spacing w:val="-3"/>
        </w:rPr>
        <w:t>和万物互联时代的到来为公司业务的持续发展带来更大的增长空间，也是公司构建智慧供应链、智</w:t>
      </w:r>
      <w:r>
        <w:rPr>
          <w:w w:val="100"/>
        </w:rPr>
        <w:t> </w:t>
      </w:r>
      <w:r>
        <w:rPr/>
        <w:t>慧零售和智慧连接三大平台的时代机遇。</w:t>
      </w:r>
    </w:p>
    <w:p>
      <w:pPr>
        <w:spacing w:line="240" w:lineRule="auto" w:before="1"/>
        <w:rPr>
          <w:rFonts w:ascii="宋体" w:hAnsi="宋体" w:cs="宋体" w:eastAsia="宋体" w:hint="default"/>
          <w:sz w:val="20"/>
          <w:szCs w:val="20"/>
        </w:rPr>
      </w:pPr>
    </w:p>
    <w:p>
      <w:pPr>
        <w:pStyle w:val="Heading2"/>
        <w:spacing w:line="240" w:lineRule="auto"/>
        <w:ind w:right="1126"/>
        <w:jc w:val="left"/>
        <w:rPr>
          <w:b w:val="0"/>
          <w:bCs w:val="0"/>
        </w:rPr>
      </w:pPr>
      <w:bookmarkStart w:name="二、主要资产重大变化情况" w:id="37"/>
      <w:bookmarkEnd w:id="37"/>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主要资产重大变化情况" w:id="38"/>
      <w:bookmarkEnd w:id="38"/>
      <w:r>
        <w:rPr>
          <w:b w:val="0"/>
          <w:bCs w:val="0"/>
        </w:rPr>
      </w:r>
      <w:r>
        <w:rPr>
          <w:rFonts w:ascii="Times New Roman" w:hAnsi="Times New Roman" w:cs="Times New Roman" w:eastAsia="Times New Roman" w:hint="default"/>
        </w:rPr>
        <w:t>1</w:t>
      </w:r>
      <w:r>
        <w:rPr/>
        <w:t>、主要资产重大变化情况</w:t>
      </w:r>
      <w:r>
        <w:rPr>
          <w:b w:val="0"/>
          <w:bCs w:val="0"/>
        </w:rPr>
      </w:r>
    </w:p>
    <w:p>
      <w:pPr>
        <w:spacing w:after="0" w:line="240" w:lineRule="auto"/>
        <w:jc w:val="left"/>
        <w:sectPr>
          <w:pgSz w:w="11910" w:h="16840"/>
          <w:pgMar w:header="871" w:footer="1474" w:top="1100" w:bottom="16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127"/>
        <w:gridCol w:w="7097"/>
      </w:tblGrid>
      <w:tr>
        <w:trPr>
          <w:trHeight w:val="76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84.30%</w:t>
            </w:r>
            <w:r>
              <w:rPr>
                <w:rFonts w:ascii="宋体" w:hAnsi="宋体" w:cs="宋体" w:eastAsia="宋体" w:hint="default"/>
                <w:spacing w:val="-3"/>
                <w:sz w:val="18"/>
                <w:szCs w:val="18"/>
              </w:rPr>
              <w:t>，系本期子公司确认投资损失所致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固定资产无重大变化</w:t>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无形资产无重大变化</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，系爱施德小贷资金平台增加系统建设所致</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73.66%</w:t>
            </w:r>
            <w:r>
              <w:rPr>
                <w:rFonts w:ascii="宋体" w:hAnsi="宋体" w:cs="宋体" w:eastAsia="宋体" w:hint="default"/>
                <w:spacing w:val="-3"/>
                <w:sz w:val="18"/>
                <w:szCs w:val="18"/>
              </w:rPr>
              <w:t>，主要系期末预付厂家货款增加所致</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76.79%</w:t>
            </w:r>
            <w:r>
              <w:rPr>
                <w:rFonts w:ascii="宋体" w:hAnsi="宋体" w:cs="宋体" w:eastAsia="宋体" w:hint="default"/>
                <w:spacing w:val="-3"/>
                <w:sz w:val="18"/>
                <w:szCs w:val="18"/>
              </w:rPr>
              <w:t>，主要系本期赎回上期末未到期理财产品所致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2、主要境外资产情况" w:id="39"/>
      <w:bookmarkEnd w:id="3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三、核心竞争力分析" w:id="40"/>
      <w:bookmarkEnd w:id="40"/>
      <w:r>
        <w:rPr>
          <w:b w:val="0"/>
          <w:bCs w:val="0"/>
        </w:rPr>
      </w:r>
      <w:r>
        <w:rPr/>
        <w:t>三、核心竞争力分析</w:t>
      </w:r>
      <w:r>
        <w:rPr>
          <w:b w:val="0"/>
          <w:bCs w:val="0"/>
        </w:rPr>
      </w:r>
    </w:p>
    <w:p>
      <w:pPr>
        <w:spacing w:line="630" w:lineRule="atLeast" w:before="52"/>
        <w:ind w:left="575" w:right="1126" w:firstLine="0"/>
        <w:jc w:val="left"/>
        <w:rPr>
          <w:rFonts w:ascii="宋体" w:hAnsi="宋体" w:cs="宋体" w:eastAsia="宋体" w:hint="default"/>
          <w:sz w:val="21"/>
          <w:szCs w:val="21"/>
        </w:rPr>
      </w:pPr>
      <w:r>
        <w:rPr>
          <w:rFonts w:ascii="宋体" w:hAnsi="宋体" w:cs="宋体" w:eastAsia="宋体" w:hint="default"/>
          <w:b/>
          <w:bCs/>
          <w:sz w:val="21"/>
          <w:szCs w:val="21"/>
        </w:rPr>
        <w:t>（一）“爱施德”二十多年的品牌打造，铸就</w:t>
      </w:r>
      <w:r>
        <w:rPr>
          <w:rFonts w:ascii="宋体" w:hAnsi="宋体" w:cs="宋体" w:eastAsia="宋体" w:hint="default"/>
          <w:b/>
          <w:bCs/>
          <w:sz w:val="21"/>
          <w:szCs w:val="21"/>
        </w:rPr>
        <w:t>5G</w:t>
      </w:r>
      <w:r>
        <w:rPr>
          <w:rFonts w:ascii="宋体" w:hAnsi="宋体" w:cs="宋体" w:eastAsia="宋体" w:hint="default"/>
          <w:b/>
          <w:bCs/>
          <w:sz w:val="21"/>
          <w:szCs w:val="21"/>
        </w:rPr>
        <w:t>时代的竞争优势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公司一直是国内外知名手机品牌和三大运营商的长期战略合作伙伴，依靠强大的销售服务能力为上下</w:t>
      </w:r>
    </w:p>
    <w:p>
      <w:pPr>
        <w:spacing w:line="240" w:lineRule="auto" w:before="12"/>
        <w:rPr>
          <w:rFonts w:ascii="宋体" w:hAnsi="宋体" w:cs="宋体" w:eastAsia="宋体" w:hint="default"/>
          <w:sz w:val="14"/>
          <w:szCs w:val="14"/>
        </w:rPr>
      </w:pPr>
    </w:p>
    <w:p>
      <w:pPr>
        <w:pStyle w:val="Heading4"/>
        <w:spacing w:line="405" w:lineRule="auto"/>
        <w:ind w:right="1125"/>
        <w:jc w:val="both"/>
      </w:pPr>
      <w:r>
        <w:rPr>
          <w:spacing w:val="-2"/>
        </w:rPr>
        <w:t>游客户创造行业领先的服务价值。公司始终坚持“运营效率领先、行业地位领先、品牌合作领先和服务价</w:t>
      </w:r>
      <w:r>
        <w:rPr>
          <w:spacing w:val="-33"/>
        </w:rPr>
        <w:t> </w:t>
      </w:r>
      <w:r>
        <w:rPr>
          <w:spacing w:val="-33"/>
        </w:rPr>
      </w:r>
      <w:r>
        <w:rPr>
          <w:spacing w:val="-2"/>
        </w:rPr>
        <w:t>值领先”，持续构建能力、提升效率。同时，公司始终坚持科技创新，在移动转售、金融科技和手机保障</w:t>
      </w:r>
      <w:r>
        <w:rPr>
          <w:spacing w:val="-33"/>
        </w:rPr>
        <w:t> </w:t>
      </w:r>
      <w:r>
        <w:rPr>
          <w:spacing w:val="-33"/>
        </w:rPr>
      </w:r>
      <w:r>
        <w:rPr>
          <w:spacing w:val="-2"/>
        </w:rPr>
        <w:t>等领域均获得国家高新技术企业资质，铸就了优秀的行业品牌，深受厂商和客户的信任与支持。公司也做</w:t>
      </w:r>
      <w:r>
        <w:rPr>
          <w:spacing w:val="-33"/>
        </w:rPr>
        <w:t> </w:t>
      </w:r>
      <w:r>
        <w:rPr>
          <w:spacing w:val="-33"/>
        </w:rPr>
      </w:r>
      <w:r>
        <w:rPr/>
        <w:t>好了</w:t>
      </w:r>
      <w:r>
        <w:rPr>
          <w:rFonts w:ascii="Times New Roman" w:hAnsi="Times New Roman" w:cs="Times New Roman" w:eastAsia="Times New Roman" w:hint="default"/>
        </w:rPr>
        <w:t>5G</w:t>
      </w:r>
      <w:r>
        <w:rPr/>
        <w:t>时代的品牌、品类和渠道资源的战略储备，助推</w:t>
      </w:r>
      <w:r>
        <w:rPr>
          <w:rFonts w:ascii="Times New Roman" w:hAnsi="Times New Roman" w:cs="Times New Roman" w:eastAsia="Times New Roman" w:hint="default"/>
        </w:rPr>
        <w:t>5G</w:t>
      </w:r>
      <w:r>
        <w:rPr/>
        <w:t>智能终端和</w:t>
      </w:r>
      <w:r>
        <w:rPr>
          <w:rFonts w:ascii="Times New Roman" w:hAnsi="Times New Roman" w:cs="Times New Roman" w:eastAsia="Times New Roman" w:hint="default"/>
        </w:rPr>
        <w:t>5G</w:t>
      </w:r>
      <w:r>
        <w:rPr/>
        <w:t>移动通信服务的广泛应用。</w:t>
      </w:r>
    </w:p>
    <w:p>
      <w:pPr>
        <w:pStyle w:val="Heading3"/>
        <w:spacing w:line="240" w:lineRule="auto" w:before="173"/>
        <w:ind w:left="575" w:right="1126"/>
        <w:jc w:val="left"/>
        <w:rPr>
          <w:b w:val="0"/>
          <w:bCs w:val="0"/>
        </w:rPr>
      </w:pPr>
      <w:r>
        <w:rPr/>
        <w:t>（二）构建三大智慧平台，释放新形势下的平台能力</w:t>
      </w:r>
      <w:r>
        <w:rPr>
          <w:b w:val="0"/>
          <w:bCs w:val="0"/>
        </w:rPr>
      </w:r>
    </w:p>
    <w:p>
      <w:pPr>
        <w:spacing w:line="240" w:lineRule="auto" w:before="1"/>
        <w:rPr>
          <w:rFonts w:ascii="宋体" w:hAnsi="宋体" w:cs="宋体" w:eastAsia="宋体" w:hint="default"/>
          <w:b/>
          <w:bCs/>
          <w:sz w:val="27"/>
          <w:szCs w:val="27"/>
        </w:rPr>
      </w:pPr>
    </w:p>
    <w:p>
      <w:pPr>
        <w:pStyle w:val="Heading4"/>
        <w:spacing w:line="400" w:lineRule="auto"/>
        <w:ind w:right="0" w:firstLine="422"/>
        <w:jc w:val="left"/>
      </w:pPr>
      <w:r>
        <w:rPr/>
        <w:t>通过行业领先的</w:t>
      </w:r>
      <w:r>
        <w:rPr>
          <w:rFonts w:ascii="Times New Roman" w:hAnsi="Times New Roman" w:cs="Times New Roman" w:eastAsia="Times New Roman" w:hint="default"/>
        </w:rPr>
        <w:t>IT</w:t>
      </w:r>
      <w:r>
        <w:rPr/>
        <w:t>支撑能力和多元化的运营管理机制，公司基于四大主营业务构建了智慧供应链、智</w:t>
      </w:r>
      <w:r>
        <w:rPr>
          <w:w w:val="100"/>
        </w:rPr>
        <w:t> </w:t>
      </w:r>
      <w:r>
        <w:rPr/>
        <w:t>慧零售和智慧连接三大平台，打破公司内部业务单位边界，重构业务优势资源，强化了产业间协同效应，</w:t>
      </w:r>
      <w:r>
        <w:rPr>
          <w:spacing w:val="-30"/>
        </w:rPr>
        <w:t> </w:t>
      </w:r>
      <w:r>
        <w:rPr>
          <w:spacing w:val="-30"/>
        </w:rPr>
      </w:r>
      <w:r>
        <w:rPr>
          <w:spacing w:val="-7"/>
        </w:rPr>
        <w:t>提升了组织效率和运营效率，已经在业务上实现了线上线下融合发展和一点接入、多点响应。在新形势下，</w:t>
      </w:r>
      <w:r>
        <w:rPr>
          <w:spacing w:val="-6"/>
        </w:rPr>
        <w:t> </w:t>
      </w:r>
      <w:r>
        <w:rPr>
          <w:spacing w:val="-6"/>
        </w:rPr>
      </w:r>
      <w:r>
        <w:rPr/>
        <w:t>平台战略将更加走向开放和赋能，为产业合作伙伴和上下游客户创造价值。</w:t>
      </w:r>
    </w:p>
    <w:p>
      <w:pPr>
        <w:spacing w:line="240" w:lineRule="auto" w:before="13"/>
        <w:rPr>
          <w:rFonts w:ascii="宋体" w:hAnsi="宋体" w:cs="宋体" w:eastAsia="宋体" w:hint="default"/>
          <w:sz w:val="15"/>
          <w:szCs w:val="15"/>
        </w:rPr>
      </w:pPr>
    </w:p>
    <w:p>
      <w:pPr>
        <w:pStyle w:val="Heading3"/>
        <w:spacing w:line="240" w:lineRule="auto"/>
        <w:ind w:left="575" w:right="1126"/>
        <w:jc w:val="left"/>
        <w:rPr>
          <w:b w:val="0"/>
          <w:bCs w:val="0"/>
        </w:rPr>
      </w:pPr>
      <w:r>
        <w:rPr/>
        <w:t>（三）强大的服务能力和销售网络，成就行业领先的全链条销售服务商</w:t>
      </w:r>
      <w:r>
        <w:rPr>
          <w:b w:val="0"/>
          <w:bCs w:val="0"/>
        </w:rPr>
      </w:r>
    </w:p>
    <w:p>
      <w:pPr>
        <w:spacing w:line="240" w:lineRule="auto" w:before="1"/>
        <w:rPr>
          <w:rFonts w:ascii="宋体" w:hAnsi="宋体" w:cs="宋体" w:eastAsia="宋体" w:hint="default"/>
          <w:b/>
          <w:bCs/>
          <w:sz w:val="27"/>
          <w:szCs w:val="27"/>
        </w:rPr>
      </w:pPr>
    </w:p>
    <w:p>
      <w:pPr>
        <w:pStyle w:val="Heading4"/>
        <w:spacing w:line="386" w:lineRule="auto"/>
        <w:ind w:right="911" w:firstLine="422"/>
        <w:jc w:val="left"/>
      </w:pPr>
      <w:r>
        <w:rPr>
          <w:spacing w:val="-2"/>
        </w:rPr>
        <w:t>公司的智能终端分销及供应链网络覆盖全球。在国内设有</w:t>
      </w:r>
      <w:r>
        <w:rPr>
          <w:rFonts w:ascii="Times New Roman" w:hAnsi="Times New Roman" w:cs="Times New Roman" w:eastAsia="Times New Roman" w:hint="default"/>
          <w:spacing w:val="-2"/>
        </w:rPr>
        <w:t>30</w:t>
      </w:r>
      <w:r>
        <w:rPr>
          <w:spacing w:val="-2"/>
        </w:rPr>
        <w:t>多个分支机构和办事处服务</w:t>
      </w:r>
      <w:r>
        <w:rPr>
          <w:rFonts w:ascii="Times New Roman" w:hAnsi="Times New Roman" w:cs="Times New Roman" w:eastAsia="Times New Roman" w:hint="default"/>
          <w:spacing w:val="-2"/>
        </w:rPr>
        <w:t>31</w:t>
      </w:r>
      <w:r>
        <w:rPr>
          <w:spacing w:val="-2"/>
        </w:rPr>
        <w:t>个省级区域，</w:t>
      </w:r>
      <w:r>
        <w:rPr>
          <w:w w:val="100"/>
        </w:rPr>
        <w:t> </w:t>
      </w:r>
      <w:r>
        <w:rPr/>
        <w:t>覆盖</w:t>
      </w:r>
      <w:r>
        <w:rPr>
          <w:rFonts w:ascii="Times New Roman" w:hAnsi="Times New Roman" w:cs="Times New Roman" w:eastAsia="Times New Roman" w:hint="default"/>
        </w:rPr>
        <w:t>T1-T6</w:t>
      </w:r>
      <w:r>
        <w:rPr/>
        <w:t>全渠道和</w:t>
      </w:r>
      <w:r>
        <w:rPr>
          <w:rFonts w:ascii="Times New Roman" w:hAnsi="Times New Roman" w:cs="Times New Roman" w:eastAsia="Times New Roman" w:hint="default"/>
        </w:rPr>
        <w:t>10</w:t>
      </w:r>
      <w:r>
        <w:rPr/>
        <w:t>万家零售门店及线上零售商，管控</w:t>
      </w:r>
      <w:r>
        <w:rPr>
          <w:rFonts w:ascii="Times New Roman" w:hAnsi="Times New Roman" w:cs="Times New Roman" w:eastAsia="Times New Roman" w:hint="default"/>
        </w:rPr>
        <w:t>5</w:t>
      </w:r>
      <w:r>
        <w:rPr/>
        <w:t>大配送中心和</w:t>
      </w:r>
      <w:r>
        <w:rPr>
          <w:rFonts w:ascii="Times New Roman" w:hAnsi="Times New Roman" w:cs="Times New Roman" w:eastAsia="Times New Roman" w:hint="default"/>
        </w:rPr>
        <w:t>30</w:t>
      </w:r>
      <w:r>
        <w:rPr/>
        <w:t>余个区域分仓；在海外的</w:t>
      </w:r>
      <w:r>
        <w:rPr>
          <w:rFonts w:ascii="Times New Roman" w:hAnsi="Times New Roman" w:cs="Times New Roman" w:eastAsia="Times New Roman" w:hint="default"/>
        </w:rPr>
        <w:t>11</w:t>
      </w:r>
      <w:r>
        <w:rPr/>
        <w:t>个国</w:t>
      </w:r>
      <w:r>
        <w:rPr>
          <w:spacing w:val="-5"/>
          <w:w w:val="100"/>
        </w:rPr>
        <w:t> </w:t>
      </w:r>
      <w:r>
        <w:rPr/>
        <w:t>家和地区实现仓储布局，稳步开拓海外市场。同时，公司是苹果授权优质经销商（</w:t>
      </w:r>
      <w:r>
        <w:rPr>
          <w:rFonts w:ascii="Times New Roman" w:hAnsi="Times New Roman" w:cs="Times New Roman" w:eastAsia="Times New Roman" w:hint="default"/>
        </w:rPr>
        <w:t>APR</w:t>
      </w:r>
      <w:r>
        <w:rPr/>
        <w:t>）和保障服务提供</w:t>
      </w:r>
      <w:r>
        <w:rPr>
          <w:w w:val="100"/>
        </w:rPr>
        <w:t> </w:t>
      </w:r>
      <w:r>
        <w:rPr/>
        <w:t>商（</w:t>
      </w:r>
      <w:r>
        <w:rPr>
          <w:rFonts w:ascii="Times New Roman" w:hAnsi="Times New Roman" w:cs="Times New Roman" w:eastAsia="Times New Roman" w:hint="default"/>
        </w:rPr>
        <w:t>ACS</w:t>
      </w:r>
      <w:r>
        <w:rPr/>
        <w:t>），在全国的各大高端商圈自营近</w:t>
      </w:r>
      <w:r>
        <w:rPr>
          <w:rFonts w:ascii="Times New Roman" w:hAnsi="Times New Roman" w:cs="Times New Roman" w:eastAsia="Times New Roman" w:hint="default"/>
        </w:rPr>
        <w:t>100</w:t>
      </w:r>
      <w:r>
        <w:rPr/>
        <w:t>家苹果零售店和维修站，管理</w:t>
      </w:r>
      <w:r>
        <w:rPr>
          <w:rFonts w:ascii="Times New Roman" w:hAnsi="Times New Roman" w:cs="Times New Roman" w:eastAsia="Times New Roman" w:hint="default"/>
        </w:rPr>
        <w:t>600</w:t>
      </w:r>
      <w:r>
        <w:rPr/>
        <w:t>多家苹果</w:t>
      </w:r>
      <w:r>
        <w:rPr>
          <w:rFonts w:ascii="Times New Roman" w:hAnsi="Times New Roman" w:cs="Times New Roman" w:eastAsia="Times New Roman" w:hint="default"/>
        </w:rPr>
        <w:t>MONO</w:t>
      </w:r>
      <w:r>
        <w:rPr/>
        <w:t>店，为消</w:t>
      </w:r>
    </w:p>
    <w:p>
      <w:pPr>
        <w:spacing w:after="0" w:line="386" w:lineRule="auto"/>
        <w:jc w:val="left"/>
        <w:sectPr>
          <w:pgSz w:w="11910" w:h="16840"/>
          <w:pgMar w:header="871" w:footer="1474" w:top="1100" w:bottom="1660" w:left="980" w:right="0"/>
        </w:sectPr>
      </w:pPr>
    </w:p>
    <w:p>
      <w:pPr>
        <w:spacing w:line="240" w:lineRule="auto" w:before="7"/>
        <w:rPr>
          <w:rFonts w:ascii="宋体" w:hAnsi="宋体" w:cs="宋体" w:eastAsia="宋体" w:hint="default"/>
          <w:sz w:val="26"/>
          <w:szCs w:val="26"/>
        </w:rPr>
      </w:pPr>
    </w:p>
    <w:p>
      <w:pPr>
        <w:pStyle w:val="Heading4"/>
        <w:spacing w:line="240" w:lineRule="auto" w:before="36"/>
        <w:ind w:right="0"/>
        <w:jc w:val="both"/>
      </w:pPr>
      <w:r>
        <w:rPr/>
        <w:t>费者提供专业、高效、优质的苹果销售、维修、培训、保障等服务。</w:t>
      </w:r>
    </w:p>
    <w:p>
      <w:pPr>
        <w:spacing w:line="630" w:lineRule="exact" w:before="90"/>
        <w:ind w:left="575" w:right="1126"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（四）行业领先的</w:t>
      </w:r>
      <w:r>
        <w:rPr>
          <w:rFonts w:ascii="宋体" w:hAnsi="宋体" w:cs="宋体" w:eastAsia="宋体" w:hint="default"/>
          <w:b/>
          <w:bCs/>
          <w:sz w:val="21"/>
          <w:szCs w:val="21"/>
        </w:rPr>
        <w:t>IT</w:t>
      </w:r>
      <w:r>
        <w:rPr>
          <w:rFonts w:ascii="宋体" w:hAnsi="宋体" w:cs="宋体" w:eastAsia="宋体" w:hint="default"/>
          <w:b/>
          <w:bCs/>
          <w:sz w:val="21"/>
          <w:szCs w:val="21"/>
        </w:rPr>
        <w:t>支撑能力，实现各产业单位高效运营和战略协同</w:t>
      </w:r>
      <w:r>
        <w:rPr>
          <w:rFonts w:ascii="宋体" w:hAnsi="宋体" w:cs="宋体" w:eastAsia="宋体" w:hint="default"/>
          <w:b/>
          <w:bCs/>
          <w:w w:val="100"/>
          <w:sz w:val="21"/>
          <w:szCs w:val="21"/>
        </w:rPr>
        <w:t> </w:t>
      </w:r>
      <w:r>
        <w:rPr>
          <w:rFonts w:ascii="宋体" w:hAnsi="宋体" w:cs="宋体" w:eastAsia="宋体" w:hint="default"/>
          <w:sz w:val="21"/>
          <w:szCs w:val="21"/>
        </w:rPr>
        <w:t>公司多年来注重科技人才培养及</w:t>
      </w:r>
      <w:r>
        <w:rPr>
          <w:rFonts w:ascii="Times New Roman" w:hAnsi="Times New Roman" w:cs="Times New Roman" w:eastAsia="Times New Roman" w:hint="default"/>
          <w:sz w:val="21"/>
          <w:szCs w:val="21"/>
        </w:rPr>
        <w:t>IT</w:t>
      </w:r>
      <w:r>
        <w:rPr>
          <w:rFonts w:ascii="宋体" w:hAnsi="宋体" w:cs="宋体" w:eastAsia="宋体" w:hint="default"/>
          <w:sz w:val="21"/>
          <w:szCs w:val="21"/>
        </w:rPr>
        <w:t>研发能力建设，确保</w:t>
      </w:r>
      <w:r>
        <w:rPr>
          <w:rFonts w:ascii="宋体" w:hAnsi="宋体" w:cs="宋体" w:eastAsia="宋体" w:hint="default"/>
          <w:sz w:val="21"/>
          <w:szCs w:val="21"/>
        </w:rPr>
        <w:t>IT</w:t>
      </w:r>
      <w:r>
        <w:rPr>
          <w:rFonts w:ascii="宋体" w:hAnsi="宋体" w:cs="宋体" w:eastAsia="宋体" w:hint="default"/>
          <w:sz w:val="21"/>
          <w:szCs w:val="21"/>
        </w:rPr>
        <w:t>支撑行业领先，在爱施德分销信息系统</w:t>
      </w:r>
      <w:r>
        <w:rPr>
          <w:rFonts w:ascii="Times New Roman" w:hAnsi="Times New Roman" w:cs="Times New Roman" w:eastAsia="Times New Roman" w:hint="default"/>
          <w:sz w:val="21"/>
          <w:szCs w:val="21"/>
        </w:rPr>
        <w:t>4.0</w:t>
      </w:r>
    </w:p>
    <w:p>
      <w:pPr>
        <w:pStyle w:val="Heading4"/>
        <w:spacing w:line="408" w:lineRule="auto" w:before="94"/>
        <w:ind w:right="1125"/>
        <w:jc w:val="both"/>
      </w:pPr>
      <w:r>
        <w:rPr>
          <w:spacing w:val="-2"/>
        </w:rPr>
        <w:t>基础上不断升级和完善，进一步应用移动互联网、人工智能、大数据和云计算等技术，实现了信息流、物</w:t>
      </w:r>
      <w:r>
        <w:rPr>
          <w:spacing w:val="-38"/>
        </w:rPr>
        <w:t> </w:t>
      </w:r>
      <w:r>
        <w:rPr>
          <w:spacing w:val="-38"/>
        </w:rPr>
      </w:r>
      <w:r>
        <w:rPr>
          <w:spacing w:val="-2"/>
        </w:rPr>
        <w:t>流、资金流的端到端可视化管理，提高了供应链的高效协同、数据赋能和风险控制能力，促进了各产业的</w:t>
      </w:r>
      <w:r>
        <w:rPr>
          <w:spacing w:val="-33"/>
        </w:rPr>
        <w:t> </w:t>
      </w:r>
      <w:r>
        <w:rPr>
          <w:spacing w:val="-33"/>
        </w:rPr>
      </w:r>
      <w:r>
        <w:rPr>
          <w:spacing w:val="-2"/>
        </w:rPr>
        <w:t>战略协同发展和业务的平台化运营。在此基础上，智慧零售云平台、供应链服务云平台和数据营销云平台</w:t>
      </w:r>
      <w:r>
        <w:rPr>
          <w:spacing w:val="-33"/>
        </w:rPr>
        <w:t> </w:t>
      </w:r>
      <w:r>
        <w:rPr>
          <w:spacing w:val="-33"/>
        </w:rPr>
      </w:r>
      <w:r>
        <w:rPr/>
        <w:t>先后上线，组成了一张</w:t>
      </w:r>
      <w:r>
        <w:rPr>
          <w:rFonts w:ascii="宋体" w:hAnsi="宋体" w:cs="宋体" w:eastAsia="宋体" w:hint="default"/>
        </w:rPr>
        <w:t>IT</w:t>
      </w:r>
      <w:r>
        <w:rPr/>
        <w:t>技术与产业深度融合的爱施德大数据信息网络。</w:t>
      </w:r>
    </w:p>
    <w:p>
      <w:pPr>
        <w:spacing w:line="240" w:lineRule="auto" w:before="8"/>
        <w:rPr>
          <w:rFonts w:ascii="宋体" w:hAnsi="宋体" w:cs="宋体" w:eastAsia="宋体" w:hint="default"/>
          <w:sz w:val="20"/>
          <w:szCs w:val="20"/>
        </w:rPr>
      </w:pPr>
    </w:p>
    <w:p>
      <w:pPr>
        <w:pStyle w:val="Heading3"/>
        <w:spacing w:line="240" w:lineRule="auto"/>
        <w:ind w:left="364" w:right="1126"/>
        <w:jc w:val="left"/>
        <w:rPr>
          <w:b w:val="0"/>
          <w:bCs w:val="0"/>
        </w:rPr>
      </w:pPr>
      <w:bookmarkStart w:name="（五）不断深化合伙人机制创新，为公司持续发展提供强有力保障" w:id="41"/>
      <w:bookmarkEnd w:id="41"/>
      <w:r>
        <w:rPr>
          <w:b w:val="0"/>
          <w:bCs w:val="0"/>
        </w:rPr>
      </w:r>
      <w:r>
        <w:rPr/>
        <w:t>（五）不断深化合伙人机制创新，为公司持续发展提供强有力保障</w:t>
      </w:r>
      <w:r>
        <w:rPr>
          <w:b w:val="0"/>
          <w:bCs w:val="0"/>
        </w:rPr>
      </w:r>
    </w:p>
    <w:p>
      <w:pPr>
        <w:spacing w:line="240" w:lineRule="auto" w:before="0"/>
        <w:rPr>
          <w:rFonts w:ascii="宋体" w:hAnsi="宋体" w:cs="宋体" w:eastAsia="宋体" w:hint="default"/>
          <w:b/>
          <w:bCs/>
          <w:sz w:val="20"/>
          <w:szCs w:val="20"/>
        </w:rPr>
      </w:pPr>
    </w:p>
    <w:p>
      <w:pPr>
        <w:pStyle w:val="Heading4"/>
        <w:spacing w:line="405" w:lineRule="auto" w:before="160"/>
        <w:ind w:right="1118" w:firstLine="422"/>
        <w:jc w:val="both"/>
      </w:pPr>
      <w:r>
        <w:rPr>
          <w:spacing w:val="-7"/>
        </w:rPr>
        <w:t>为凝聚优秀人才，激励创业创新，共担发展责任，共享创业成功，实现企业和员工的共同可持续发展，</w:t>
      </w:r>
      <w:r>
        <w:rPr>
          <w:w w:val="100"/>
        </w:rPr>
        <w:t> </w:t>
      </w:r>
      <w:r>
        <w:rPr>
          <w:spacing w:val="-2"/>
        </w:rPr>
        <w:t>公司不断深化和完善合伙人制度，创造性地实施股权合伙人与虚拟合伙人双机制，已在分销、零售、供应</w:t>
      </w:r>
      <w:r>
        <w:rPr>
          <w:spacing w:val="-33"/>
        </w:rPr>
        <w:t> </w:t>
      </w:r>
      <w:r>
        <w:rPr>
          <w:spacing w:val="-33"/>
        </w:rPr>
      </w:r>
      <w:r>
        <w:rPr>
          <w:spacing w:val="-2"/>
        </w:rPr>
        <w:t>链金融和通信所有产业单位推进落地。在合伙人机制下，公司产业版图逐步完善，组织效率明显提升，盈</w:t>
      </w:r>
      <w:r>
        <w:rPr>
          <w:spacing w:val="-33"/>
        </w:rPr>
        <w:t> </w:t>
      </w:r>
      <w:r>
        <w:rPr>
          <w:spacing w:val="-33"/>
        </w:rPr>
      </w:r>
      <w:r>
        <w:rPr/>
        <w:t>利能力再上新台阶，成长空间更加广阔。</w:t>
      </w:r>
    </w:p>
    <w:p>
      <w:pPr>
        <w:spacing w:after="0" w:line="405" w:lineRule="auto"/>
        <w:jc w:val="both"/>
        <w:sectPr>
          <w:pgSz w:w="11910" w:h="16840"/>
          <w:pgMar w:header="871" w:footer="1474" w:top="1100" w:bottom="1660" w:left="980" w:right="0"/>
        </w:sectPr>
      </w:pPr>
    </w:p>
    <w:p>
      <w:pPr>
        <w:spacing w:line="240" w:lineRule="auto" w:before="0"/>
        <w:rPr>
          <w:rFonts w:ascii="宋体" w:hAnsi="宋体" w:cs="宋体" w:eastAsia="宋体" w:hint="default"/>
          <w:sz w:val="20"/>
          <w:szCs w:val="20"/>
        </w:rPr>
      </w:pPr>
    </w:p>
    <w:p>
      <w:pPr>
        <w:pStyle w:val="Heading1"/>
        <w:spacing w:line="240" w:lineRule="auto" w:before="180"/>
        <w:ind w:left="2967" w:right="1126"/>
        <w:jc w:val="left"/>
        <w:rPr>
          <w:b w:val="0"/>
          <w:bCs w:val="0"/>
        </w:rPr>
      </w:pPr>
      <w:bookmarkStart w:name="第四节 经营情况讨论与分析" w:id="42"/>
      <w:bookmarkEnd w:id="42"/>
      <w:r>
        <w:rPr>
          <w:b w:val="0"/>
          <w:bCs w:val="0"/>
        </w:rPr>
      </w:r>
      <w:bookmarkStart w:name="_bookmark3" w:id="43"/>
      <w:bookmarkEnd w:id="43"/>
      <w:r>
        <w:rPr>
          <w:b w:val="0"/>
          <w:bCs w:val="0"/>
        </w:rPr>
      </w:r>
      <w:r>
        <w:rPr/>
        <w:t>第四节</w:t>
      </w:r>
      <w:r>
        <w:rPr>
          <w:spacing w:val="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both"/>
        <w:rPr>
          <w:b w:val="0"/>
          <w:bCs w:val="0"/>
        </w:rPr>
      </w:pPr>
      <w:bookmarkStart w:name="一、 概述" w:id="44"/>
      <w:bookmarkEnd w:id="44"/>
      <w:r>
        <w:rPr>
          <w:b w:val="0"/>
          <w:bCs w:val="0"/>
        </w:rPr>
      </w:r>
      <w:r>
        <w:rPr/>
        <w:t>一、</w:t>
      </w:r>
      <w:r>
        <w:rPr>
          <w:spacing w:val="-97"/>
        </w:rPr>
        <w:t> </w:t>
      </w:r>
      <w:r>
        <w:rPr/>
        <w:t>概述</w:t>
      </w:r>
      <w:r>
        <w:rPr>
          <w:b w:val="0"/>
          <w:bCs w:val="0"/>
        </w:rPr>
      </w:r>
    </w:p>
    <w:p>
      <w:pPr>
        <w:pStyle w:val="Heading4"/>
        <w:spacing w:line="630" w:lineRule="atLeast" w:before="52"/>
        <w:ind w:left="575" w:right="1126"/>
        <w:jc w:val="left"/>
      </w:pPr>
      <w:r>
        <w:rPr>
          <w:rFonts w:ascii="宋体" w:hAnsi="宋体" w:cs="宋体" w:eastAsia="宋体" w:hint="default"/>
          <w:b/>
          <w:bCs/>
        </w:rPr>
        <w:t>（一）经营情况分析</w:t>
      </w:r>
      <w:r>
        <w:rPr>
          <w:rFonts w:ascii="宋体" w:hAnsi="宋体" w:cs="宋体" w:eastAsia="宋体" w:hint="default"/>
          <w:b/>
          <w:bCs/>
          <w:spacing w:val="-103"/>
        </w:rPr>
        <w:t> </w:t>
      </w:r>
      <w:r>
        <w:rPr>
          <w:spacing w:val="-2"/>
        </w:rPr>
        <w:t>公司持续构建能力，提升效率，三大平台能力不断加强。在经济下行压力持续加大的复杂局面下，公</w:t>
      </w:r>
    </w:p>
    <w:p>
      <w:pPr>
        <w:spacing w:line="240" w:lineRule="auto" w:before="13"/>
        <w:rPr>
          <w:rFonts w:ascii="宋体" w:hAnsi="宋体" w:cs="宋体" w:eastAsia="宋体" w:hint="default"/>
          <w:sz w:val="14"/>
          <w:szCs w:val="14"/>
        </w:rPr>
      </w:pPr>
    </w:p>
    <w:p>
      <w:pPr>
        <w:pStyle w:val="Heading4"/>
        <w:spacing w:line="405" w:lineRule="auto"/>
        <w:ind w:right="1125"/>
        <w:jc w:val="both"/>
      </w:pPr>
      <w:r>
        <w:rPr>
          <w:spacing w:val="-2"/>
        </w:rPr>
        <w:t>司紧紧围绕“坚定信念，凝心聚力，稳中求进，持续发展”的指导方针，积极推动年度经营计划的贯彻落</w:t>
      </w:r>
      <w:r>
        <w:rPr>
          <w:spacing w:val="-33"/>
        </w:rPr>
        <w:t> </w:t>
      </w:r>
      <w:r>
        <w:rPr>
          <w:spacing w:val="-33"/>
        </w:rPr>
      </w:r>
      <w:r>
        <w:rPr>
          <w:spacing w:val="-2"/>
        </w:rPr>
        <w:t>实，持续推进智慧供应链平台的数字化升级，智慧零售平台的线上线下融合发展和智慧连接平台的跨境智</w:t>
      </w:r>
      <w:r>
        <w:rPr>
          <w:spacing w:val="-33"/>
        </w:rPr>
        <w:t> </w:t>
      </w:r>
      <w:r>
        <w:rPr>
          <w:spacing w:val="-33"/>
        </w:rPr>
      </w:r>
      <w:r>
        <w:rPr/>
        <w:t>能连接体系构建。</w:t>
      </w:r>
    </w:p>
    <w:p>
      <w:pPr>
        <w:spacing w:line="240" w:lineRule="auto" w:before="0"/>
        <w:rPr>
          <w:rFonts w:ascii="宋体" w:hAnsi="宋体" w:cs="宋体" w:eastAsia="宋体" w:hint="default"/>
          <w:sz w:val="16"/>
          <w:szCs w:val="16"/>
        </w:rPr>
      </w:pPr>
    </w:p>
    <w:p>
      <w:pPr>
        <w:pStyle w:val="Heading4"/>
        <w:spacing w:line="396" w:lineRule="auto"/>
        <w:ind w:right="1122" w:firstLine="422"/>
        <w:jc w:val="both"/>
      </w:pPr>
      <w:r>
        <w:rPr>
          <w:spacing w:val="-2"/>
        </w:rPr>
        <w:t>报告期内，公司通过合作产品的优化，运营效率的提高和平台能力的增强，取得了盈利能力的大幅提</w:t>
      </w:r>
      <w:r>
        <w:rPr>
          <w:w w:val="100"/>
        </w:rPr>
        <w:t> </w:t>
      </w:r>
      <w:r>
        <w:rPr>
          <w:spacing w:val="-3"/>
        </w:rPr>
        <w:t>升，实现营业收入</w:t>
      </w:r>
      <w:r>
        <w:rPr>
          <w:spacing w:val="-50"/>
        </w:rPr>
        <w:t> </w:t>
      </w:r>
      <w:r>
        <w:rPr>
          <w:rFonts w:ascii="Times New Roman" w:hAnsi="Times New Roman" w:cs="Times New Roman" w:eastAsia="Times New Roman" w:hint="default"/>
        </w:rPr>
        <w:t>5,596,932.26</w:t>
      </w:r>
      <w:r>
        <w:rPr>
          <w:rFonts w:ascii="Times New Roman" w:hAnsi="Times New Roman" w:cs="Times New Roman" w:eastAsia="Times New Roman" w:hint="default"/>
          <w:spacing w:val="-2"/>
        </w:rPr>
        <w:t> </w:t>
      </w:r>
      <w:r>
        <w:rPr>
          <w:spacing w:val="-3"/>
        </w:rPr>
        <w:t>万元，较上年同期下降</w:t>
      </w:r>
      <w:r>
        <w:rPr>
          <w:spacing w:val="-50"/>
        </w:rPr>
        <w:t> </w:t>
      </w:r>
      <w:r>
        <w:rPr>
          <w:rFonts w:ascii="Times New Roman" w:hAnsi="Times New Roman" w:cs="Times New Roman" w:eastAsia="Times New Roman" w:hint="default"/>
        </w:rPr>
        <w:t>1.78%</w:t>
      </w:r>
      <w:r>
        <w:rPr/>
        <w:t>；归属于上市公司股东的净利润</w:t>
      </w:r>
      <w:r>
        <w:rPr>
          <w:spacing w:val="-48"/>
        </w:rPr>
        <w:t> </w:t>
      </w:r>
      <w:r>
        <w:rPr>
          <w:rFonts w:ascii="Times New Roman" w:hAnsi="Times New Roman" w:cs="Times New Roman" w:eastAsia="Times New Roman" w:hint="default"/>
        </w:rPr>
        <w:t>34,368.25</w:t>
      </w:r>
      <w:r>
        <w:rPr>
          <w:rFonts w:ascii="Times New Roman" w:hAnsi="Times New Roman" w:cs="Times New Roman" w:eastAsia="Times New Roman" w:hint="default"/>
          <w:spacing w:val="3"/>
        </w:rPr>
        <w:t> </w:t>
      </w:r>
      <w:r>
        <w:rPr/>
        <w:t>万</w:t>
      </w:r>
      <w:r>
        <w:rPr>
          <w:w w:val="100"/>
        </w:rPr>
        <w:t> </w:t>
      </w:r>
      <w:r>
        <w:rPr/>
        <w:t>元，较上年同期增长</w:t>
      </w:r>
      <w:r>
        <w:rPr>
          <w:spacing w:val="-49"/>
        </w:rPr>
        <w:t> </w:t>
      </w:r>
      <w:r>
        <w:rPr>
          <w:rFonts w:ascii="Times New Roman" w:hAnsi="Times New Roman" w:cs="Times New Roman" w:eastAsia="Times New Roman" w:hint="default"/>
        </w:rPr>
        <w:t>470.67%</w:t>
      </w:r>
      <w:r>
        <w:rPr/>
        <w:t>。</w:t>
      </w:r>
    </w:p>
    <w:p>
      <w:pPr>
        <w:pStyle w:val="Heading3"/>
        <w:spacing w:line="240" w:lineRule="auto" w:before="182"/>
        <w:ind w:left="575" w:right="1126"/>
        <w:jc w:val="left"/>
        <w:rPr>
          <w:b w:val="0"/>
          <w:bCs w:val="0"/>
        </w:rPr>
      </w:pPr>
      <w:r>
        <w:rPr/>
        <w:t>（二）主要经营工作</w:t>
      </w:r>
      <w:r>
        <w:rPr>
          <w:b w:val="0"/>
          <w:bCs w:val="0"/>
        </w:rPr>
      </w:r>
    </w:p>
    <w:p>
      <w:pPr>
        <w:spacing w:line="240" w:lineRule="auto" w:before="9"/>
        <w:rPr>
          <w:rFonts w:ascii="宋体" w:hAnsi="宋体" w:cs="宋体" w:eastAsia="宋体" w:hint="default"/>
          <w:b/>
          <w:bCs/>
          <w:sz w:val="26"/>
          <w:szCs w:val="26"/>
        </w:rPr>
      </w:pPr>
    </w:p>
    <w:p>
      <w:pPr>
        <w:pStyle w:val="Heading3"/>
        <w:spacing w:line="240" w:lineRule="auto"/>
        <w:ind w:left="575" w:right="1126"/>
        <w:jc w:val="left"/>
        <w:rPr>
          <w:b w:val="0"/>
          <w:bCs w:val="0"/>
        </w:rPr>
      </w:pPr>
      <w:r>
        <w:rPr>
          <w:rFonts w:ascii="Times New Roman" w:hAnsi="Times New Roman" w:cs="Times New Roman" w:eastAsia="Times New Roman" w:hint="default"/>
        </w:rPr>
        <w:t>1</w:t>
      </w:r>
      <w:r>
        <w:rPr/>
        <w:t>、智慧供应链平台</w:t>
      </w:r>
      <w:r>
        <w:rPr>
          <w:b w:val="0"/>
          <w:bCs w:val="0"/>
        </w:rPr>
      </w:r>
    </w:p>
    <w:p>
      <w:pPr>
        <w:spacing w:line="610" w:lineRule="atLeast" w:before="14"/>
        <w:ind w:left="575" w:right="11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）推进分销组织架构及</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IT</w:t>
      </w:r>
      <w:r>
        <w:rPr>
          <w:rFonts w:ascii="Times New Roman" w:hAnsi="Times New Roman" w:cs="Times New Roman" w:eastAsia="Times New Roman" w:hint="default"/>
          <w:b/>
          <w:bCs/>
          <w:spacing w:val="-7"/>
          <w:sz w:val="21"/>
          <w:szCs w:val="21"/>
        </w:rPr>
        <w:t> </w:t>
      </w:r>
      <w:r>
        <w:rPr>
          <w:rFonts w:ascii="宋体" w:hAnsi="宋体" w:cs="宋体" w:eastAsia="宋体" w:hint="default"/>
          <w:b/>
          <w:bCs/>
          <w:sz w:val="21"/>
          <w:szCs w:val="21"/>
        </w:rPr>
        <w:t>应用升级，打造全数字化的供应链分销网络</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公司分销事业群进行组织架构改革，推行分品牌事业部运营以及三星业务的公司化独立运营，最大限</w:t>
      </w:r>
    </w:p>
    <w:p>
      <w:pPr>
        <w:spacing w:line="240" w:lineRule="auto" w:before="8"/>
        <w:rPr>
          <w:rFonts w:ascii="宋体" w:hAnsi="宋体" w:cs="宋体" w:eastAsia="宋体" w:hint="default"/>
          <w:sz w:val="14"/>
          <w:szCs w:val="14"/>
        </w:rPr>
      </w:pPr>
    </w:p>
    <w:p>
      <w:pPr>
        <w:pStyle w:val="Heading4"/>
        <w:spacing w:line="403" w:lineRule="auto"/>
        <w:ind w:right="1122"/>
        <w:jc w:val="both"/>
      </w:pPr>
      <w:r>
        <w:rPr/>
        <w:t>度地提升效率，增强与厂家合作粘性，进一步提升客户服务质量。同时，爱施德分销信息系统 </w:t>
      </w:r>
      <w:r>
        <w:rPr>
          <w:rFonts w:ascii="Times New Roman" w:hAnsi="Times New Roman" w:cs="Times New Roman" w:eastAsia="Times New Roman" w:hint="default"/>
        </w:rPr>
        <w:t>4.0</w:t>
      </w:r>
      <w:r>
        <w:rPr>
          <w:rFonts w:ascii="Times New Roman" w:hAnsi="Times New Roman" w:cs="Times New Roman" w:eastAsia="Times New Roman" w:hint="default"/>
          <w:spacing w:val="-17"/>
        </w:rPr>
        <w:t> </w:t>
      </w:r>
      <w:r>
        <w:rPr/>
        <w:t>深化应</w:t>
      </w:r>
      <w:r>
        <w:rPr>
          <w:w w:val="100"/>
        </w:rPr>
        <w:t> </w:t>
      </w:r>
      <w:r>
        <w:rPr>
          <w:spacing w:val="-2"/>
        </w:rPr>
        <w:t>用，大数据和数字化操作植入全流程，线上下单、线上支付、电子签章、物流追踪、产品溯源、大数据风</w:t>
      </w:r>
      <w:r>
        <w:rPr>
          <w:spacing w:val="-38"/>
        </w:rPr>
        <w:t> </w:t>
      </w:r>
      <w:r>
        <w:rPr>
          <w:spacing w:val="-38"/>
        </w:rPr>
      </w:r>
      <w:r>
        <w:rPr>
          <w:spacing w:val="-2"/>
        </w:rPr>
        <w:t>控、全链数据可视等数字化功能均得到充分应用。在信息网与组织网的高效配合下，报告期内，全数字化</w:t>
      </w:r>
      <w:r>
        <w:rPr>
          <w:spacing w:val="-32"/>
        </w:rPr>
        <w:t> </w:t>
      </w:r>
      <w:r>
        <w:rPr>
          <w:spacing w:val="-32"/>
        </w:rPr>
      </w:r>
      <w:r>
        <w:rPr>
          <w:spacing w:val="-2"/>
        </w:rPr>
        <w:t>的供应链网络已在全国形成体系，公司运营效率、组织效率和资金效率明显提升，综合费用率进一步得到</w:t>
      </w:r>
      <w:r>
        <w:rPr>
          <w:spacing w:val="-33"/>
        </w:rPr>
        <w:t> </w:t>
      </w:r>
      <w:r>
        <w:rPr>
          <w:spacing w:val="-33"/>
        </w:rPr>
      </w:r>
      <w:r>
        <w:rPr/>
        <w:t>优化。</w:t>
      </w:r>
    </w:p>
    <w:p>
      <w:pPr>
        <w:spacing w:line="240" w:lineRule="auto" w:before="10"/>
        <w:rPr>
          <w:rFonts w:ascii="宋体" w:hAnsi="宋体" w:cs="宋体" w:eastAsia="宋体" w:hint="default"/>
          <w:sz w:val="15"/>
          <w:szCs w:val="15"/>
        </w:rPr>
      </w:pPr>
    </w:p>
    <w:p>
      <w:pPr>
        <w:pStyle w:val="Heading3"/>
        <w:spacing w:line="240" w:lineRule="auto"/>
        <w:ind w:left="575" w:right="1126"/>
        <w:jc w:val="left"/>
        <w:rPr>
          <w:b w:val="0"/>
          <w:bCs w:val="0"/>
        </w:rPr>
      </w:pPr>
      <w:r>
        <w:rPr/>
        <w:t>（</w:t>
      </w:r>
      <w:r>
        <w:rPr>
          <w:rFonts w:ascii="Times New Roman" w:hAnsi="Times New Roman" w:cs="Times New Roman" w:eastAsia="Times New Roman" w:hint="default"/>
        </w:rPr>
        <w:t>2</w:t>
      </w:r>
      <w:r>
        <w:rPr/>
        <w:t>）金融及供应链业务贯穿产业全链条，覆盖线上线下全场景，实现规模增长</w:t>
      </w:r>
      <w:r>
        <w:rPr>
          <w:b w:val="0"/>
          <w:bCs w:val="0"/>
        </w:rPr>
      </w:r>
    </w:p>
    <w:p>
      <w:pPr>
        <w:spacing w:line="240" w:lineRule="auto" w:before="11"/>
        <w:rPr>
          <w:rFonts w:ascii="宋体" w:hAnsi="宋体" w:cs="宋体" w:eastAsia="宋体" w:hint="default"/>
          <w:b/>
          <w:bCs/>
          <w:sz w:val="25"/>
          <w:szCs w:val="25"/>
        </w:rPr>
      </w:pPr>
    </w:p>
    <w:p>
      <w:pPr>
        <w:pStyle w:val="Heading4"/>
        <w:spacing w:line="410" w:lineRule="auto"/>
        <w:ind w:right="1120" w:firstLine="422"/>
        <w:jc w:val="both"/>
      </w:pPr>
      <w:r>
        <w:rPr>
          <w:spacing w:val="-2"/>
        </w:rPr>
        <w:t>公司依托网络小贷牌照和智能终端供应链场景，聚焦产品流通全链条，为上下游客户提供专业、高效</w:t>
      </w:r>
      <w:r>
        <w:rPr>
          <w:w w:val="100"/>
        </w:rPr>
        <w:t> </w:t>
      </w:r>
      <w:r>
        <w:rPr>
          <w:spacing w:val="-2"/>
        </w:rPr>
        <w:t>的金融及供应链服务。公司旗下的网络小贷公司成功接入人行征信系统，极大促进了产业链信用数据价值</w:t>
      </w:r>
      <w:r>
        <w:rPr>
          <w:spacing w:val="-33"/>
        </w:rPr>
        <w:t> </w:t>
      </w:r>
      <w:r>
        <w:rPr>
          <w:spacing w:val="-33"/>
        </w:rPr>
      </w:r>
      <w:r>
        <w:rPr>
          <w:spacing w:val="-2"/>
        </w:rPr>
        <w:t>的挖掘，信用风险的防范和风控能力的提高，推动业务健康可持续发展。公司进一步拓展了供应链服务的</w:t>
      </w:r>
      <w:r>
        <w:rPr>
          <w:spacing w:val="-33"/>
        </w:rPr>
        <w:t> </w:t>
      </w:r>
      <w:r>
        <w:rPr>
          <w:spacing w:val="-33"/>
        </w:rPr>
      </w:r>
      <w:r>
        <w:rPr>
          <w:spacing w:val="-2"/>
        </w:rPr>
        <w:t>深度和宽度，与通讯行业多家厂商、供应商及大型电商平台和连锁零售商达成了深度合作，并在巩固手机</w:t>
      </w:r>
    </w:p>
    <w:p>
      <w:pPr>
        <w:pStyle w:val="Heading4"/>
        <w:spacing w:line="240" w:lineRule="auto" w:before="41"/>
        <w:ind w:right="0"/>
        <w:jc w:val="both"/>
      </w:pPr>
      <w:r>
        <w:rPr/>
        <w:t>品类基础上开启了 </w:t>
      </w:r>
      <w:r>
        <w:rPr>
          <w:rFonts w:ascii="宋体" w:hAnsi="宋体" w:cs="宋体" w:eastAsia="宋体" w:hint="default"/>
        </w:rPr>
        <w:t>3C</w:t>
      </w:r>
      <w:r>
        <w:rPr>
          <w:rFonts w:ascii="宋体" w:hAnsi="宋体" w:cs="宋体" w:eastAsia="宋体" w:hint="default"/>
          <w:spacing w:val="-19"/>
        </w:rPr>
        <w:t> </w:t>
      </w:r>
      <w:r>
        <w:rPr/>
        <w:t>产品的供应链业务。海外业务也打开了新局面，构建了海外供应链服务体系。报告</w:t>
      </w:r>
    </w:p>
    <w:p>
      <w:pPr>
        <w:spacing w:after="0" w:line="240" w:lineRule="auto"/>
        <w:jc w:val="both"/>
        <w:sectPr>
          <w:pgSz w:w="11910" w:h="16840"/>
          <w:pgMar w:header="871" w:footer="1474" w:top="1100" w:bottom="1660" w:left="980" w:right="0"/>
        </w:sectPr>
      </w:pPr>
    </w:p>
    <w:p>
      <w:pPr>
        <w:spacing w:line="240" w:lineRule="auto" w:before="12"/>
        <w:rPr>
          <w:rFonts w:ascii="宋体" w:hAnsi="宋体" w:cs="宋体" w:eastAsia="宋体" w:hint="default"/>
          <w:sz w:val="26"/>
          <w:szCs w:val="26"/>
        </w:rPr>
      </w:pPr>
    </w:p>
    <w:p>
      <w:pPr>
        <w:pStyle w:val="Heading4"/>
        <w:spacing w:line="381" w:lineRule="auto" w:before="36"/>
        <w:ind w:right="1122"/>
        <w:jc w:val="both"/>
      </w:pPr>
      <w:r>
        <w:rPr/>
        <w:t>期内，公司提升了在各个品牌营销体系中的级别和体量，金融及供应链业务收入规模实现约</w:t>
      </w:r>
      <w:r>
        <w:rPr>
          <w:spacing w:val="-52"/>
        </w:rPr>
        <w:t> </w:t>
      </w:r>
      <w:r>
        <w:rPr>
          <w:rFonts w:ascii="Times New Roman" w:hAnsi="Times New Roman" w:cs="Times New Roman" w:eastAsia="Times New Roman" w:hint="default"/>
        </w:rPr>
        <w:t>129</w:t>
      </w:r>
      <w:r>
        <w:rPr>
          <w:rFonts w:ascii="Times New Roman" w:hAnsi="Times New Roman" w:cs="Times New Roman" w:eastAsia="Times New Roman" w:hint="default"/>
          <w:spacing w:val="-6"/>
        </w:rPr>
        <w:t> </w:t>
      </w:r>
      <w:r>
        <w:rPr>
          <w:spacing w:val="-3"/>
        </w:rPr>
        <w:t>亿元，较</w:t>
      </w:r>
      <w:r>
        <w:rPr>
          <w:w w:val="100"/>
        </w:rPr>
        <w:t> </w:t>
      </w:r>
      <w:r>
        <w:rPr/>
        <w:t>上年增加</w:t>
      </w:r>
      <w:r>
        <w:rPr>
          <w:spacing w:val="-48"/>
        </w:rPr>
        <w:t> </w:t>
      </w:r>
      <w:r>
        <w:rPr>
          <w:rFonts w:ascii="Times New Roman" w:hAnsi="Times New Roman" w:cs="Times New Roman" w:eastAsia="Times New Roman" w:hint="default"/>
        </w:rPr>
        <w:t>65%</w:t>
      </w:r>
      <w:r>
        <w:rPr/>
        <w:t>。</w:t>
      </w:r>
    </w:p>
    <w:p>
      <w:pPr>
        <w:pStyle w:val="Heading3"/>
        <w:spacing w:line="240" w:lineRule="auto" w:before="196"/>
        <w:ind w:left="575" w:right="1126"/>
        <w:jc w:val="left"/>
        <w:rPr>
          <w:b w:val="0"/>
          <w:bCs w:val="0"/>
        </w:rPr>
      </w:pPr>
      <w:r>
        <w:rPr/>
        <w:t>（</w:t>
      </w:r>
      <w:r>
        <w:rPr>
          <w:rFonts w:ascii="宋体" w:hAnsi="宋体" w:cs="宋体" w:eastAsia="宋体" w:hint="default"/>
        </w:rPr>
        <w:t>3</w:t>
      </w:r>
      <w:r>
        <w:rPr/>
        <w:t>）严选新产品、构建新分销、服务新零售，开拓</w:t>
      </w:r>
      <w:r>
        <w:rPr>
          <w:spacing w:val="-49"/>
        </w:rPr>
        <w:t> </w:t>
      </w:r>
      <w:r>
        <w:rPr>
          <w:rFonts w:ascii="宋体" w:hAnsi="宋体" w:cs="宋体" w:eastAsia="宋体" w:hint="default"/>
          <w:spacing w:val="-3"/>
        </w:rPr>
        <w:t>3C</w:t>
      </w:r>
      <w:r>
        <w:rPr>
          <w:rFonts w:ascii="宋体" w:hAnsi="宋体" w:cs="宋体" w:eastAsia="宋体" w:hint="default"/>
          <w:spacing w:val="-51"/>
        </w:rPr>
        <w:t> </w:t>
      </w:r>
      <w:r>
        <w:rPr/>
        <w:t>数码新分销渠道网络</w:t>
      </w:r>
      <w:r>
        <w:rPr>
          <w:b w:val="0"/>
          <w:bCs w:val="0"/>
        </w:rPr>
      </w:r>
    </w:p>
    <w:p>
      <w:pPr>
        <w:spacing w:line="240" w:lineRule="auto" w:before="1"/>
        <w:rPr>
          <w:rFonts w:ascii="宋体" w:hAnsi="宋体" w:cs="宋体" w:eastAsia="宋体" w:hint="default"/>
          <w:b/>
          <w:bCs/>
          <w:sz w:val="27"/>
          <w:szCs w:val="27"/>
        </w:rPr>
      </w:pPr>
    </w:p>
    <w:p>
      <w:pPr>
        <w:pStyle w:val="Heading4"/>
        <w:spacing w:line="393" w:lineRule="auto"/>
        <w:ind w:right="1007" w:firstLine="422"/>
        <w:jc w:val="left"/>
      </w:pPr>
      <w:r>
        <w:rPr/>
        <w:t>公司积极拓展了智能终端分销业务的合作品牌和品类，打开业务边界，建立品牌矩阵。在智能手机基</w:t>
      </w:r>
      <w:r>
        <w:rPr>
          <w:w w:val="100"/>
        </w:rPr>
        <w:t> </w:t>
      </w:r>
      <w:r>
        <w:rPr/>
        <w:t>础上，公司整合</w:t>
      </w:r>
      <w:r>
        <w:rPr>
          <w:spacing w:val="-45"/>
        </w:rPr>
        <w:t> </w:t>
      </w:r>
      <w:r>
        <w:rPr>
          <w:rFonts w:ascii="Times New Roman" w:hAnsi="Times New Roman" w:cs="Times New Roman" w:eastAsia="Times New Roman" w:hint="default"/>
          <w:spacing w:val="-3"/>
        </w:rPr>
        <w:t>3C</w:t>
      </w:r>
      <w:r>
        <w:rPr>
          <w:rFonts w:ascii="Times New Roman" w:hAnsi="Times New Roman" w:cs="Times New Roman" w:eastAsia="Times New Roman" w:hint="default"/>
          <w:spacing w:val="5"/>
        </w:rPr>
        <w:t> </w:t>
      </w:r>
      <w:r>
        <w:rPr/>
        <w:t>数码领域的优质厂商资源，严选智能穿戴、影音、无人机等</w:t>
      </w:r>
      <w:r>
        <w:rPr>
          <w:spacing w:val="-51"/>
        </w:rPr>
        <w:t> </w:t>
      </w:r>
      <w:r>
        <w:rPr>
          <w:rFonts w:ascii="Times New Roman" w:hAnsi="Times New Roman" w:cs="Times New Roman" w:eastAsia="Times New Roman" w:hint="default"/>
        </w:rPr>
        <w:t>3C</w:t>
      </w:r>
      <w:r>
        <w:rPr>
          <w:rFonts w:ascii="Times New Roman" w:hAnsi="Times New Roman" w:cs="Times New Roman" w:eastAsia="Times New Roman" w:hint="default"/>
          <w:spacing w:val="5"/>
        </w:rPr>
        <w:t> </w:t>
      </w:r>
      <w:r>
        <w:rPr/>
        <w:t>新产品，服务新零售，</w:t>
      </w:r>
      <w:r>
        <w:rPr>
          <w:w w:val="100"/>
        </w:rPr>
        <w:t> </w:t>
      </w:r>
      <w:r>
        <w:rPr/>
        <w:t>构建了一张平行于手机分销的</w:t>
      </w:r>
      <w:r>
        <w:rPr>
          <w:spacing w:val="-51"/>
        </w:rPr>
        <w:t> </w:t>
      </w:r>
      <w:r>
        <w:rPr>
          <w:rFonts w:ascii="Times New Roman" w:hAnsi="Times New Roman" w:cs="Times New Roman" w:eastAsia="Times New Roman" w:hint="default"/>
        </w:rPr>
        <w:t>3C</w:t>
      </w:r>
      <w:r>
        <w:rPr>
          <w:rFonts w:ascii="Times New Roman" w:hAnsi="Times New Roman" w:cs="Times New Roman" w:eastAsia="Times New Roman" w:hint="default"/>
          <w:spacing w:val="3"/>
        </w:rPr>
        <w:t> </w:t>
      </w:r>
      <w:r>
        <w:rPr>
          <w:spacing w:val="-5"/>
        </w:rPr>
        <w:t>数码新分销渠道网络。报告期内，</w:t>
      </w:r>
      <w:r>
        <w:rPr>
          <w:rFonts w:ascii="Times New Roman" w:hAnsi="Times New Roman" w:cs="Times New Roman" w:eastAsia="Times New Roman" w:hint="default"/>
          <w:spacing w:val="-5"/>
        </w:rPr>
        <w:t>3C</w:t>
      </w:r>
      <w:r>
        <w:rPr>
          <w:rFonts w:ascii="Times New Roman" w:hAnsi="Times New Roman" w:cs="Times New Roman" w:eastAsia="Times New Roman" w:hint="default"/>
          <w:spacing w:val="3"/>
        </w:rPr>
        <w:t> </w:t>
      </w:r>
      <w:r>
        <w:rPr/>
        <w:t>新分销客户数量突破</w:t>
      </w:r>
      <w:r>
        <w:rPr>
          <w:spacing w:val="-47"/>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5"/>
        </w:rPr>
        <w:t> </w:t>
      </w:r>
      <w:r>
        <w:rPr>
          <w:spacing w:val="-12"/>
        </w:rPr>
        <w:t>家，较</w:t>
      </w:r>
      <w:r>
        <w:rPr>
          <w:spacing w:val="-93"/>
        </w:rPr>
        <w:t> </w:t>
      </w:r>
      <w:r>
        <w:rPr>
          <w:spacing w:val="-93"/>
        </w:rPr>
      </w:r>
      <w:r>
        <w:rPr/>
        <w:t>上年增长</w:t>
      </w:r>
      <w:r>
        <w:rPr>
          <w:spacing w:val="-52"/>
        </w:rPr>
        <w:t> </w:t>
      </w:r>
      <w:r>
        <w:rPr>
          <w:rFonts w:ascii="Times New Roman" w:hAnsi="Times New Roman" w:cs="Times New Roman" w:eastAsia="Times New Roman" w:hint="default"/>
        </w:rPr>
        <w:t>94%</w:t>
      </w:r>
      <w:r>
        <w:rPr/>
        <w:t>，覆盖了</w:t>
      </w:r>
      <w:r>
        <w:rPr>
          <w:spacing w:val="-52"/>
        </w:rPr>
        <w:t> </w:t>
      </w:r>
      <w:r>
        <w:rPr>
          <w:rFonts w:ascii="Times New Roman" w:hAnsi="Times New Roman" w:cs="Times New Roman" w:eastAsia="Times New Roman" w:hint="default"/>
        </w:rPr>
        <w:t>3C</w:t>
      </w:r>
      <w:r>
        <w:rPr>
          <w:rFonts w:ascii="Times New Roman" w:hAnsi="Times New Roman" w:cs="Times New Roman" w:eastAsia="Times New Roman" w:hint="default"/>
          <w:spacing w:val="-2"/>
        </w:rPr>
        <w:t> </w:t>
      </w:r>
      <w:r>
        <w:rPr/>
        <w:t>数码、潮品、摄影、娱乐、餐饮、网吧、电商等新渠道场景。</w:t>
      </w:r>
    </w:p>
    <w:p>
      <w:pPr>
        <w:pStyle w:val="Heading3"/>
        <w:spacing w:line="240" w:lineRule="auto" w:before="184"/>
        <w:ind w:left="575" w:right="1126"/>
        <w:jc w:val="left"/>
        <w:rPr>
          <w:b w:val="0"/>
          <w:bCs w:val="0"/>
        </w:rPr>
      </w:pPr>
      <w:r>
        <w:rPr>
          <w:rFonts w:ascii="宋体" w:hAnsi="宋体" w:cs="宋体" w:eastAsia="宋体" w:hint="default"/>
        </w:rPr>
        <w:t>2</w:t>
      </w:r>
      <w:r>
        <w:rPr/>
        <w:t>、智慧零售平台</w:t>
      </w:r>
      <w:r>
        <w:rPr>
          <w:b w:val="0"/>
          <w:bCs w:val="0"/>
        </w:rPr>
      </w:r>
    </w:p>
    <w:p>
      <w:pPr>
        <w:spacing w:line="628" w:lineRule="exact" w:before="92"/>
        <w:ind w:left="575" w:right="11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）线上搭建平台，线下赋能门店，持续强化线上线下一体化的新零售赋能体系</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公司已搭建一套服务零售业务集群的新零售系统（囊括全渠道</w:t>
      </w:r>
      <w:r>
        <w:rPr>
          <w:rFonts w:ascii="宋体" w:hAnsi="宋体" w:cs="宋体" w:eastAsia="宋体" w:hint="default"/>
          <w:spacing w:val="15"/>
          <w:sz w:val="21"/>
          <w:szCs w:val="21"/>
        </w:rPr>
        <w:t> </w:t>
      </w:r>
      <w:r>
        <w:rPr>
          <w:rFonts w:ascii="Times New Roman" w:hAnsi="Times New Roman" w:cs="Times New Roman" w:eastAsia="Times New Roman" w:hint="default"/>
          <w:spacing w:val="-3"/>
          <w:sz w:val="21"/>
          <w:szCs w:val="21"/>
        </w:rPr>
        <w:t>ERP</w:t>
      </w:r>
      <w:r>
        <w:rPr>
          <w:rFonts w:ascii="宋体" w:hAnsi="宋体" w:cs="宋体" w:eastAsia="宋体" w:hint="default"/>
          <w:spacing w:val="-3"/>
          <w:sz w:val="21"/>
          <w:szCs w:val="21"/>
        </w:rPr>
        <w:t>、智慧运营系统、会员系统和供应</w:t>
      </w:r>
    </w:p>
    <w:p>
      <w:pPr>
        <w:pStyle w:val="Heading4"/>
        <w:spacing w:line="400" w:lineRule="auto" w:before="94"/>
        <w:ind w:right="1123"/>
        <w:jc w:val="both"/>
      </w:pPr>
      <w:r>
        <w:rPr>
          <w:spacing w:val="-2"/>
          <w:w w:val="100"/>
        </w:rPr>
        <w:t>链系统），深度赋能苹果零售业务、分销业务以及供应链业务在全国覆盖的零售门店，助其实现线下流量</w:t>
      </w:r>
      <w:r>
        <w:rPr>
          <w:spacing w:val="-99"/>
          <w:w w:val="100"/>
        </w:rPr>
        <w:t> </w:t>
      </w:r>
      <w:r>
        <w:rPr>
          <w:spacing w:val="-99"/>
          <w:w w:val="100"/>
        </w:rPr>
      </w:r>
      <w:r>
        <w:rPr>
          <w:spacing w:val="-3"/>
        </w:rPr>
        <w:t>线上化、线上精准营销以及流量有效留存，实现 </w:t>
      </w:r>
      <w:r>
        <w:rPr>
          <w:rFonts w:ascii="Times New Roman" w:hAnsi="Times New Roman" w:cs="Times New Roman" w:eastAsia="Times New Roman" w:hint="default"/>
          <w:spacing w:val="-3"/>
        </w:rPr>
        <w:t>B2B2C</w:t>
      </w:r>
      <w:r>
        <w:rPr>
          <w:spacing w:val="-3"/>
        </w:rPr>
        <w:t>、线上线下融合的新零售赋能体系。报告期内，通</w:t>
      </w:r>
      <w:r>
        <w:rPr>
          <w:spacing w:val="-86"/>
        </w:rPr>
        <w:t> </w:t>
      </w:r>
      <w:r>
        <w:rPr>
          <w:spacing w:val="-86"/>
        </w:rPr>
      </w:r>
      <w:r>
        <w:rPr>
          <w:spacing w:val="-2"/>
        </w:rPr>
        <w:t>过线上搭建平台线下赋能门店，以门店为中心向周边辐射的模式，已在部分地区实现了线上线下流量融合</w:t>
      </w:r>
      <w:r>
        <w:rPr>
          <w:spacing w:val="-33"/>
        </w:rPr>
        <w:t> </w:t>
      </w:r>
      <w:r>
        <w:rPr>
          <w:spacing w:val="-33"/>
        </w:rPr>
      </w:r>
      <w:r>
        <w:rPr/>
        <w:t>的网络价值和高效快速的物流体验。</w:t>
      </w:r>
    </w:p>
    <w:p>
      <w:pPr>
        <w:spacing w:line="240" w:lineRule="auto" w:before="12"/>
        <w:rPr>
          <w:rFonts w:ascii="宋体" w:hAnsi="宋体" w:cs="宋体" w:eastAsia="宋体" w:hint="default"/>
          <w:sz w:val="15"/>
          <w:szCs w:val="15"/>
        </w:rPr>
      </w:pPr>
    </w:p>
    <w:p>
      <w:pPr>
        <w:pStyle w:val="Heading3"/>
        <w:spacing w:line="240" w:lineRule="auto"/>
        <w:ind w:left="575" w:right="1126"/>
        <w:jc w:val="left"/>
        <w:rPr>
          <w:b w:val="0"/>
          <w:bCs w:val="0"/>
        </w:rPr>
      </w:pPr>
      <w:r>
        <w:rPr/>
        <w:t>（</w:t>
      </w:r>
      <w:r>
        <w:rPr>
          <w:rFonts w:ascii="宋体" w:hAnsi="宋体" w:cs="宋体" w:eastAsia="宋体" w:hint="default"/>
        </w:rPr>
        <w:t>2</w:t>
      </w:r>
      <w:r>
        <w:rPr/>
        <w:t>）打造品牌商授权的线上</w:t>
      </w:r>
      <w:r>
        <w:rPr>
          <w:spacing w:val="-50"/>
        </w:rPr>
        <w:t> </w:t>
      </w:r>
      <w:r>
        <w:rPr>
          <w:rFonts w:ascii="Times New Roman" w:hAnsi="Times New Roman" w:cs="Times New Roman" w:eastAsia="Times New Roman" w:hint="default"/>
          <w:spacing w:val="-7"/>
        </w:rPr>
        <w:t>ToC</w:t>
      </w:r>
      <w:r>
        <w:rPr>
          <w:rFonts w:ascii="Times New Roman" w:hAnsi="Times New Roman" w:cs="Times New Roman" w:eastAsia="Times New Roman" w:hint="default"/>
        </w:rPr>
        <w:t> </w:t>
      </w:r>
      <w:r>
        <w:rPr/>
        <w:t>服务平台，战略性拓展线上渠道网络</w:t>
      </w:r>
      <w:r>
        <w:rPr>
          <w:b w:val="0"/>
          <w:bCs w:val="0"/>
        </w:rPr>
      </w:r>
    </w:p>
    <w:p>
      <w:pPr>
        <w:spacing w:line="240" w:lineRule="auto" w:before="11"/>
        <w:rPr>
          <w:rFonts w:ascii="宋体" w:hAnsi="宋体" w:cs="宋体" w:eastAsia="宋体" w:hint="default"/>
          <w:b/>
          <w:bCs/>
          <w:sz w:val="25"/>
          <w:szCs w:val="25"/>
        </w:rPr>
      </w:pPr>
    </w:p>
    <w:p>
      <w:pPr>
        <w:pStyle w:val="Heading4"/>
        <w:spacing w:line="398" w:lineRule="auto"/>
        <w:ind w:right="1006" w:firstLine="422"/>
        <w:jc w:val="left"/>
      </w:pPr>
      <w:r>
        <w:rPr/>
        <w:t>公司积极拓展线上零售渠道，持续构建 </w:t>
      </w:r>
      <w:r>
        <w:rPr>
          <w:rFonts w:ascii="Times New Roman" w:hAnsi="Times New Roman" w:cs="Times New Roman" w:eastAsia="Times New Roman" w:hint="default"/>
          <w:spacing w:val="-8"/>
        </w:rPr>
        <w:t>ToC</w:t>
      </w:r>
      <w:r>
        <w:rPr>
          <w:rFonts w:ascii="Times New Roman" w:hAnsi="Times New Roman" w:cs="Times New Roman" w:eastAsia="Times New Roman" w:hint="default"/>
          <w:spacing w:val="-4"/>
        </w:rPr>
        <w:t> </w:t>
      </w:r>
      <w:r>
        <w:rPr/>
        <w:t>服务能力，与战略合作伙伴荣耀开展新的线上渠道合作，</w:t>
      </w:r>
      <w:r>
        <w:rPr>
          <w:w w:val="100"/>
        </w:rPr>
        <w:t> </w:t>
      </w:r>
      <w:r>
        <w:rPr/>
        <w:t>以电商为切入点，打造从厂商到消费者的全链路线上服务平台。该合作项目的顺利推进将有助于公司进一</w:t>
      </w:r>
      <w:r>
        <w:rPr>
          <w:w w:val="100"/>
        </w:rPr>
        <w:t> </w:t>
      </w:r>
      <w:r>
        <w:rPr/>
        <w:t>步巩固与荣耀的战略伙伴关系，跨越式提升线上零售服务能力，做大做强零售板块的市场规模，使公司成</w:t>
      </w:r>
      <w:r>
        <w:rPr>
          <w:w w:val="100"/>
        </w:rPr>
        <w:t> </w:t>
      </w:r>
      <w:r>
        <w:rPr/>
        <w:t>为荣耀品牌线上线下全渠道服务商。</w:t>
      </w:r>
    </w:p>
    <w:p>
      <w:pPr>
        <w:spacing w:line="240" w:lineRule="auto" w:before="1"/>
        <w:rPr>
          <w:rFonts w:ascii="宋体" w:hAnsi="宋体" w:cs="宋体" w:eastAsia="宋体" w:hint="default"/>
          <w:sz w:val="16"/>
          <w:szCs w:val="16"/>
        </w:rPr>
      </w:pPr>
    </w:p>
    <w:p>
      <w:pPr>
        <w:pStyle w:val="Heading3"/>
        <w:spacing w:line="240" w:lineRule="auto"/>
        <w:ind w:left="575" w:right="1126"/>
        <w:jc w:val="left"/>
        <w:rPr>
          <w:b w:val="0"/>
          <w:bCs w:val="0"/>
        </w:rPr>
      </w:pPr>
      <w:r>
        <w:rPr/>
        <w:t>（</w:t>
      </w:r>
      <w:r>
        <w:rPr>
          <w:rFonts w:ascii="宋体" w:hAnsi="宋体" w:cs="宋体" w:eastAsia="宋体" w:hint="default"/>
        </w:rPr>
        <w:t>3</w:t>
      </w:r>
      <w:r>
        <w:rPr/>
        <w:t>）构建线上苹果新零售服务能力，积极探索苹果零售业务新增长点</w:t>
      </w:r>
      <w:r>
        <w:rPr>
          <w:b w:val="0"/>
          <w:bCs w:val="0"/>
        </w:rPr>
      </w:r>
    </w:p>
    <w:p>
      <w:pPr>
        <w:spacing w:line="240" w:lineRule="auto" w:before="1"/>
        <w:rPr>
          <w:rFonts w:ascii="宋体" w:hAnsi="宋体" w:cs="宋体" w:eastAsia="宋体" w:hint="default"/>
          <w:b/>
          <w:bCs/>
          <w:sz w:val="27"/>
          <w:szCs w:val="27"/>
        </w:rPr>
      </w:pPr>
    </w:p>
    <w:p>
      <w:pPr>
        <w:pStyle w:val="Heading4"/>
        <w:spacing w:line="396" w:lineRule="auto"/>
        <w:ind w:right="1122" w:firstLine="422"/>
        <w:jc w:val="both"/>
      </w:pPr>
      <w:r>
        <w:rPr>
          <w:spacing w:val="-3"/>
        </w:rPr>
        <w:t>公司旗下的酷动数码（</w:t>
      </w:r>
      <w:r>
        <w:rPr>
          <w:rFonts w:ascii="Times New Roman" w:hAnsi="Times New Roman" w:cs="Times New Roman" w:eastAsia="Times New Roman" w:hint="default"/>
          <w:spacing w:val="-3"/>
        </w:rPr>
        <w:t>Coodoo</w:t>
      </w:r>
      <w:r>
        <w:rPr>
          <w:spacing w:val="-3"/>
        </w:rPr>
        <w:t>）是中国最大的苹果产品连锁门店，在全国拥有近 </w:t>
      </w:r>
      <w:r>
        <w:rPr>
          <w:rFonts w:ascii="Times New Roman" w:hAnsi="Times New Roman" w:cs="Times New Roman" w:eastAsia="Times New Roman" w:hint="default"/>
        </w:rPr>
        <w:t>100 </w:t>
      </w:r>
      <w:r>
        <w:rPr/>
        <w:t>家苹果零售店和</w:t>
      </w:r>
      <w:r>
        <w:rPr>
          <w:w w:val="100"/>
        </w:rPr>
        <w:t> </w:t>
      </w:r>
      <w:r>
        <w:rPr>
          <w:spacing w:val="-2"/>
        </w:rPr>
        <w:t>维修站。在线下门店盈利能力持续加强的基础上，为实现更佳的顾客体验和销售转化，在苹果厂商的大力</w:t>
      </w:r>
      <w:r>
        <w:rPr>
          <w:spacing w:val="-30"/>
        </w:rPr>
        <w:t> </w:t>
      </w:r>
      <w:r>
        <w:rPr>
          <w:spacing w:val="-30"/>
        </w:rPr>
      </w:r>
      <w:r>
        <w:rPr>
          <w:spacing w:val="-3"/>
        </w:rPr>
        <w:t>支持下，公司启动苹果新零售项目，积极推动线上线下融合的创新模式。如今依托互联网新媒体，</w:t>
      </w:r>
      <w:r>
        <w:rPr>
          <w:rFonts w:ascii="Times New Roman" w:hAnsi="Times New Roman" w:cs="Times New Roman" w:eastAsia="Times New Roman" w:hint="default"/>
          <w:spacing w:val="-3"/>
        </w:rPr>
        <w:t>Coodoo</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2"/>
        </w:rPr>
        <w:t>已经形成以总部为平台，以门店为中心，以员工为终端的三位一体新零售体系，完善了会员权益，实施了</w:t>
      </w:r>
      <w:r>
        <w:rPr>
          <w:spacing w:val="-33"/>
        </w:rPr>
        <w:t> </w:t>
      </w:r>
      <w:r>
        <w:rPr>
          <w:spacing w:val="-33"/>
        </w:rPr>
      </w:r>
      <w:r>
        <w:rPr/>
        <w:t>同城配送，促进了线上运营。随着新零售项目的推进，</w:t>
      </w:r>
      <w:r>
        <w:rPr>
          <w:rFonts w:ascii="Times New Roman" w:hAnsi="Times New Roman" w:cs="Times New Roman" w:eastAsia="Times New Roman" w:hint="default"/>
        </w:rPr>
        <w:t>Coodoo</w:t>
      </w:r>
      <w:r>
        <w:rPr>
          <w:rFonts w:ascii="Times New Roman" w:hAnsi="Times New Roman" w:cs="Times New Roman" w:eastAsia="Times New Roman" w:hint="default"/>
          <w:spacing w:val="42"/>
        </w:rPr>
        <w:t> </w:t>
      </w:r>
      <w:r>
        <w:rPr/>
        <w:t>线上销售额突飞猛进，成为苹果零售业务</w:t>
      </w:r>
      <w:r>
        <w:rPr>
          <w:spacing w:val="-98"/>
        </w:rPr>
        <w:t> </w:t>
      </w:r>
      <w:r>
        <w:rPr/>
        <w:t>的新增长点。</w:t>
      </w:r>
    </w:p>
    <w:p>
      <w:pPr>
        <w:spacing w:after="0" w:line="396" w:lineRule="auto"/>
        <w:jc w:val="both"/>
        <w:sectPr>
          <w:footerReference w:type="default" r:id="rId31"/>
          <w:pgSz w:w="11910" w:h="16840"/>
          <w:pgMar w:footer="1474" w:header="871" w:top="1100" w:bottom="1660" w:left="980" w:right="0"/>
          <w:pgNumType w:start="15"/>
        </w:sectPr>
      </w:pPr>
    </w:p>
    <w:p>
      <w:pPr>
        <w:spacing w:line="240" w:lineRule="auto" w:before="7"/>
        <w:rPr>
          <w:rFonts w:ascii="宋体" w:hAnsi="宋体" w:cs="宋体" w:eastAsia="宋体" w:hint="default"/>
          <w:sz w:val="26"/>
          <w:szCs w:val="26"/>
        </w:rPr>
      </w:pPr>
    </w:p>
    <w:p>
      <w:pPr>
        <w:pStyle w:val="Heading3"/>
        <w:spacing w:line="240" w:lineRule="auto" w:before="36"/>
        <w:ind w:left="575" w:right="1126"/>
        <w:jc w:val="left"/>
        <w:rPr>
          <w:b w:val="0"/>
          <w:bCs w:val="0"/>
        </w:rPr>
      </w:pPr>
      <w:r>
        <w:rPr>
          <w:rFonts w:ascii="宋体" w:hAnsi="宋体" w:cs="宋体" w:eastAsia="宋体" w:hint="default"/>
        </w:rPr>
        <w:t>3</w:t>
      </w:r>
      <w:r>
        <w:rPr/>
        <w:t>、智慧连接平台</w:t>
      </w:r>
      <w:r>
        <w:rPr>
          <w:b w:val="0"/>
          <w:bCs w:val="0"/>
        </w:rPr>
      </w:r>
    </w:p>
    <w:p>
      <w:pPr>
        <w:spacing w:line="630" w:lineRule="atLeast" w:before="10"/>
        <w:ind w:left="575" w:right="11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）推动物联网业务发展，逐步建立跨境智能连接体系</w:t>
      </w:r>
      <w:r>
        <w:rPr>
          <w:rFonts w:ascii="宋体" w:hAnsi="宋体" w:cs="宋体" w:eastAsia="宋体" w:hint="default"/>
          <w:b/>
          <w:bCs/>
          <w:w w:val="100"/>
          <w:sz w:val="21"/>
          <w:szCs w:val="21"/>
        </w:rPr>
        <w:t> </w:t>
      </w:r>
      <w:r>
        <w:rPr>
          <w:rFonts w:ascii="宋体" w:hAnsi="宋体" w:cs="宋体" w:eastAsia="宋体" w:hint="default"/>
          <w:spacing w:val="-3"/>
          <w:sz w:val="21"/>
          <w:szCs w:val="21"/>
        </w:rPr>
        <w:t>公司在物联网跨境通信领域，基于自主研发的动态 </w:t>
      </w:r>
      <w:r>
        <w:rPr>
          <w:rFonts w:ascii="Times New Roman" w:hAnsi="Times New Roman" w:cs="Times New Roman" w:eastAsia="Times New Roman" w:hint="default"/>
          <w:spacing w:val="-3"/>
          <w:sz w:val="21"/>
          <w:szCs w:val="21"/>
        </w:rPr>
        <w:t>SIM</w:t>
      </w:r>
      <w:r>
        <w:rPr>
          <w:rFonts w:ascii="Times New Roman" w:hAnsi="Times New Roman" w:cs="Times New Roman" w:eastAsia="Times New Roman" w:hint="default"/>
          <w:spacing w:val="29"/>
          <w:sz w:val="21"/>
          <w:szCs w:val="21"/>
        </w:rPr>
        <w:t> </w:t>
      </w:r>
      <w:r>
        <w:rPr>
          <w:rFonts w:ascii="宋体" w:hAnsi="宋体" w:cs="宋体" w:eastAsia="宋体" w:hint="default"/>
          <w:spacing w:val="-4"/>
          <w:sz w:val="21"/>
          <w:szCs w:val="21"/>
        </w:rPr>
        <w:t>卡技术，已实现一卡多网、一卡遍全球和远程</w:t>
      </w:r>
    </w:p>
    <w:p>
      <w:pPr>
        <w:pStyle w:val="Heading4"/>
        <w:spacing w:line="400" w:lineRule="auto" w:before="175"/>
        <w:ind w:right="1125"/>
        <w:jc w:val="both"/>
      </w:pPr>
      <w:r>
        <w:rPr>
          <w:spacing w:val="-4"/>
        </w:rPr>
        <w:t>更新，高度集成 </w:t>
      </w:r>
      <w:r>
        <w:rPr>
          <w:rFonts w:ascii="Times New Roman" w:hAnsi="Times New Roman" w:cs="Times New Roman" w:eastAsia="Times New Roman" w:hint="default"/>
          <w:spacing w:val="-3"/>
        </w:rPr>
        <w:t>SIM </w:t>
      </w:r>
      <w:r>
        <w:rPr>
          <w:spacing w:val="-3"/>
        </w:rPr>
        <w:t>卡资源、模组硬件、云管理平台等通信服务能力，为全球客户提供物联网技术解决方</w:t>
      </w:r>
      <w:r>
        <w:rPr>
          <w:spacing w:val="-86"/>
        </w:rPr>
        <w:t> </w:t>
      </w:r>
      <w:r>
        <w:rPr>
          <w:spacing w:val="-86"/>
        </w:rPr>
      </w:r>
      <w:r>
        <w:rPr>
          <w:spacing w:val="-2"/>
        </w:rPr>
        <w:t>案，重点拓展了共享经济、智能穿戴、汽车互联、工业监控和智慧城市等应用场景。报告期内，公司多次</w:t>
      </w:r>
      <w:r>
        <w:rPr>
          <w:spacing w:val="-33"/>
        </w:rPr>
        <w:t> </w:t>
      </w:r>
      <w:r>
        <w:rPr>
          <w:spacing w:val="-33"/>
        </w:rPr>
      </w:r>
      <w:r>
        <w:rPr>
          <w:spacing w:val="-2"/>
        </w:rPr>
        <w:t>成功中标基础运营商国际物联网卡及物联网管理平台项目，且自主研发的跨境物流追踪平台在中欧班列等</w:t>
      </w:r>
      <w:r>
        <w:rPr>
          <w:spacing w:val="-33"/>
        </w:rPr>
        <w:t> </w:t>
      </w:r>
      <w:r>
        <w:rPr>
          <w:spacing w:val="-33"/>
        </w:rPr>
      </w:r>
      <w:r>
        <w:rPr/>
        <w:t>跨境运输上实现广泛应用。</w:t>
      </w:r>
    </w:p>
    <w:p>
      <w:pPr>
        <w:spacing w:line="240" w:lineRule="auto" w:before="12"/>
        <w:rPr>
          <w:rFonts w:ascii="宋体" w:hAnsi="宋体" w:cs="宋体" w:eastAsia="宋体" w:hint="default"/>
          <w:sz w:val="15"/>
          <w:szCs w:val="15"/>
        </w:rPr>
      </w:pPr>
    </w:p>
    <w:p>
      <w:pPr>
        <w:pStyle w:val="Heading3"/>
        <w:spacing w:line="240" w:lineRule="auto"/>
        <w:ind w:left="575" w:right="1126"/>
        <w:jc w:val="left"/>
        <w:rPr>
          <w:b w:val="0"/>
          <w:bCs w:val="0"/>
        </w:rPr>
      </w:pPr>
      <w:r>
        <w:rPr/>
        <w:t>（</w:t>
      </w:r>
      <w:r>
        <w:rPr>
          <w:rFonts w:ascii="Times New Roman" w:hAnsi="Times New Roman" w:cs="Times New Roman" w:eastAsia="Times New Roman" w:hint="default"/>
          <w:b w:val="0"/>
          <w:bCs w:val="0"/>
        </w:rPr>
        <w:t>2</w:t>
      </w:r>
      <w:r>
        <w:rPr/>
        <w:t>）坚持移动转售业务精细化运营，持续保持行业领先地位</w:t>
      </w:r>
      <w:r>
        <w:rPr>
          <w:b w:val="0"/>
          <w:bCs w:val="0"/>
        </w:rPr>
      </w:r>
    </w:p>
    <w:p>
      <w:pPr>
        <w:spacing w:line="240" w:lineRule="auto" w:before="12"/>
        <w:rPr>
          <w:rFonts w:ascii="宋体" w:hAnsi="宋体" w:cs="宋体" w:eastAsia="宋体" w:hint="default"/>
          <w:b/>
          <w:bCs/>
          <w:sz w:val="25"/>
          <w:szCs w:val="25"/>
        </w:rPr>
      </w:pPr>
    </w:p>
    <w:p>
      <w:pPr>
        <w:pStyle w:val="Heading4"/>
        <w:spacing w:line="391" w:lineRule="auto"/>
        <w:ind w:right="1123" w:firstLine="422"/>
        <w:jc w:val="both"/>
      </w:pPr>
      <w:r>
        <w:rPr/>
        <w:t>作为行业领先的虚拟运营商，公司积累卡号资源 </w:t>
      </w:r>
      <w:r>
        <w:rPr>
          <w:rFonts w:ascii="Times New Roman" w:hAnsi="Times New Roman" w:cs="Times New Roman" w:eastAsia="Times New Roman" w:hint="default"/>
        </w:rPr>
        <w:t>1,800</w:t>
      </w:r>
      <w:r>
        <w:rPr>
          <w:rFonts w:ascii="Times New Roman" w:hAnsi="Times New Roman" w:cs="Times New Roman" w:eastAsia="Times New Roman" w:hint="default"/>
          <w:spacing w:val="-21"/>
        </w:rPr>
        <w:t> </w:t>
      </w:r>
      <w:r>
        <w:rPr/>
        <w:t>多万个，覆盖线下网点数万家，拥有线上线下</w:t>
      </w:r>
      <w:r>
        <w:rPr>
          <w:w w:val="100"/>
        </w:rPr>
        <w:t> </w:t>
      </w:r>
      <w:r>
        <w:rPr/>
        <w:t>一体化的销售服务体系，具备全流程服务管理能力和 </w:t>
      </w:r>
      <w:r>
        <w:rPr>
          <w:rFonts w:ascii="宋体" w:hAnsi="宋体" w:cs="宋体" w:eastAsia="宋体" w:hint="default"/>
        </w:rPr>
        <w:t>SIM</w:t>
      </w:r>
      <w:r>
        <w:rPr>
          <w:rFonts w:ascii="宋体" w:hAnsi="宋体" w:cs="宋体" w:eastAsia="宋体" w:hint="default"/>
          <w:spacing w:val="-21"/>
        </w:rPr>
        <w:t> </w:t>
      </w:r>
      <w:r>
        <w:rPr/>
        <w:t>卡</w:t>
      </w:r>
      <w:r>
        <w:rPr>
          <w:rFonts w:ascii="宋体" w:hAnsi="宋体" w:cs="宋体" w:eastAsia="宋体" w:hint="default"/>
        </w:rPr>
        <w:t>+</w:t>
      </w:r>
      <w:r>
        <w:rPr/>
        <w:t>泛智能终端等多元化业务模式。报告期内，</w:t>
      </w:r>
      <w:r>
        <w:rPr>
          <w:w w:val="100"/>
        </w:rPr>
        <w:t> </w:t>
      </w:r>
      <w:r>
        <w:rPr/>
        <w:t>公司深化精细化运营：严抓实名制管控，建立健全长效机制；针对 </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7"/>
        </w:rPr>
        <w:t> </w:t>
      </w:r>
      <w:r>
        <w:rPr/>
        <w:t>用户，创新资费模式；完善自主研</w:t>
      </w:r>
      <w:r>
        <w:rPr>
          <w:w w:val="100"/>
        </w:rPr>
        <w:t> </w:t>
      </w:r>
      <w:r>
        <w:rPr/>
        <w:t>发的 </w:t>
      </w:r>
      <w:r>
        <w:rPr>
          <w:rFonts w:ascii="Times New Roman" w:hAnsi="Times New Roman" w:cs="Times New Roman" w:eastAsia="Times New Roman" w:hint="default"/>
        </w:rPr>
        <w:t>MVNE</w:t>
      </w:r>
      <w:r>
        <w:rPr>
          <w:rFonts w:ascii="Times New Roman" w:hAnsi="Times New Roman" w:cs="Times New Roman" w:eastAsia="Times New Roman" w:hint="default"/>
          <w:spacing w:val="43"/>
        </w:rPr>
        <w:t> </w:t>
      </w:r>
      <w:r>
        <w:rPr/>
        <w:t>平台，有效整合行业资源和优势；优化基础运营商卡号资源和结算模式，提升产品毛利，业</w:t>
      </w:r>
      <w:r>
        <w:rPr>
          <w:w w:val="100"/>
        </w:rPr>
        <w:t> </w:t>
      </w:r>
      <w:r>
        <w:rPr/>
        <w:t>务利润再创新高。</w:t>
      </w:r>
    </w:p>
    <w:p>
      <w:pPr>
        <w:spacing w:line="240" w:lineRule="auto" w:before="5"/>
        <w:rPr>
          <w:rFonts w:ascii="宋体" w:hAnsi="宋体" w:cs="宋体" w:eastAsia="宋体" w:hint="default"/>
          <w:sz w:val="19"/>
          <w:szCs w:val="19"/>
        </w:rPr>
      </w:pPr>
    </w:p>
    <w:p>
      <w:pPr>
        <w:pStyle w:val="Heading2"/>
        <w:spacing w:line="240" w:lineRule="auto"/>
        <w:ind w:right="1126"/>
        <w:jc w:val="left"/>
        <w:rPr>
          <w:b w:val="0"/>
          <w:bCs w:val="0"/>
        </w:rPr>
      </w:pPr>
      <w:bookmarkStart w:name="二、主营业务分析" w:id="45"/>
      <w:bookmarkEnd w:id="45"/>
      <w:r>
        <w:rPr>
          <w:b w:val="0"/>
          <w:bCs w:val="0"/>
        </w:rPr>
      </w:r>
      <w:r>
        <w:rPr/>
        <w:t>二、主营业务分析</w:t>
      </w:r>
      <w:r>
        <w:rPr>
          <w:b w:val="0"/>
          <w:bCs w:val="0"/>
        </w:rPr>
      </w:r>
    </w:p>
    <w:p>
      <w:pPr>
        <w:spacing w:line="240" w:lineRule="auto" w:before="4"/>
        <w:rPr>
          <w:rFonts w:ascii="宋体" w:hAnsi="宋体" w:cs="宋体" w:eastAsia="宋体" w:hint="default"/>
          <w:b/>
          <w:bCs/>
          <w:sz w:val="25"/>
          <w:szCs w:val="25"/>
        </w:rPr>
      </w:pPr>
    </w:p>
    <w:p>
      <w:pPr>
        <w:spacing w:line="520" w:lineRule="auto" w:before="0"/>
        <w:ind w:left="153" w:right="4645" w:firstLine="0"/>
        <w:jc w:val="left"/>
        <w:rPr>
          <w:rFonts w:ascii="宋体" w:hAnsi="宋体" w:cs="宋体" w:eastAsia="宋体" w:hint="default"/>
          <w:sz w:val="21"/>
          <w:szCs w:val="21"/>
        </w:rPr>
      </w:pPr>
      <w:bookmarkStart w:name="1、概述" w:id="46"/>
      <w:bookmarkEnd w:id="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2"/>
          <w:sz w:val="21"/>
          <w:szCs w:val="21"/>
        </w:rPr>
        <w:t>参见“经营情况讨论与分析”中的“一、概述”相关内容。</w:t>
      </w:r>
      <w:r>
        <w:rPr>
          <w:rFonts w:ascii="宋体" w:hAnsi="宋体" w:cs="宋体" w:eastAsia="宋体" w:hint="default"/>
          <w:spacing w:val="-52"/>
          <w:sz w:val="21"/>
          <w:szCs w:val="21"/>
        </w:rPr>
        <w:t> </w:t>
      </w:r>
      <w:r>
        <w:rPr>
          <w:rFonts w:ascii="宋体" w:hAnsi="宋体" w:cs="宋体" w:eastAsia="宋体" w:hint="default"/>
          <w:spacing w:val="-52"/>
          <w:sz w:val="21"/>
          <w:szCs w:val="21"/>
        </w:rPr>
      </w:r>
      <w:bookmarkStart w:name="2、收入与成本" w:id="47"/>
      <w:bookmarkEnd w:id="47"/>
      <w:r>
        <w:rPr>
          <w:rFonts w:ascii="宋体" w:hAnsi="宋体" w:cs="宋体" w:eastAsia="宋体" w:hint="default"/>
          <w:spacing w:val="-52"/>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52"/>
        <w:ind w:right="1126"/>
        <w:jc w:val="left"/>
        <w:rPr>
          <w:b w:val="0"/>
          <w:bCs w:val="0"/>
        </w:rPr>
      </w:pPr>
      <w:bookmarkStart w:name="（1）营业收入构成" w:id="48"/>
      <w:bookmarkEnd w:id="4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600"/>
        <w:gridCol w:w="1589"/>
        <w:gridCol w:w="1600"/>
        <w:gridCol w:w="1582"/>
        <w:gridCol w:w="1600"/>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7"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7"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55,969,322,613.03</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56,983,791,975.82</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100%</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-1.78%</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智能终端分销业务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40,257,717,842.05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71.93%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46,463,198,486.02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81.54%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-13.36%</w:t>
            </w:r>
          </w:p>
        </w:tc>
      </w:tr>
      <w:tr>
        <w:trPr>
          <w:trHeight w:val="71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金融及供应链服务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12,949,840,557.86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7,841,658,652.50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智慧零售业务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2,491,310,520.61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2,417,759,595.66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100" w:bottom="16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通信服务业务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183,718,573.58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193,343,883.78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-4.98%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86,735,118.93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67,831,357.86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27.87%</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移动通信产品销售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52,712,681,212.31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50,688,570,262.61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数码产品销售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2,202,473,612.70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2,217,070,341.94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-0.66%</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967,432,669.09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4,010,320,013.41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-75.88%</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86,735,118.93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67,831,357.86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27.87%</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7,487,202,961.49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8,819,119,292.99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-15.10%</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32,449,935,034.40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31,905,369,958.73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华西地区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6,846,147,256.33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5,687,854,273.53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20.36%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华北东北地区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9,186,037,360.81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10,571,448,450.57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-13.11%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占公司营业收入或营业利润10%以上的行业、产品或地区情况" w:id="49"/>
      <w:bookmarkEnd w:id="4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78"/>
        <w:gridCol w:w="1599"/>
        <w:gridCol w:w="1806"/>
        <w:gridCol w:w="734"/>
        <w:gridCol w:w="1378"/>
        <w:gridCol w:w="1378"/>
        <w:gridCol w:w="1383"/>
      </w:tblGrid>
      <w:tr>
        <w:trPr>
          <w:trHeight w:val="766" w:hRule="exact"/>
        </w:trPr>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3"/>
              <w:ind w:left="326" w:right="46" w:hanging="270"/>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3"/>
              <w:ind w:left="326" w:right="46"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3"/>
              <w:ind w:left="418" w:right="51" w:hanging="360"/>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20" w:hRule="exact"/>
        </w:trPr>
        <w:tc>
          <w:tcPr>
            <w:tcW w:w="965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59"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8"/>
              <w:ind w:left="24" w:right="79"/>
              <w:jc w:val="left"/>
              <w:rPr>
                <w:rFonts w:ascii="宋体" w:hAnsi="宋体" w:cs="宋体" w:eastAsia="宋体" w:hint="default"/>
                <w:sz w:val="18"/>
                <w:szCs w:val="18"/>
              </w:rPr>
            </w:pPr>
            <w:r>
              <w:rPr>
                <w:rFonts w:ascii="宋体" w:hAnsi="宋体" w:cs="宋体" w:eastAsia="宋体" w:hint="default"/>
                <w:spacing w:val="-3"/>
                <w:sz w:val="18"/>
                <w:szCs w:val="18"/>
              </w:rPr>
              <w:t>智能终端分销业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40,257,717,842.05</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39,132,207,896.62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-13.36%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-13.72%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0.41%</w:t>
            </w:r>
          </w:p>
        </w:tc>
      </w:tr>
      <w:tr>
        <w:trPr>
          <w:trHeight w:val="761" w:hRule="exact"/>
        </w:trPr>
        <w:tc>
          <w:tcPr>
            <w:tcW w:w="1378" w:type="dxa"/>
            <w:tcBorders>
              <w:top w:val="single" w:sz="4" w:space="0" w:color="000000"/>
              <w:left w:val="single" w:sz="4" w:space="0" w:color="000000"/>
              <w:bottom w:val="single" w:sz="10" w:space="0" w:color="D2D2D2"/>
              <w:right w:val="single" w:sz="4" w:space="0" w:color="000000"/>
            </w:tcBorders>
          </w:tcPr>
          <w:p>
            <w:pPr>
              <w:pStyle w:val="TableParagraph"/>
              <w:spacing w:line="316" w:lineRule="auto" w:before="73"/>
              <w:ind w:left="24" w:right="79"/>
              <w:jc w:val="left"/>
              <w:rPr>
                <w:rFonts w:ascii="宋体" w:hAnsi="宋体" w:cs="宋体" w:eastAsia="宋体" w:hint="default"/>
                <w:sz w:val="18"/>
                <w:szCs w:val="18"/>
              </w:rPr>
            </w:pPr>
            <w:r>
              <w:rPr>
                <w:rFonts w:ascii="宋体" w:hAnsi="宋体" w:cs="宋体" w:eastAsia="宋体" w:hint="default"/>
                <w:spacing w:val="-3"/>
                <w:sz w:val="18"/>
                <w:szCs w:val="18"/>
              </w:rPr>
              <w:t>金融及供应链服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务业务</w:t>
            </w:r>
          </w:p>
        </w:tc>
        <w:tc>
          <w:tcPr>
            <w:tcW w:w="159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12,949,840,557.86</w:t>
            </w:r>
          </w:p>
        </w:tc>
        <w:tc>
          <w:tcPr>
            <w:tcW w:w="180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12,657,034,682.63</w:t>
            </w:r>
          </w:p>
        </w:tc>
        <w:tc>
          <w:tcPr>
            <w:tcW w:w="73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w:t>
            </w:r>
          </w:p>
        </w:tc>
        <w:tc>
          <w:tcPr>
            <w:tcW w:w="137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65.14%</w:t>
            </w:r>
          </w:p>
        </w:tc>
        <w:tc>
          <w:tcPr>
            <w:tcW w:w="137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67.71%</w:t>
            </w:r>
          </w:p>
        </w:tc>
        <w:tc>
          <w:tcPr>
            <w:tcW w:w="1383"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-1.50%</w:t>
            </w:r>
          </w:p>
        </w:tc>
      </w:tr>
      <w:tr>
        <w:trPr>
          <w:trHeight w:val="418" w:hRule="exact"/>
        </w:trPr>
        <w:tc>
          <w:tcPr>
            <w:tcW w:w="965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68" w:hRule="exact"/>
        </w:trPr>
        <w:tc>
          <w:tcPr>
            <w:tcW w:w="1378" w:type="dxa"/>
            <w:tcBorders>
              <w:top w:val="single" w:sz="10" w:space="0" w:color="D2D2D2"/>
              <w:left w:val="single" w:sz="4" w:space="0" w:color="000000"/>
              <w:bottom w:val="single" w:sz="6" w:space="0" w:color="D2D2D2"/>
              <w:right w:val="single" w:sz="4" w:space="0" w:color="000000"/>
            </w:tcBorders>
          </w:tcPr>
          <w:p>
            <w:pPr>
              <w:pStyle w:val="TableParagraph"/>
              <w:spacing w:line="316" w:lineRule="auto" w:before="73"/>
              <w:ind w:left="24" w:right="79"/>
              <w:jc w:val="left"/>
              <w:rPr>
                <w:rFonts w:ascii="宋体" w:hAnsi="宋体" w:cs="宋体" w:eastAsia="宋体" w:hint="default"/>
                <w:sz w:val="18"/>
                <w:szCs w:val="18"/>
              </w:rPr>
            </w:pPr>
            <w:r>
              <w:rPr>
                <w:rFonts w:ascii="宋体" w:hAnsi="宋体" w:cs="宋体" w:eastAsia="宋体" w:hint="default"/>
                <w:spacing w:val="-3"/>
                <w:sz w:val="18"/>
                <w:szCs w:val="18"/>
              </w:rPr>
              <w:t>移动通信产品销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售</w:t>
            </w:r>
          </w:p>
        </w:tc>
        <w:tc>
          <w:tcPr>
            <w:tcW w:w="1599" w:type="dxa"/>
            <w:tcBorders>
              <w:top w:val="single" w:sz="10" w:space="0" w:color="D2D2D2"/>
              <w:left w:val="single" w:sz="4" w:space="0" w:color="000000"/>
              <w:bottom w:val="single" w:sz="6"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52,712,681,212.31</w:t>
            </w:r>
          </w:p>
        </w:tc>
        <w:tc>
          <w:tcPr>
            <w:tcW w:w="1806" w:type="dxa"/>
            <w:tcBorders>
              <w:top w:val="single" w:sz="10" w:space="0" w:color="D2D2D2"/>
              <w:left w:val="single" w:sz="4" w:space="0" w:color="000000"/>
              <w:bottom w:val="single" w:sz="6"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51,460,428,207.55</w:t>
            </w:r>
          </w:p>
        </w:tc>
        <w:tc>
          <w:tcPr>
            <w:tcW w:w="734" w:type="dxa"/>
            <w:tcBorders>
              <w:top w:val="single" w:sz="10" w:space="0" w:color="D2D2D2"/>
              <w:left w:val="single" w:sz="4" w:space="0" w:color="000000"/>
              <w:bottom w:val="single" w:sz="6"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w:t>
            </w:r>
          </w:p>
        </w:tc>
        <w:tc>
          <w:tcPr>
            <w:tcW w:w="1378" w:type="dxa"/>
            <w:tcBorders>
              <w:top w:val="single" w:sz="10" w:space="0" w:color="D2D2D2"/>
              <w:left w:val="single" w:sz="4" w:space="0" w:color="000000"/>
              <w:bottom w:val="single" w:sz="6"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3.99%</w:t>
            </w:r>
          </w:p>
        </w:tc>
        <w:tc>
          <w:tcPr>
            <w:tcW w:w="1378" w:type="dxa"/>
            <w:tcBorders>
              <w:top w:val="single" w:sz="10" w:space="0" w:color="D2D2D2"/>
              <w:left w:val="single" w:sz="4" w:space="0" w:color="000000"/>
              <w:bottom w:val="single" w:sz="6"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3.85%</w:t>
            </w:r>
          </w:p>
        </w:tc>
        <w:tc>
          <w:tcPr>
            <w:tcW w:w="1383" w:type="dxa"/>
            <w:tcBorders>
              <w:top w:val="single" w:sz="10" w:space="0" w:color="D2D2D2"/>
              <w:left w:val="single" w:sz="4" w:space="0" w:color="000000"/>
              <w:bottom w:val="single" w:sz="6"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0.14%</w:t>
            </w:r>
          </w:p>
        </w:tc>
      </w:tr>
      <w:tr>
        <w:trPr>
          <w:trHeight w:val="418" w:hRule="exact"/>
        </w:trPr>
        <w:tc>
          <w:tcPr>
            <w:tcW w:w="965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35" w:hRule="exact"/>
        </w:trPr>
        <w:tc>
          <w:tcPr>
            <w:tcW w:w="1378"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9"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2"/>
                <w:sz w:val="18"/>
              </w:rPr>
              <w:t>7,487,202,961.49</w:t>
            </w:r>
          </w:p>
        </w:tc>
        <w:tc>
          <w:tcPr>
            <w:tcW w:w="1806"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2"/>
                <w:sz w:val="18"/>
              </w:rPr>
              <w:t>7,243,362,106.17</w:t>
            </w:r>
          </w:p>
        </w:tc>
        <w:tc>
          <w:tcPr>
            <w:tcW w:w="734"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3.26%</w:t>
            </w:r>
          </w:p>
        </w:tc>
        <w:tc>
          <w:tcPr>
            <w:tcW w:w="1378"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15"/>
              <w:ind w:right="14"/>
              <w:jc w:val="right"/>
              <w:rPr>
                <w:rFonts w:ascii="Times New Roman" w:hAnsi="Times New Roman" w:cs="Times New Roman" w:eastAsia="Times New Roman" w:hint="default"/>
                <w:sz w:val="18"/>
                <w:szCs w:val="18"/>
              </w:rPr>
            </w:pPr>
            <w:r>
              <w:rPr>
                <w:rFonts w:ascii="Times New Roman"/>
                <w:spacing w:val="-1"/>
                <w:sz w:val="18"/>
              </w:rPr>
              <w:t>-15.10%</w:t>
            </w:r>
          </w:p>
        </w:tc>
        <w:tc>
          <w:tcPr>
            <w:tcW w:w="1378"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15"/>
              <w:ind w:right="14"/>
              <w:jc w:val="right"/>
              <w:rPr>
                <w:rFonts w:ascii="Times New Roman" w:hAnsi="Times New Roman" w:cs="Times New Roman" w:eastAsia="Times New Roman" w:hint="default"/>
                <w:sz w:val="18"/>
                <w:szCs w:val="18"/>
              </w:rPr>
            </w:pPr>
            <w:r>
              <w:rPr>
                <w:rFonts w:ascii="Times New Roman"/>
                <w:spacing w:val="-1"/>
                <w:sz w:val="18"/>
              </w:rPr>
              <w:t>-14.85%</w:t>
            </w:r>
          </w:p>
        </w:tc>
        <w:tc>
          <w:tcPr>
            <w:tcW w:w="138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2"/>
                <w:sz w:val="18"/>
              </w:rPr>
              <w:t>-0.29%</w:t>
            </w:r>
          </w:p>
        </w:tc>
      </w:tr>
      <w:tr>
        <w:trPr>
          <w:trHeight w:val="43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32,449,935,034.40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31,400,431,718.31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3.23%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pacing w:val="-1"/>
                <w:sz w:val="18"/>
              </w:rPr>
              <w:t>1.71%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pacing w:val="-1"/>
                <w:sz w:val="18"/>
              </w:rPr>
              <w:t>1.01%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0.66%</w:t>
            </w:r>
          </w:p>
        </w:tc>
      </w:tr>
      <w:tr>
        <w:trPr>
          <w:trHeight w:val="432"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华西地区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2"/>
                <w:sz w:val="18"/>
              </w:rPr>
              <w:t>6,846,147,256.33</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2"/>
                <w:sz w:val="18"/>
              </w:rPr>
              <w:t>6,728,893,275.81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1.71%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pacing w:val="-1"/>
                <w:sz w:val="18"/>
              </w:rPr>
              <w:t>20.36%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pacing w:val="-1"/>
                <w:sz w:val="18"/>
              </w:rPr>
              <w:t>22.92%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2"/>
                <w:sz w:val="18"/>
              </w:rPr>
              <w:t>-2.04%</w:t>
            </w:r>
          </w:p>
        </w:tc>
      </w:tr>
      <w:tr>
        <w:trPr>
          <w:trHeight w:val="437"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华北东北地区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2"/>
                <w:sz w:val="18"/>
              </w:rPr>
              <w:t>9,186,037,360.81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2"/>
                <w:sz w:val="18"/>
              </w:rPr>
              <w:t>8,834,448,010.69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3.83%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right"/>
              <w:rPr>
                <w:rFonts w:ascii="Times New Roman" w:hAnsi="Times New Roman" w:cs="Times New Roman" w:eastAsia="Times New Roman" w:hint="default"/>
                <w:sz w:val="18"/>
                <w:szCs w:val="18"/>
              </w:rPr>
            </w:pPr>
            <w:r>
              <w:rPr>
                <w:rFonts w:ascii="Times New Roman"/>
                <w:spacing w:val="-2"/>
                <w:sz w:val="18"/>
              </w:rPr>
              <w:t>-13.11%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right"/>
              <w:rPr>
                <w:rFonts w:ascii="Times New Roman" w:hAnsi="Times New Roman" w:cs="Times New Roman" w:eastAsia="Times New Roman" w:hint="default"/>
                <w:sz w:val="18"/>
                <w:szCs w:val="18"/>
              </w:rPr>
            </w:pPr>
            <w:r>
              <w:rPr>
                <w:rFonts w:ascii="Times New Roman"/>
                <w:spacing w:val="-1"/>
                <w:sz w:val="18"/>
              </w:rPr>
              <w:t>-13.81%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0.79%</w:t>
            </w:r>
          </w:p>
        </w:tc>
      </w:tr>
    </w:tbl>
    <w:p>
      <w:pPr>
        <w:pStyle w:val="BodyText"/>
        <w:spacing w:line="240" w:lineRule="auto" w:before="53"/>
        <w:ind w:right="1126"/>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100" w:bottom="16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1126"/>
        <w:jc w:val="left"/>
        <w:rPr>
          <w:b w:val="0"/>
          <w:bCs w:val="0"/>
        </w:rPr>
      </w:pPr>
      <w:bookmarkStart w:name="（3）公司实物销售收入是否大于劳务收入" w:id="50"/>
      <w:bookmarkEnd w:id="5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709"/>
        <w:gridCol w:w="1739"/>
        <w:gridCol w:w="1340"/>
        <w:gridCol w:w="1594"/>
        <w:gridCol w:w="1594"/>
        <w:gridCol w:w="1594"/>
      </w:tblGrid>
      <w:tr>
        <w:trPr>
          <w:trHeight w:val="40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8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移动通信产品及零售</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28,281,798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24,019,628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17.74%</w:t>
            </w:r>
          </w:p>
        </w:tc>
      </w:tr>
      <w:tr>
        <w:trPr>
          <w:trHeight w:val="398" w:hRule="exact"/>
        </w:trPr>
        <w:tc>
          <w:tcPr>
            <w:tcW w:w="1709" w:type="dxa"/>
            <w:vMerge/>
            <w:tcBorders>
              <w:left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1,350,344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1,205,115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12.05%</w:t>
            </w:r>
          </w:p>
        </w:tc>
      </w:tr>
      <w:tr>
        <w:trPr>
          <w:trHeight w:val="403" w:hRule="exact"/>
        </w:trPr>
        <w:tc>
          <w:tcPr>
            <w:tcW w:w="1709" w:type="dxa"/>
            <w:vMerge/>
            <w:tcBorders>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采购量</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28,427,027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23,403,949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21.46%</w:t>
            </w:r>
          </w:p>
        </w:tc>
      </w:tr>
    </w:tbl>
    <w:p>
      <w:pPr>
        <w:pStyle w:val="BodyText"/>
        <w:spacing w:line="240" w:lineRule="auto" w:before="54"/>
        <w:ind w:right="1126"/>
        <w:jc w:val="left"/>
      </w:pPr>
      <w:r>
        <w:rPr>
          <w:spacing w:val="-2"/>
        </w:rPr>
        <w:t>相关数据同比发生变动</w:t>
      </w:r>
      <w:r>
        <w:rPr/>
        <w:t> </w:t>
      </w:r>
      <w:r>
        <w:rPr>
          <w:rFonts w:ascii="Times New Roman" w:hAnsi="Times New Roman" w:cs="Times New Roman" w:eastAsia="Times New Roman" w:hint="default"/>
          <w:spacing w:val="-2"/>
        </w:rPr>
        <w:t>30%</w:t>
      </w:r>
      <w:r>
        <w:rPr>
          <w:spacing w:val="-2"/>
        </w:rPr>
        <w:t>以上的原因说明</w:t>
      </w:r>
    </w:p>
    <w:p>
      <w:pPr>
        <w:pStyle w:val="BodyText"/>
        <w:spacing w:line="240" w:lineRule="auto" w:before="10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4）公司已签订的重大销售合同截至本报告期的履行情况" w:id="51"/>
      <w:bookmarkEnd w:id="5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26"/>
        <w:jc w:val="left"/>
        <w:rPr>
          <w:b w:val="0"/>
          <w:bCs w:val="0"/>
        </w:rPr>
      </w:pPr>
      <w:bookmarkStart w:name="（5）营业成本构成" w:id="52"/>
      <w:bookmarkEnd w:id="5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26"/>
        <w:jc w:val="left"/>
      </w:pPr>
      <w:r>
        <w:rPr>
          <w:spacing w:val="-3"/>
        </w:rPr>
        <w:t>行业和产品分类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076"/>
        <w:gridCol w:w="1426"/>
        <w:gridCol w:w="1407"/>
        <w:gridCol w:w="1560"/>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9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智能终端分销业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39,132,207,896.62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72.19%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45,354,877,286.59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金融及供应链服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12,657,034,682.63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7,547,007,412.23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智慧零售业务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2,298,421,436.49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2,259,236,903.71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通信服务业务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109,962,248.70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139,043,766.68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-20.92%</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9,508,846.54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16,431,669.97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-42.13%</w:t>
            </w:r>
          </w:p>
        </w:tc>
      </w:tr>
    </w:tbl>
    <w:p>
      <w:pPr>
        <w:pStyle w:val="BodyText"/>
        <w:spacing w:line="240" w:lineRule="auto" w:before="53"/>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047"/>
        <w:gridCol w:w="1421"/>
        <w:gridCol w:w="1460"/>
        <w:gridCol w:w="1541"/>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移动通信产品销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售</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51,460,428,207.55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94.93%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49,554,227,878.36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数码产品销售</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2,023,293,807.59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3.73%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2,066,885,746.37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-2.11%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713,904,249.30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3,679,051,744.48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-80.60%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9,508,846.54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16,431,669.97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100" w:bottom="16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1126"/>
        <w:jc w:val="left"/>
        <w:rPr>
          <w:b w:val="0"/>
          <w:bCs w:val="0"/>
        </w:rPr>
      </w:pPr>
      <w:bookmarkStart w:name="（6）报告期内合并范围是否发生变动" w:id="53"/>
      <w:bookmarkEnd w:id="5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Heading4"/>
        <w:spacing w:line="256" w:lineRule="auto" w:before="153"/>
        <w:ind w:right="1126" w:firstLine="480"/>
        <w:jc w:val="left"/>
      </w:pPr>
      <w:r>
        <w:rPr>
          <w:spacing w:val="-3"/>
        </w:rPr>
        <w:t>本公司</w:t>
      </w:r>
      <w:r>
        <w:rPr>
          <w:rFonts w:ascii="Times New Roman" w:hAnsi="Times New Roman" w:cs="Times New Roman" w:eastAsia="Times New Roman" w:hint="default"/>
          <w:spacing w:val="-3"/>
        </w:rPr>
        <w:t>2019</w:t>
      </w:r>
      <w:r>
        <w:rPr>
          <w:spacing w:val="-3"/>
        </w:rPr>
        <w:t>年度纳入合并范围的子企业共</w:t>
      </w:r>
      <w:r>
        <w:rPr>
          <w:rFonts w:ascii="Times New Roman" w:hAnsi="Times New Roman" w:cs="Times New Roman" w:eastAsia="Times New Roman" w:hint="default"/>
          <w:spacing w:val="-3"/>
        </w:rPr>
        <w:t>90</w:t>
      </w:r>
      <w:r>
        <w:rPr>
          <w:spacing w:val="-3"/>
        </w:rPr>
        <w:t>户，本年度合并范围比上年度增加</w:t>
      </w:r>
      <w:r>
        <w:rPr>
          <w:rFonts w:ascii="Times New Roman" w:hAnsi="Times New Roman" w:cs="Times New Roman" w:eastAsia="Times New Roman" w:hint="default"/>
          <w:spacing w:val="-3"/>
        </w:rPr>
        <w:t>12</w:t>
      </w:r>
      <w:r>
        <w:rPr>
          <w:spacing w:val="-3"/>
        </w:rPr>
        <w:t>户，减少</w:t>
      </w:r>
      <w:r>
        <w:rPr>
          <w:rFonts w:ascii="Times New Roman" w:hAnsi="Times New Roman" w:cs="Times New Roman" w:eastAsia="Times New Roman" w:hint="default"/>
          <w:spacing w:val="-3"/>
        </w:rPr>
        <w:t>20</w:t>
      </w:r>
      <w:r>
        <w:rPr>
          <w:spacing w:val="-3"/>
        </w:rPr>
        <w:t>户，详细</w:t>
      </w:r>
      <w:r>
        <w:rPr>
          <w:w w:val="100"/>
        </w:rPr>
        <w:t> </w:t>
      </w:r>
      <w:r>
        <w:rPr/>
        <w:t>见“第十二节</w:t>
      </w:r>
      <w:r>
        <w:rPr>
          <w:spacing w:val="2"/>
        </w:rPr>
        <w:t> </w:t>
      </w:r>
      <w:r>
        <w:rPr/>
        <w:t>财务报告、八、合并范围的变更”。</w:t>
      </w:r>
    </w:p>
    <w:p>
      <w:pPr>
        <w:spacing w:line="240" w:lineRule="auto" w:before="11"/>
        <w:rPr>
          <w:rFonts w:ascii="宋体" w:hAnsi="宋体" w:cs="宋体" w:eastAsia="宋体" w:hint="default"/>
          <w:sz w:val="24"/>
          <w:szCs w:val="24"/>
        </w:rPr>
      </w:pPr>
    </w:p>
    <w:p>
      <w:pPr>
        <w:pStyle w:val="Heading3"/>
        <w:spacing w:line="240" w:lineRule="auto"/>
        <w:ind w:right="1126"/>
        <w:jc w:val="left"/>
        <w:rPr>
          <w:b w:val="0"/>
          <w:bCs w:val="0"/>
        </w:rPr>
      </w:pPr>
      <w:bookmarkStart w:name="（7）公司报告期内业务、产品或服务发生重大变化或调整有关情况" w:id="54"/>
      <w:bookmarkEnd w:id="5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8）主要销售客户和主要供应商情况" w:id="55"/>
      <w:bookmarkEnd w:id="5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right="1126"/>
        <w:jc w:val="left"/>
      </w:pPr>
      <w:r>
        <w:rPr/>
        <w:t>公司主要销售客户情况</w:t>
      </w:r>
    </w:p>
    <w:p>
      <w:pPr>
        <w:spacing w:line="240" w:lineRule="auto" w:before="12"/>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4711"/>
        <w:gridCol w:w="4893"/>
      </w:tblGrid>
      <w:tr>
        <w:trPr>
          <w:trHeight w:val="526" w:hRule="exact"/>
        </w:trPr>
        <w:tc>
          <w:tcPr>
            <w:tcW w:w="4711" w:type="dxa"/>
            <w:tcBorders>
              <w:top w:val="single" w:sz="4" w:space="0" w:color="000000"/>
              <w:left w:val="single" w:sz="4" w:space="0" w:color="000000"/>
              <w:bottom w:val="single" w:sz="25" w:space="0" w:color="FFFFFF"/>
              <w:right w:val="single" w:sz="4" w:space="0" w:color="000000"/>
            </w:tcBorders>
            <w:shd w:val="clear" w:color="auto" w:fill="D2D2D2"/>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4893" w:type="dxa"/>
            <w:tcBorders>
              <w:top w:val="single" w:sz="4" w:space="0" w:color="000000"/>
              <w:left w:val="single" w:sz="4" w:space="0" w:color="000000"/>
              <w:bottom w:val="single" w:sz="25" w:space="0" w:color="FFFFFF"/>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pacing w:val="-1"/>
                <w:sz w:val="18"/>
              </w:rPr>
              <w:t>16,631,922,041.92</w:t>
            </w:r>
          </w:p>
        </w:tc>
      </w:tr>
      <w:tr>
        <w:trPr>
          <w:trHeight w:val="504" w:hRule="exact"/>
        </w:trPr>
        <w:tc>
          <w:tcPr>
            <w:tcW w:w="4711" w:type="dxa"/>
            <w:tcBorders>
              <w:top w:val="single" w:sz="25" w:space="0" w:color="FFFFFF"/>
              <w:left w:val="single" w:sz="4" w:space="0" w:color="000000"/>
              <w:bottom w:val="single" w:sz="25" w:space="0" w:color="FFFFFF"/>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4893" w:type="dxa"/>
            <w:tcBorders>
              <w:top w:val="single" w:sz="25" w:space="0" w:color="FFFFFF"/>
              <w:left w:val="single" w:sz="4" w:space="0" w:color="000000"/>
              <w:bottom w:val="single" w:sz="25" w:space="0" w:color="FFFFFF"/>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29.72%</w:t>
            </w:r>
          </w:p>
        </w:tc>
      </w:tr>
      <w:tr>
        <w:trPr>
          <w:trHeight w:val="487" w:hRule="exact"/>
        </w:trPr>
        <w:tc>
          <w:tcPr>
            <w:tcW w:w="4711" w:type="dxa"/>
            <w:tcBorders>
              <w:top w:val="single" w:sz="2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4893" w:type="dxa"/>
            <w:tcBorders>
              <w:top w:val="single" w:sz="25" w:space="0" w:color="FFFFFF"/>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92"/>
        <w:ind w:right="1126"/>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785"/>
        <w:gridCol w:w="3337"/>
        <w:gridCol w:w="2847"/>
        <w:gridCol w:w="2661"/>
      </w:tblGrid>
      <w:tr>
        <w:trPr>
          <w:trHeight w:val="408"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4"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18"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6,554,175,235.94</w:t>
            </w:r>
          </w:p>
        </w:tc>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3"/>
                <w:sz w:val="18"/>
              </w:rPr>
              <w:t>11.71%</w:t>
            </w:r>
          </w:p>
        </w:tc>
      </w:tr>
      <w:tr>
        <w:trPr>
          <w:trHeight w:val="418"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5,985,158,720.43</w:t>
            </w:r>
          </w:p>
        </w:tc>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10.69%</w:t>
            </w:r>
          </w:p>
        </w:tc>
      </w:tr>
      <w:tr>
        <w:trPr>
          <w:trHeight w:val="418"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1,687,479,881.60</w:t>
            </w:r>
          </w:p>
        </w:tc>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3.02%</w:t>
            </w:r>
          </w:p>
        </w:tc>
      </w:tr>
      <w:tr>
        <w:trPr>
          <w:trHeight w:val="413"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1,410,143,095.88</w:t>
            </w:r>
          </w:p>
        </w:tc>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2.52%</w:t>
            </w:r>
          </w:p>
        </w:tc>
      </w:tr>
      <w:tr>
        <w:trPr>
          <w:trHeight w:val="427"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37" w:type="dxa"/>
            <w:tcBorders>
              <w:top w:val="single" w:sz="4" w:space="0" w:color="000000"/>
              <w:left w:val="single" w:sz="10" w:space="0" w:color="D2D2D2"/>
              <w:bottom w:val="single" w:sz="12" w:space="0" w:color="D2D2D2"/>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994,965,108.07</w:t>
            </w:r>
          </w:p>
        </w:tc>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1.78%</w:t>
            </w:r>
          </w:p>
        </w:tc>
      </w:tr>
      <w:tr>
        <w:trPr>
          <w:trHeight w:val="425"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16,631,922,041.92</w:t>
            </w:r>
          </w:p>
        </w:tc>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29.72%</w:t>
            </w:r>
          </w:p>
        </w:tc>
      </w:tr>
    </w:tbl>
    <w:p>
      <w:pPr>
        <w:pStyle w:val="BodyText"/>
        <w:spacing w:line="240" w:lineRule="auto" w:before="104"/>
        <w:ind w:right="0"/>
        <w:jc w:val="both"/>
      </w:pPr>
      <w:r>
        <w:rPr/>
        <w:t>主要客户其他情况说明</w:t>
      </w:r>
    </w:p>
    <w:p>
      <w:pPr>
        <w:spacing w:line="240" w:lineRule="auto" w:before="8"/>
        <w:rPr>
          <w:rFonts w:ascii="宋体" w:hAnsi="宋体" w:cs="宋体" w:eastAsia="宋体" w:hint="default"/>
          <w:sz w:val="17"/>
          <w:szCs w:val="17"/>
        </w:rPr>
      </w:pPr>
    </w:p>
    <w:p>
      <w:pPr>
        <w:pStyle w:val="BodyText"/>
        <w:spacing w:line="240" w:lineRule="auto"/>
        <w:ind w:right="0"/>
        <w:jc w:val="both"/>
      </w:pPr>
      <w:r>
        <w:rPr/>
        <w:t>√适用</w:t>
      </w:r>
      <w:r>
        <w:rPr>
          <w:spacing w:val="13"/>
        </w:rPr>
        <w:t> </w:t>
      </w:r>
      <w:r>
        <w:rPr>
          <w:rFonts w:ascii="Times New Roman" w:hAnsi="Times New Roman" w:cs="Times New Roman" w:eastAsia="Times New Roman" w:hint="default"/>
          <w:spacing w:val="-3"/>
        </w:rPr>
        <w:t>□</w:t>
      </w:r>
      <w:r>
        <w:rPr>
          <w:spacing w:val="-3"/>
        </w:rPr>
        <w:t>不适用</w:t>
      </w:r>
    </w:p>
    <w:p>
      <w:pPr>
        <w:spacing w:line="240" w:lineRule="auto" w:before="13"/>
        <w:rPr>
          <w:rFonts w:ascii="宋体" w:hAnsi="宋体" w:cs="宋体" w:eastAsia="宋体" w:hint="default"/>
          <w:sz w:val="14"/>
          <w:szCs w:val="14"/>
        </w:rPr>
      </w:pPr>
    </w:p>
    <w:p>
      <w:pPr>
        <w:pStyle w:val="Heading4"/>
        <w:spacing w:line="386" w:lineRule="auto"/>
        <w:ind w:right="1189"/>
        <w:jc w:val="both"/>
      </w:pPr>
      <w:r>
        <w:rPr/>
        <w:t>“客户</w:t>
      </w:r>
      <w:r>
        <w:rPr>
          <w:spacing w:val="-54"/>
        </w:rPr>
        <w:t> </w:t>
      </w:r>
      <w:r>
        <w:rPr>
          <w:rFonts w:ascii="Times New Roman" w:hAnsi="Times New Roman" w:cs="Times New Roman" w:eastAsia="Times New Roman" w:hint="default"/>
        </w:rPr>
        <w:t>2</w:t>
      </w:r>
      <w:r>
        <w:rPr/>
        <w:t>”与应收账款的“第三名”为同一个客户，“客户</w:t>
      </w:r>
      <w:r>
        <w:rPr>
          <w:spacing w:val="-52"/>
        </w:rPr>
        <w:t> </w:t>
      </w:r>
      <w:r>
        <w:rPr>
          <w:rFonts w:ascii="Times New Roman" w:hAnsi="Times New Roman" w:cs="Times New Roman" w:eastAsia="Times New Roman" w:hint="default"/>
        </w:rPr>
        <w:t>4</w:t>
      </w:r>
      <w:r>
        <w:rPr/>
        <w:t>”与应收账款的“第一名”为同一个客户。</w:t>
      </w:r>
      <w:r>
        <w:rPr>
          <w:w w:val="100"/>
        </w:rPr>
        <w:t> </w:t>
      </w:r>
      <w:r>
        <w:rPr>
          <w:spacing w:val="-2"/>
        </w:rPr>
        <w:t>公司前五名客户与公司不存在关联关系，公司董事，监事，高级管理人员，核心技术人员，持股</w:t>
      </w:r>
      <w:r>
        <w:rPr/>
        <w:t> </w:t>
      </w:r>
      <w:r>
        <w:rPr>
          <w:rFonts w:ascii="Times New Roman" w:hAnsi="Times New Roman" w:cs="Times New Roman" w:eastAsia="Times New Roman" w:hint="default"/>
          <w:spacing w:val="-1"/>
        </w:rPr>
        <w:t>5%</w:t>
      </w:r>
      <w:r>
        <w:rPr>
          <w:spacing w:val="-1"/>
        </w:rPr>
        <w:t>以上</w:t>
      </w:r>
      <w:r>
        <w:rPr>
          <w:spacing w:val="-66"/>
        </w:rPr>
        <w:t> </w:t>
      </w:r>
      <w:r>
        <w:rPr/>
        <w:t>股东，实际控制人和其他关联方在主要客户中不直接或间接拥有权益。</w:t>
      </w:r>
    </w:p>
    <w:p>
      <w:pPr>
        <w:pStyle w:val="BodyText"/>
        <w:spacing w:line="240" w:lineRule="auto" w:before="88"/>
        <w:ind w:right="0"/>
        <w:jc w:val="both"/>
      </w:pPr>
      <w:r>
        <w:rPr>
          <w:spacing w:val="-3"/>
        </w:rPr>
        <w:t>公司主要供应商情况</w:t>
      </w:r>
    </w:p>
    <w:p>
      <w:pPr>
        <w:spacing w:line="240" w:lineRule="auto" w:before="12"/>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4788"/>
        <w:gridCol w:w="4855"/>
      </w:tblGrid>
      <w:tr>
        <w:trPr>
          <w:trHeight w:val="542" w:hRule="exact"/>
        </w:trPr>
        <w:tc>
          <w:tcPr>
            <w:tcW w:w="4788" w:type="dxa"/>
            <w:tcBorders>
              <w:top w:val="single" w:sz="4" w:space="0" w:color="000000"/>
              <w:left w:val="single" w:sz="4" w:space="0" w:color="000000"/>
              <w:bottom w:val="single" w:sz="27" w:space="0" w:color="FFFFFF"/>
              <w:right w:val="single" w:sz="4" w:space="0" w:color="000000"/>
            </w:tcBorders>
            <w:shd w:val="clear" w:color="auto" w:fill="D2D2D2"/>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4855" w:type="dxa"/>
            <w:tcBorders>
              <w:top w:val="single" w:sz="4" w:space="0" w:color="000000"/>
              <w:left w:val="single" w:sz="4" w:space="0" w:color="000000"/>
              <w:bottom w:val="single" w:sz="27" w:space="0" w:color="FFFFFF"/>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44,915,109,962.52</w:t>
            </w:r>
          </w:p>
        </w:tc>
      </w:tr>
      <w:tr>
        <w:trPr>
          <w:trHeight w:val="490" w:hRule="exact"/>
        </w:trPr>
        <w:tc>
          <w:tcPr>
            <w:tcW w:w="4788" w:type="dxa"/>
            <w:tcBorders>
              <w:top w:val="single" w:sz="27"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4855" w:type="dxa"/>
            <w:tcBorders>
              <w:top w:val="single" w:sz="27" w:space="0" w:color="FFFFFF"/>
              <w:left w:val="single" w:sz="4" w:space="0" w:color="000000"/>
              <w:bottom w:val="single" w:sz="4" w:space="0" w:color="FFFFFF"/>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82.73%</w:t>
            </w:r>
          </w:p>
        </w:tc>
      </w:tr>
      <w:tr>
        <w:trPr>
          <w:trHeight w:val="528" w:hRule="exact"/>
        </w:trPr>
        <w:tc>
          <w:tcPr>
            <w:tcW w:w="47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485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100" w:bottom="1660" w:left="980" w:right="0"/>
        </w:sectPr>
      </w:pPr>
    </w:p>
    <w:p>
      <w:pPr>
        <w:spacing w:line="240" w:lineRule="auto" w:before="1"/>
        <w:rPr>
          <w:rFonts w:ascii="宋体" w:hAnsi="宋体" w:cs="宋体" w:eastAsia="宋体" w:hint="default"/>
          <w:sz w:val="28"/>
          <w:szCs w:val="28"/>
        </w:rPr>
      </w:pPr>
    </w:p>
    <w:p>
      <w:pPr>
        <w:pStyle w:val="BodyText"/>
        <w:spacing w:line="240" w:lineRule="auto" w:before="46"/>
        <w:ind w:right="1126"/>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6"/>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809"/>
        <w:gridCol w:w="2655"/>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5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4"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20,910,277,121.40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38.51%</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19,201,775,214.53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35.37%</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2,044,675,622.31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3.77%</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1,571,569,508.25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2.89%</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1,186,812,496.04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2.19%</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44,915,109,962.52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82.73%</w:t>
            </w:r>
          </w:p>
        </w:tc>
      </w:tr>
    </w:tbl>
    <w:p>
      <w:pPr>
        <w:pStyle w:val="BodyText"/>
        <w:spacing w:line="240" w:lineRule="auto" w:before="53"/>
        <w:ind w:right="1126"/>
        <w:jc w:val="left"/>
      </w:pPr>
      <w:r>
        <w:rPr>
          <w:spacing w:val="-3"/>
        </w:rPr>
        <w:t>主要供应商其他情况说明</w:t>
      </w:r>
    </w:p>
    <w:p>
      <w:pPr>
        <w:pStyle w:val="BodyText"/>
        <w:spacing w:line="240" w:lineRule="auto" w:before="115"/>
        <w:ind w:right="1126"/>
        <w:jc w:val="left"/>
      </w:pPr>
      <w:r>
        <w:rPr/>
        <w:t>√适用</w:t>
      </w:r>
      <w:r>
        <w:rPr>
          <w:spacing w:val="13"/>
        </w:rPr>
        <w:t> </w:t>
      </w:r>
      <w:r>
        <w:rPr>
          <w:rFonts w:ascii="Times New Roman" w:hAnsi="Times New Roman" w:cs="Times New Roman" w:eastAsia="Times New Roman" w:hint="default"/>
          <w:spacing w:val="-3"/>
        </w:rPr>
        <w:t>□</w:t>
      </w:r>
      <w:r>
        <w:rPr>
          <w:spacing w:val="-3"/>
        </w:rPr>
        <w:t>不适用</w:t>
      </w:r>
    </w:p>
    <w:p>
      <w:pPr>
        <w:pStyle w:val="Heading4"/>
        <w:spacing w:line="256" w:lineRule="auto" w:before="75"/>
        <w:ind w:right="1126" w:firstLine="91"/>
        <w:jc w:val="left"/>
      </w:pPr>
      <w:r>
        <w:rPr/>
        <w:t>“供应商</w:t>
      </w:r>
      <w:r>
        <w:rPr>
          <w:rFonts w:ascii="Times New Roman" w:hAnsi="Times New Roman" w:cs="Times New Roman" w:eastAsia="Times New Roman" w:hint="default"/>
        </w:rPr>
        <w:t>1</w:t>
      </w:r>
      <w:r>
        <w:rPr/>
        <w:t>”、“供应商</w:t>
      </w:r>
      <w:r>
        <w:rPr>
          <w:rFonts w:ascii="Times New Roman" w:hAnsi="Times New Roman" w:cs="Times New Roman" w:eastAsia="Times New Roman" w:hint="default"/>
        </w:rPr>
        <w:t>2</w:t>
      </w:r>
      <w:r>
        <w:rPr/>
        <w:t>”、与上年披露的“供应商</w:t>
      </w:r>
      <w:r>
        <w:rPr>
          <w:rFonts w:ascii="Times New Roman" w:hAnsi="Times New Roman" w:cs="Times New Roman" w:eastAsia="Times New Roman" w:hint="default"/>
        </w:rPr>
        <w:t>1</w:t>
      </w:r>
      <w:r>
        <w:rPr/>
        <w:t>”、“供应商</w:t>
      </w:r>
      <w:r>
        <w:rPr>
          <w:rFonts w:ascii="Times New Roman" w:hAnsi="Times New Roman" w:cs="Times New Roman" w:eastAsia="Times New Roman" w:hint="default"/>
        </w:rPr>
        <w:t>2</w:t>
      </w:r>
      <w:r>
        <w:rPr/>
        <w:t>”顺序相同，均为是同一供应商。</w:t>
      </w:r>
      <w:r>
        <w:rPr>
          <w:w w:val="100"/>
        </w:rPr>
        <w:t> </w:t>
      </w:r>
      <w:r>
        <w:rPr>
          <w:spacing w:val="-4"/>
        </w:rPr>
        <w:t>公司前五名供应商与公司不存在关联关系，公司董事，监事，高级管理人员，核心技术人员，持股</w:t>
      </w:r>
      <w:r>
        <w:rPr>
          <w:rFonts w:ascii="Times New Roman" w:hAnsi="Times New Roman" w:cs="Times New Roman" w:eastAsia="Times New Roman" w:hint="default"/>
          <w:spacing w:val="-4"/>
        </w:rPr>
        <w:t>5%</w:t>
      </w:r>
      <w:r>
        <w:rPr>
          <w:spacing w:val="-4"/>
        </w:rPr>
        <w:t>以上</w:t>
      </w:r>
      <w:r>
        <w:rPr>
          <w:spacing w:val="-17"/>
        </w:rPr>
        <w:t> </w:t>
      </w:r>
      <w:r>
        <w:rPr/>
        <w:t>股东，实际控制人和其他关联方在主要供应商中不直接或间接拥有权益。</w:t>
      </w:r>
    </w:p>
    <w:p>
      <w:pPr>
        <w:spacing w:line="240" w:lineRule="auto" w:before="11"/>
        <w:rPr>
          <w:rFonts w:ascii="宋体" w:hAnsi="宋体" w:cs="宋体" w:eastAsia="宋体" w:hint="default"/>
          <w:sz w:val="24"/>
          <w:szCs w:val="24"/>
        </w:rPr>
      </w:pPr>
    </w:p>
    <w:p>
      <w:pPr>
        <w:pStyle w:val="Heading3"/>
        <w:spacing w:line="240" w:lineRule="auto"/>
        <w:ind w:right="1126"/>
        <w:jc w:val="left"/>
        <w:rPr>
          <w:b w:val="0"/>
          <w:bCs w:val="0"/>
        </w:rPr>
      </w:pPr>
      <w:bookmarkStart w:name="3、费用" w:id="56"/>
      <w:bookmarkEnd w:id="56"/>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50"/>
        <w:gridCol w:w="1637"/>
        <w:gridCol w:w="1460"/>
        <w:gridCol w:w="2919"/>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686,020,008.98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729,338,057.25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-5.94%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225,682,518.74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220,777,637.63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154,235,368.93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240,881,973.35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公司债和短期借款利息支出减少</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13,659,787.55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6" w:right="0"/>
              <w:jc w:val="left"/>
              <w:rPr>
                <w:rFonts w:ascii="Times New Roman" w:hAnsi="Times New Roman" w:cs="Times New Roman" w:eastAsia="Times New Roman" w:hint="default"/>
                <w:sz w:val="18"/>
                <w:szCs w:val="18"/>
              </w:rPr>
            </w:pPr>
            <w:r>
              <w:rPr>
                <w:rFonts w:ascii="Times New Roman"/>
                <w:sz w:val="18"/>
              </w:rPr>
              <w:t>12,317,419.50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10.90%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66"/>
        <w:ind w:right="1126"/>
        <w:jc w:val="left"/>
        <w:rPr>
          <w:b w:val="0"/>
          <w:bCs w:val="0"/>
        </w:rPr>
      </w:pPr>
      <w:bookmarkStart w:name="4、研发投入" w:id="57"/>
      <w:bookmarkEnd w:id="5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15"/>
          <w:szCs w:val="15"/>
        </w:rPr>
      </w:pPr>
    </w:p>
    <w:p>
      <w:pPr>
        <w:pStyle w:val="Heading4"/>
        <w:spacing w:line="417" w:lineRule="auto"/>
        <w:ind w:right="1126"/>
        <w:jc w:val="left"/>
      </w:pPr>
      <w:r>
        <w:rPr>
          <w:rFonts w:ascii="Times New Roman" w:hAnsi="Times New Roman" w:cs="Times New Roman" w:eastAsia="Times New Roman" w:hint="default"/>
          <w:sz w:val="18"/>
          <w:szCs w:val="18"/>
        </w:rPr>
        <w:t>√ </w:t>
      </w:r>
      <w:r>
        <w:rPr>
          <w:spacing w:val="-3"/>
          <w:sz w:val="18"/>
          <w:szCs w:val="18"/>
        </w:rPr>
        <w:t>适用 </w:t>
      </w:r>
      <w:r>
        <w:rPr>
          <w:rFonts w:ascii="Times New Roman" w:hAnsi="Times New Roman" w:cs="Times New Roman" w:eastAsia="Times New Roman" w:hint="default"/>
          <w:sz w:val="18"/>
          <w:szCs w:val="18"/>
        </w:rPr>
        <w:t>□ </w:t>
      </w:r>
      <w:r>
        <w:rPr>
          <w:sz w:val="18"/>
          <w:szCs w:val="18"/>
        </w:rPr>
        <w:t>不适用</w:t>
      </w:r>
      <w:r>
        <w:rPr>
          <w:spacing w:val="-78"/>
          <w:sz w:val="18"/>
          <w:szCs w:val="18"/>
        </w:rPr>
        <w:t> </w:t>
      </w:r>
      <w:r>
        <w:rPr>
          <w:spacing w:val="-78"/>
          <w:sz w:val="18"/>
          <w:szCs w:val="18"/>
        </w:rPr>
      </w:r>
      <w:r>
        <w:rPr>
          <w:spacing w:val="-2"/>
        </w:rPr>
        <w:t>报告期内，公司研发投入主要是虚拟运营商移动转售业务自主研发所产生的研发费用，研发费用占收入比</w:t>
      </w:r>
      <w:r>
        <w:rPr>
          <w:spacing w:val="-33"/>
        </w:rPr>
        <w:t> </w:t>
      </w:r>
      <w:r>
        <w:rPr>
          <w:spacing w:val="-33"/>
        </w:rPr>
      </w:r>
      <w:r>
        <w:rPr/>
        <w:t>例</w:t>
      </w:r>
      <w:r>
        <w:rPr>
          <w:rFonts w:ascii="Times New Roman" w:hAnsi="Times New Roman" w:cs="Times New Roman" w:eastAsia="Times New Roman" w:hint="default"/>
        </w:rPr>
        <w:t>0.02%</w:t>
      </w:r>
      <w:r>
        <w:rPr/>
        <w:t>。</w:t>
      </w:r>
    </w:p>
    <w:p>
      <w:pPr>
        <w:pStyle w:val="BodyText"/>
        <w:spacing w:line="240" w:lineRule="auto" w:before="28"/>
        <w:ind w:right="1126"/>
        <w:jc w:val="left"/>
      </w:pPr>
      <w:r>
        <w:rPr/>
        <w:t>公司研发投入情况</w:t>
      </w:r>
    </w:p>
    <w:p>
      <w:pPr>
        <w:spacing w:line="240" w:lineRule="auto" w:before="12"/>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886"/>
        <w:gridCol w:w="2379"/>
        <w:gridCol w:w="2161"/>
        <w:gridCol w:w="2132"/>
      </w:tblGrid>
      <w:tr>
        <w:trPr>
          <w:trHeight w:val="398"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z w:val="18"/>
              </w:rPr>
              <w:t>32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32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13,659,787.55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12,317,419.50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10.90%</w:t>
            </w:r>
          </w:p>
        </w:tc>
      </w:tr>
      <w:tr>
        <w:trPr>
          <w:trHeight w:val="398"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研发投入资本化的金额（元）</w:t>
            </w:r>
          </w:p>
        </w:tc>
        <w:tc>
          <w:tcPr>
            <w:tcW w:w="23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101,708.74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资本化研发投入占研发投入的比例</w:t>
            </w:r>
          </w:p>
        </w:tc>
        <w:tc>
          <w:tcPr>
            <w:tcW w:w="23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100" w:bottom="166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1126"/>
        <w:jc w:val="left"/>
      </w:pPr>
      <w:r>
        <w:rPr>
          <w:spacing w:val="-3"/>
        </w:rPr>
        <w:t>研发投入总额占营业收入的比重较上年发生显著变化的原因</w:t>
      </w:r>
    </w:p>
    <w:p>
      <w:pPr>
        <w:pStyle w:val="BodyText"/>
        <w:spacing w:line="343" w:lineRule="auto" w:before="115"/>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38"/>
        <w:ind w:right="112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不适用</w:t>
      </w:r>
    </w:p>
    <w:p>
      <w:pPr>
        <w:pStyle w:val="BodyText"/>
        <w:spacing w:line="240" w:lineRule="auto" w:before="101"/>
        <w:ind w:right="1126"/>
        <w:jc w:val="left"/>
      </w:pPr>
      <w:r>
        <w:rPr>
          <w:spacing w:val="-3"/>
        </w:rPr>
        <w:t>报告期内，公司研发投入资本化系旗下子公司通信服务业务的电竞  </w:t>
      </w:r>
      <w:r>
        <w:rPr>
          <w:rFonts w:ascii="Times New Roman" w:hAnsi="Times New Roman" w:cs="Times New Roman" w:eastAsia="Times New Roman" w:hint="default"/>
          <w:spacing w:val="-3"/>
        </w:rPr>
        <w:t>APP</w:t>
      </w:r>
      <w:r>
        <w:rPr>
          <w:spacing w:val="-3"/>
        </w:rPr>
        <w:t>，总额较小，占比较小。</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5、现金流" w:id="58"/>
      <w:bookmarkEnd w:id="5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86"/>
        <w:gridCol w:w="2365"/>
        <w:gridCol w:w="2175"/>
        <w:gridCol w:w="2132"/>
      </w:tblGrid>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67,214,315,263.91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70,819,490,147.00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-5.09%</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65,522,801,418.78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70,327,241,407.09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-6.83%</w:t>
            </w:r>
          </w:p>
        </w:tc>
      </w:tr>
      <w:tr>
        <w:trPr>
          <w:trHeight w:val="404"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1,691,513,845.13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492,248,739.91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243.63%</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13,312,128,042.53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16,144,826,498.75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-17.55%</w:t>
            </w:r>
          </w:p>
        </w:tc>
      </w:tr>
      <w:tr>
        <w:trPr>
          <w:trHeight w:val="398"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12,863,337,566.30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15,999,152,166.22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-19.60%</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448,790,476.23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145,674,332.53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208.08%</w:t>
            </w:r>
          </w:p>
        </w:tc>
      </w:tr>
      <w:tr>
        <w:trPr>
          <w:trHeight w:val="404"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8,215,917,585.51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8,022,099,120.49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9,307,334,826.96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8,547,298,143.89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8.89%</w:t>
            </w:r>
          </w:p>
        </w:tc>
      </w:tr>
      <w:tr>
        <w:trPr>
          <w:trHeight w:val="398"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-1,091,417,241.45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-525,199,023.40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-107.81%</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1,050,817,325.74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113,977,878.41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821.95%</w:t>
            </w:r>
          </w:p>
        </w:tc>
      </w:tr>
    </w:tbl>
    <w:p>
      <w:pPr>
        <w:pStyle w:val="BodyText"/>
        <w:spacing w:line="240" w:lineRule="auto" w:before="53"/>
        <w:ind w:right="1126"/>
        <w:jc w:val="left"/>
      </w:pPr>
      <w:r>
        <w:rPr>
          <w:spacing w:val="-3"/>
        </w:rPr>
        <w:t>相关数据同比发生重大变动的主要影响因素说明</w:t>
      </w:r>
    </w:p>
    <w:p>
      <w:pPr>
        <w:pStyle w:val="BodyText"/>
        <w:spacing w:line="240" w:lineRule="auto" w:before="120"/>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126"/>
        <w:jc w:val="left"/>
      </w:pPr>
      <w:r>
        <w:rPr>
          <w:rFonts w:ascii="Times New Roman" w:hAnsi="Times New Roman" w:cs="Times New Roman" w:eastAsia="Times New Roman" w:hint="default"/>
          <w:spacing w:val="-3"/>
        </w:rPr>
        <w:t>1</w:t>
      </w:r>
      <w:r>
        <w:rPr>
          <w:spacing w:val="-3"/>
        </w:rPr>
        <w:t>、经营活动产生的现金流量净额变动的系本期末采购有额度厂家的货物较上期末增加，采购付款占用资金减少所致 </w:t>
      </w:r>
      <w:r>
        <w:rPr>
          <w:spacing w:val="48"/>
        </w:rPr>
        <w:t> </w:t>
      </w:r>
      <w:r>
        <w:rPr/>
        <w:t>；</w:t>
      </w:r>
    </w:p>
    <w:p>
      <w:pPr>
        <w:pStyle w:val="BodyText"/>
        <w:spacing w:line="240" w:lineRule="auto" w:before="106"/>
        <w:ind w:right="1126"/>
        <w:jc w:val="left"/>
      </w:pPr>
      <w:r>
        <w:rPr>
          <w:rFonts w:ascii="Times New Roman" w:hAnsi="Times New Roman" w:cs="Times New Roman" w:eastAsia="Times New Roman" w:hint="default"/>
          <w:spacing w:val="-3"/>
        </w:rPr>
        <w:t>2</w:t>
      </w:r>
      <w:r>
        <w:rPr>
          <w:spacing w:val="-3"/>
        </w:rPr>
        <w:t>、投资活动产生的现金流量净额变动的主要原因系本期公司收回上期末理财产品所致；</w:t>
      </w:r>
    </w:p>
    <w:p>
      <w:pPr>
        <w:pStyle w:val="BodyText"/>
        <w:spacing w:line="304" w:lineRule="auto" w:before="96"/>
        <w:ind w:right="1126"/>
        <w:jc w:val="left"/>
      </w:pPr>
      <w:r>
        <w:rPr>
          <w:rFonts w:ascii="Times New Roman" w:hAnsi="Times New Roman" w:cs="Times New Roman" w:eastAsia="Times New Roman" w:hint="default"/>
          <w:spacing w:val="-3"/>
        </w:rPr>
        <w:t>3</w:t>
      </w:r>
      <w:r>
        <w:rPr>
          <w:spacing w:val="-3"/>
        </w:rPr>
        <w:t>、筹资活动产生的现金净流量本期变动的原因主要系采购付款占用资金减少，偿还短期借款及减少支付各类保证金所致 </w:t>
      </w:r>
      <w:r>
        <w:rPr/>
        <w:t>。</w:t>
      </w:r>
      <w:r>
        <w:rPr>
          <w:spacing w:val="-10"/>
        </w:rPr>
        <w:t> </w:t>
      </w:r>
      <w:r>
        <w:rPr>
          <w:spacing w:val="-10"/>
        </w:rPr>
      </w:r>
      <w:r>
        <w:rPr>
          <w:spacing w:val="-3"/>
        </w:rPr>
        <w:t>报告期内公司经营活动产生的现金净流量与本年度净利润存在重大差异的原因说明</w:t>
      </w:r>
    </w:p>
    <w:p>
      <w:pPr>
        <w:pStyle w:val="BodyText"/>
        <w:spacing w:line="328" w:lineRule="auto" w:before="67"/>
        <w:ind w:right="111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w w:val="101"/>
        </w:rPr>
        <w:t>报告期内公司经营活动产生的现金净流量与本年度净利润存在重大差异的原因主要系厂家额度采购增加，采购存货占用资金</w:t>
      </w:r>
      <w:r>
        <w:rPr>
          <w:w w:val="101"/>
        </w:rPr>
        <w:t> </w:t>
      </w:r>
      <w:r>
        <w:rPr/>
        <w:t>减少。</w:t>
      </w:r>
    </w:p>
    <w:p>
      <w:pPr>
        <w:spacing w:line="240" w:lineRule="auto" w:before="8"/>
        <w:rPr>
          <w:rFonts w:ascii="宋体" w:hAnsi="宋体" w:cs="宋体" w:eastAsia="宋体" w:hint="default"/>
          <w:sz w:val="19"/>
          <w:szCs w:val="19"/>
        </w:rPr>
      </w:pPr>
    </w:p>
    <w:p>
      <w:pPr>
        <w:pStyle w:val="Heading2"/>
        <w:spacing w:line="240" w:lineRule="auto"/>
        <w:ind w:right="1126"/>
        <w:jc w:val="left"/>
        <w:rPr>
          <w:b w:val="0"/>
          <w:bCs w:val="0"/>
        </w:rPr>
      </w:pPr>
      <w:bookmarkStart w:name="三、非主营业务分析" w:id="59"/>
      <w:bookmarkEnd w:id="59"/>
      <w:r>
        <w:rPr>
          <w:b w:val="0"/>
          <w:bCs w:val="0"/>
        </w:rPr>
      </w:r>
      <w:r>
        <w:rPr/>
        <w:t>三、非主营业务分析</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0"/>
        <w:gridCol w:w="1349"/>
        <w:gridCol w:w="1652"/>
        <w:gridCol w:w="3376"/>
        <w:gridCol w:w="1685"/>
      </w:tblGrid>
      <w:tr>
        <w:trPr>
          <w:trHeight w:val="398"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3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4"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4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68" w:right="0"/>
              <w:jc w:val="left"/>
              <w:rPr>
                <w:rFonts w:ascii="Times New Roman" w:hAnsi="Times New Roman" w:cs="Times New Roman" w:eastAsia="Times New Roman" w:hint="default"/>
                <w:sz w:val="18"/>
                <w:szCs w:val="18"/>
              </w:rPr>
            </w:pPr>
            <w:r>
              <w:rPr>
                <w:rFonts w:ascii="Times New Roman"/>
                <w:sz w:val="18"/>
              </w:rPr>
              <w:t>46,413,243.90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0" w:right="0"/>
              <w:jc w:val="left"/>
              <w:rPr>
                <w:rFonts w:ascii="Times New Roman" w:hAnsi="Times New Roman" w:cs="Times New Roman" w:eastAsia="Times New Roman" w:hint="default"/>
                <w:sz w:val="18"/>
                <w:szCs w:val="18"/>
              </w:rPr>
            </w:pPr>
            <w:r>
              <w:rPr>
                <w:rFonts w:ascii="Times New Roman"/>
                <w:spacing w:val="-3"/>
                <w:sz w:val="18"/>
              </w:rPr>
              <w:t>11.76%</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0"/>
              <w:jc w:val="center"/>
              <w:rPr>
                <w:rFonts w:ascii="宋体" w:hAnsi="宋体" w:cs="宋体" w:eastAsia="宋体" w:hint="default"/>
                <w:sz w:val="18"/>
                <w:szCs w:val="18"/>
              </w:rPr>
            </w:pPr>
            <w:r>
              <w:rPr>
                <w:rFonts w:ascii="宋体" w:hAnsi="宋体" w:cs="宋体" w:eastAsia="宋体" w:hint="default"/>
                <w:spacing w:val="-3"/>
                <w:sz w:val="18"/>
                <w:szCs w:val="18"/>
              </w:rPr>
              <w:t>主要系处置股权收益及资金综合管理收益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3"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-8,012,126.27</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-2.03%</w:t>
            </w:r>
          </w:p>
        </w:tc>
        <w:tc>
          <w:tcPr>
            <w:tcW w:w="3376" w:type="dxa"/>
            <w:vMerge w:val="restart"/>
            <w:tcBorders>
              <w:top w:val="single" w:sz="4" w:space="0" w:color="000000"/>
              <w:left w:val="single" w:sz="4" w:space="0" w:color="000000"/>
              <w:right w:val="single" w:sz="4" w:space="0" w:color="000000"/>
            </w:tcBorders>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主要系锁汇借款因临时性汇率变动产生的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影响</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49" w:type="dxa"/>
            <w:vMerge/>
            <w:tcBorders>
              <w:left w:val="single" w:sz="8" w:space="0" w:color="D2D2D2"/>
              <w:right w:val="single" w:sz="4" w:space="0" w:color="000000"/>
            </w:tcBorders>
          </w:tcPr>
          <w:p>
            <w:pPr/>
          </w:p>
        </w:tc>
        <w:tc>
          <w:tcPr>
            <w:tcW w:w="1652" w:type="dxa"/>
            <w:vMerge/>
            <w:tcBorders>
              <w:left w:val="single" w:sz="4" w:space="0" w:color="000000"/>
              <w:right w:val="single" w:sz="4" w:space="0" w:color="000000"/>
            </w:tcBorders>
          </w:tcPr>
          <w:p>
            <w:pPr/>
          </w:p>
        </w:tc>
        <w:tc>
          <w:tcPr>
            <w:tcW w:w="3376" w:type="dxa"/>
            <w:vMerge/>
            <w:tcBorders>
              <w:left w:val="single" w:sz="4" w:space="0" w:color="000000"/>
              <w:right w:val="single" w:sz="4" w:space="0" w:color="000000"/>
            </w:tcBorders>
          </w:tcPr>
          <w:p>
            <w:pPr/>
          </w:p>
        </w:tc>
        <w:tc>
          <w:tcPr>
            <w:tcW w:w="1685" w:type="dxa"/>
            <w:vMerge/>
            <w:tcBorders>
              <w:left w:val="single" w:sz="4" w:space="0" w:color="000000"/>
              <w:right w:val="single" w:sz="4" w:space="0" w:color="000000"/>
            </w:tcBorders>
          </w:tcPr>
          <w:p>
            <w:pPr/>
          </w:p>
        </w:tc>
      </w:tr>
      <w:tr>
        <w:trPr>
          <w:trHeight w:val="163"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8" w:space="0" w:color="D2D2D2"/>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3376"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1474" w:top="1100" w:bottom="16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12"/>
        <w:gridCol w:w="1349"/>
        <w:gridCol w:w="1652"/>
        <w:gridCol w:w="3376"/>
        <w:gridCol w:w="1685"/>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4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-300,117,415.71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-76.03%</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主要系信用减值损失及存货跌价损失</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4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15,222,520.56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3.86%</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主要系政府补助</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4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3,141,920.83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0.80%</w:t>
            </w:r>
          </w:p>
        </w:tc>
        <w:tc>
          <w:tcPr>
            <w:tcW w:w="337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26"/>
        <w:jc w:val="left"/>
        <w:rPr>
          <w:b w:val="0"/>
          <w:bCs w:val="0"/>
        </w:rPr>
      </w:pPr>
      <w:bookmarkStart w:name="四、资产及负债状况分析" w:id="60"/>
      <w:bookmarkEnd w:id="60"/>
      <w:r>
        <w:rPr>
          <w:b w:val="0"/>
          <w:bCs w:val="0"/>
        </w:rPr>
      </w:r>
      <w:r>
        <w:rPr/>
        <w:t>四、资产及负债状况分析</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资产构成重大变动情况" w:id="61"/>
      <w:bookmarkEnd w:id="6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474" w:top="1100" w:bottom="16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6"/>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620" w:bottom="280" w:left="980" w:right="0"/>
          <w:cols w:num="2" w:equalWidth="0">
            <w:col w:w="8531" w:space="390"/>
            <w:col w:w="200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570"/>
        <w:gridCol w:w="1292"/>
        <w:gridCol w:w="1498"/>
        <w:gridCol w:w="1383"/>
        <w:gridCol w:w="1018"/>
        <w:gridCol w:w="1445"/>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8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1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862" w:type="dxa"/>
            <w:gridSpan w:val="2"/>
            <w:vMerge/>
            <w:tcBorders>
              <w:left w:val="single" w:sz="4" w:space="0" w:color="000000"/>
              <w:bottom w:val="single" w:sz="4" w:space="0" w:color="000000"/>
              <w:right w:val="single" w:sz="4" w:space="0" w:color="000000"/>
            </w:tcBorders>
            <w:shd w:val="clear" w:color="auto" w:fill="D2D2D2"/>
          </w:tcPr>
          <w:p>
            <w:pPr/>
          </w:p>
        </w:tc>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10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4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5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4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018" w:type="dxa"/>
            <w:vMerge/>
            <w:tcBorders>
              <w:left w:val="single" w:sz="4" w:space="0" w:color="000000"/>
              <w:bottom w:val="nil" w:sz="6" w:space="0" w:color="auto"/>
              <w:right w:val="single" w:sz="4" w:space="0" w:color="000000"/>
            </w:tcBorders>
            <w:shd w:val="clear" w:color="auto" w:fill="D2D2D2"/>
          </w:tcPr>
          <w:p>
            <w:pPr/>
          </w:p>
        </w:tc>
        <w:tc>
          <w:tcPr>
            <w:tcW w:w="1445"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0" w:type="dxa"/>
            <w:vMerge/>
            <w:tcBorders>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1498" w:type="dxa"/>
            <w:vMerge/>
            <w:tcBorders>
              <w:left w:val="single" w:sz="4"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c>
          <w:tcPr>
            <w:tcW w:w="1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3,438,760,012.39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2,921,075,929.00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28.49%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5.14%</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1,499,915,342.81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1,584,363,693.49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-0.78%</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2,334,089,641.44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2,355,193,580.31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22.97%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-0.14%</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5,139,627.51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32,738,065.61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-0.27%</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12,115,451.17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15,782,914.57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-0.03%</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234,513.28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在建征信系统</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369,650,000.00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309,101,965.50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0.61%</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999,960,695.35</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575,808,804.89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预付厂家货款增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加</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112,519,576.70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134,830,906.12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-0.21%</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912,655,349.92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915,275,597.96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125,224,475.73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994,238,239.73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-8.48%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47"/>
              <w:jc w:val="left"/>
              <w:rPr>
                <w:rFonts w:ascii="宋体" w:hAnsi="宋体" w:cs="宋体" w:eastAsia="宋体" w:hint="default"/>
                <w:sz w:val="18"/>
                <w:szCs w:val="18"/>
              </w:rPr>
            </w:pPr>
            <w:r>
              <w:rPr>
                <w:rFonts w:ascii="宋体" w:hAnsi="宋体" w:cs="宋体" w:eastAsia="宋体" w:hint="default"/>
                <w:spacing w:val="-3"/>
                <w:sz w:val="18"/>
                <w:szCs w:val="18"/>
              </w:rPr>
              <w:t>上期结构性存款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到期</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其他权益工具投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10,914,327.46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0.11%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86,660,954.98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-0.74%</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其他非流动金融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156,167,593.06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124,389,051.22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47"/>
              <w:jc w:val="both"/>
              <w:rPr>
                <w:rFonts w:ascii="宋体" w:hAnsi="宋体" w:cs="宋体" w:eastAsia="宋体" w:hint="default"/>
                <w:sz w:val="18"/>
                <w:szCs w:val="18"/>
              </w:rPr>
            </w:pPr>
            <w:r>
              <w:rPr>
                <w:rFonts w:ascii="宋体" w:hAnsi="宋体" w:cs="宋体" w:eastAsia="宋体" w:hint="default"/>
                <w:spacing w:val="-3"/>
                <w:sz w:val="18"/>
                <w:szCs w:val="18"/>
              </w:rPr>
              <w:t>信用减值准备及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子公司可抵扣亏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损增加</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以公允价值计量的资产和负债" w:id="62"/>
      <w:bookmarkEnd w:id="6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after="0" w:line="240" w:lineRule="auto"/>
        <w:jc w:val="right"/>
        <w:sectPr>
          <w:type w:val="continuous"/>
          <w:pgSz w:w="11910" w:h="16840"/>
          <w:pgMar w:top="620" w:bottom="280" w:left="980" w:right="0"/>
        </w:sectPr>
      </w:pP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061"/>
        <w:gridCol w:w="1383"/>
        <w:gridCol w:w="1244"/>
        <w:gridCol w:w="1277"/>
        <w:gridCol w:w="566"/>
        <w:gridCol w:w="1421"/>
        <w:gridCol w:w="1417"/>
        <w:gridCol w:w="423"/>
        <w:gridCol w:w="1277"/>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项目</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本期公允价值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变动损益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1" w:right="89"/>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计公允价值变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95"/>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的减</w:t>
            </w:r>
            <w:r>
              <w:rPr>
                <w:rFonts w:ascii="宋体" w:hAnsi="宋体" w:cs="宋体" w:eastAsia="宋体" w:hint="default"/>
                <w:spacing w:val="-86"/>
                <w:sz w:val="18"/>
                <w:szCs w:val="18"/>
              </w:rPr>
              <w:t> </w:t>
            </w:r>
            <w:r>
              <w:rPr>
                <w:rFonts w:ascii="宋体" w:hAnsi="宋体" w:cs="宋体" w:eastAsia="宋体" w:hint="default"/>
                <w:sz w:val="18"/>
                <w:szCs w:val="18"/>
              </w:rPr>
              <w:t>值</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8" w:right="17"/>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00"/>
              <w:jc w:val="right"/>
              <w:rPr>
                <w:rFonts w:ascii="宋体" w:hAnsi="宋体" w:cs="宋体" w:eastAsia="宋体" w:hint="default"/>
                <w:sz w:val="18"/>
                <w:szCs w:val="18"/>
              </w:rPr>
            </w:pPr>
            <w:r>
              <w:rPr>
                <w:rFonts w:ascii="宋体" w:hAnsi="宋体" w:cs="宋体" w:eastAsia="宋体" w:hint="default"/>
                <w:spacing w:val="-2"/>
                <w:sz w:val="18"/>
                <w:szCs w:val="18"/>
              </w:rPr>
              <w:t>金融资产</w:t>
            </w:r>
          </w:p>
        </w:tc>
        <w:tc>
          <w:tcPr>
            <w:tcW w:w="900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w w:val="101"/>
                <w:sz w:val="18"/>
                <w:szCs w:val="18"/>
              </w:rPr>
              <w:t>融资产（不含</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衍生金融资</w:t>
            </w:r>
            <w:r>
              <w:rPr>
                <w:rFonts w:ascii="宋体" w:hAnsi="宋体" w:cs="宋体" w:eastAsia="宋体" w:hint="default"/>
                <w:w w:val="101"/>
                <w:sz w:val="18"/>
                <w:szCs w:val="18"/>
              </w:rPr>
              <w:t> </w:t>
            </w:r>
            <w:r>
              <w:rPr>
                <w:rFonts w:ascii="宋体" w:hAnsi="宋体" w:cs="宋体" w:eastAsia="宋体" w:hint="default"/>
                <w:sz w:val="18"/>
                <w:szCs w:val="18"/>
              </w:rPr>
              <w:t>产）</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994,238,239.73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51,495,363.61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14,676,990,000.00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15,546,438,239.73</w:t>
            </w:r>
          </w:p>
        </w:tc>
        <w:tc>
          <w:tcPr>
            <w:tcW w:w="42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125,224,475.73</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6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工具投资</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86,660,954.98</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-369,771,317.00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10,914,327.46</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其他非流动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金融资产</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9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13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1,110,899,194.71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51,495,363.61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-359,771,317.00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14,676,990,000.00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15,546,438,239.73</w:t>
            </w:r>
          </w:p>
        </w:tc>
        <w:tc>
          <w:tcPr>
            <w:tcW w:w="42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166,138,803.19</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00"/>
              <w:jc w:val="right"/>
              <w:rPr>
                <w:rFonts w:ascii="宋体" w:hAnsi="宋体" w:cs="宋体" w:eastAsia="宋体" w:hint="default"/>
                <w:sz w:val="18"/>
                <w:szCs w:val="18"/>
              </w:rPr>
            </w:pPr>
            <w:r>
              <w:rPr>
                <w:rFonts w:ascii="宋体" w:hAnsi="宋体" w:cs="宋体" w:eastAsia="宋体" w:hint="default"/>
                <w:spacing w:val="-2"/>
                <w:sz w:val="18"/>
                <w:szCs w:val="18"/>
              </w:rPr>
              <w:t>金融负债</w:t>
            </w:r>
          </w:p>
        </w:tc>
        <w:tc>
          <w:tcPr>
            <w:tcW w:w="13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-10,718</w:t>
            </w:r>
            <w:r>
              <w:rPr>
                <w:rFonts w:ascii="Times New Roman"/>
                <w:spacing w:val="-1"/>
                <w:sz w:val="18"/>
              </w:rPr>
              <w:t> </w:t>
            </w:r>
            <w:r>
              <w:rPr>
                <w:rFonts w:ascii="Times New Roman"/>
                <w:sz w:val="18"/>
              </w:rPr>
              <w:t>,602.00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744,988,398.00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644,094,700.00</w:t>
            </w:r>
          </w:p>
        </w:tc>
        <w:tc>
          <w:tcPr>
            <w:tcW w:w="42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8,446,602.00</w:t>
            </w:r>
          </w:p>
        </w:tc>
      </w:tr>
    </w:tbl>
    <w:p>
      <w:pPr>
        <w:pStyle w:val="BodyText"/>
        <w:spacing w:line="240" w:lineRule="auto" w:before="53"/>
        <w:ind w:left="253" w:right="0"/>
        <w:jc w:val="left"/>
      </w:pPr>
      <w:r>
        <w:rPr/>
        <w:t>注</w:t>
      </w:r>
      <w:r>
        <w:rPr>
          <w:spacing w:val="69"/>
        </w:rPr>
        <w:t> </w:t>
      </w:r>
      <w:r>
        <w:rPr>
          <w:rFonts w:ascii="Times New Roman" w:hAnsi="Times New Roman" w:cs="Times New Roman" w:eastAsia="Times New Roman" w:hint="default"/>
          <w:spacing w:val="-3"/>
        </w:rPr>
        <w:t>1</w:t>
      </w:r>
      <w:r>
        <w:rPr>
          <w:spacing w:val="-3"/>
        </w:rPr>
        <w:t>：交易性金融资产系公司的本期购买和本期出售的内容为银行理财产品和结构性存款。</w:t>
      </w:r>
    </w:p>
    <w:p>
      <w:pPr>
        <w:pStyle w:val="BodyText"/>
        <w:spacing w:line="304" w:lineRule="auto" w:before="101"/>
        <w:ind w:left="253" w:right="0"/>
        <w:jc w:val="left"/>
      </w:pPr>
      <w:r>
        <w:rPr/>
        <w:t>注 </w:t>
      </w:r>
      <w:r>
        <w:rPr>
          <w:rFonts w:ascii="Times New Roman" w:hAnsi="Times New Roman" w:cs="Times New Roman" w:eastAsia="Times New Roman" w:hint="default"/>
          <w:spacing w:val="-4"/>
        </w:rPr>
        <w:t>2</w:t>
      </w:r>
      <w:r>
        <w:rPr>
          <w:spacing w:val="-4"/>
        </w:rPr>
        <w:t>：金融负债系短期借款中的外币借款因锁定汇率所产生的临时汇率变动影响，期末根据汇率的变动影响进行确认交易性</w:t>
      </w:r>
      <w:r>
        <w:rPr>
          <w:spacing w:val="-57"/>
        </w:rPr>
        <w:t> </w:t>
      </w:r>
      <w:r>
        <w:rPr>
          <w:spacing w:val="-57"/>
        </w:rPr>
      </w:r>
      <w:r>
        <w:rPr>
          <w:spacing w:val="-3"/>
        </w:rPr>
        <w:t>金融负债，本期购买为和本期出售的内容为短期借款本金的变动。</w:t>
      </w:r>
    </w:p>
    <w:p>
      <w:pPr>
        <w:pStyle w:val="BodyText"/>
        <w:spacing w:line="240" w:lineRule="auto" w:before="66"/>
        <w:ind w:left="253" w:right="0"/>
        <w:jc w:val="left"/>
      </w:pPr>
      <w:r>
        <w:rPr>
          <w:spacing w:val="-3"/>
        </w:rPr>
        <w:t>报告期内公司主要资产计量属性是否发生重大变化</w:t>
      </w:r>
    </w:p>
    <w:p>
      <w:pPr>
        <w:pStyle w:val="BodyText"/>
        <w:spacing w:line="240" w:lineRule="auto" w:before="119"/>
        <w:ind w:left="253"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3"/>
        <w:spacing w:line="240" w:lineRule="auto"/>
        <w:ind w:left="253" w:right="0"/>
        <w:jc w:val="left"/>
        <w:rPr>
          <w:b w:val="0"/>
          <w:bCs w:val="0"/>
        </w:rPr>
      </w:pPr>
      <w:bookmarkStart w:name="3、截至报告期末的资产权利受限情况" w:id="63"/>
      <w:bookmarkEnd w:id="6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tbl>
      <w:tblPr>
        <w:tblW w:w="0" w:type="auto"/>
        <w:jc w:val="left"/>
        <w:tblInd w:w="243" w:type="dxa"/>
        <w:tblLayout w:type="fixed"/>
        <w:tblCellMar>
          <w:top w:w="0" w:type="dxa"/>
          <w:left w:w="0" w:type="dxa"/>
          <w:bottom w:w="0" w:type="dxa"/>
          <w:right w:w="0" w:type="dxa"/>
        </w:tblCellMar>
        <w:tblLook w:val="01E0"/>
      </w:tblPr>
      <w:tblGrid>
        <w:gridCol w:w="2022"/>
        <w:gridCol w:w="3318"/>
        <w:gridCol w:w="4182"/>
      </w:tblGrid>
      <w:tr>
        <w:trPr>
          <w:trHeight w:val="343" w:hRule="exact"/>
        </w:trPr>
        <w:tc>
          <w:tcPr>
            <w:tcW w:w="202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5"/>
              <w:ind w:left="8"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418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72" w:hRule="exact"/>
        </w:trPr>
        <w:tc>
          <w:tcPr>
            <w:tcW w:w="202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46"/>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15" w:space="0" w:color="D6D6D6"/>
              <w:left w:val="single" w:sz="6" w:space="0" w:color="000000"/>
              <w:bottom w:val="single" w:sz="6" w:space="0" w:color="000000"/>
              <w:right w:val="single" w:sz="6" w:space="0" w:color="000000"/>
            </w:tcBorders>
          </w:tcPr>
          <w:p>
            <w:pPr>
              <w:pStyle w:val="TableParagraph"/>
              <w:spacing w:line="240" w:lineRule="auto" w:before="76"/>
              <w:ind w:right="-5"/>
              <w:jc w:val="right"/>
              <w:rPr>
                <w:rFonts w:ascii="Times New Roman" w:hAnsi="Times New Roman" w:cs="Times New Roman" w:eastAsia="Times New Roman" w:hint="default"/>
                <w:sz w:val="18"/>
                <w:szCs w:val="18"/>
              </w:rPr>
            </w:pPr>
            <w:r>
              <w:rPr>
                <w:rFonts w:ascii="Times New Roman"/>
                <w:spacing w:val="-1"/>
                <w:sz w:val="18"/>
              </w:rPr>
              <w:t>776,720,136.35</w:t>
            </w:r>
          </w:p>
        </w:tc>
        <w:tc>
          <w:tcPr>
            <w:tcW w:w="4182" w:type="dxa"/>
            <w:tcBorders>
              <w:top w:val="single" w:sz="15" w:space="0" w:color="D6D6D6"/>
              <w:left w:val="single" w:sz="6" w:space="0" w:color="000000"/>
              <w:bottom w:val="single" w:sz="6" w:space="0" w:color="000000"/>
              <w:right w:val="single" w:sz="6" w:space="0" w:color="000000"/>
            </w:tcBorders>
          </w:tcPr>
          <w:p>
            <w:pPr>
              <w:pStyle w:val="TableParagraph"/>
              <w:spacing w:line="240" w:lineRule="auto" w:before="34"/>
              <w:ind w:left="10"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见第十二节</w:t>
            </w:r>
            <w:r>
              <w:rPr>
                <w:rFonts w:ascii="宋体" w:hAnsi="宋体" w:cs="宋体" w:eastAsia="宋体" w:hint="default"/>
                <w:spacing w:val="25"/>
                <w:sz w:val="18"/>
                <w:szCs w:val="18"/>
              </w:rPr>
              <w:t> </w:t>
            </w:r>
            <w:r>
              <w:rPr>
                <w:rFonts w:ascii="宋体" w:hAnsi="宋体" w:cs="宋体" w:eastAsia="宋体" w:hint="default"/>
                <w:spacing w:val="-3"/>
                <w:sz w:val="18"/>
                <w:szCs w:val="18"/>
              </w:rPr>
              <w:t>财务报告附注七、</w:t>
            </w:r>
            <w:r>
              <w:rPr>
                <w:rFonts w:ascii="Times New Roman" w:hAnsi="Times New Roman" w:cs="Times New Roman" w:eastAsia="Times New Roman" w:hint="default"/>
                <w:spacing w:val="-3"/>
                <w:sz w:val="18"/>
                <w:szCs w:val="18"/>
              </w:rPr>
              <w:t>1</w:t>
            </w:r>
          </w:p>
        </w:tc>
      </w:tr>
      <w:tr>
        <w:trPr>
          <w:trHeight w:val="346" w:hRule="exact"/>
        </w:trPr>
        <w:tc>
          <w:tcPr>
            <w:tcW w:w="202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316,600,000.00</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见第十二节</w:t>
            </w:r>
            <w:r>
              <w:rPr>
                <w:rFonts w:ascii="宋体" w:hAnsi="宋体" w:cs="宋体" w:eastAsia="宋体" w:hint="default"/>
                <w:spacing w:val="25"/>
                <w:sz w:val="18"/>
                <w:szCs w:val="18"/>
              </w:rPr>
              <w:t> </w:t>
            </w:r>
            <w:r>
              <w:rPr>
                <w:rFonts w:ascii="宋体" w:hAnsi="宋体" w:cs="宋体" w:eastAsia="宋体" w:hint="default"/>
                <w:spacing w:val="-3"/>
                <w:sz w:val="18"/>
                <w:szCs w:val="18"/>
              </w:rPr>
              <w:t>财务报告附注七、</w:t>
            </w:r>
            <w:r>
              <w:rPr>
                <w:rFonts w:ascii="Times New Roman" w:hAnsi="Times New Roman" w:cs="Times New Roman" w:eastAsia="Times New Roman" w:hint="default"/>
                <w:spacing w:val="-3"/>
                <w:sz w:val="18"/>
                <w:szCs w:val="18"/>
              </w:rPr>
              <w:t>3</w:t>
            </w:r>
          </w:p>
        </w:tc>
      </w:tr>
      <w:tr>
        <w:trPr>
          <w:trHeight w:val="350" w:hRule="exact"/>
        </w:trPr>
        <w:tc>
          <w:tcPr>
            <w:tcW w:w="202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12,590,000.00</w:t>
            </w:r>
          </w:p>
        </w:tc>
        <w:tc>
          <w:tcPr>
            <w:tcW w:w="4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见第十二节</w:t>
            </w:r>
            <w:r>
              <w:rPr>
                <w:rFonts w:ascii="宋体" w:hAnsi="宋体" w:cs="宋体" w:eastAsia="宋体" w:hint="default"/>
                <w:spacing w:val="25"/>
                <w:sz w:val="18"/>
                <w:szCs w:val="18"/>
              </w:rPr>
              <w:t> </w:t>
            </w:r>
            <w:r>
              <w:rPr>
                <w:rFonts w:ascii="宋体" w:hAnsi="宋体" w:cs="宋体" w:eastAsia="宋体" w:hint="default"/>
                <w:spacing w:val="-3"/>
                <w:sz w:val="18"/>
                <w:szCs w:val="18"/>
              </w:rPr>
              <w:t>财务报告附注七、</w:t>
            </w:r>
            <w:r>
              <w:rPr>
                <w:rFonts w:ascii="Times New Roman" w:hAnsi="Times New Roman" w:cs="Times New Roman" w:eastAsia="Times New Roman" w:hint="default"/>
                <w:spacing w:val="-3"/>
                <w:sz w:val="18"/>
                <w:szCs w:val="18"/>
              </w:rPr>
              <w:t>2</w:t>
            </w:r>
          </w:p>
        </w:tc>
      </w:tr>
      <w:tr>
        <w:trPr>
          <w:trHeight w:val="346" w:hRule="exact"/>
        </w:trPr>
        <w:tc>
          <w:tcPr>
            <w:tcW w:w="2022"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2"/>
                <w:sz w:val="18"/>
              </w:rPr>
              <w:t>1,105,910,136.35</w:t>
            </w:r>
          </w:p>
        </w:tc>
        <w:tc>
          <w:tcPr>
            <w:tcW w:w="41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b/>
          <w:bCs/>
          <w:sz w:val="17"/>
          <w:szCs w:val="17"/>
        </w:rPr>
      </w:pPr>
    </w:p>
    <w:p>
      <w:pPr>
        <w:pStyle w:val="Heading2"/>
        <w:spacing w:line="240" w:lineRule="auto" w:before="26"/>
        <w:ind w:left="253" w:right="0"/>
        <w:jc w:val="left"/>
        <w:rPr>
          <w:b w:val="0"/>
          <w:bCs w:val="0"/>
        </w:rPr>
      </w:pPr>
      <w:bookmarkStart w:name="五、投资状况分析" w:id="64"/>
      <w:bookmarkEnd w:id="6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53" w:right="0"/>
        <w:jc w:val="left"/>
        <w:rPr>
          <w:b w:val="0"/>
          <w:bCs w:val="0"/>
        </w:rPr>
      </w:pPr>
      <w:bookmarkStart w:name="1、总体情况" w:id="65"/>
      <w:bookmarkEnd w:id="6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2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5,140,272.00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-92.41%</w:t>
            </w:r>
          </w:p>
        </w:tc>
      </w:tr>
    </w:tbl>
    <w:p>
      <w:pPr>
        <w:spacing w:line="240" w:lineRule="auto" w:before="3"/>
        <w:rPr>
          <w:rFonts w:ascii="宋体" w:hAnsi="宋体" w:cs="宋体" w:eastAsia="宋体" w:hint="default"/>
          <w:sz w:val="19"/>
          <w:szCs w:val="19"/>
        </w:rPr>
      </w:pPr>
    </w:p>
    <w:p>
      <w:pPr>
        <w:pStyle w:val="Heading3"/>
        <w:spacing w:line="240" w:lineRule="auto" w:before="36"/>
        <w:ind w:left="253" w:right="0"/>
        <w:jc w:val="left"/>
        <w:rPr>
          <w:b w:val="0"/>
          <w:bCs w:val="0"/>
        </w:rPr>
      </w:pPr>
      <w:bookmarkStart w:name="2、报告期内获取的重大的股权投资情况" w:id="66"/>
      <w:bookmarkEnd w:id="6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100" w:bottom="1660" w:left="880" w:right="0"/>
        </w:sectPr>
      </w:pPr>
    </w:p>
    <w:p>
      <w:pPr>
        <w:spacing w:line="240" w:lineRule="auto" w:before="9"/>
        <w:rPr>
          <w:rFonts w:ascii="宋体" w:hAnsi="宋体" w:cs="宋体" w:eastAsia="宋体" w:hint="default"/>
          <w:sz w:val="20"/>
          <w:szCs w:val="20"/>
        </w:rPr>
      </w:pPr>
    </w:p>
    <w:p>
      <w:pPr>
        <w:pStyle w:val="Heading3"/>
        <w:spacing w:line="240" w:lineRule="auto" w:before="36"/>
        <w:ind w:right="1126"/>
        <w:jc w:val="left"/>
        <w:rPr>
          <w:b w:val="0"/>
          <w:bCs w:val="0"/>
        </w:rPr>
      </w:pPr>
      <w:bookmarkStart w:name="3、报告期内正在进行的重大的非股权投资情况" w:id="67"/>
      <w:bookmarkEnd w:id="6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1126"/>
        <w:jc w:val="left"/>
        <w:rPr>
          <w:b w:val="0"/>
          <w:bCs w:val="0"/>
        </w:rPr>
      </w:pPr>
      <w:bookmarkStart w:name="4、以公允价值计量的金融资产" w:id="68"/>
      <w:bookmarkEnd w:id="6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6"/>
        <w:gridCol w:w="1441"/>
        <w:gridCol w:w="1095"/>
        <w:gridCol w:w="1451"/>
        <w:gridCol w:w="936"/>
        <w:gridCol w:w="840"/>
        <w:gridCol w:w="1330"/>
        <w:gridCol w:w="1402"/>
        <w:gridCol w:w="509"/>
      </w:tblGrid>
      <w:tr>
        <w:trPr>
          <w:trHeight w:val="711"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6" w:right="95"/>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类别</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1" w:right="89"/>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78" w:right="85" w:hanging="87"/>
              <w:jc w:val="left"/>
              <w:rPr>
                <w:rFonts w:ascii="宋体" w:hAnsi="宋体" w:cs="宋体" w:eastAsia="宋体" w:hint="default"/>
                <w:sz w:val="18"/>
                <w:szCs w:val="18"/>
              </w:rPr>
            </w:pPr>
            <w:r>
              <w:rPr>
                <w:rFonts w:ascii="宋体" w:hAnsi="宋体" w:cs="宋体" w:eastAsia="宋体" w:hint="default"/>
                <w:spacing w:val="-3"/>
                <w:sz w:val="18"/>
                <w:szCs w:val="18"/>
              </w:rPr>
              <w:t>计入权益的累计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公允价值变动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3"/>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购入金额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2" w:right="51"/>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售出金额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2" w:right="6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715" w:hRule="exact"/>
        </w:trPr>
        <w:tc>
          <w:tcPr>
            <w:tcW w:w="56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604,985,485.57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-369,771,317.00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100,133,408.02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10,714,307.46</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r>
      <w:tr>
        <w:trPr>
          <w:trHeight w:val="403" w:hRule="exact"/>
        </w:trPr>
        <w:tc>
          <w:tcPr>
            <w:tcW w:w="566"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604,985,485.57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-369,771,317.00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100,133,408.02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1" w:right="0"/>
              <w:jc w:val="left"/>
              <w:rPr>
                <w:rFonts w:ascii="Times New Roman" w:hAnsi="Times New Roman" w:cs="Times New Roman" w:eastAsia="Times New Roman" w:hint="default"/>
                <w:sz w:val="18"/>
                <w:szCs w:val="18"/>
              </w:rPr>
            </w:pPr>
            <w:r>
              <w:rPr>
                <w:rFonts w:ascii="Times New Roman"/>
                <w:sz w:val="18"/>
              </w:rPr>
              <w:t>10,714,307.46</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5、募集资金使用情况" w:id="69"/>
      <w:bookmarkEnd w:id="6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1）募集资金总体使用情况" w:id="70"/>
      <w:bookmarkEnd w:id="7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54" w:right="70"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60"/>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1"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发行股票</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214,202.69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364.48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212,530.75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1,671.94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存放银行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2,532.16</w:t>
            </w:r>
          </w:p>
        </w:tc>
      </w:tr>
      <w:tr>
        <w:trPr>
          <w:trHeight w:val="13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03"/>
              <w:jc w:val="both"/>
              <w:rPr>
                <w:rFonts w:ascii="宋体" w:hAnsi="宋体" w:cs="宋体" w:eastAsia="宋体" w:hint="default"/>
                <w:sz w:val="18"/>
                <w:szCs w:val="18"/>
              </w:rPr>
            </w:pPr>
            <w:r>
              <w:rPr>
                <w:rFonts w:ascii="宋体" w:hAnsi="宋体" w:cs="宋体" w:eastAsia="宋体" w:hint="default"/>
                <w:sz w:val="18"/>
                <w:szCs w:val="18"/>
              </w:rPr>
              <w:t>公开发行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一般公司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债</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59,495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59,495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偿还到期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债务和补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充流动资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03"/>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行股票</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39,269.2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39,269.2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08"/>
              <w:jc w:val="left"/>
              <w:rPr>
                <w:rFonts w:ascii="宋体" w:hAnsi="宋体" w:cs="宋体" w:eastAsia="宋体" w:hint="default"/>
                <w:sz w:val="18"/>
                <w:szCs w:val="18"/>
              </w:rPr>
            </w:pPr>
            <w:r>
              <w:rPr>
                <w:rFonts w:ascii="宋体" w:hAnsi="宋体" w:cs="宋体" w:eastAsia="宋体" w:hint="default"/>
                <w:sz w:val="18"/>
                <w:szCs w:val="18"/>
              </w:rPr>
              <w:t>补充流动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3"/>
              <w:jc w:val="both"/>
              <w:rPr>
                <w:rFonts w:ascii="宋体" w:hAnsi="宋体" w:cs="宋体" w:eastAsia="宋体" w:hint="default"/>
                <w:sz w:val="18"/>
                <w:szCs w:val="18"/>
              </w:rPr>
            </w:pPr>
            <w:r>
              <w:rPr>
                <w:rFonts w:ascii="宋体" w:hAnsi="宋体" w:cs="宋体" w:eastAsia="宋体" w:hint="default"/>
                <w:sz w:val="18"/>
                <w:szCs w:val="18"/>
              </w:rPr>
              <w:t>公开发行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一般公司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债</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补充流动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372,786.89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364.48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371,114.95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1,671.94</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2,532.16</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871" w:footer="1474" w:top="1100" w:bottom="1660" w:left="980" w:right="0"/>
        </w:sectPr>
      </w:pPr>
    </w:p>
    <w:p>
      <w:pPr>
        <w:spacing w:line="240" w:lineRule="auto" w:before="3"/>
        <w:rPr>
          <w:rFonts w:ascii="宋体" w:hAnsi="宋体" w:cs="宋体" w:eastAsia="宋体" w:hint="default"/>
          <w:sz w:val="24"/>
          <w:szCs w:val="24"/>
        </w:rPr>
      </w:pPr>
    </w:p>
    <w:p>
      <w:pPr>
        <w:spacing w:line="2607" w:lineRule="exact"/>
        <w:ind w:left="148" w:right="0" w:firstLine="0"/>
        <w:rPr>
          <w:rFonts w:ascii="宋体" w:hAnsi="宋体" w:cs="宋体" w:eastAsia="宋体" w:hint="default"/>
          <w:sz w:val="20"/>
          <w:szCs w:val="20"/>
        </w:rPr>
      </w:pPr>
      <w:r>
        <w:rPr>
          <w:rFonts w:ascii="宋体" w:hAnsi="宋体" w:cs="宋体" w:eastAsia="宋体" w:hint="default"/>
          <w:position w:val="-51"/>
          <w:sz w:val="20"/>
          <w:szCs w:val="20"/>
        </w:rPr>
        <w:pict>
          <v:group style="width:481.65pt;height:130.35pt;mso-position-horizontal-relative:char;mso-position-vertical-relative:line" coordorigin="0,0" coordsize="9633,2607">
            <v:group style="position:absolute;left:10;top:10;width:9561;height:2" coordorigin="10,10" coordsize="9561,2">
              <v:shape style="position:absolute;left:10;top:10;width:9561;height:2" coordorigin="10,10" coordsize="9561,0" path="m10,10l9570,10e" filled="false" stroked="true" strokeweight=".48pt" strokecolor="#000000">
                <v:path arrowok="t"/>
              </v:shape>
            </v:group>
            <v:group style="position:absolute;left:5;top:5;width:2;height:2598" coordorigin="5,5" coordsize="2,2598">
              <v:shape style="position:absolute;left:5;top:5;width:2;height:2598" coordorigin="5,5" coordsize="0,2598" path="m5,5l5,2602e" filled="false" stroked="true" strokeweight=".48pt" strokecolor="#000000">
                <v:path arrowok="t"/>
              </v:shape>
            </v:group>
            <v:group style="position:absolute;left:10;top:2597;width:9561;height:2" coordorigin="10,2597" coordsize="9561,2">
              <v:shape style="position:absolute;left:10;top:2597;width:9561;height:2" coordorigin="10,2597" coordsize="9561,0" path="m10,2597l9570,2597e" filled="false" stroked="true" strokeweight=".48pt" strokecolor="#000000">
                <v:path arrowok="t"/>
              </v:shape>
            </v:group>
            <v:group style="position:absolute;left:9575;top:5;width:2;height:2598" coordorigin="9575,5" coordsize="2,2598">
              <v:shape style="position:absolute;left:9575;top:5;width:2;height:2598" coordorigin="9575,5" coordsize="0,2598" path="m9575,5l9575,2602e" filled="false" stroked="true" strokeweight=".48004pt" strokecolor="#000000">
                <v:path arrowok="t"/>
              </v:shape>
              <v:shape style="position:absolute;left:0;top:0;width:9633;height:2607" type="#_x0000_t202" filled="false" stroked="false">
                <v:textbox inset="0,0,0,0">
                  <w:txbxContent>
                    <w:p>
                      <w:pPr>
                        <w:spacing w:before="68"/>
                        <w:ind w:left="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年度公司对募集资金投资项目累计投入募集资金人民币</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364.48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日，公司对募集资金</w:t>
                      </w:r>
                    </w:p>
                    <w:p>
                      <w:pPr>
                        <w:spacing w:before="58"/>
                        <w:ind w:left="33" w:right="0" w:firstLine="0"/>
                        <w:jc w:val="left"/>
                        <w:rPr>
                          <w:rFonts w:ascii="宋体" w:hAnsi="宋体" w:cs="宋体" w:eastAsia="宋体" w:hint="default"/>
                          <w:sz w:val="18"/>
                          <w:szCs w:val="18"/>
                        </w:rPr>
                      </w:pPr>
                      <w:r>
                        <w:rPr>
                          <w:rFonts w:ascii="宋体" w:hAnsi="宋体" w:cs="宋体" w:eastAsia="宋体" w:hint="default"/>
                          <w:sz w:val="18"/>
                          <w:szCs w:val="18"/>
                        </w:rPr>
                        <w:t>投资项目累计投入募集资金人民币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242,392.55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年度公司未使用超募资金补充营运资金，截至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spacing w:before="63"/>
                        <w:ind w:left="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日，公司用超募资金补充营运资金共计人民币 </w:t>
                      </w:r>
                      <w:r>
                        <w:rPr>
                          <w:rFonts w:ascii="Times New Roman" w:hAnsi="Times New Roman" w:cs="Times New Roman" w:eastAsia="Times New Roman" w:hint="default"/>
                          <w:sz w:val="18"/>
                          <w:szCs w:val="18"/>
                        </w:rPr>
                        <w:t>128,722.40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年度公开发行股票募集资金专用账户取得利息</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收入扣除手续费后之净额为人民币</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58.66</w:t>
                      </w:r>
                      <w:r>
                        <w:rPr>
                          <w:rFonts w:ascii="Times New Roman" w:hAnsi="Times New Roman" w:cs="Times New Roman" w:eastAsia="Times New Roman" w:hint="default"/>
                          <w:spacing w:val="11"/>
                          <w:sz w:val="18"/>
                          <w:szCs w:val="18"/>
                        </w:rPr>
                        <w:t> </w:t>
                      </w:r>
                      <w:r>
                        <w:rPr>
                          <w:rFonts w:ascii="宋体" w:hAnsi="宋体" w:cs="宋体" w:eastAsia="宋体" w:hint="default"/>
                          <w:spacing w:val="-10"/>
                          <w:sz w:val="18"/>
                          <w:szCs w:val="18"/>
                        </w:rPr>
                        <w:t>万元，截至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日，累计取得利息收入扣除手续费后之净额为人民币</w:t>
                      </w:r>
                    </w:p>
                    <w:p>
                      <w:pPr>
                        <w:spacing w:before="63"/>
                        <w:ind w:left="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3,074.28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2019  </w:t>
                      </w:r>
                      <w:r>
                        <w:rPr>
                          <w:rFonts w:ascii="宋体" w:hAnsi="宋体" w:cs="宋体" w:eastAsia="宋体" w:hint="default"/>
                          <w:spacing w:val="-3"/>
                          <w:sz w:val="18"/>
                          <w:szCs w:val="18"/>
                        </w:rPr>
                        <w:t>年度发行公司债募集资金专用账户利息收入减管理费支出为</w:t>
                      </w:r>
                      <w:r>
                        <w:rPr>
                          <w:rFonts w:ascii="Times New Roman" w:hAnsi="Times New Roman" w:cs="Times New Roman" w:eastAsia="Times New Roman" w:hint="default"/>
                          <w:spacing w:val="-3"/>
                          <w:sz w:val="18"/>
                          <w:szCs w:val="18"/>
                        </w:rPr>
                        <w:t>-104.48  </w:t>
                      </w:r>
                      <w:r>
                        <w:rPr>
                          <w:rFonts w:ascii="宋体" w:hAnsi="宋体" w:cs="宋体" w:eastAsia="宋体" w:hint="default"/>
                          <w:spacing w:val="-7"/>
                          <w:sz w:val="18"/>
                          <w:szCs w:val="18"/>
                        </w:rPr>
                        <w:t>元，投入使用金额为 </w:t>
                      </w:r>
                      <w:r>
                        <w:rPr>
                          <w:rFonts w:ascii="Times New Roman" w:hAnsi="Times New Roman" w:cs="Times New Roman" w:eastAsia="Times New Roman" w:hint="default"/>
                          <w:sz w:val="18"/>
                          <w:szCs w:val="18"/>
                        </w:rPr>
                        <w:t>246.08</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63"/>
                        <w:ind w:left="33"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日，公开发行股票募集资金专用账户实际余额为</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4,746.22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万元，公司债募集资金专用账户实际余</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额为 </w:t>
                      </w:r>
                      <w:r>
                        <w:rPr>
                          <w:rFonts w:ascii="Times New Roman" w:hAnsi="Times New Roman" w:cs="Times New Roman" w:eastAsia="Times New Roman" w:hint="default"/>
                          <w:sz w:val="18"/>
                          <w:szCs w:val="18"/>
                        </w:rPr>
                        <w:t>0.01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、公司公开发行一般公司债及非公开发行股票的募集资金本金及利息基本已使用完毕，相关募集资金项目</w:t>
                      </w:r>
                    </w:p>
                    <w:p>
                      <w:pPr>
                        <w:spacing w:before="67"/>
                        <w:ind w:left="33" w:right="0" w:firstLine="0"/>
                        <w:jc w:val="left"/>
                        <w:rPr>
                          <w:rFonts w:ascii="宋体" w:hAnsi="宋体" w:cs="宋体" w:eastAsia="宋体" w:hint="default"/>
                          <w:sz w:val="18"/>
                          <w:szCs w:val="18"/>
                        </w:rPr>
                      </w:pPr>
                      <w:r>
                        <w:rPr>
                          <w:rFonts w:ascii="宋体" w:hAnsi="宋体" w:cs="宋体" w:eastAsia="宋体" w:hint="default"/>
                          <w:spacing w:val="-3"/>
                          <w:sz w:val="18"/>
                          <w:szCs w:val="18"/>
                        </w:rPr>
                        <w:t>已经结项，其中非公开发行股票的募集资金账户已经于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年注销。</w:t>
                      </w:r>
                    </w:p>
                  </w:txbxContent>
                </v:textbox>
                <w10:wrap type="none"/>
              </v:shape>
            </v:group>
          </v:group>
        </w:pict>
      </w:r>
      <w:r>
        <w:rPr>
          <w:rFonts w:ascii="宋体" w:hAnsi="宋体" w:cs="宋体" w:eastAsia="宋体" w:hint="default"/>
          <w:position w:val="-51"/>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1126"/>
        <w:jc w:val="left"/>
        <w:rPr>
          <w:b w:val="0"/>
          <w:bCs w:val="0"/>
        </w:rPr>
      </w:pPr>
      <w:bookmarkStart w:name="（2）募集资金承诺项目情况" w:id="71"/>
      <w:bookmarkEnd w:id="7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72"/>
        <w:gridCol w:w="500"/>
        <w:gridCol w:w="144"/>
        <w:gridCol w:w="706"/>
        <w:gridCol w:w="212"/>
        <w:gridCol w:w="638"/>
        <w:gridCol w:w="139"/>
        <w:gridCol w:w="608"/>
        <w:gridCol w:w="953"/>
        <w:gridCol w:w="783"/>
        <w:gridCol w:w="778"/>
        <w:gridCol w:w="144"/>
        <w:gridCol w:w="638"/>
        <w:gridCol w:w="778"/>
        <w:gridCol w:w="783"/>
      </w:tblGrid>
      <w:tr>
        <w:trPr>
          <w:trHeight w:val="165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518"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6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47" w:right="4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w:t>
            </w:r>
            <w:r>
              <w:rPr>
                <w:rFonts w:ascii="宋体" w:hAnsi="宋体" w:cs="宋体" w:eastAsia="宋体" w:hint="default"/>
                <w:w w:val="101"/>
                <w:sz w:val="18"/>
                <w:szCs w:val="18"/>
              </w:rPr>
              <w:t> </w:t>
            </w:r>
            <w:r>
              <w:rPr>
                <w:rFonts w:ascii="宋体" w:hAnsi="宋体" w:cs="宋体" w:eastAsia="宋体" w:hint="default"/>
                <w:spacing w:val="-2"/>
                <w:sz w:val="18"/>
                <w:szCs w:val="18"/>
              </w:rPr>
              <w:t>变更项</w:t>
            </w:r>
            <w:r>
              <w:rPr>
                <w:rFonts w:ascii="宋体" w:hAnsi="宋体" w:cs="宋体" w:eastAsia="宋体" w:hint="default"/>
                <w:w w:val="101"/>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101"/>
                <w:sz w:val="18"/>
                <w:szCs w:val="18"/>
              </w:rPr>
              <w:t> </w:t>
            </w:r>
            <w:r>
              <w:rPr>
                <w:rFonts w:ascii="宋体" w:hAnsi="宋体" w:cs="宋体" w:eastAsia="宋体" w:hint="default"/>
                <w:spacing w:val="-2"/>
                <w:sz w:val="18"/>
                <w:szCs w:val="18"/>
              </w:rPr>
              <w:t>部分变</w:t>
            </w:r>
            <w:r>
              <w:rPr>
                <w:rFonts w:ascii="宋体" w:hAnsi="宋体" w:cs="宋体" w:eastAsia="宋体" w:hint="default"/>
                <w:w w:val="101"/>
                <w:sz w:val="18"/>
                <w:szCs w:val="18"/>
              </w:rPr>
              <w:t> </w:t>
            </w:r>
            <w:r>
              <w:rPr>
                <w:rFonts w:ascii="宋体" w:hAnsi="宋体" w:cs="宋体" w:eastAsia="宋体" w:hint="default"/>
                <w:sz w:val="18"/>
                <w:szCs w:val="18"/>
              </w:rPr>
              <w:t>更</w:t>
            </w:r>
            <w:r>
              <w:rPr>
                <w:rFonts w:ascii="Times New Roman" w:hAnsi="Times New Roman" w:cs="Times New Roman" w:eastAsia="Times New Roman" w:hint="default"/>
                <w:sz w:val="18"/>
                <w:szCs w:val="18"/>
              </w:rPr>
              <w:t>)</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91" w:right="89"/>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1"/>
              <w:ind w:left="23" w:right="17"/>
              <w:jc w:val="center"/>
              <w:rPr>
                <w:rFonts w:ascii="宋体" w:hAnsi="宋体" w:cs="宋体" w:eastAsia="宋体"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p>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sz w:val="18"/>
              </w:rPr>
              <w:t>(1)</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52" w:right="0"/>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27"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预定可使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用状态日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21"/>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实现的效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21"/>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399" w:hRule="exact"/>
        </w:trPr>
        <w:tc>
          <w:tcPr>
            <w:tcW w:w="957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2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、补充营运资金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w:t>
            </w:r>
            <w:r>
              <w:rPr>
                <w:rFonts w:ascii="宋体" w:hAnsi="宋体" w:cs="宋体" w:eastAsia="宋体" w:hint="default"/>
                <w:spacing w:val="-59"/>
                <w:sz w:val="18"/>
                <w:szCs w:val="18"/>
              </w:rPr>
              <w:t> </w:t>
            </w:r>
            <w:r>
              <w:rPr>
                <w:rFonts w:ascii="宋体" w:hAnsi="宋体" w:cs="宋体" w:eastAsia="宋体" w:hint="default"/>
                <w:spacing w:val="-3"/>
                <w:sz w:val="18"/>
                <w:szCs w:val="18"/>
              </w:rPr>
              <w:t>值分销渠道扩建项目</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41,021.15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41,021.15</w:t>
            </w:r>
          </w:p>
        </w:tc>
        <w:tc>
          <w:tcPr>
            <w:tcW w:w="747" w:type="dxa"/>
            <w:gridSpan w:val="2"/>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41,021.15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、补充营运资金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w:t>
            </w:r>
            <w:r>
              <w:rPr>
                <w:rFonts w:ascii="宋体" w:hAnsi="宋体" w:cs="宋体" w:eastAsia="宋体" w:hint="default"/>
                <w:spacing w:val="-59"/>
                <w:sz w:val="18"/>
                <w:szCs w:val="18"/>
              </w:rPr>
              <w:t> </w:t>
            </w:r>
            <w:r>
              <w:rPr>
                <w:rFonts w:ascii="宋体" w:hAnsi="宋体" w:cs="宋体" w:eastAsia="宋体" w:hint="default"/>
                <w:spacing w:val="-3"/>
                <w:sz w:val="18"/>
                <w:szCs w:val="18"/>
              </w:rPr>
              <w:t>键客户综合服务提升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项目</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26,212.44</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26,212.44</w:t>
            </w:r>
          </w:p>
        </w:tc>
        <w:tc>
          <w:tcPr>
            <w:tcW w:w="747" w:type="dxa"/>
            <w:gridSpan w:val="2"/>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26,212.44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、数码电子产品零售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终端扩建项目</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12,868.61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12,868.61</w:t>
            </w:r>
          </w:p>
        </w:tc>
        <w:tc>
          <w:tcPr>
            <w:tcW w:w="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364.48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12,569.62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97.68%</w:t>
            </w:r>
          </w:p>
        </w:tc>
        <w:tc>
          <w:tcPr>
            <w:tcW w:w="922"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、产品运营平台扩建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项目</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1,537.3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1,537.3</w:t>
            </w:r>
          </w:p>
        </w:tc>
        <w:tc>
          <w:tcPr>
            <w:tcW w:w="747" w:type="dxa"/>
            <w:gridSpan w:val="2"/>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33.18%</w:t>
            </w:r>
          </w:p>
        </w:tc>
        <w:tc>
          <w:tcPr>
            <w:tcW w:w="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、信息系统综合管理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平台扩建项目</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5,000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5,000</w:t>
            </w:r>
          </w:p>
        </w:tc>
        <w:tc>
          <w:tcPr>
            <w:tcW w:w="747" w:type="dxa"/>
            <w:gridSpan w:val="2"/>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3,495.14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69.90%</w:t>
            </w:r>
          </w:p>
        </w:tc>
        <w:tc>
          <w:tcPr>
            <w:tcW w:w="922"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、公司债偿还到期债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务和补充公司流动资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金</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59,495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59,495</w:t>
            </w:r>
          </w:p>
        </w:tc>
        <w:tc>
          <w:tcPr>
            <w:tcW w:w="747" w:type="dxa"/>
            <w:gridSpan w:val="2"/>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59,495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22"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、公司债补充流动资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金</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59,820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59,820</w:t>
            </w:r>
          </w:p>
        </w:tc>
        <w:tc>
          <w:tcPr>
            <w:tcW w:w="747" w:type="dxa"/>
            <w:gridSpan w:val="2"/>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59,820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22"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、非公开发行股票补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充流动资金</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39,269.2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39,269.2</w:t>
            </w:r>
          </w:p>
        </w:tc>
        <w:tc>
          <w:tcPr>
            <w:tcW w:w="747" w:type="dxa"/>
            <w:gridSpan w:val="2"/>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39,269.2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22"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245,223.7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245,223.7</w:t>
            </w:r>
          </w:p>
        </w:tc>
        <w:tc>
          <w:tcPr>
            <w:tcW w:w="7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2" w:right="0"/>
              <w:jc w:val="left"/>
              <w:rPr>
                <w:rFonts w:ascii="Times New Roman" w:hAnsi="Times New Roman" w:cs="Times New Roman" w:eastAsia="Times New Roman" w:hint="default"/>
                <w:sz w:val="18"/>
                <w:szCs w:val="18"/>
              </w:rPr>
            </w:pPr>
            <w:r>
              <w:rPr>
                <w:rFonts w:ascii="Times New Roman"/>
                <w:sz w:val="18"/>
              </w:rPr>
              <w:t>364.48</w:t>
            </w:r>
          </w:p>
        </w:tc>
        <w:tc>
          <w:tcPr>
            <w:tcW w:w="9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242,392.55</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38" w:type="dxa"/>
            <w:tcBorders>
              <w:top w:val="single" w:sz="4" w:space="0" w:color="000000"/>
              <w:left w:val="single" w:sz="10" w:space="0" w:color="D2D2D2"/>
              <w:bottom w:val="single" w:sz="4" w:space="0" w:color="000000"/>
              <w:right w:val="single" w:sz="10" w:space="0" w:color="D2D2D2"/>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957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871" w:footer="1474" w:top="1100" w:bottom="16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748"/>
        <w:gridCol w:w="644"/>
        <w:gridCol w:w="929"/>
        <w:gridCol w:w="778"/>
        <w:gridCol w:w="644"/>
        <w:gridCol w:w="919"/>
        <w:gridCol w:w="780"/>
        <w:gridCol w:w="769"/>
        <w:gridCol w:w="792"/>
        <w:gridCol w:w="778"/>
        <w:gridCol w:w="783"/>
      </w:tblGrid>
      <w:tr>
        <w:trPr>
          <w:trHeight w:val="40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、补充营运资金</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127,563.19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128,722.4</w:t>
            </w:r>
          </w:p>
        </w:tc>
        <w:tc>
          <w:tcPr>
            <w:tcW w:w="64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128,722.4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2" w:right="0"/>
              <w:jc w:val="center"/>
              <w:rPr>
                <w:rFonts w:ascii="Times New Roman" w:hAnsi="Times New Roman" w:cs="Times New Roman" w:eastAsia="Times New Roman" w:hint="default"/>
                <w:sz w:val="18"/>
                <w:szCs w:val="18"/>
              </w:rPr>
            </w:pPr>
            <w:r>
              <w:rPr>
                <w:rFonts w:ascii="Times New Roman"/>
                <w:sz w:val="18"/>
              </w:rPr>
              <w:t>100.00%</w:t>
            </w:r>
          </w:p>
        </w:tc>
        <w:tc>
          <w:tcPr>
            <w:tcW w:w="76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5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127,563.19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128,722.4</w:t>
            </w:r>
          </w:p>
        </w:tc>
        <w:tc>
          <w:tcPr>
            <w:tcW w:w="64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128,722.4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2" w:type="dxa"/>
            <w:tcBorders>
              <w:top w:val="single" w:sz="4" w:space="0" w:color="000000"/>
              <w:left w:val="single" w:sz="12" w:space="0" w:color="D2D2D2"/>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372,786.89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373,946.1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9" w:right="0"/>
              <w:jc w:val="left"/>
              <w:rPr>
                <w:rFonts w:ascii="Times New Roman" w:hAnsi="Times New Roman" w:cs="Times New Roman" w:eastAsia="Times New Roman" w:hint="default"/>
                <w:sz w:val="18"/>
                <w:szCs w:val="18"/>
              </w:rPr>
            </w:pPr>
            <w:r>
              <w:rPr>
                <w:rFonts w:ascii="Times New Roman"/>
                <w:sz w:val="18"/>
              </w:rPr>
              <w:t>364.48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371,114.95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629"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5" w:type="dxa"/>
            <w:gridSpan w:val="10"/>
            <w:vMerge w:val="restart"/>
            <w:tcBorders>
              <w:top w:val="single" w:sz="4" w:space="0" w:color="000000"/>
              <w:left w:val="single" w:sz="10" w:space="0" w:color="D2D2D2"/>
              <w:right w:val="single" w:sz="4" w:space="0" w:color="000000"/>
            </w:tcBorders>
          </w:tcPr>
          <w:p>
            <w:pPr>
              <w:pStyle w:val="TableParagraph"/>
              <w:spacing w:line="307" w:lineRule="auto" w:before="53"/>
              <w:ind w:left="28"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数码电子产品零售终端扩建项目：本项目原计划在全国范围内开设数码电子产品专卖店，同时增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加 </w:t>
            </w:r>
            <w:r>
              <w:rPr>
                <w:rFonts w:ascii="Times New Roman" w:hAnsi="Times New Roman" w:cs="Times New Roman" w:eastAsia="Times New Roman" w:hint="default"/>
                <w:sz w:val="18"/>
                <w:szCs w:val="18"/>
              </w:rPr>
              <w:t>IT </w:t>
            </w:r>
            <w:r>
              <w:rPr>
                <w:rFonts w:ascii="宋体" w:hAnsi="宋体" w:cs="宋体" w:eastAsia="宋体" w:hint="default"/>
                <w:spacing w:val="-3"/>
                <w:sz w:val="18"/>
                <w:szCs w:val="18"/>
              </w:rPr>
              <w:t>软硬件投资，以支持酷动数码管理门店数量的增加。期末累计投入金额未达到预期的主要原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因是公司不断优化门店的同时注意控制专卖店的新建成本，扩建项目资金结余所致；</w:t>
            </w:r>
            <w:r>
              <w:rPr>
                <w:rFonts w:ascii="Times New Roman" w:hAnsi="Times New Roman" w:cs="Times New Roman" w:eastAsia="Times New Roman" w:hint="default"/>
                <w:spacing w:val="-4"/>
                <w:sz w:val="18"/>
                <w:szCs w:val="18"/>
              </w:rPr>
              <w:t>2. </w:t>
            </w:r>
            <w:r>
              <w:rPr>
                <w:rFonts w:ascii="宋体" w:hAnsi="宋体" w:cs="宋体" w:eastAsia="宋体" w:hint="default"/>
                <w:sz w:val="18"/>
                <w:szCs w:val="18"/>
              </w:rPr>
              <w:t>产品运营平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台扩建项目：本项目期末累计投入金额未达到预期的主要原因是公司出于成本控制考虑，部分投入</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与公司日常运营共用，造成项目资金结余；</w:t>
            </w:r>
            <w:r>
              <w:rPr>
                <w:rFonts w:ascii="Times New Roman" w:hAnsi="Times New Roman" w:cs="Times New Roman" w:eastAsia="Times New Roman" w:hint="default"/>
                <w:spacing w:val="-4"/>
                <w:sz w:val="18"/>
                <w:szCs w:val="18"/>
              </w:rPr>
              <w:t>3. </w:t>
            </w:r>
            <w:r>
              <w:rPr>
                <w:rFonts w:ascii="宋体" w:hAnsi="宋体" w:cs="宋体" w:eastAsia="宋体" w:hint="default"/>
                <w:spacing w:val="-4"/>
                <w:sz w:val="18"/>
                <w:szCs w:val="18"/>
              </w:rPr>
              <w:t>信息系统综合管理平台扩建项目：本项目期末累计投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入金额未达到预期的主要原因是在项目实施过程中公司优化供应商及项目开发方案，节约开支，造</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成项目资金结余。</w:t>
            </w:r>
          </w:p>
        </w:tc>
      </w:tr>
      <w:tr>
        <w:trPr>
          <w:trHeight w:val="1018"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01"/>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815" w:type="dxa"/>
            <w:gridSpan w:val="10"/>
            <w:vMerge/>
            <w:tcBorders>
              <w:left w:val="single" w:sz="10" w:space="0" w:color="D2D2D2"/>
              <w:right w:val="single" w:sz="4" w:space="0" w:color="000000"/>
            </w:tcBorders>
          </w:tcPr>
          <w:p>
            <w:pPr/>
          </w:p>
        </w:tc>
      </w:tr>
      <w:tr>
        <w:trPr>
          <w:trHeight w:val="629"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5"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815"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99"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98"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5"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1,275,631,900.00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元，加利息收入扣除手续费后之后净总额</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1,288,693,557.39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元，根据公司</w:t>
            </w:r>
          </w:p>
          <w:p>
            <w:pPr>
              <w:pStyle w:val="TableParagraph"/>
              <w:spacing w:line="240" w:lineRule="auto" w:before="58"/>
              <w:ind w:left="28"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大</w:t>
            </w:r>
            <w:r>
              <w:rPr>
                <w:rFonts w:ascii="宋体" w:hAnsi="宋体" w:cs="宋体" w:eastAsia="宋体" w:hint="default"/>
                <w:spacing w:val="-5"/>
                <w:w w:val="101"/>
                <w:sz w:val="18"/>
                <w:szCs w:val="18"/>
              </w:rPr>
              <w:t>会</w:t>
            </w:r>
            <w:r>
              <w:rPr>
                <w:rFonts w:ascii="宋体" w:hAnsi="宋体" w:cs="宋体" w:eastAsia="宋体" w:hint="default"/>
                <w:w w:val="101"/>
                <w:sz w:val="18"/>
                <w:szCs w:val="18"/>
              </w:rPr>
              <w:t>决</w:t>
            </w:r>
            <w:r>
              <w:rPr>
                <w:rFonts w:ascii="宋体" w:hAnsi="宋体" w:cs="宋体" w:eastAsia="宋体" w:hint="default"/>
                <w:spacing w:val="-5"/>
                <w:w w:val="101"/>
                <w:sz w:val="18"/>
                <w:szCs w:val="18"/>
              </w:rPr>
              <w:t>议</w:t>
            </w:r>
            <w:r>
              <w:rPr>
                <w:rFonts w:ascii="宋体" w:hAnsi="宋体" w:cs="宋体" w:eastAsia="宋体" w:hint="default"/>
                <w:w w:val="101"/>
                <w:sz w:val="18"/>
                <w:szCs w:val="18"/>
              </w:rPr>
              <w:t>和</w:t>
            </w:r>
            <w:r>
              <w:rPr>
                <w:rFonts w:ascii="宋体" w:hAnsi="宋体" w:cs="宋体" w:eastAsia="宋体" w:hint="default"/>
                <w:spacing w:val="-5"/>
                <w:w w:val="101"/>
                <w:sz w:val="18"/>
                <w:szCs w:val="18"/>
              </w:rPr>
              <w:t>《</w:t>
            </w:r>
            <w:r>
              <w:rPr>
                <w:rFonts w:ascii="宋体" w:hAnsi="宋体" w:cs="宋体" w:eastAsia="宋体" w:hint="default"/>
                <w:w w:val="101"/>
                <w:sz w:val="18"/>
                <w:szCs w:val="18"/>
              </w:rPr>
              <w:t>招</w:t>
            </w:r>
            <w:r>
              <w:rPr>
                <w:rFonts w:ascii="宋体" w:hAnsi="宋体" w:cs="宋体" w:eastAsia="宋体" w:hint="default"/>
                <w:spacing w:val="-5"/>
                <w:w w:val="101"/>
                <w:sz w:val="18"/>
                <w:szCs w:val="18"/>
              </w:rPr>
              <w:t>股</w:t>
            </w:r>
            <w:r>
              <w:rPr>
                <w:rFonts w:ascii="宋体" w:hAnsi="宋体" w:cs="宋体" w:eastAsia="宋体" w:hint="default"/>
                <w:w w:val="101"/>
                <w:sz w:val="18"/>
                <w:szCs w:val="18"/>
              </w:rPr>
              <w:t>说</w:t>
            </w:r>
            <w:r>
              <w:rPr>
                <w:rFonts w:ascii="宋体" w:hAnsi="宋体" w:cs="宋体" w:eastAsia="宋体" w:hint="default"/>
                <w:spacing w:val="-5"/>
                <w:w w:val="101"/>
                <w:sz w:val="18"/>
                <w:szCs w:val="18"/>
              </w:rPr>
              <w:t>明</w:t>
            </w:r>
            <w:r>
              <w:rPr>
                <w:rFonts w:ascii="宋体" w:hAnsi="宋体" w:cs="宋体" w:eastAsia="宋体" w:hint="default"/>
                <w:w w:val="101"/>
                <w:sz w:val="18"/>
                <w:szCs w:val="18"/>
              </w:rPr>
              <w:t>书</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超</w:t>
            </w:r>
            <w:r>
              <w:rPr>
                <w:rFonts w:ascii="宋体" w:hAnsi="宋体" w:cs="宋体" w:eastAsia="宋体" w:hint="default"/>
                <w:w w:val="101"/>
                <w:sz w:val="18"/>
                <w:szCs w:val="18"/>
              </w:rPr>
              <w:t>募</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用</w:t>
            </w:r>
            <w:r>
              <w:rPr>
                <w:rFonts w:ascii="宋体" w:hAnsi="宋体" w:cs="宋体" w:eastAsia="宋体" w:hint="default"/>
                <w:w w:val="101"/>
                <w:sz w:val="18"/>
                <w:szCs w:val="18"/>
              </w:rPr>
              <w:t>于</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业</w:t>
            </w:r>
            <w:r>
              <w:rPr>
                <w:rFonts w:ascii="宋体" w:hAnsi="宋体" w:cs="宋体" w:eastAsia="宋体" w:hint="default"/>
                <w:w w:val="101"/>
                <w:sz w:val="18"/>
                <w:szCs w:val="18"/>
              </w:rPr>
              <w:t>务</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需</w:t>
            </w:r>
            <w:r>
              <w:rPr>
                <w:rFonts w:ascii="宋体" w:hAnsi="宋体" w:cs="宋体" w:eastAsia="宋体" w:hint="default"/>
                <w:w w:val="101"/>
                <w:sz w:val="18"/>
                <w:szCs w:val="18"/>
              </w:rPr>
              <w:t>求</w:t>
            </w:r>
            <w:r>
              <w:rPr>
                <w:rFonts w:ascii="宋体" w:hAnsi="宋体" w:cs="宋体" w:eastAsia="宋体" w:hint="default"/>
                <w:spacing w:val="1"/>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pacing w:val="-7"/>
                <w:sz w:val="18"/>
                <w:szCs w:val="18"/>
              </w:rPr>
              <w:t>日，公司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2"/>
                <w:sz w:val="18"/>
                <w:szCs w:val="18"/>
              </w:rPr>
              <w:t> </w:t>
            </w:r>
            <w:r>
              <w:rPr>
                <w:rFonts w:ascii="宋体" w:hAnsi="宋体" w:cs="宋体" w:eastAsia="宋体" w:hint="default"/>
                <w:spacing w:val="-4"/>
                <w:sz w:val="18"/>
                <w:szCs w:val="18"/>
              </w:rPr>
              <w:t>年第一次临时股东大会审议通过了《关于利用部分超募资金补充募投项目资</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5"/>
                <w:w w:val="101"/>
                <w:sz w:val="18"/>
                <w:szCs w:val="18"/>
              </w:rPr>
              <w:t>缺</w:t>
            </w:r>
            <w:r>
              <w:rPr>
                <w:rFonts w:ascii="宋体" w:hAnsi="宋体" w:cs="宋体" w:eastAsia="宋体" w:hint="default"/>
                <w:w w:val="101"/>
                <w:sz w:val="18"/>
                <w:szCs w:val="18"/>
              </w:rPr>
              <w:t>口</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2"/>
                <w:w w:val="101"/>
                <w:sz w:val="18"/>
                <w:szCs w:val="18"/>
              </w:rPr>
              <w:t>》</w:t>
            </w:r>
            <w:r>
              <w:rPr>
                <w:rFonts w:ascii="宋体" w:hAnsi="宋体" w:cs="宋体" w:eastAsia="宋体" w:hint="default"/>
                <w:spacing w:val="-48"/>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意</w:t>
            </w:r>
            <w:r>
              <w:rPr>
                <w:rFonts w:ascii="宋体" w:hAnsi="宋体" w:cs="宋体" w:eastAsia="宋体" w:hint="default"/>
                <w:w w:val="101"/>
                <w:sz w:val="18"/>
                <w:szCs w:val="18"/>
              </w:rPr>
              <w:t>利</w:t>
            </w:r>
            <w:r>
              <w:rPr>
                <w:rFonts w:ascii="宋体" w:hAnsi="宋体" w:cs="宋体" w:eastAsia="宋体" w:hint="default"/>
                <w:spacing w:val="-5"/>
                <w:w w:val="101"/>
                <w:sz w:val="18"/>
                <w:szCs w:val="18"/>
              </w:rPr>
              <w:t>用</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超</w:t>
            </w:r>
            <w:r>
              <w:rPr>
                <w:rFonts w:ascii="宋体" w:hAnsi="宋体" w:cs="宋体" w:eastAsia="宋体" w:hint="default"/>
                <w:spacing w:val="-5"/>
                <w:w w:val="101"/>
                <w:sz w:val="18"/>
                <w:szCs w:val="18"/>
              </w:rPr>
              <w:t>募</w:t>
            </w:r>
            <w:r>
              <w:rPr>
                <w:rFonts w:ascii="宋体" w:hAnsi="宋体" w:cs="宋体" w:eastAsia="宋体" w:hint="default"/>
                <w:w w:val="101"/>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98</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补充</w:t>
            </w:r>
            <w:r>
              <w:rPr>
                <w:rFonts w:ascii="宋体" w:hAnsi="宋体" w:cs="宋体" w:eastAsia="宋体" w:hint="default"/>
                <w:w w:val="101"/>
                <w:sz w:val="18"/>
                <w:szCs w:val="18"/>
              </w:rPr>
              <w:t>募</w:t>
            </w:r>
            <w:r>
              <w:rPr>
                <w:rFonts w:ascii="宋体" w:hAnsi="宋体" w:cs="宋体" w:eastAsia="宋体" w:hint="default"/>
                <w:spacing w:val="-5"/>
                <w:w w:val="101"/>
                <w:sz w:val="18"/>
                <w:szCs w:val="18"/>
              </w:rPr>
              <w:t>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之</w:t>
            </w:r>
            <w:r>
              <w:rPr>
                <w:rFonts w:ascii="宋体" w:hAnsi="宋体" w:cs="宋体" w:eastAsia="宋体" w:hint="default"/>
                <w:spacing w:val="-5"/>
                <w:w w:val="101"/>
                <w:sz w:val="18"/>
                <w:szCs w:val="18"/>
              </w:rPr>
              <w:t>一</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营</w:t>
            </w:r>
            <w:r>
              <w:rPr>
                <w:rFonts w:ascii="宋体" w:hAnsi="宋体" w:cs="宋体" w:eastAsia="宋体" w:hint="default"/>
                <w:spacing w:val="-5"/>
                <w:w w:val="101"/>
                <w:sz w:val="18"/>
                <w:szCs w:val="18"/>
              </w:rPr>
              <w:t>运</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的资</w:t>
            </w:r>
            <w:r>
              <w:rPr>
                <w:rFonts w:ascii="宋体" w:hAnsi="宋体" w:cs="宋体" w:eastAsia="宋体"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3"/>
                <w:sz w:val="18"/>
                <w:szCs w:val="18"/>
              </w:rPr>
              <w:t>金缺口，</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年度已使用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698,359,960.00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4"/>
                <w:sz w:val="18"/>
                <w:szCs w:val="18"/>
              </w:rPr>
              <w:t>日，公司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年度股东大会审议通过</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20"/>
                <w:w w:val="101"/>
                <w:sz w:val="18"/>
                <w:szCs w:val="18"/>
              </w:rPr>
              <w:t>了</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利</w:t>
            </w:r>
            <w:r>
              <w:rPr>
                <w:rFonts w:ascii="宋体" w:hAnsi="宋体" w:cs="宋体" w:eastAsia="宋体" w:hint="default"/>
                <w:spacing w:val="-5"/>
                <w:w w:val="101"/>
                <w:sz w:val="18"/>
                <w:szCs w:val="18"/>
              </w:rPr>
              <w:t>用</w:t>
            </w:r>
            <w:r>
              <w:rPr>
                <w:rFonts w:ascii="宋体" w:hAnsi="宋体" w:cs="宋体" w:eastAsia="宋体" w:hint="default"/>
                <w:w w:val="101"/>
                <w:sz w:val="18"/>
                <w:szCs w:val="18"/>
              </w:rPr>
              <w:t>超</w:t>
            </w:r>
            <w:r>
              <w:rPr>
                <w:rFonts w:ascii="宋体" w:hAnsi="宋体" w:cs="宋体" w:eastAsia="宋体" w:hint="default"/>
                <w:spacing w:val="-5"/>
                <w:w w:val="101"/>
                <w:sz w:val="18"/>
                <w:szCs w:val="18"/>
              </w:rPr>
              <w:t>募</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募</w:t>
            </w:r>
            <w:r>
              <w:rPr>
                <w:rFonts w:ascii="宋体" w:hAnsi="宋体" w:cs="宋体" w:eastAsia="宋体" w:hint="default"/>
                <w:spacing w:val="-5"/>
                <w:w w:val="101"/>
                <w:sz w:val="18"/>
                <w:szCs w:val="18"/>
              </w:rPr>
              <w:t>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缺</w:t>
            </w:r>
            <w:r>
              <w:rPr>
                <w:rFonts w:ascii="宋体" w:hAnsi="宋体" w:cs="宋体" w:eastAsia="宋体" w:hint="default"/>
                <w:spacing w:val="-5"/>
                <w:w w:val="101"/>
                <w:sz w:val="18"/>
                <w:szCs w:val="18"/>
              </w:rPr>
              <w:t>口</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6"/>
                <w:w w:val="101"/>
                <w:sz w:val="18"/>
                <w:szCs w:val="18"/>
              </w:rPr>
              <w:t>》</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宋体" w:hAnsi="宋体" w:cs="宋体" w:eastAsia="宋体" w:hint="default"/>
                <w:spacing w:val="-5"/>
                <w:w w:val="101"/>
                <w:sz w:val="18"/>
                <w:szCs w:val="18"/>
              </w:rPr>
              <w:t>利</w:t>
            </w:r>
            <w:r>
              <w:rPr>
                <w:rFonts w:ascii="宋体" w:hAnsi="宋体" w:cs="宋体" w:eastAsia="宋体" w:hint="default"/>
                <w:w w:val="101"/>
                <w:sz w:val="18"/>
                <w:szCs w:val="18"/>
              </w:rPr>
              <w:t>用</w:t>
            </w:r>
            <w:r>
              <w:rPr>
                <w:rFonts w:ascii="宋体" w:hAnsi="宋体" w:cs="宋体" w:eastAsia="宋体" w:hint="default"/>
                <w:spacing w:val="-5"/>
                <w:w w:val="101"/>
                <w:sz w:val="18"/>
                <w:szCs w:val="18"/>
              </w:rPr>
              <w:t>超</w:t>
            </w:r>
            <w:r>
              <w:rPr>
                <w:rFonts w:ascii="宋体" w:hAnsi="宋体" w:cs="宋体" w:eastAsia="宋体" w:hint="default"/>
                <w:w w:val="101"/>
                <w:sz w:val="18"/>
                <w:szCs w:val="18"/>
              </w:rPr>
              <w:t>募资金</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33</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39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补</w:t>
            </w:r>
            <w:r>
              <w:rPr>
                <w:rFonts w:ascii="宋体" w:hAnsi="宋体" w:cs="宋体" w:eastAsia="宋体" w:hint="default"/>
                <w:w w:val="101"/>
                <w:sz w:val="18"/>
                <w:szCs w:val="18"/>
              </w:rPr>
              <w:t>充募</w:t>
            </w:r>
            <w:r>
              <w:rPr>
                <w:rFonts w:ascii="宋体" w:hAnsi="宋体" w:cs="宋体" w:eastAsia="宋体" w:hint="default"/>
                <w:sz w:val="18"/>
                <w:szCs w:val="18"/>
              </w:rPr>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补充营运资金项目之增值分销渠道扩建项目的资金缺口，</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年度已使用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588,864,024.80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日，已使用超募资金累计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1,287,223,984.80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及使用进展情况</w:t>
            </w:r>
          </w:p>
        </w:tc>
        <w:tc>
          <w:tcPr>
            <w:tcW w:w="7815" w:type="dxa"/>
            <w:gridSpan w:val="10"/>
            <w:vMerge/>
            <w:tcBorders>
              <w:left w:val="single" w:sz="10" w:space="0" w:color="D2D2D2"/>
              <w:right w:val="single" w:sz="4" w:space="0" w:color="000000"/>
            </w:tcBorders>
          </w:tcPr>
          <w:p>
            <w:pPr/>
          </w:p>
        </w:tc>
      </w:tr>
      <w:tr>
        <w:trPr>
          <w:trHeight w:val="1296"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5" w:type="dxa"/>
            <w:gridSpan w:val="10"/>
            <w:vMerge/>
            <w:tcBorders>
              <w:left w:val="single" w:sz="10" w:space="0" w:color="D2D2D2"/>
              <w:bottom w:val="single" w:sz="4" w:space="0" w:color="000000"/>
              <w:right w:val="single" w:sz="4" w:space="0" w:color="000000"/>
            </w:tcBorders>
          </w:tcPr>
          <w:p>
            <w:pPr/>
          </w:p>
        </w:tc>
      </w:tr>
      <w:tr>
        <w:trPr>
          <w:trHeight w:val="254"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5"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1" w:right="101"/>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815"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48" w:type="dxa"/>
            <w:vMerge/>
            <w:tcBorders>
              <w:left w:val="single" w:sz="4" w:space="0" w:color="000000"/>
              <w:right w:val="single" w:sz="4" w:space="0" w:color="000000"/>
            </w:tcBorders>
            <w:shd w:val="clear" w:color="auto" w:fill="D2D2D2"/>
          </w:tcPr>
          <w:p>
            <w:pPr/>
          </w:p>
        </w:tc>
        <w:tc>
          <w:tcPr>
            <w:tcW w:w="7815" w:type="dxa"/>
            <w:gridSpan w:val="10"/>
            <w:tcBorders>
              <w:top w:val="single" w:sz="4" w:space="0" w:color="000000"/>
              <w:left w:val="single" w:sz="13" w:space="0" w:color="D2D2D2"/>
              <w:bottom w:val="single" w:sz="4" w:space="0" w:color="000000"/>
              <w:right w:val="single" w:sz="4" w:space="0" w:color="000000"/>
            </w:tcBorders>
          </w:tcPr>
          <w:p>
            <w:pPr/>
          </w:p>
        </w:tc>
      </w:tr>
      <w:tr>
        <w:trPr>
          <w:trHeight w:val="149"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5"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5" w:type="dxa"/>
            <w:gridSpan w:val="10"/>
            <w:vMerge/>
            <w:tcBorders>
              <w:left w:val="single" w:sz="10" w:space="0" w:color="D2D2D2"/>
              <w:bottom w:val="single" w:sz="4" w:space="0" w:color="000000"/>
              <w:right w:val="single" w:sz="4" w:space="0" w:color="000000"/>
            </w:tcBorders>
          </w:tcPr>
          <w:p>
            <w:pPr/>
          </w:p>
        </w:tc>
      </w:tr>
      <w:tr>
        <w:trPr>
          <w:trHeight w:val="254"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5"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1" w:right="101"/>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815" w:type="dxa"/>
            <w:gridSpan w:val="10"/>
            <w:vMerge/>
            <w:tcBorders>
              <w:left w:val="single" w:sz="10" w:space="0" w:color="D2D2D2"/>
              <w:bottom w:val="single" w:sz="4" w:space="0" w:color="000000"/>
              <w:right w:val="single" w:sz="4" w:space="0" w:color="000000"/>
            </w:tcBorders>
          </w:tcPr>
          <w:p>
            <w:pPr/>
          </w:p>
        </w:tc>
      </w:tr>
      <w:tr>
        <w:trPr>
          <w:trHeight w:val="404" w:hRule="exact"/>
        </w:trPr>
        <w:tc>
          <w:tcPr>
            <w:tcW w:w="1748" w:type="dxa"/>
            <w:vMerge/>
            <w:tcBorders>
              <w:left w:val="single" w:sz="4" w:space="0" w:color="000000"/>
              <w:right w:val="single" w:sz="4" w:space="0" w:color="000000"/>
            </w:tcBorders>
            <w:shd w:val="clear" w:color="auto" w:fill="D2D2D2"/>
          </w:tcPr>
          <w:p>
            <w:pPr/>
          </w:p>
        </w:tc>
        <w:tc>
          <w:tcPr>
            <w:tcW w:w="7815" w:type="dxa"/>
            <w:gridSpan w:val="10"/>
            <w:tcBorders>
              <w:top w:val="single" w:sz="4" w:space="0" w:color="000000"/>
              <w:left w:val="single" w:sz="13" w:space="0" w:color="D2D2D2"/>
              <w:bottom w:val="single" w:sz="4" w:space="0" w:color="000000"/>
              <w:right w:val="single" w:sz="4" w:space="0" w:color="000000"/>
            </w:tcBorders>
          </w:tcPr>
          <w:p>
            <w:pPr/>
          </w:p>
        </w:tc>
      </w:tr>
      <w:tr>
        <w:trPr>
          <w:trHeight w:val="149"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5" w:type="dxa"/>
            <w:gridSpan w:val="10"/>
            <w:vMerge w:val="restart"/>
            <w:tcBorders>
              <w:top w:val="single" w:sz="4" w:space="0" w:color="000000"/>
              <w:left w:val="single" w:sz="10" w:space="0" w:color="D2D2D2"/>
              <w:right w:val="single" w:sz="4" w:space="0" w:color="000000"/>
            </w:tcBorders>
          </w:tcPr>
          <w:p>
            <w:pPr/>
          </w:p>
        </w:tc>
      </w:tr>
      <w:tr>
        <w:trPr>
          <w:trHeight w:val="254"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5" w:type="dxa"/>
            <w:gridSpan w:val="10"/>
            <w:vMerge/>
            <w:tcBorders>
              <w:left w:val="single" w:sz="10" w:space="0" w:color="D2D2D2"/>
              <w:bottom w:val="single" w:sz="4" w:space="0" w:color="000000"/>
              <w:right w:val="single" w:sz="4" w:space="0" w:color="000000"/>
            </w:tcBorders>
          </w:tcPr>
          <w:p>
            <w:pPr/>
          </w:p>
        </w:tc>
      </w:tr>
      <w:tr>
        <w:trPr>
          <w:trHeight w:val="206"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5"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2" w:hRule="exact"/>
        </w:trPr>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1" w:right="101"/>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815" w:type="dxa"/>
            <w:gridSpan w:val="10"/>
            <w:vMerge/>
            <w:tcBorders>
              <w:left w:val="single" w:sz="10" w:space="0" w:color="D2D2D2"/>
              <w:bottom w:val="single" w:sz="4" w:space="0" w:color="000000"/>
              <w:right w:val="single" w:sz="4" w:space="0" w:color="000000"/>
            </w:tcBorders>
          </w:tcPr>
          <w:p>
            <w:pPr/>
          </w:p>
        </w:tc>
      </w:tr>
      <w:tr>
        <w:trPr>
          <w:trHeight w:val="509"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5" w:type="dxa"/>
            <w:gridSpan w:val="10"/>
            <w:vMerge w:val="restart"/>
            <w:tcBorders>
              <w:top w:val="single" w:sz="4" w:space="0" w:color="000000"/>
              <w:left w:val="single" w:sz="10" w:space="0" w:color="D2D2D2"/>
              <w:right w:val="single" w:sz="4" w:space="0" w:color="000000"/>
            </w:tcBorders>
          </w:tcPr>
          <w:p>
            <w:pPr>
              <w:pStyle w:val="TableParagraph"/>
              <w:spacing w:line="300" w:lineRule="auto" w:before="58"/>
              <w:ind w:left="28" w:right="1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日止，公司使用募集资金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477,862,150.27</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元置换已预先投入的募集资金投资项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目的同等金额的自筹资金。</w:t>
            </w:r>
          </w:p>
        </w:tc>
      </w:tr>
      <w:tr>
        <w:trPr>
          <w:trHeight w:val="206"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5" w:type="dxa"/>
            <w:gridSpan w:val="10"/>
            <w:vMerge/>
            <w:tcBorders>
              <w:left w:val="single" w:sz="10" w:space="0" w:color="D2D2D2"/>
              <w:bottom w:val="single" w:sz="4" w:space="0" w:color="000000"/>
              <w:right w:val="single" w:sz="4" w:space="0" w:color="000000"/>
            </w:tcBorders>
          </w:tcPr>
          <w:p>
            <w:pPr/>
          </w:p>
        </w:tc>
      </w:tr>
      <w:tr>
        <w:trPr>
          <w:trHeight w:val="404" w:hRule="exact"/>
        </w:trPr>
        <w:tc>
          <w:tcPr>
            <w:tcW w:w="17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 w:right="101"/>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815"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48" w:type="dxa"/>
            <w:vMerge/>
            <w:tcBorders>
              <w:left w:val="single" w:sz="4" w:space="0" w:color="000000"/>
              <w:bottom w:val="single" w:sz="4" w:space="0" w:color="000000"/>
              <w:right w:val="single" w:sz="4" w:space="0" w:color="000000"/>
            </w:tcBorders>
            <w:shd w:val="clear" w:color="auto" w:fill="D2D2D2"/>
          </w:tcPr>
          <w:p>
            <w:pPr/>
          </w:p>
        </w:tc>
        <w:tc>
          <w:tcPr>
            <w:tcW w:w="7815" w:type="dxa"/>
            <w:gridSpan w:val="10"/>
            <w:tcBorders>
              <w:top w:val="single" w:sz="4" w:space="0" w:color="000000"/>
              <w:left w:val="single" w:sz="13" w:space="0" w:color="D2D2D2"/>
              <w:bottom w:val="single" w:sz="4" w:space="0" w:color="000000"/>
              <w:right w:val="single" w:sz="4" w:space="0" w:color="000000"/>
            </w:tcBorders>
          </w:tcPr>
          <w:p>
            <w:pPr/>
          </w:p>
        </w:tc>
      </w:tr>
      <w:tr>
        <w:trPr>
          <w:trHeight w:val="398" w:hRule="exact"/>
        </w:trPr>
        <w:tc>
          <w:tcPr>
            <w:tcW w:w="174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1" w:right="101"/>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815"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48" w:type="dxa"/>
            <w:vMerge/>
            <w:tcBorders>
              <w:left w:val="single" w:sz="4" w:space="0" w:color="000000"/>
              <w:bottom w:val="single" w:sz="4" w:space="0" w:color="000000"/>
              <w:right w:val="single" w:sz="4" w:space="0" w:color="000000"/>
            </w:tcBorders>
            <w:shd w:val="clear" w:color="auto" w:fill="D2D2D2"/>
          </w:tcPr>
          <w:p>
            <w:pPr/>
          </w:p>
        </w:tc>
        <w:tc>
          <w:tcPr>
            <w:tcW w:w="7815" w:type="dxa"/>
            <w:gridSpan w:val="10"/>
            <w:tcBorders>
              <w:top w:val="single" w:sz="4" w:space="0" w:color="000000"/>
              <w:left w:val="single" w:sz="13" w:space="0" w:color="D2D2D2"/>
              <w:bottom w:val="single" w:sz="4" w:space="0" w:color="000000"/>
              <w:right w:val="single" w:sz="4" w:space="0" w:color="000000"/>
            </w:tcBorders>
          </w:tcPr>
          <w:p>
            <w:pPr/>
          </w:p>
        </w:tc>
      </w:tr>
      <w:tr>
        <w:trPr>
          <w:trHeight w:val="716"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01"/>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815"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尚未使用的募集资金存放于银行募集资金监管专户</w:t>
            </w:r>
          </w:p>
        </w:tc>
      </w:tr>
    </w:tbl>
    <w:p>
      <w:pPr>
        <w:spacing w:after="0" w:line="240" w:lineRule="auto"/>
        <w:jc w:val="left"/>
        <w:rPr>
          <w:rFonts w:ascii="宋体" w:hAnsi="宋体" w:cs="宋体" w:eastAsia="宋体" w:hint="default"/>
          <w:sz w:val="18"/>
          <w:szCs w:val="18"/>
        </w:rPr>
        <w:sectPr>
          <w:pgSz w:w="11910" w:h="16840"/>
          <w:pgMar w:header="871" w:footer="1474" w:top="1100" w:bottom="1660" w:left="980" w:right="0"/>
        </w:sectPr>
      </w:pPr>
    </w:p>
    <w:p>
      <w:pPr>
        <w:spacing w:line="240" w:lineRule="auto" w:before="7"/>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760"/>
        <w:gridCol w:w="7815"/>
      </w:tblGrid>
      <w:tr>
        <w:trPr>
          <w:trHeight w:val="334" w:hRule="exact"/>
        </w:trPr>
        <w:tc>
          <w:tcPr>
            <w:tcW w:w="1760" w:type="dxa"/>
            <w:tcBorders>
              <w:top w:val="single" w:sz="6" w:space="0" w:color="000000"/>
              <w:left w:val="nil" w:sz="6" w:space="0" w:color="auto"/>
              <w:bottom w:val="single" w:sz="4" w:space="0" w:color="000000"/>
              <w:right w:val="nil" w:sz="6" w:space="0" w:color="auto"/>
            </w:tcBorders>
          </w:tcPr>
          <w:p>
            <w:pPr/>
          </w:p>
        </w:tc>
        <w:tc>
          <w:tcPr>
            <w:tcW w:w="7815" w:type="dxa"/>
            <w:tcBorders>
              <w:top w:val="single" w:sz="6" w:space="0" w:color="000000"/>
              <w:left w:val="nil" w:sz="6" w:space="0" w:color="auto"/>
              <w:bottom w:val="single" w:sz="4" w:space="0" w:color="000000"/>
              <w:right w:val="nil" w:sz="6" w:space="0" w:color="auto"/>
            </w:tcBorders>
          </w:tcPr>
          <w:p>
            <w:pP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1"/>
              <w:jc w:val="both"/>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中存在的问题或其他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w:t>
            </w:r>
          </w:p>
        </w:tc>
        <w:tc>
          <w:tcPr>
            <w:tcW w:w="78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13" w:right="7211"/>
        <w:jc w:val="left"/>
        <w:rPr>
          <w:b w:val="0"/>
          <w:bCs w:val="0"/>
        </w:rPr>
      </w:pPr>
      <w:bookmarkStart w:name="（3）募集资金变更项目情况" w:id="72"/>
      <w:bookmarkEnd w:id="7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公司报告期不存在募集资金变更项目情况。</w:t>
      </w:r>
    </w:p>
    <w:p>
      <w:pPr>
        <w:spacing w:line="240" w:lineRule="auto" w:before="9"/>
        <w:rPr>
          <w:rFonts w:ascii="宋体" w:hAnsi="宋体" w:cs="宋体" w:eastAsia="宋体" w:hint="default"/>
          <w:sz w:val="18"/>
          <w:szCs w:val="18"/>
        </w:rPr>
      </w:pPr>
    </w:p>
    <w:p>
      <w:pPr>
        <w:pStyle w:val="Heading2"/>
        <w:spacing w:line="240" w:lineRule="auto"/>
        <w:ind w:left="113" w:right="7211"/>
        <w:jc w:val="left"/>
        <w:rPr>
          <w:b w:val="0"/>
          <w:bCs w:val="0"/>
        </w:rPr>
      </w:pPr>
      <w:bookmarkStart w:name="六、重大资产和股权出售" w:id="73"/>
      <w:bookmarkEnd w:id="73"/>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left="113" w:right="7211"/>
        <w:jc w:val="left"/>
        <w:rPr>
          <w:b w:val="0"/>
          <w:bCs w:val="0"/>
        </w:rPr>
      </w:pPr>
      <w:bookmarkStart w:name="1、出售重大资产情况" w:id="74"/>
      <w:bookmarkEnd w:id="7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left="11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5"/>
        <w:rPr>
          <w:rFonts w:ascii="宋体" w:hAnsi="宋体" w:cs="宋体" w:eastAsia="宋体" w:hint="default"/>
          <w:sz w:val="20"/>
          <w:szCs w:val="20"/>
        </w:rPr>
      </w:pPr>
    </w:p>
    <w:p>
      <w:pPr>
        <w:pStyle w:val="Heading3"/>
        <w:spacing w:line="240" w:lineRule="auto"/>
        <w:ind w:left="113" w:right="7211"/>
        <w:jc w:val="left"/>
        <w:rPr>
          <w:b w:val="0"/>
          <w:bCs w:val="0"/>
        </w:rPr>
      </w:pPr>
      <w:bookmarkStart w:name="2、出售重大股权情况" w:id="75"/>
      <w:bookmarkEnd w:id="7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1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686"/>
        <w:gridCol w:w="682"/>
        <w:gridCol w:w="682"/>
        <w:gridCol w:w="686"/>
        <w:gridCol w:w="845"/>
        <w:gridCol w:w="782"/>
        <w:gridCol w:w="692"/>
        <w:gridCol w:w="672"/>
        <w:gridCol w:w="423"/>
        <w:gridCol w:w="566"/>
        <w:gridCol w:w="557"/>
        <w:gridCol w:w="926"/>
        <w:gridCol w:w="682"/>
        <w:gridCol w:w="686"/>
      </w:tblGrid>
      <w:tr>
        <w:trPr>
          <w:trHeight w:val="2588"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49" w:right="65" w:hanging="183"/>
              <w:jc w:val="left"/>
              <w:rPr>
                <w:rFonts w:ascii="宋体" w:hAnsi="宋体" w:cs="宋体" w:eastAsia="宋体" w:hint="default"/>
                <w:sz w:val="18"/>
                <w:szCs w:val="18"/>
              </w:rPr>
            </w:pPr>
            <w:r>
              <w:rPr>
                <w:rFonts w:ascii="宋体" w:hAnsi="宋体" w:cs="宋体" w:eastAsia="宋体" w:hint="default"/>
                <w:sz w:val="18"/>
                <w:szCs w:val="18"/>
              </w:rPr>
              <w:t>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58" w:right="60" w:hanging="92"/>
              <w:jc w:val="left"/>
              <w:rPr>
                <w:rFonts w:ascii="宋体" w:hAnsi="宋体" w:cs="宋体" w:eastAsia="宋体" w:hint="default"/>
                <w:sz w:val="18"/>
                <w:szCs w:val="18"/>
              </w:rPr>
            </w:pPr>
            <w:r>
              <w:rPr>
                <w:rFonts w:ascii="宋体" w:hAnsi="宋体" w:cs="宋体" w:eastAsia="宋体" w:hint="default"/>
                <w:sz w:val="18"/>
                <w:szCs w:val="18"/>
              </w:rPr>
              <w:t>被出售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7" w:right="65"/>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7" w:right="51"/>
              <w:jc w:val="center"/>
              <w:rPr>
                <w:rFonts w:ascii="宋体" w:hAnsi="宋体" w:cs="宋体" w:eastAsia="宋体" w:hint="default"/>
                <w:sz w:val="18"/>
                <w:szCs w:val="18"/>
              </w:rPr>
            </w:pPr>
            <w:r>
              <w:rPr>
                <w:rFonts w:ascii="宋体" w:hAnsi="宋体" w:cs="宋体" w:eastAsia="宋体" w:hint="default"/>
                <w:spacing w:val="-2"/>
                <w:sz w:val="18"/>
                <w:szCs w:val="18"/>
              </w:rPr>
              <w:t>本期初起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至出售日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该股权为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上市公司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贡献的净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利润（万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元）</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3" w:right="21"/>
              <w:jc w:val="left"/>
              <w:rPr>
                <w:rFonts w:ascii="宋体" w:hAnsi="宋体" w:cs="宋体" w:eastAsia="宋体" w:hint="default"/>
                <w:sz w:val="18"/>
                <w:szCs w:val="18"/>
              </w:rPr>
            </w:pPr>
            <w:r>
              <w:rPr>
                <w:rFonts w:ascii="宋体" w:hAnsi="宋体" w:cs="宋体" w:eastAsia="宋体" w:hint="default"/>
                <w:sz w:val="18"/>
                <w:szCs w:val="18"/>
              </w:rPr>
              <w:t>出售对公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司的影响</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71" w:right="65"/>
              <w:jc w:val="both"/>
              <w:rPr>
                <w:rFonts w:ascii="宋体" w:hAnsi="宋体" w:cs="宋体" w:eastAsia="宋体" w:hint="default"/>
                <w:sz w:val="18"/>
                <w:szCs w:val="18"/>
              </w:rPr>
            </w:pPr>
            <w:r>
              <w:rPr>
                <w:rFonts w:ascii="宋体" w:hAnsi="宋体" w:cs="宋体" w:eastAsia="宋体" w:hint="default"/>
                <w:sz w:val="18"/>
                <w:szCs w:val="18"/>
              </w:rPr>
              <w:t>股权出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售为上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贡献的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的比例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55"/>
              <w:jc w:val="both"/>
              <w:rPr>
                <w:rFonts w:ascii="宋体" w:hAnsi="宋体" w:cs="宋体" w:eastAsia="宋体" w:hint="default"/>
                <w:sz w:val="18"/>
                <w:szCs w:val="18"/>
              </w:rPr>
            </w:pPr>
            <w:r>
              <w:rPr>
                <w:rFonts w:ascii="宋体" w:hAnsi="宋体" w:cs="宋体" w:eastAsia="宋体" w:hint="default"/>
                <w:sz w:val="18"/>
                <w:szCs w:val="18"/>
              </w:rPr>
              <w:t>股权出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2"/>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为关</w:t>
            </w:r>
            <w:r>
              <w:rPr>
                <w:rFonts w:ascii="宋体" w:hAnsi="宋体" w:cs="宋体" w:eastAsia="宋体" w:hint="default"/>
                <w:spacing w:val="-86"/>
                <w:sz w:val="18"/>
                <w:szCs w:val="18"/>
              </w:rPr>
              <w:t> </w:t>
            </w:r>
            <w:r>
              <w:rPr>
                <w:rFonts w:ascii="宋体" w:hAnsi="宋体" w:cs="宋体" w:eastAsia="宋体" w:hint="default"/>
                <w:sz w:val="18"/>
                <w:szCs w:val="18"/>
              </w:rPr>
              <w:t>联交</w:t>
            </w:r>
            <w:r>
              <w:rPr>
                <w:rFonts w:ascii="宋体" w:hAnsi="宋体" w:cs="宋体" w:eastAsia="宋体" w:hint="default"/>
                <w:spacing w:val="-86"/>
                <w:sz w:val="18"/>
                <w:szCs w:val="18"/>
              </w:rPr>
              <w:t> </w:t>
            </w:r>
            <w:r>
              <w:rPr>
                <w:rFonts w:ascii="宋体" w:hAnsi="宋体" w:cs="宋体" w:eastAsia="宋体" w:hint="default"/>
                <w:sz w:val="18"/>
                <w:szCs w:val="18"/>
              </w:rPr>
              <w:t>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0" w:right="89"/>
              <w:jc w:val="both"/>
              <w:rPr>
                <w:rFonts w:ascii="宋体" w:hAnsi="宋体" w:cs="宋体" w:eastAsia="宋体" w:hint="default"/>
                <w:sz w:val="18"/>
                <w:szCs w:val="18"/>
              </w:rPr>
            </w:pPr>
            <w:r>
              <w:rPr>
                <w:rFonts w:ascii="宋体" w:hAnsi="宋体" w:cs="宋体" w:eastAsia="宋体" w:hint="default"/>
                <w:sz w:val="18"/>
                <w:szCs w:val="18"/>
              </w:rPr>
              <w:t>与交</w:t>
            </w:r>
            <w:r>
              <w:rPr>
                <w:rFonts w:ascii="宋体" w:hAnsi="宋体" w:cs="宋体" w:eastAsia="宋体" w:hint="default"/>
                <w:spacing w:val="-86"/>
                <w:sz w:val="18"/>
                <w:szCs w:val="18"/>
              </w:rPr>
              <w:t> </w:t>
            </w:r>
            <w:r>
              <w:rPr>
                <w:rFonts w:ascii="宋体" w:hAnsi="宋体" w:cs="宋体" w:eastAsia="宋体" w:hint="default"/>
                <w:sz w:val="18"/>
                <w:szCs w:val="18"/>
              </w:rPr>
              <w:t>易对</w:t>
            </w:r>
            <w:r>
              <w:rPr>
                <w:rFonts w:ascii="宋体" w:hAnsi="宋体" w:cs="宋体" w:eastAsia="宋体" w:hint="default"/>
                <w:spacing w:val="-86"/>
                <w:sz w:val="18"/>
                <w:szCs w:val="18"/>
              </w:rPr>
              <w:t> </w:t>
            </w:r>
            <w:r>
              <w:rPr>
                <w:rFonts w:ascii="宋体" w:hAnsi="宋体" w:cs="宋体" w:eastAsia="宋体" w:hint="default"/>
                <w:sz w:val="18"/>
                <w:szCs w:val="18"/>
              </w:rPr>
              <w:t>方的</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关系</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所涉</w:t>
            </w:r>
            <w:r>
              <w:rPr>
                <w:rFonts w:ascii="宋体" w:hAnsi="宋体" w:cs="宋体" w:eastAsia="宋体" w:hint="default"/>
                <w:spacing w:val="-86"/>
                <w:sz w:val="18"/>
                <w:szCs w:val="18"/>
              </w:rPr>
              <w:t> </w:t>
            </w:r>
            <w:r>
              <w:rPr>
                <w:rFonts w:ascii="宋体" w:hAnsi="宋体" w:cs="宋体" w:eastAsia="宋体" w:hint="default"/>
                <w:sz w:val="18"/>
                <w:szCs w:val="18"/>
              </w:rPr>
              <w:t>及的</w:t>
            </w:r>
            <w:r>
              <w:rPr>
                <w:rFonts w:ascii="宋体" w:hAnsi="宋体" w:cs="宋体" w:eastAsia="宋体" w:hint="default"/>
                <w:spacing w:val="-86"/>
                <w:sz w:val="18"/>
                <w:szCs w:val="18"/>
              </w:rPr>
              <w:t> </w:t>
            </w: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已全</w:t>
            </w:r>
            <w:r>
              <w:rPr>
                <w:rFonts w:ascii="宋体" w:hAnsi="宋体" w:cs="宋体" w:eastAsia="宋体" w:hint="default"/>
                <w:spacing w:val="-86"/>
                <w:sz w:val="18"/>
                <w:szCs w:val="18"/>
              </w:rPr>
              <w:t> </w:t>
            </w:r>
            <w:r>
              <w:rPr>
                <w:rFonts w:ascii="宋体" w:hAnsi="宋体" w:cs="宋体" w:eastAsia="宋体" w:hint="default"/>
                <w:sz w:val="18"/>
                <w:szCs w:val="18"/>
              </w:rPr>
              <w:t>部过</w:t>
            </w:r>
            <w:r>
              <w:rPr>
                <w:rFonts w:ascii="宋体" w:hAnsi="宋体" w:cs="宋体" w:eastAsia="宋体" w:hint="default"/>
                <w:spacing w:val="-86"/>
                <w:sz w:val="18"/>
                <w:szCs w:val="18"/>
              </w:rPr>
              <w:t> </w:t>
            </w:r>
            <w:r>
              <w:rPr>
                <w:rFonts w:ascii="宋体" w:hAnsi="宋体" w:cs="宋体" w:eastAsia="宋体" w:hint="default"/>
                <w:sz w:val="18"/>
                <w:szCs w:val="18"/>
              </w:rPr>
              <w:t>户</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3" w:right="-10" w:hanging="34"/>
              <w:jc w:val="center"/>
              <w:rPr>
                <w:rFonts w:ascii="宋体" w:hAnsi="宋体" w:cs="宋体" w:eastAsia="宋体" w:hint="default"/>
                <w:sz w:val="18"/>
                <w:szCs w:val="18"/>
              </w:rPr>
            </w:pPr>
            <w:r>
              <w:rPr>
                <w:rFonts w:ascii="宋体" w:hAnsi="宋体" w:cs="宋体" w:eastAsia="宋体" w:hint="default"/>
                <w:sz w:val="18"/>
                <w:szCs w:val="18"/>
              </w:rPr>
              <w:t>是否按计</w:t>
            </w:r>
            <w:r>
              <w:rPr>
                <w:rFonts w:ascii="宋体" w:hAnsi="宋体" w:cs="宋体" w:eastAsia="宋体" w:hint="default"/>
                <w:w w:val="101"/>
                <w:sz w:val="18"/>
                <w:szCs w:val="18"/>
              </w:rPr>
              <w:t> </w:t>
            </w:r>
            <w:r>
              <w:rPr>
                <w:rFonts w:ascii="宋体" w:hAnsi="宋体" w:cs="宋体" w:eastAsia="宋体" w:hint="default"/>
                <w:sz w:val="18"/>
                <w:szCs w:val="18"/>
              </w:rPr>
              <w:t>划如期实</w:t>
            </w:r>
            <w:r>
              <w:rPr>
                <w:rFonts w:ascii="宋体" w:hAnsi="宋体" w:cs="宋体" w:eastAsia="宋体" w:hint="default"/>
                <w:w w:val="101"/>
                <w:sz w:val="18"/>
                <w:szCs w:val="18"/>
              </w:rPr>
              <w:t> </w:t>
            </w:r>
            <w:r>
              <w:rPr>
                <w:rFonts w:ascii="宋体" w:hAnsi="宋体" w:cs="宋体" w:eastAsia="宋体" w:hint="default"/>
                <w:spacing w:val="-8"/>
                <w:sz w:val="18"/>
                <w:szCs w:val="18"/>
              </w:rPr>
              <w:t>施，如未按</w:t>
            </w:r>
            <w:r>
              <w:rPr>
                <w:rFonts w:ascii="宋体" w:hAnsi="宋体" w:cs="宋体" w:eastAsia="宋体" w:hint="default"/>
                <w:w w:val="101"/>
                <w:sz w:val="18"/>
                <w:szCs w:val="18"/>
              </w:rPr>
              <w:t> </w:t>
            </w:r>
            <w:r>
              <w:rPr>
                <w:rFonts w:ascii="宋体" w:hAnsi="宋体" w:cs="宋体" w:eastAsia="宋体" w:hint="default"/>
                <w:spacing w:val="-2"/>
                <w:sz w:val="18"/>
                <w:szCs w:val="18"/>
              </w:rPr>
              <w:t>计划实施，</w:t>
            </w:r>
            <w:r>
              <w:rPr>
                <w:rFonts w:ascii="宋体" w:hAnsi="宋体" w:cs="宋体" w:eastAsia="宋体" w:hint="default"/>
                <w:w w:val="101"/>
                <w:sz w:val="18"/>
                <w:szCs w:val="18"/>
              </w:rPr>
              <w:t> </w:t>
            </w:r>
            <w:r>
              <w:rPr>
                <w:rFonts w:ascii="宋体" w:hAnsi="宋体" w:cs="宋体" w:eastAsia="宋体" w:hint="default"/>
                <w:sz w:val="18"/>
                <w:szCs w:val="18"/>
              </w:rPr>
              <w:t>应当说明</w:t>
            </w:r>
            <w:r>
              <w:rPr>
                <w:rFonts w:ascii="宋体" w:hAnsi="宋体" w:cs="宋体" w:eastAsia="宋体" w:hint="default"/>
                <w:w w:val="101"/>
                <w:sz w:val="18"/>
                <w:szCs w:val="18"/>
              </w:rPr>
              <w:t> </w:t>
            </w:r>
            <w:r>
              <w:rPr>
                <w:rFonts w:ascii="宋体" w:hAnsi="宋体" w:cs="宋体" w:eastAsia="宋体" w:hint="default"/>
                <w:sz w:val="18"/>
                <w:szCs w:val="18"/>
              </w:rPr>
              <w:t>原因及公</w:t>
            </w:r>
            <w:r>
              <w:rPr>
                <w:rFonts w:ascii="宋体" w:hAnsi="宋体" w:cs="宋体" w:eastAsia="宋体" w:hint="default"/>
                <w:w w:val="101"/>
                <w:sz w:val="18"/>
                <w:szCs w:val="18"/>
              </w:rPr>
              <w:t> </w:t>
            </w:r>
            <w:r>
              <w:rPr>
                <w:rFonts w:ascii="宋体" w:hAnsi="宋体" w:cs="宋体" w:eastAsia="宋体" w:hint="default"/>
                <w:sz w:val="18"/>
                <w:szCs w:val="18"/>
              </w:rPr>
              <w:t>司已采取</w:t>
            </w:r>
            <w:r>
              <w:rPr>
                <w:rFonts w:ascii="宋体" w:hAnsi="宋体" w:cs="宋体" w:eastAsia="宋体" w:hint="default"/>
                <w:w w:val="101"/>
                <w:sz w:val="18"/>
                <w:szCs w:val="18"/>
              </w:rPr>
              <w:t> </w:t>
            </w:r>
            <w:r>
              <w:rPr>
                <w:rFonts w:ascii="宋体" w:hAnsi="宋体" w:cs="宋体" w:eastAsia="宋体" w:hint="default"/>
                <w:sz w:val="18"/>
                <w:szCs w:val="18"/>
              </w:rPr>
              <w:t>的措施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49" w:right="60"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49" w:right="65"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165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北京海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湾京城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4"/>
              <w:jc w:val="both"/>
              <w:rPr>
                <w:rFonts w:ascii="宋体" w:hAnsi="宋体" w:cs="宋体" w:eastAsia="宋体" w:hint="default"/>
                <w:sz w:val="18"/>
                <w:szCs w:val="18"/>
              </w:rPr>
            </w:pPr>
            <w:r>
              <w:rPr>
                <w:rFonts w:ascii="宋体" w:hAnsi="宋体" w:cs="宋体" w:eastAsia="宋体" w:hint="default"/>
                <w:sz w:val="18"/>
                <w:szCs w:val="18"/>
              </w:rPr>
              <w:t>海南先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锋网信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小额贷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13,775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-2,505.45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z w:val="18"/>
                <w:szCs w:val="18"/>
              </w:rPr>
              <w:t>转让取得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投资收益</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Times New Roman"/>
                <w:sz w:val="18"/>
              </w:rPr>
              <w:t>2,671.53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7.77%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93"/>
              <w:jc w:val="left"/>
              <w:rPr>
                <w:rFonts w:ascii="宋体" w:hAnsi="宋体" w:cs="宋体" w:eastAsia="宋体" w:hint="default"/>
                <w:sz w:val="18"/>
                <w:szCs w:val="18"/>
              </w:rPr>
            </w:pPr>
            <w:r>
              <w:rPr>
                <w:rFonts w:ascii="宋体" w:hAnsi="宋体" w:cs="宋体" w:eastAsia="宋体" w:hint="default"/>
                <w:sz w:val="18"/>
                <w:szCs w:val="18"/>
              </w:rPr>
              <w:t>资产评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估价格</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167"/>
              <w:jc w:val="left"/>
              <w:rPr>
                <w:rFonts w:ascii="宋体" w:hAnsi="宋体" w:cs="宋体" w:eastAsia="宋体" w:hint="default"/>
                <w:sz w:val="18"/>
                <w:szCs w:val="18"/>
              </w:rPr>
            </w:pPr>
            <w:r>
              <w:rPr>
                <w:rFonts w:ascii="宋体" w:hAnsi="宋体" w:cs="宋体" w:eastAsia="宋体" w:hint="default"/>
                <w:sz w:val="18"/>
                <w:szCs w:val="18"/>
              </w:rPr>
              <w:t>非关</w:t>
            </w:r>
            <w:r>
              <w:rPr>
                <w:rFonts w:ascii="宋体" w:hAnsi="宋体" w:cs="宋体" w:eastAsia="宋体" w:hint="default"/>
                <w:spacing w:val="-86"/>
                <w:sz w:val="18"/>
                <w:szCs w:val="18"/>
              </w:rPr>
              <w:t> </w:t>
            </w:r>
            <w:r>
              <w:rPr>
                <w:rFonts w:ascii="宋体" w:hAnsi="宋体" w:cs="宋体" w:eastAsia="宋体" w:hint="default"/>
                <w:sz w:val="18"/>
                <w:szCs w:val="18"/>
              </w:rPr>
              <w:t>联方</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328" w:lineRule="auto" w:before="19"/>
              <w:ind w:left="24" w:right="26"/>
              <w:jc w:val="both"/>
              <w:rPr>
                <w:rFonts w:ascii="宋体" w:hAnsi="宋体" w:cs="宋体" w:eastAsia="宋体" w:hint="default"/>
                <w:sz w:val="18"/>
                <w:szCs w:val="18"/>
              </w:rPr>
            </w:pPr>
            <w:r>
              <w:rPr>
                <w:rFonts w:ascii="宋体" w:hAnsi="宋体" w:cs="宋体" w:eastAsia="宋体" w:hint="default"/>
                <w:spacing w:val="-4"/>
                <w:sz w:val="18"/>
                <w:szCs w:val="18"/>
              </w:rPr>
              <w:t>（</w:t>
            </w:r>
            <w:hyperlink r:id="rId3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sz w:val="18"/>
                <w:szCs w:val="18"/>
              </w:rPr>
              <w:t>om.cn</w:t>
            </w:r>
            <w:r>
              <w:rPr>
                <w:rFonts w:ascii="宋体" w:hAnsi="宋体" w:cs="宋体" w:eastAsia="宋体" w:hint="default"/>
                <w:spacing w:val="-2"/>
                <w:sz w:val="18"/>
                <w:szCs w:val="18"/>
              </w:rPr>
              <w:t>）</w:t>
            </w:r>
          </w:p>
        </w:tc>
      </w:tr>
    </w:tbl>
    <w:p>
      <w:pPr>
        <w:spacing w:line="240" w:lineRule="auto" w:before="9"/>
        <w:rPr>
          <w:rFonts w:ascii="宋体" w:hAnsi="宋体" w:cs="宋体" w:eastAsia="宋体" w:hint="default"/>
          <w:sz w:val="17"/>
          <w:szCs w:val="17"/>
        </w:rPr>
      </w:pPr>
    </w:p>
    <w:p>
      <w:pPr>
        <w:pStyle w:val="Heading2"/>
        <w:spacing w:line="240" w:lineRule="auto" w:before="26"/>
        <w:ind w:left="113" w:right="7211"/>
        <w:jc w:val="left"/>
        <w:rPr>
          <w:b w:val="0"/>
          <w:bCs w:val="0"/>
        </w:rPr>
      </w:pPr>
      <w:bookmarkStart w:name="七、主要控股参股公司分析" w:id="76"/>
      <w:bookmarkEnd w:id="76"/>
      <w:r>
        <w:rPr>
          <w:b w:val="0"/>
          <w:bCs w:val="0"/>
        </w:rPr>
      </w:r>
      <w:r>
        <w:rPr/>
        <w:t>七、主要控股参股公司分析</w:t>
      </w:r>
      <w:r>
        <w:rPr>
          <w:b w:val="0"/>
          <w:bCs w:val="0"/>
        </w:rPr>
      </w:r>
    </w:p>
    <w:p>
      <w:pPr>
        <w:spacing w:line="240" w:lineRule="auto" w:before="9"/>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474" w:top="1060" w:bottom="1660" w:left="1020" w:right="0"/>
        </w:sectPr>
      </w:pPr>
    </w:p>
    <w:p>
      <w:pPr>
        <w:pStyle w:val="BodyText"/>
        <w:spacing w:line="240" w:lineRule="auto" w:before="46"/>
        <w:ind w:left="113"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113"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620" w:bottom="280" w:left="1020" w:right="0"/>
          <w:cols w:num="2" w:equalWidth="0">
            <w:col w:w="4814" w:space="4108"/>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98"/>
        <w:gridCol w:w="586"/>
        <w:gridCol w:w="826"/>
        <w:gridCol w:w="898"/>
        <w:gridCol w:w="1398"/>
        <w:gridCol w:w="1335"/>
        <w:gridCol w:w="1541"/>
        <w:gridCol w:w="1296"/>
        <w:gridCol w:w="1229"/>
      </w:tblGrid>
      <w:tr>
        <w:trPr>
          <w:trHeight w:val="716" w:hRule="exact"/>
        </w:trPr>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620" w:bottom="280" w:left="1020" w:right="0"/>
        </w:sectPr>
      </w:pPr>
    </w:p>
    <w:p>
      <w:pPr>
        <w:spacing w:line="240" w:lineRule="auto" w:before="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98"/>
        <w:gridCol w:w="586"/>
        <w:gridCol w:w="826"/>
        <w:gridCol w:w="898"/>
        <w:gridCol w:w="1398"/>
        <w:gridCol w:w="1335"/>
        <w:gridCol w:w="1541"/>
        <w:gridCol w:w="1296"/>
        <w:gridCol w:w="1229"/>
      </w:tblGrid>
      <w:tr>
        <w:trPr>
          <w:trHeight w:val="1027"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37"/>
              <w:jc w:val="both"/>
              <w:rPr>
                <w:rFonts w:ascii="宋体" w:hAnsi="宋体" w:cs="宋体" w:eastAsia="宋体" w:hint="default"/>
                <w:sz w:val="18"/>
                <w:szCs w:val="18"/>
              </w:rPr>
            </w:pPr>
            <w:r>
              <w:rPr>
                <w:rFonts w:ascii="宋体" w:hAnsi="宋体" w:cs="宋体" w:eastAsia="宋体" w:hint="default"/>
                <w:sz w:val="18"/>
                <w:szCs w:val="18"/>
              </w:rPr>
              <w:t>深圳市酷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动数码有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数码电子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产品销售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462,642,859.73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215,096,426.11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1,789,379,265.29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38,923,275.91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35,021,875.08</w:t>
            </w:r>
          </w:p>
        </w:tc>
      </w:tr>
      <w:tr>
        <w:trPr>
          <w:trHeight w:val="102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37"/>
              <w:jc w:val="both"/>
              <w:rPr>
                <w:rFonts w:ascii="宋体" w:hAnsi="宋体" w:cs="宋体" w:eastAsia="宋体" w:hint="default"/>
                <w:sz w:val="18"/>
                <w:szCs w:val="18"/>
              </w:rPr>
            </w:pPr>
            <w:r>
              <w:rPr>
                <w:rFonts w:ascii="宋体" w:hAnsi="宋体" w:cs="宋体" w:eastAsia="宋体" w:hint="default"/>
                <w:sz w:val="18"/>
                <w:szCs w:val="18"/>
              </w:rPr>
              <w:t>西藏酷爱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通信有限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4" w:right="185"/>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3" w:right="65"/>
              <w:jc w:val="left"/>
              <w:rPr>
                <w:rFonts w:ascii="宋体" w:hAnsi="宋体" w:cs="宋体" w:eastAsia="宋体" w:hint="default"/>
                <w:sz w:val="18"/>
                <w:szCs w:val="18"/>
              </w:rPr>
            </w:pPr>
            <w:r>
              <w:rPr>
                <w:rFonts w:ascii="宋体" w:hAnsi="宋体" w:cs="宋体" w:eastAsia="宋体" w:hint="default"/>
                <w:sz w:val="18"/>
                <w:szCs w:val="18"/>
              </w:rPr>
              <w:t>通讯产品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2,094,752,307.32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987,939,792.42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23,280,771,393.21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312,405,758.26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248,565,137.25</w:t>
            </w:r>
          </w:p>
        </w:tc>
      </w:tr>
      <w:tr>
        <w:trPr>
          <w:trHeight w:val="1028"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37"/>
              <w:jc w:val="both"/>
              <w:rPr>
                <w:rFonts w:ascii="宋体" w:hAnsi="宋体" w:cs="宋体" w:eastAsia="宋体" w:hint="default"/>
                <w:sz w:val="18"/>
                <w:szCs w:val="18"/>
              </w:rPr>
            </w:pPr>
            <w:r>
              <w:rPr>
                <w:rFonts w:ascii="宋体" w:hAnsi="宋体" w:cs="宋体" w:eastAsia="宋体" w:hint="default"/>
                <w:sz w:val="18"/>
                <w:szCs w:val="18"/>
              </w:rPr>
              <w:t>深圳市优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友互联有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85"/>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移动通讯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221,737,775.28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43,993,354.08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175,717,055.56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23,033,706.78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22,621,992.23</w:t>
            </w:r>
          </w:p>
        </w:tc>
      </w:tr>
      <w:tr>
        <w:trPr>
          <w:trHeight w:val="1339"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37"/>
              <w:jc w:val="both"/>
              <w:rPr>
                <w:rFonts w:ascii="宋体" w:hAnsi="宋体" w:cs="宋体" w:eastAsia="宋体" w:hint="default"/>
                <w:sz w:val="18"/>
                <w:szCs w:val="18"/>
              </w:rPr>
            </w:pPr>
            <w:r>
              <w:rPr>
                <w:rFonts w:ascii="宋体" w:hAnsi="宋体" w:cs="宋体" w:eastAsia="宋体" w:hint="default"/>
                <w:sz w:val="18"/>
                <w:szCs w:val="18"/>
              </w:rPr>
              <w:t>深圳市优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友金融服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185"/>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65"/>
              <w:jc w:val="left"/>
              <w:rPr>
                <w:rFonts w:ascii="宋体" w:hAnsi="宋体" w:cs="宋体" w:eastAsia="宋体" w:hint="default"/>
                <w:sz w:val="18"/>
                <w:szCs w:val="18"/>
              </w:rPr>
            </w:pPr>
            <w:r>
              <w:rPr>
                <w:rFonts w:ascii="宋体" w:hAnsi="宋体" w:cs="宋体" w:eastAsia="宋体" w:hint="default"/>
                <w:sz w:val="18"/>
                <w:szCs w:val="18"/>
              </w:rPr>
              <w:t>通讯产品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1,929,474,213.62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38,373,247.39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12,774,684,347.03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15,534,899.56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12,951,342.20</w:t>
            </w:r>
          </w:p>
        </w:tc>
      </w:tr>
      <w:tr>
        <w:trPr>
          <w:trHeight w:val="1652"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37"/>
              <w:jc w:val="both"/>
              <w:rPr>
                <w:rFonts w:ascii="宋体" w:hAnsi="宋体" w:cs="宋体" w:eastAsia="宋体" w:hint="default"/>
                <w:sz w:val="18"/>
                <w:szCs w:val="18"/>
              </w:rPr>
            </w:pPr>
            <w:r>
              <w:rPr>
                <w:rFonts w:ascii="宋体" w:hAnsi="宋体" w:cs="宋体" w:eastAsia="宋体" w:hint="default"/>
                <w:sz w:val="18"/>
                <w:szCs w:val="18"/>
              </w:rPr>
              <w:t>江西赣江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新区爱施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德网络小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额贷款有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小额贷款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1,171,442,122.67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1,120,207,004.31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163,164,445.65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55,560,958.17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41,481,460.13</w:t>
            </w:r>
          </w:p>
        </w:tc>
      </w:tr>
      <w:tr>
        <w:trPr>
          <w:trHeight w:val="102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37"/>
              <w:jc w:val="both"/>
              <w:rPr>
                <w:rFonts w:ascii="宋体" w:hAnsi="宋体" w:cs="宋体" w:eastAsia="宋体" w:hint="default"/>
                <w:sz w:val="18"/>
                <w:szCs w:val="18"/>
              </w:rPr>
            </w:pPr>
            <w:r>
              <w:rPr>
                <w:rFonts w:ascii="宋体" w:hAnsi="宋体" w:cs="宋体" w:eastAsia="宋体" w:hint="default"/>
                <w:sz w:val="18"/>
                <w:szCs w:val="18"/>
              </w:rPr>
              <w:t>深圳市一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号机科技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85"/>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65"/>
              <w:jc w:val="left"/>
              <w:rPr>
                <w:rFonts w:ascii="宋体" w:hAnsi="宋体" w:cs="宋体" w:eastAsia="宋体" w:hint="default"/>
                <w:sz w:val="18"/>
                <w:szCs w:val="18"/>
              </w:rPr>
            </w:pPr>
            <w:r>
              <w:rPr>
                <w:rFonts w:ascii="宋体" w:hAnsi="宋体" w:cs="宋体" w:eastAsia="宋体" w:hint="default"/>
                <w:sz w:val="18"/>
                <w:szCs w:val="18"/>
              </w:rPr>
              <w:t>通讯产品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102,087,510.71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-25,035,638.36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253,829,700.06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-20,648,096.55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-20,647,542.05</w:t>
            </w:r>
          </w:p>
        </w:tc>
      </w:tr>
      <w:tr>
        <w:trPr>
          <w:trHeight w:val="1028"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37"/>
              <w:jc w:val="both"/>
              <w:rPr>
                <w:rFonts w:ascii="宋体" w:hAnsi="宋体" w:cs="宋体" w:eastAsia="宋体" w:hint="default"/>
                <w:sz w:val="18"/>
                <w:szCs w:val="18"/>
              </w:rPr>
            </w:pPr>
            <w:r>
              <w:rPr>
                <w:rFonts w:ascii="宋体" w:hAnsi="宋体" w:cs="宋体" w:eastAsia="宋体" w:hint="default"/>
                <w:sz w:val="18"/>
                <w:szCs w:val="18"/>
              </w:rPr>
              <w:t>北京酷人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通讯科技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85"/>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通讯产品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105,598,872.69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88,084,749.81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4,057,963,488.14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73,805,641.66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73,814,860.54</w:t>
            </w:r>
          </w:p>
        </w:tc>
      </w:tr>
      <w:tr>
        <w:trPr>
          <w:trHeight w:val="1027"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37"/>
              <w:jc w:val="both"/>
              <w:rPr>
                <w:rFonts w:ascii="宋体" w:hAnsi="宋体" w:cs="宋体" w:eastAsia="宋体" w:hint="default"/>
                <w:sz w:val="18"/>
                <w:szCs w:val="18"/>
              </w:rPr>
            </w:pPr>
            <w:r>
              <w:rPr>
                <w:rFonts w:ascii="宋体" w:hAnsi="宋体" w:cs="宋体" w:eastAsia="宋体" w:hint="default"/>
                <w:sz w:val="18"/>
                <w:szCs w:val="18"/>
              </w:rPr>
              <w:t>北京瑞成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汇达科技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85"/>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98,593,274.09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63,160,428.58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26,422,860.27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-65,318,915.09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-26,418,408.74</w:t>
            </w:r>
          </w:p>
        </w:tc>
      </w:tr>
    </w:tbl>
    <w:p>
      <w:pPr>
        <w:pStyle w:val="BodyText"/>
        <w:spacing w:line="240" w:lineRule="auto" w:before="53"/>
        <w:ind w:right="1126"/>
        <w:jc w:val="left"/>
      </w:pPr>
      <w:r>
        <w:rPr>
          <w:spacing w:val="-3"/>
        </w:rPr>
        <w:t>报告期内取得和处置子公司的情况</w:t>
      </w:r>
    </w:p>
    <w:p>
      <w:pPr>
        <w:pStyle w:val="BodyText"/>
        <w:spacing w:line="240" w:lineRule="auto" w:before="120"/>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971"/>
        <w:gridCol w:w="2823"/>
        <w:gridCol w:w="2780"/>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深圳市云达数据科技有限公司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优友金服（常熟）供应链有限公司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内蒙古优友贸易有限公司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深圳市臻和通讯有限公司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广东臻和实业有限公司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广东臻和科技有限公司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深圳市臻和供应链有限公司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971"/>
        <w:gridCol w:w="2823"/>
        <w:gridCol w:w="2780"/>
      </w:tblGrid>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1314"/>
              <w:jc w:val="left"/>
              <w:rPr>
                <w:rFonts w:ascii="Times New Roman" w:hAnsi="Times New Roman" w:cs="Times New Roman" w:eastAsia="Times New Roman" w:hint="default"/>
                <w:sz w:val="18"/>
                <w:szCs w:val="18"/>
              </w:rPr>
            </w:pPr>
            <w:r>
              <w:rPr>
                <w:rFonts w:ascii="Times New Roman"/>
                <w:sz w:val="18"/>
              </w:rPr>
              <w:t>MIAMI</w:t>
            </w:r>
            <w:r>
              <w:rPr>
                <w:rFonts w:ascii="Times New Roman"/>
                <w:spacing w:val="1"/>
                <w:sz w:val="18"/>
              </w:rPr>
              <w:t> </w:t>
            </w:r>
            <w:r>
              <w:rPr>
                <w:rFonts w:ascii="Times New Roman"/>
                <w:spacing w:val="-3"/>
                <w:sz w:val="18"/>
              </w:rPr>
              <w:t>GIN</w:t>
            </w:r>
            <w:r>
              <w:rPr>
                <w:rFonts w:ascii="Times New Roman"/>
                <w:spacing w:val="8"/>
                <w:sz w:val="18"/>
              </w:rPr>
              <w:t> </w:t>
            </w:r>
            <w:r>
              <w:rPr>
                <w:rFonts w:ascii="Times New Roman"/>
                <w:sz w:val="18"/>
              </w:rPr>
              <w:t>HUNG</w:t>
            </w:r>
            <w:r>
              <w:rPr>
                <w:rFonts w:ascii="Times New Roman"/>
                <w:spacing w:val="8"/>
                <w:sz w:val="18"/>
              </w:rPr>
              <w:t> </w:t>
            </w:r>
            <w:r>
              <w:rPr>
                <w:rFonts w:ascii="Times New Roman"/>
                <w:spacing w:val="-3"/>
                <w:sz w:val="18"/>
              </w:rPr>
              <w:t>INDUSTRIAL</w:t>
            </w:r>
            <w:r>
              <w:rPr>
                <w:rFonts w:ascii="Times New Roman"/>
                <w:spacing w:val="-41"/>
                <w:sz w:val="18"/>
              </w:rPr>
              <w:t> </w:t>
            </w:r>
            <w:r>
              <w:rPr>
                <w:rFonts w:ascii="Times New Roman"/>
                <w:spacing w:val="-41"/>
                <w:sz w:val="18"/>
              </w:rPr>
            </w:r>
            <w:r>
              <w:rPr>
                <w:rFonts w:ascii="Times New Roman"/>
                <w:spacing w:val="-5"/>
                <w:sz w:val="18"/>
              </w:rPr>
              <w:t>CORPORATION</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39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深圳市实丰科技有限公司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杭州爱施迪通讯有限公司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唐山乐酷商贸有限公司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上海凝鹏通讯科技有限公司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长春市酷爱通讯科技有限责任公司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深圳市酷爱通讯科技有限公司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上海爱仕得通讯器材有限公司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广州酷爱通讯器材有限责任公司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成都市酷动数码科技有限公司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北京乐动数码商贸有限公司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唐山酷动商贸有限公司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南京酷之动数码产品有限公司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北京酷玩瑞成网络信息有限责任公司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西藏山南雪狐科技有限公司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北京铮尚游文化传播有限公司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南京一号机通讯设备有限公司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共青城酷粤投资管理合伙企业（有限合伙）</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共青城酷湘投资管理合伙企业（有限合伙）</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共青城酷深投资管理合伙企业（有限合伙）</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南京一号机商务信息咨询合伙企业</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济南享易无限数码有限公司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深圳市安派易讯移动科技有限公司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西安市爱星通通信器材有限公司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无重要影响</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海南先锋网信小额贷款有限公司</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转让取得投资收益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2,671.53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9"/>
        <w:rPr>
          <w:rFonts w:ascii="宋体" w:hAnsi="宋体" w:cs="宋体" w:eastAsia="宋体" w:hint="default"/>
          <w:sz w:val="17"/>
          <w:szCs w:val="17"/>
        </w:rPr>
      </w:pPr>
    </w:p>
    <w:p>
      <w:pPr>
        <w:pStyle w:val="Heading2"/>
        <w:spacing w:line="240" w:lineRule="auto" w:before="26"/>
        <w:ind w:right="1126"/>
        <w:jc w:val="left"/>
        <w:rPr>
          <w:b w:val="0"/>
          <w:bCs w:val="0"/>
        </w:rPr>
      </w:pPr>
      <w:bookmarkStart w:name="八、公司控制的结构化主体情况" w:id="77"/>
      <w:bookmarkEnd w:id="77"/>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26"/>
        <w:jc w:val="left"/>
        <w:rPr>
          <w:b w:val="0"/>
          <w:bCs w:val="0"/>
        </w:rPr>
      </w:pPr>
      <w:bookmarkStart w:name="九、公司未来发展的展望" w:id="78"/>
      <w:bookmarkEnd w:id="78"/>
      <w:r>
        <w:rPr>
          <w:b w:val="0"/>
          <w:bCs w:val="0"/>
        </w:rPr>
      </w:r>
      <w:r>
        <w:rPr/>
        <w:t>九、公司未来发展的展望</w:t>
      </w:r>
      <w:r>
        <w:rPr>
          <w:b w:val="0"/>
          <w:bCs w:val="0"/>
        </w:rPr>
      </w:r>
    </w:p>
    <w:p>
      <w:pPr>
        <w:pStyle w:val="Heading3"/>
        <w:spacing w:line="610" w:lineRule="atLeast" w:before="88"/>
        <w:ind w:left="575" w:right="1126"/>
        <w:jc w:val="left"/>
        <w:rPr>
          <w:b w:val="0"/>
          <w:bCs w:val="0"/>
        </w:rPr>
      </w:pPr>
      <w:r>
        <w:rPr/>
        <w:t>（一）行业发展趋势及</w:t>
      </w:r>
      <w:r>
        <w:rPr>
          <w:rFonts w:ascii="Times New Roman" w:hAnsi="Times New Roman" w:cs="Times New Roman" w:eastAsia="Times New Roman" w:hint="default"/>
        </w:rPr>
        <w:t>2020</w:t>
      </w:r>
      <w:r>
        <w:rPr/>
        <w:t>年度经营管理举措</w:t>
      </w:r>
      <w:r>
        <w:rPr>
          <w:spacing w:val="-102"/>
        </w:rPr>
        <w:t> </w:t>
      </w:r>
      <w:r>
        <w:rPr>
          <w:rFonts w:ascii="宋体" w:hAnsi="宋体" w:cs="宋体" w:eastAsia="宋体" w:hint="default"/>
          <w:spacing w:val="-1"/>
        </w:rPr>
        <w:t>1</w:t>
      </w:r>
      <w:r>
        <w:rPr>
          <w:spacing w:val="-1"/>
        </w:rPr>
        <w:t>、快速、科学、有效应对新冠疫情，在危机中抓住机遇，实现稳健发展</w:t>
      </w:r>
      <w:r>
        <w:rPr>
          <w:b w:val="0"/>
          <w:bCs w:val="0"/>
          <w:spacing w:val="-1"/>
        </w:rPr>
      </w:r>
    </w:p>
    <w:p>
      <w:pPr>
        <w:spacing w:after="0" w:line="610" w:lineRule="atLeast"/>
        <w:jc w:val="left"/>
        <w:sectPr>
          <w:pgSz w:w="11910" w:h="16840"/>
          <w:pgMar w:header="871" w:footer="1474" w:top="1060" w:bottom="16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4"/>
        <w:spacing w:line="381" w:lineRule="auto"/>
        <w:ind w:right="1122" w:firstLine="422"/>
        <w:jc w:val="both"/>
      </w:pPr>
      <w:r>
        <w:rPr>
          <w:spacing w:val="-1"/>
        </w:rPr>
        <w:t>据</w:t>
      </w:r>
      <w:r>
        <w:rPr>
          <w:rFonts w:ascii="Times New Roman" w:hAnsi="Times New Roman" w:cs="Times New Roman" w:eastAsia="Times New Roman" w:hint="default"/>
          <w:spacing w:val="-1"/>
        </w:rPr>
        <w:t>BCI</w:t>
      </w:r>
      <w:r>
        <w:rPr>
          <w:spacing w:val="-1"/>
        </w:rPr>
        <w:t>通信研究机构预测，</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5G</w:t>
      </w:r>
      <w:r>
        <w:rPr>
          <w:spacing w:val="-1"/>
        </w:rPr>
        <w:t>手机出货量将占</w:t>
      </w:r>
      <w:r>
        <w:rPr>
          <w:rFonts w:ascii="Times New Roman" w:hAnsi="Times New Roman" w:cs="Times New Roman" w:eastAsia="Times New Roman" w:hint="default"/>
          <w:spacing w:val="-1"/>
        </w:rPr>
        <w:t>36%</w:t>
      </w:r>
      <w:r>
        <w:rPr>
          <w:spacing w:val="-1"/>
        </w:rPr>
        <w:t>以上的市场份额，中国</w:t>
      </w:r>
      <w:r>
        <w:rPr>
          <w:rFonts w:ascii="Times New Roman" w:hAnsi="Times New Roman" w:cs="Times New Roman" w:eastAsia="Times New Roman" w:hint="default"/>
          <w:spacing w:val="-1"/>
        </w:rPr>
        <w:t>2020</w:t>
      </w:r>
      <w:r>
        <w:rPr>
          <w:spacing w:val="-1"/>
        </w:rPr>
        <w:t>年的智能手机市</w:t>
      </w:r>
      <w:r>
        <w:rPr>
          <w:w w:val="100"/>
        </w:rPr>
        <w:t> </w:t>
      </w:r>
      <w:r>
        <w:rPr/>
        <w:t>场仍将处在万亿级的规模。</w:t>
      </w:r>
    </w:p>
    <w:p>
      <w:pPr>
        <w:spacing w:line="240" w:lineRule="auto" w:before="8"/>
        <w:rPr>
          <w:rFonts w:ascii="宋体" w:hAnsi="宋体" w:cs="宋体" w:eastAsia="宋体" w:hint="default"/>
          <w:sz w:val="17"/>
          <w:szCs w:val="17"/>
        </w:rPr>
      </w:pPr>
    </w:p>
    <w:p>
      <w:pPr>
        <w:pStyle w:val="Heading4"/>
        <w:spacing w:line="408" w:lineRule="auto"/>
        <w:ind w:right="1123" w:firstLine="422"/>
        <w:jc w:val="both"/>
      </w:pPr>
      <w:r>
        <w:rPr>
          <w:spacing w:val="-2"/>
        </w:rPr>
        <w:t>自疫情爆发以来，公司快速反应，科学应对，成立新冠疫情防控领导小组，各级组织严防死守，全员</w:t>
      </w:r>
      <w:r>
        <w:rPr>
          <w:w w:val="100"/>
        </w:rPr>
        <w:t> </w:t>
      </w:r>
      <w:r>
        <w:rPr>
          <w:spacing w:val="-2"/>
        </w:rPr>
        <w:t>严格执行《爱施德新型冠状病毒防护手册》的要求，顺势调整产品策略，积极采取线上线下融合的运营模</w:t>
      </w:r>
      <w:r>
        <w:rPr>
          <w:spacing w:val="-33"/>
        </w:rPr>
        <w:t> </w:t>
      </w:r>
      <w:r>
        <w:rPr>
          <w:spacing w:val="-33"/>
        </w:rPr>
      </w:r>
      <w:r>
        <w:rPr>
          <w:spacing w:val="-2"/>
        </w:rPr>
        <w:t>式，优化组织、提高效率，保障了疫情期间安全、有效、有序的经营工作，盈利能力持续提升。同时，公</w:t>
      </w:r>
      <w:r>
        <w:rPr>
          <w:spacing w:val="-33"/>
        </w:rPr>
        <w:t> </w:t>
      </w:r>
      <w:r>
        <w:rPr>
          <w:spacing w:val="-33"/>
        </w:rPr>
      </w:r>
      <w:r>
        <w:rPr>
          <w:spacing w:val="-7"/>
        </w:rPr>
        <w:t>司通过红十字会捐助疫情防治工作，核心团队自发向湖北籍员工献爱心，主动践行社会责任。放眼中长期，</w:t>
      </w:r>
      <w:r>
        <w:rPr>
          <w:spacing w:val="-4"/>
        </w:rPr>
        <w:t> </w:t>
      </w:r>
      <w:r>
        <w:rPr>
          <w:spacing w:val="-4"/>
        </w:rPr>
      </w:r>
      <w:r>
        <w:rPr/>
        <w:t>疫情带来的影响“危”“机”并存，公司必定能战胜挑战，抓住机遇，更具竞争优势。</w:t>
      </w:r>
    </w:p>
    <w:p>
      <w:pPr>
        <w:spacing w:line="240" w:lineRule="auto" w:before="6"/>
        <w:rPr>
          <w:rFonts w:ascii="宋体" w:hAnsi="宋体" w:cs="宋体" w:eastAsia="宋体" w:hint="default"/>
          <w:sz w:val="15"/>
          <w:szCs w:val="15"/>
        </w:rPr>
      </w:pPr>
    </w:p>
    <w:p>
      <w:pPr>
        <w:pStyle w:val="Heading3"/>
        <w:spacing w:line="240" w:lineRule="auto"/>
        <w:ind w:left="575" w:right="1126"/>
        <w:jc w:val="left"/>
        <w:rPr>
          <w:b w:val="0"/>
          <w:bCs w:val="0"/>
        </w:rPr>
      </w:pPr>
      <w:r>
        <w:rPr>
          <w:rFonts w:ascii="宋体" w:hAnsi="宋体" w:cs="宋体" w:eastAsia="宋体" w:hint="default"/>
        </w:rPr>
        <w:t>2</w:t>
      </w:r>
      <w:r>
        <w:rPr/>
        <w:t>、在巩固线下渠道基础上，强化线上客户覆盖，持续提升全渠道销售服务能力</w:t>
      </w:r>
      <w:r>
        <w:rPr>
          <w:b w:val="0"/>
          <w:bCs w:val="0"/>
        </w:rPr>
      </w:r>
    </w:p>
    <w:p>
      <w:pPr>
        <w:spacing w:line="240" w:lineRule="auto" w:before="1"/>
        <w:rPr>
          <w:rFonts w:ascii="宋体" w:hAnsi="宋体" w:cs="宋体" w:eastAsia="宋体" w:hint="default"/>
          <w:b/>
          <w:bCs/>
          <w:sz w:val="27"/>
          <w:szCs w:val="27"/>
        </w:rPr>
      </w:pPr>
    </w:p>
    <w:p>
      <w:pPr>
        <w:pStyle w:val="Heading4"/>
        <w:spacing w:line="403" w:lineRule="auto"/>
        <w:ind w:right="0" w:firstLine="422"/>
        <w:jc w:val="left"/>
      </w:pPr>
      <w:r>
        <w:rPr>
          <w:spacing w:val="-2"/>
        </w:rPr>
        <w:t>随着互联网技术的发展和应用，线上购物在消费者当中越来越普及，同时也吸引了更多的零售商加入</w:t>
      </w:r>
      <w:r>
        <w:rPr>
          <w:w w:val="100"/>
        </w:rPr>
        <w:t> </w:t>
      </w:r>
      <w:r>
        <w:rPr/>
        <w:t>到电商行业。面对逐渐扩大的线上手机市场，公司在巩固线下渠道基础优势上，深化与线上平台的合作，</w:t>
      </w:r>
      <w:r>
        <w:rPr>
          <w:spacing w:val="-30"/>
        </w:rPr>
        <w:t> </w:t>
      </w:r>
      <w:r>
        <w:rPr>
          <w:spacing w:val="-30"/>
        </w:rPr>
      </w:r>
      <w:r>
        <w:rPr>
          <w:spacing w:val="-2"/>
        </w:rPr>
        <w:t>为平台上的手机零售商提供金融及供应链服务，保障其优质的手机货源和高效的资金管理。同时，公司将</w:t>
      </w:r>
      <w:r>
        <w:rPr>
          <w:spacing w:val="-33"/>
        </w:rPr>
        <w:t> </w:t>
      </w:r>
      <w:r>
        <w:rPr>
          <w:spacing w:val="-33"/>
        </w:rPr>
      </w:r>
      <w:r>
        <w:rPr>
          <w:spacing w:val="-3"/>
        </w:rPr>
        <w:t>为新媒体轻电商提供一件代发服务，抢先布局</w:t>
      </w:r>
      <w:r>
        <w:rPr>
          <w:rFonts w:ascii="Times New Roman" w:hAnsi="Times New Roman" w:cs="Times New Roman" w:eastAsia="Times New Roman" w:hint="default"/>
          <w:spacing w:val="-3"/>
        </w:rPr>
        <w:t>3C</w:t>
      </w:r>
      <w:r>
        <w:rPr>
          <w:spacing w:val="-3"/>
        </w:rPr>
        <w:t>领域的新媒体渠道。通过对线上客户的覆盖，公司将进一</w:t>
      </w:r>
      <w:r>
        <w:rPr>
          <w:spacing w:val="-25"/>
        </w:rPr>
        <w:t> </w:t>
      </w:r>
      <w:r>
        <w:rPr>
          <w:spacing w:val="-25"/>
        </w:rPr>
      </w:r>
      <w:r>
        <w:rPr/>
        <w:t>步渗透线上手机市场，持续提升全渠道供应链销售服务能力。</w:t>
      </w:r>
    </w:p>
    <w:p>
      <w:pPr>
        <w:spacing w:line="240" w:lineRule="auto" w:before="10"/>
        <w:rPr>
          <w:rFonts w:ascii="宋体" w:hAnsi="宋体" w:cs="宋体" w:eastAsia="宋体" w:hint="default"/>
          <w:sz w:val="15"/>
          <w:szCs w:val="15"/>
        </w:rPr>
      </w:pPr>
    </w:p>
    <w:p>
      <w:pPr>
        <w:pStyle w:val="Heading3"/>
        <w:spacing w:line="240" w:lineRule="auto"/>
        <w:ind w:left="575" w:right="1126"/>
        <w:jc w:val="left"/>
        <w:rPr>
          <w:b w:val="0"/>
          <w:bCs w:val="0"/>
        </w:rPr>
      </w:pPr>
      <w:r>
        <w:rPr>
          <w:rFonts w:ascii="宋体" w:hAnsi="宋体" w:cs="宋体" w:eastAsia="宋体" w:hint="default"/>
        </w:rPr>
        <w:t>3</w:t>
      </w:r>
      <w:r>
        <w:rPr/>
        <w:t>、整合线下手机零售门店，持续构建线上线下融合的新零售赋能体系</w:t>
      </w:r>
      <w:r>
        <w:rPr>
          <w:b w:val="0"/>
          <w:bCs w:val="0"/>
        </w:rPr>
      </w:r>
    </w:p>
    <w:p>
      <w:pPr>
        <w:spacing w:line="240" w:lineRule="auto" w:before="1"/>
        <w:rPr>
          <w:rFonts w:ascii="宋体" w:hAnsi="宋体" w:cs="宋体" w:eastAsia="宋体" w:hint="default"/>
          <w:b/>
          <w:bCs/>
          <w:sz w:val="27"/>
          <w:szCs w:val="27"/>
        </w:rPr>
      </w:pPr>
    </w:p>
    <w:p>
      <w:pPr>
        <w:pStyle w:val="Heading4"/>
        <w:spacing w:line="408" w:lineRule="auto"/>
        <w:ind w:right="1125" w:firstLine="422"/>
        <w:jc w:val="both"/>
      </w:pPr>
      <w:r>
        <w:rPr>
          <w:spacing w:val="-2"/>
        </w:rPr>
        <w:t>在新形势下，手机零售渠道正面临结构性调整，传统线下实体手机门店承受多方压力，急需向新零售</w:t>
      </w:r>
      <w:r>
        <w:rPr>
          <w:w w:val="100"/>
        </w:rPr>
        <w:t> </w:t>
      </w:r>
      <w:r>
        <w:rPr>
          <w:spacing w:val="-2"/>
        </w:rPr>
        <w:t>转型升级：对门店进行改造，以消费者体验为核心，重塑线下社交，借助大数据、人工智能等技术赋能运</w:t>
      </w:r>
      <w:r>
        <w:rPr>
          <w:spacing w:val="-38"/>
        </w:rPr>
        <w:t> </w:t>
      </w:r>
      <w:r>
        <w:rPr>
          <w:spacing w:val="-38"/>
        </w:rPr>
      </w:r>
      <w:r>
        <w:rPr/>
        <w:t>营管理模式，通过更精准的商品、服务建立消费粘性，形成消费闭环。</w:t>
      </w:r>
    </w:p>
    <w:p>
      <w:pPr>
        <w:spacing w:line="240" w:lineRule="auto" w:before="11"/>
        <w:rPr>
          <w:rFonts w:ascii="宋体" w:hAnsi="宋体" w:cs="宋体" w:eastAsia="宋体" w:hint="default"/>
          <w:sz w:val="15"/>
          <w:szCs w:val="15"/>
        </w:rPr>
      </w:pPr>
    </w:p>
    <w:p>
      <w:pPr>
        <w:pStyle w:val="Heading4"/>
        <w:spacing w:line="400" w:lineRule="auto"/>
        <w:ind w:right="1125" w:firstLine="422"/>
        <w:jc w:val="both"/>
      </w:pPr>
      <w:r>
        <w:rPr>
          <w:spacing w:val="-2"/>
        </w:rPr>
        <w:t>公司将与合作伙伴一道，整合线下零售门店，为其赋能新零售能力，搭建多元化的线上营销平台，提</w:t>
      </w:r>
      <w:r>
        <w:rPr>
          <w:w w:val="100"/>
        </w:rPr>
        <w:t> </w:t>
      </w:r>
      <w:r>
        <w:rPr>
          <w:spacing w:val="-2"/>
        </w:rPr>
        <w:t>供</w:t>
      </w:r>
      <w:r>
        <w:rPr>
          <w:rFonts w:ascii="Times New Roman" w:hAnsi="Times New Roman" w:cs="Times New Roman" w:eastAsia="Times New Roman" w:hint="default"/>
          <w:spacing w:val="-2"/>
        </w:rPr>
        <w:t>IT</w:t>
      </w:r>
      <w:r>
        <w:rPr>
          <w:spacing w:val="-2"/>
        </w:rPr>
        <w:t>技术、商品和增值业务、会员运营、门店场景、销售培训等多方面升级服务，融合线上线下流量，打</w:t>
      </w:r>
      <w:r>
        <w:rPr>
          <w:spacing w:val="-25"/>
        </w:rPr>
        <w:t> </w:t>
      </w:r>
      <w:r>
        <w:rPr>
          <w:spacing w:val="-25"/>
        </w:rPr>
      </w:r>
      <w:r>
        <w:rPr>
          <w:spacing w:val="-2"/>
        </w:rPr>
        <w:t>破线下门店在消费空间和时间上的局限，发挥其在服务体验和用户触达上的优势，构建一个线上线下融合</w:t>
      </w:r>
      <w:r>
        <w:rPr>
          <w:spacing w:val="-33"/>
        </w:rPr>
        <w:t> </w:t>
      </w:r>
      <w:r>
        <w:rPr>
          <w:spacing w:val="-33"/>
        </w:rPr>
      </w:r>
      <w:r>
        <w:rPr/>
        <w:t>的新零售赋能体系。</w:t>
      </w:r>
    </w:p>
    <w:p>
      <w:pPr>
        <w:spacing w:line="240" w:lineRule="auto" w:before="13"/>
        <w:rPr>
          <w:rFonts w:ascii="宋体" w:hAnsi="宋体" w:cs="宋体" w:eastAsia="宋体" w:hint="default"/>
          <w:sz w:val="15"/>
          <w:szCs w:val="15"/>
        </w:rPr>
      </w:pPr>
    </w:p>
    <w:p>
      <w:pPr>
        <w:pStyle w:val="Heading3"/>
        <w:spacing w:line="240" w:lineRule="auto"/>
        <w:ind w:left="575" w:right="1126"/>
        <w:jc w:val="left"/>
        <w:rPr>
          <w:b w:val="0"/>
          <w:bCs w:val="0"/>
        </w:rPr>
      </w:pPr>
      <w:r>
        <w:rPr>
          <w:rFonts w:ascii="宋体" w:hAnsi="宋体" w:cs="宋体" w:eastAsia="宋体" w:hint="default"/>
        </w:rPr>
        <w:t>4</w:t>
      </w:r>
      <w:r>
        <w:rPr/>
        <w:t>、深化与三大基础运营商的合作，抓住</w:t>
      </w:r>
      <w:r>
        <w:rPr>
          <w:rFonts w:ascii="Times New Roman" w:hAnsi="Times New Roman" w:cs="Times New Roman" w:eastAsia="Times New Roman" w:hint="default"/>
        </w:rPr>
        <w:t>5G</w:t>
      </w:r>
      <w:r>
        <w:rPr/>
        <w:t>机遇实现跨越式发展</w:t>
      </w:r>
      <w:r>
        <w:rPr>
          <w:b w:val="0"/>
          <w:bCs w:val="0"/>
        </w:rPr>
      </w:r>
    </w:p>
    <w:p>
      <w:pPr>
        <w:spacing w:line="240" w:lineRule="auto" w:before="11"/>
        <w:rPr>
          <w:rFonts w:ascii="宋体" w:hAnsi="宋体" w:cs="宋体" w:eastAsia="宋体" w:hint="default"/>
          <w:b/>
          <w:bCs/>
          <w:sz w:val="25"/>
          <w:szCs w:val="25"/>
        </w:rPr>
      </w:pPr>
    </w:p>
    <w:p>
      <w:pPr>
        <w:pStyle w:val="Heading4"/>
        <w:spacing w:line="381" w:lineRule="auto"/>
        <w:ind w:right="1133" w:firstLine="422"/>
        <w:jc w:val="both"/>
      </w:pPr>
      <w:r>
        <w:rPr/>
        <w:t>在</w:t>
      </w:r>
      <w:r>
        <w:rPr>
          <w:rFonts w:ascii="Times New Roman" w:hAnsi="Times New Roman" w:cs="Times New Roman" w:eastAsia="Times New Roman" w:hint="default"/>
        </w:rPr>
        <w:t>5G</w:t>
      </w:r>
      <w:r>
        <w:rPr/>
        <w:t>基础设施、终端和应用大发展之际，三大运营商共同发布《</w:t>
      </w:r>
      <w:r>
        <w:rPr>
          <w:rFonts w:ascii="Times New Roman" w:hAnsi="Times New Roman" w:cs="Times New Roman" w:eastAsia="Times New Roman" w:hint="default"/>
        </w:rPr>
        <w:t>5G</w:t>
      </w:r>
      <w:r>
        <w:rPr/>
        <w:t>消息白皮书》，升级手机用户的</w:t>
      </w:r>
      <w:r>
        <w:rPr>
          <w:w w:val="100"/>
        </w:rPr>
        <w:t> </w:t>
      </w:r>
      <w:r>
        <w:rPr/>
        <w:t>消息服务体验，构建</w:t>
      </w:r>
      <w:r>
        <w:rPr>
          <w:rFonts w:ascii="Times New Roman" w:hAnsi="Times New Roman" w:cs="Times New Roman" w:eastAsia="Times New Roman" w:hint="default"/>
        </w:rPr>
        <w:t>5G</w:t>
      </w:r>
      <w:r>
        <w:rPr/>
        <w:t>时代</w:t>
      </w:r>
      <w:r>
        <w:rPr>
          <w:rFonts w:ascii="Times New Roman" w:hAnsi="Times New Roman" w:cs="Times New Roman" w:eastAsia="Times New Roman" w:hint="default"/>
        </w:rPr>
        <w:t>RCS</w:t>
      </w:r>
      <w:r>
        <w:rPr/>
        <w:t>生态，有望成为</w:t>
      </w:r>
      <w:r>
        <w:rPr>
          <w:rFonts w:ascii="宋体" w:hAnsi="宋体" w:cs="宋体" w:eastAsia="宋体" w:hint="default"/>
        </w:rPr>
        <w:t>5G</w:t>
      </w:r>
      <w:r>
        <w:rPr/>
        <w:t>终端标准功能和最快落地的</w:t>
      </w:r>
      <w:r>
        <w:rPr>
          <w:rFonts w:ascii="Times New Roman" w:hAnsi="Times New Roman" w:cs="Times New Roman" w:eastAsia="Times New Roman" w:hint="default"/>
        </w:rPr>
        <w:t>5G+</w:t>
      </w:r>
      <w:r>
        <w:rPr/>
        <w:t>业务应用。</w:t>
      </w:r>
    </w:p>
    <w:p>
      <w:pPr>
        <w:spacing w:line="240" w:lineRule="auto" w:before="5"/>
        <w:rPr>
          <w:rFonts w:ascii="宋体" w:hAnsi="宋体" w:cs="宋体" w:eastAsia="宋体" w:hint="default"/>
          <w:sz w:val="15"/>
          <w:szCs w:val="15"/>
        </w:rPr>
      </w:pPr>
    </w:p>
    <w:p>
      <w:pPr>
        <w:pStyle w:val="Heading4"/>
        <w:spacing w:line="410" w:lineRule="auto"/>
        <w:ind w:right="1122" w:firstLine="422"/>
        <w:jc w:val="both"/>
      </w:pPr>
      <w:r>
        <w:rPr>
          <w:spacing w:val="-2"/>
        </w:rPr>
        <w:t>公司作为虚拟运营商行业领先企业，将积极与基础运营商探讨</w:t>
      </w:r>
      <w:r>
        <w:rPr>
          <w:rFonts w:ascii="宋体" w:hAnsi="宋体" w:cs="宋体" w:eastAsia="宋体" w:hint="default"/>
          <w:spacing w:val="-2"/>
        </w:rPr>
        <w:t>5G</w:t>
      </w:r>
      <w:r>
        <w:rPr>
          <w:spacing w:val="-2"/>
        </w:rPr>
        <w:t>业务的转售合作模式，为个人和企业</w:t>
      </w:r>
      <w:r>
        <w:rPr>
          <w:w w:val="100"/>
        </w:rPr>
        <w:t> </w:t>
      </w:r>
      <w:r>
        <w:rPr>
          <w:spacing w:val="-3"/>
        </w:rPr>
        <w:t>客户提供个性化、定制化、专业化的</w:t>
      </w:r>
      <w:r>
        <w:rPr>
          <w:rFonts w:ascii="Times New Roman" w:hAnsi="Times New Roman" w:cs="Times New Roman" w:eastAsia="Times New Roman" w:hint="default"/>
          <w:spacing w:val="-3"/>
        </w:rPr>
        <w:t>5G</w:t>
      </w:r>
      <w:r>
        <w:rPr>
          <w:spacing w:val="-3"/>
        </w:rPr>
        <w:t>通信服务，借助于以</w:t>
      </w:r>
      <w:r>
        <w:rPr>
          <w:rFonts w:ascii="Times New Roman" w:hAnsi="Times New Roman" w:cs="Times New Roman" w:eastAsia="Times New Roman" w:hint="default"/>
          <w:spacing w:val="-3"/>
        </w:rPr>
        <w:t>5G</w:t>
      </w:r>
      <w:r>
        <w:rPr>
          <w:spacing w:val="-3"/>
        </w:rPr>
        <w:t>技术为基础的</w:t>
      </w:r>
      <w:r>
        <w:rPr>
          <w:rFonts w:ascii="Times New Roman" w:hAnsi="Times New Roman" w:cs="Times New Roman" w:eastAsia="Times New Roman" w:hint="default"/>
          <w:spacing w:val="-3"/>
        </w:rPr>
        <w:t>RCS</w:t>
      </w:r>
      <w:r>
        <w:rPr>
          <w:spacing w:val="-3"/>
        </w:rPr>
        <w:t>生态和物联网应用实现更</w:t>
      </w:r>
    </w:p>
    <w:p>
      <w:pPr>
        <w:spacing w:after="0" w:line="410" w:lineRule="auto"/>
        <w:jc w:val="both"/>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544" w:lineRule="auto" w:before="177"/>
        <w:ind w:left="575" w:right="3317" w:hanging="423"/>
        <w:jc w:val="left"/>
        <w:rPr>
          <w:rFonts w:ascii="宋体" w:hAnsi="宋体" w:cs="宋体" w:eastAsia="宋体" w:hint="default"/>
          <w:sz w:val="21"/>
          <w:szCs w:val="21"/>
        </w:rPr>
      </w:pPr>
      <w:r>
        <w:rPr>
          <w:rFonts w:ascii="宋体" w:hAnsi="宋体" w:cs="宋体" w:eastAsia="宋体" w:hint="default"/>
          <w:sz w:val="21"/>
          <w:szCs w:val="21"/>
        </w:rPr>
        <w:t>大的跨越式发展。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、持续推进团队建设和管理创新，充分发挥合伙人力和机制驱动力</w:t>
      </w:r>
      <w:r>
        <w:rPr>
          <w:rFonts w:ascii="宋体" w:hAnsi="宋体" w:cs="宋体" w:eastAsia="宋体" w:hint="default"/>
          <w:spacing w:val="-1"/>
          <w:sz w:val="21"/>
          <w:szCs w:val="21"/>
        </w:rPr>
      </w:r>
    </w:p>
    <w:p>
      <w:pPr>
        <w:pStyle w:val="Heading4"/>
        <w:spacing w:line="405" w:lineRule="auto" w:before="88"/>
        <w:ind w:right="1125" w:firstLine="422"/>
        <w:jc w:val="both"/>
      </w:pPr>
      <w:r>
        <w:rPr>
          <w:spacing w:val="-2"/>
        </w:rPr>
        <w:t>公司将持续深化股权合伙人与虚拟合伙人双机制，坚持“年轻化”的队伍建设和干部梯队建设，完善</w:t>
      </w:r>
      <w:r>
        <w:rPr>
          <w:w w:val="100"/>
        </w:rPr>
        <w:t> </w:t>
      </w:r>
      <w:r>
        <w:rPr>
          <w:spacing w:val="-2"/>
        </w:rPr>
        <w:t>以价值创造为核心的绩效考核体系和以健康管理为核心的员工关怀体系，不断强化“以人为本”的管理理</w:t>
      </w:r>
      <w:r>
        <w:rPr>
          <w:spacing w:val="-33"/>
        </w:rPr>
        <w:t> </w:t>
      </w:r>
      <w:r>
        <w:rPr>
          <w:spacing w:val="-33"/>
        </w:rPr>
      </w:r>
      <w:r>
        <w:rPr/>
        <w:t>念，实现企业和员工的共同可持续发展。</w:t>
      </w:r>
    </w:p>
    <w:p>
      <w:pPr>
        <w:spacing w:line="240" w:lineRule="auto" w:before="0"/>
        <w:rPr>
          <w:rFonts w:ascii="宋体" w:hAnsi="宋体" w:cs="宋体" w:eastAsia="宋体" w:hint="default"/>
          <w:sz w:val="16"/>
          <w:szCs w:val="16"/>
        </w:rPr>
      </w:pPr>
    </w:p>
    <w:p>
      <w:pPr>
        <w:pStyle w:val="Heading4"/>
        <w:spacing w:line="403" w:lineRule="auto"/>
        <w:ind w:right="1126" w:firstLine="422"/>
        <w:jc w:val="both"/>
      </w:pPr>
      <w:r>
        <w:rPr>
          <w:spacing w:val="-7"/>
        </w:rPr>
        <w:t>公司亦将持续优化组织架构和管理流程，打破业务边界和组织边界，坚持集团做轻、产业做强的原则，</w:t>
      </w:r>
      <w:r>
        <w:rPr>
          <w:w w:val="100"/>
        </w:rPr>
        <w:t> </w:t>
      </w:r>
      <w:r>
        <w:rPr/>
        <w:t>继续推进职能支撑平台化、后端职责前移，共同聚焦业务发展。</w:t>
      </w:r>
    </w:p>
    <w:p>
      <w:pPr>
        <w:spacing w:line="240" w:lineRule="auto" w:before="10"/>
        <w:rPr>
          <w:rFonts w:ascii="宋体" w:hAnsi="宋体" w:cs="宋体" w:eastAsia="宋体" w:hint="default"/>
          <w:sz w:val="15"/>
          <w:szCs w:val="15"/>
        </w:rPr>
      </w:pPr>
    </w:p>
    <w:p>
      <w:pPr>
        <w:pStyle w:val="Heading3"/>
        <w:spacing w:line="240" w:lineRule="auto"/>
        <w:ind w:left="575" w:right="1126"/>
        <w:jc w:val="left"/>
        <w:rPr>
          <w:b w:val="0"/>
          <w:bCs w:val="0"/>
        </w:rPr>
      </w:pPr>
      <w:r>
        <w:rPr/>
        <w:t>（二）公司发展战略</w:t>
      </w:r>
      <w:r>
        <w:rPr>
          <w:b w:val="0"/>
          <w:bCs w:val="0"/>
        </w:rPr>
      </w:r>
    </w:p>
    <w:p>
      <w:pPr>
        <w:spacing w:line="240" w:lineRule="auto" w:before="1"/>
        <w:rPr>
          <w:rFonts w:ascii="宋体" w:hAnsi="宋体" w:cs="宋体" w:eastAsia="宋体" w:hint="default"/>
          <w:b/>
          <w:bCs/>
          <w:sz w:val="27"/>
          <w:szCs w:val="27"/>
        </w:rPr>
      </w:pPr>
    </w:p>
    <w:p>
      <w:pPr>
        <w:pStyle w:val="Heading4"/>
        <w:spacing w:line="384" w:lineRule="auto"/>
        <w:ind w:right="1122" w:firstLine="422"/>
        <w:jc w:val="both"/>
      </w:pPr>
      <w:r>
        <w:rPr>
          <w:spacing w:val="-8"/>
        </w:rPr>
        <w:t>在</w:t>
      </w:r>
      <w:r>
        <w:rPr>
          <w:rFonts w:ascii="Times New Roman" w:hAnsi="Times New Roman" w:cs="Times New Roman" w:eastAsia="Times New Roman" w:hint="default"/>
          <w:spacing w:val="-8"/>
        </w:rPr>
        <w:t>5G</w:t>
      </w:r>
      <w:r>
        <w:rPr>
          <w:spacing w:val="-8"/>
        </w:rPr>
        <w:t>时代下，公司将继续把握行业趋势，发挥核心优势，“抢抓时代机遇，勇担发展责任”，坚持“构</w:t>
      </w:r>
      <w:r>
        <w:rPr>
          <w:w w:val="100"/>
        </w:rPr>
        <w:t> </w:t>
      </w:r>
      <w:r>
        <w:rPr>
          <w:spacing w:val="-3"/>
        </w:rPr>
        <w:t>建能力、提升效率”，持续打造智慧供应链、智慧零售和智慧连接三大平台，构建</w:t>
      </w:r>
      <w:r>
        <w:rPr>
          <w:rFonts w:ascii="Times New Roman" w:hAnsi="Times New Roman" w:cs="Times New Roman" w:eastAsia="Times New Roman" w:hint="default"/>
          <w:spacing w:val="-3"/>
        </w:rPr>
        <w:t>3C</w:t>
      </w:r>
      <w:r>
        <w:rPr>
          <w:spacing w:val="-3"/>
        </w:rPr>
        <w:t>领域最高效的供应链</w:t>
      </w:r>
      <w:r>
        <w:rPr>
          <w:spacing w:val="-18"/>
        </w:rPr>
        <w:t> </w:t>
      </w:r>
      <w:r>
        <w:rPr>
          <w:spacing w:val="-18"/>
        </w:rPr>
      </w:r>
      <w:r>
        <w:rPr/>
        <w:t>综合赋能网络和</w:t>
      </w:r>
      <w:r>
        <w:rPr>
          <w:rFonts w:ascii="Times New Roman" w:hAnsi="Times New Roman" w:cs="Times New Roman" w:eastAsia="Times New Roman" w:hint="default"/>
        </w:rPr>
        <w:t>5G</w:t>
      </w:r>
      <w:r>
        <w:rPr/>
        <w:t>通信连接的服务网络。</w:t>
      </w:r>
    </w:p>
    <w:p>
      <w:pPr>
        <w:spacing w:line="240" w:lineRule="auto" w:before="9"/>
        <w:rPr>
          <w:rFonts w:ascii="宋体" w:hAnsi="宋体" w:cs="宋体" w:eastAsia="宋体" w:hint="default"/>
          <w:sz w:val="17"/>
          <w:szCs w:val="17"/>
        </w:rPr>
      </w:pPr>
    </w:p>
    <w:p>
      <w:pPr>
        <w:pStyle w:val="Heading2"/>
        <w:spacing w:line="240" w:lineRule="auto"/>
        <w:ind w:right="1126"/>
        <w:jc w:val="left"/>
        <w:rPr>
          <w:b w:val="0"/>
          <w:bCs w:val="0"/>
        </w:rPr>
      </w:pPr>
      <w:bookmarkStart w:name="十、接待调研、沟通、采访等活动" w:id="79"/>
      <w:bookmarkEnd w:id="79"/>
      <w:r>
        <w:rPr>
          <w:b w:val="0"/>
          <w:bCs w:val="0"/>
        </w:rPr>
      </w:r>
      <w:r>
        <w:rPr/>
        <w:t>十、接待调研、沟通、采访等活动</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报告期内接待调研、沟通、采访等活动登记表" w:id="80"/>
      <w:bookmarkEnd w:id="8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29">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39" w:right="1112"/>
        <w:jc w:val="center"/>
        <w:rPr>
          <w:b w:val="0"/>
          <w:bCs w:val="0"/>
        </w:rPr>
      </w:pPr>
      <w:bookmarkStart w:name="第五节 重要事项" w:id="81"/>
      <w:bookmarkEnd w:id="81"/>
      <w:r>
        <w:rPr>
          <w:b w:val="0"/>
          <w:bCs w:val="0"/>
        </w:rPr>
      </w:r>
      <w:bookmarkStart w:name="_bookmark4" w:id="82"/>
      <w:bookmarkEnd w:id="82"/>
      <w:r>
        <w:rPr>
          <w:b w:val="0"/>
          <w:bCs w:val="0"/>
        </w:rPr>
      </w:r>
      <w:r>
        <w:rPr/>
        <w:t>第五节</w:t>
      </w:r>
      <w:r>
        <w:rPr>
          <w:spacing w:val="-1"/>
        </w:rPr>
        <w:t> </w:t>
      </w:r>
      <w:r>
        <w:rPr/>
        <w:t>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26"/>
        <w:jc w:val="left"/>
        <w:rPr>
          <w:b w:val="0"/>
          <w:bCs w:val="0"/>
        </w:rPr>
      </w:pPr>
      <w:bookmarkStart w:name="一、公司普通股利润分配及资本公积金转增股本情况" w:id="83"/>
      <w:bookmarkEnd w:id="8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6"/>
        <w:jc w:val="left"/>
      </w:pPr>
      <w:r>
        <w:rPr>
          <w:spacing w:val="-3"/>
        </w:rPr>
        <w:t>报告期内普通股利润分配政策，特别是现金分红政策的制定、执行或调整情况</w:t>
      </w:r>
    </w:p>
    <w:p>
      <w:pPr>
        <w:spacing w:line="240" w:lineRule="auto" w:before="6"/>
        <w:rPr>
          <w:rFonts w:ascii="宋体" w:hAnsi="宋体" w:cs="宋体" w:eastAsia="宋体" w:hint="default"/>
          <w:sz w:val="23"/>
          <w:szCs w:val="23"/>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p>
    <w:p>
      <w:pPr>
        <w:pStyle w:val="BodyText"/>
        <w:spacing w:line="448" w:lineRule="auto" w:before="139"/>
        <w:ind w:right="1126" w:firstLine="360"/>
        <w:jc w:val="left"/>
      </w:pPr>
      <w:r>
        <w:rPr>
          <w:spacing w:val="-3"/>
        </w:rPr>
        <w:t>根据中国证监会《上市公司监管指引第 </w:t>
      </w: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spacing w:val="-3"/>
        </w:rPr>
        <w:t>号</w:t>
      </w:r>
      <w:r>
        <w:rPr>
          <w:rFonts w:ascii="Times New Roman" w:hAnsi="Times New Roman" w:cs="Times New Roman" w:eastAsia="Times New Roman" w:hint="default"/>
          <w:spacing w:val="-3"/>
        </w:rPr>
        <w:t>-</w:t>
      </w:r>
      <w:r>
        <w:rPr>
          <w:spacing w:val="-3"/>
        </w:rPr>
        <w:t>上市公司现金分红》等相关规定要求，公司已在《公司章程》中制定了清</w:t>
      </w:r>
      <w:r>
        <w:rPr>
          <w:w w:val="101"/>
        </w:rPr>
        <w:t> </w:t>
      </w:r>
      <w:r>
        <w:rPr>
          <w:spacing w:val="-3"/>
        </w:rPr>
        <w:t>晰的利润分配政策，明确公司股东的合理投资回报，维护公司股东的利益。</w:t>
      </w:r>
    </w:p>
    <w:p>
      <w:pPr>
        <w:spacing w:line="240" w:lineRule="auto" w:before="4"/>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189"/>
        <w:gridCol w:w="2487"/>
      </w:tblGrid>
      <w:tr>
        <w:trPr>
          <w:trHeight w:val="476" w:hRule="exact"/>
        </w:trPr>
        <w:tc>
          <w:tcPr>
            <w:tcW w:w="96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39" w:hRule="exact"/>
        </w:trPr>
        <w:tc>
          <w:tcPr>
            <w:tcW w:w="7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24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75" w:hRule="exact"/>
        </w:trPr>
        <w:tc>
          <w:tcPr>
            <w:tcW w:w="7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75" w:hRule="exact"/>
        </w:trPr>
        <w:tc>
          <w:tcPr>
            <w:tcW w:w="7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76" w:hRule="exact"/>
        </w:trPr>
        <w:tc>
          <w:tcPr>
            <w:tcW w:w="7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75" w:hRule="exact"/>
        </w:trPr>
        <w:tc>
          <w:tcPr>
            <w:tcW w:w="7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中小股东是否有充分表达意见和诉求的机会，其合法权益是否得到了充分保护：</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56" w:hRule="exact"/>
        </w:trPr>
        <w:tc>
          <w:tcPr>
            <w:tcW w:w="7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现金分红政策进行调整或变更的，条件及程序是否合规、透明：</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3"/>
        <w:rPr>
          <w:rFonts w:ascii="宋体" w:hAnsi="宋体" w:cs="宋体" w:eastAsia="宋体" w:hint="default"/>
          <w:sz w:val="15"/>
          <w:szCs w:val="15"/>
        </w:rPr>
      </w:pPr>
    </w:p>
    <w:p>
      <w:pPr>
        <w:pStyle w:val="BodyText"/>
        <w:spacing w:line="240" w:lineRule="auto" w:before="46"/>
        <w:ind w:right="1126"/>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w:t>
      </w:r>
      <w:r>
        <w:rPr>
          <w:spacing w:val="-5"/>
          <w:w w:val="101"/>
        </w:rPr>
        <w:t>况</w:t>
      </w:r>
      <w:r>
        <w:rPr>
          <w:w w:val="101"/>
        </w:rPr>
        <w:t>：</w:t>
      </w:r>
      <w:r>
        <w:rPr/>
      </w:r>
    </w:p>
    <w:p>
      <w:pPr>
        <w:spacing w:line="240" w:lineRule="auto" w:before="0"/>
        <w:rPr>
          <w:rFonts w:ascii="宋体" w:hAnsi="宋体" w:cs="宋体" w:eastAsia="宋体" w:hint="default"/>
          <w:sz w:val="18"/>
          <w:szCs w:val="18"/>
        </w:rPr>
      </w:pPr>
    </w:p>
    <w:p>
      <w:pPr>
        <w:pStyle w:val="BodyText"/>
        <w:spacing w:line="477" w:lineRule="auto" w:before="139"/>
        <w:ind w:right="1126" w:firstLine="436"/>
        <w:jc w:val="left"/>
      </w:pPr>
      <w:r>
        <w:rPr>
          <w:spacing w:val="-3"/>
        </w:rPr>
        <w:t>根据瑞华会计师事务所（特殊普通合伙）审计报告，公司</w:t>
      </w:r>
      <w:r>
        <w:rPr>
          <w:rFonts w:ascii="宋体" w:hAnsi="宋体" w:cs="宋体" w:eastAsia="宋体" w:hint="default"/>
          <w:spacing w:val="-3"/>
        </w:rPr>
        <w:t>2017</w:t>
      </w:r>
      <w:r>
        <w:rPr>
          <w:spacing w:val="-3"/>
        </w:rPr>
        <w:t>年度母公司实现净利润</w:t>
      </w:r>
      <w:r>
        <w:rPr>
          <w:rFonts w:ascii="宋体" w:hAnsi="宋体" w:cs="宋体" w:eastAsia="宋体" w:hint="default"/>
          <w:spacing w:val="-3"/>
        </w:rPr>
        <w:t>156,130,826.29</w:t>
      </w:r>
      <w:r>
        <w:rPr>
          <w:spacing w:val="-3"/>
        </w:rPr>
        <w:t>元，根据《公司</w:t>
      </w:r>
      <w:r>
        <w:rPr>
          <w:w w:val="101"/>
        </w:rPr>
        <w:t> </w:t>
      </w:r>
      <w:r>
        <w:rPr>
          <w:spacing w:val="-4"/>
        </w:rPr>
        <w:t>法》和《公司章程》的有关规定，提取法定盈余公积金</w:t>
      </w:r>
      <w:r>
        <w:rPr>
          <w:rFonts w:ascii="宋体" w:hAnsi="宋体" w:cs="宋体" w:eastAsia="宋体" w:hint="default"/>
          <w:spacing w:val="-4"/>
        </w:rPr>
        <w:t>15,613,082.63</w:t>
      </w:r>
      <w:r>
        <w:rPr>
          <w:spacing w:val="-4"/>
        </w:rPr>
        <w:t>元</w:t>
      </w:r>
      <w:r>
        <w:rPr>
          <w:rFonts w:ascii="宋体" w:hAnsi="宋体" w:cs="宋体" w:eastAsia="宋体" w:hint="default"/>
          <w:spacing w:val="-4"/>
        </w:rPr>
        <w:t>,</w:t>
      </w:r>
      <w:r>
        <w:rPr>
          <w:spacing w:val="-4"/>
        </w:rPr>
        <w:t>分配</w:t>
      </w:r>
      <w:r>
        <w:rPr>
          <w:rFonts w:ascii="宋体" w:hAnsi="宋体" w:cs="宋体" w:eastAsia="宋体" w:hint="default"/>
          <w:spacing w:val="-4"/>
        </w:rPr>
        <w:t>2016</w:t>
      </w:r>
      <w:r>
        <w:rPr>
          <w:spacing w:val="-4"/>
        </w:rPr>
        <w:t>年股利</w:t>
      </w:r>
      <w:r>
        <w:rPr>
          <w:rFonts w:ascii="宋体" w:hAnsi="宋体" w:cs="宋体" w:eastAsia="宋体" w:hint="default"/>
          <w:spacing w:val="-4"/>
        </w:rPr>
        <w:t>154,910,225.85</w:t>
      </w:r>
      <w:r>
        <w:rPr>
          <w:spacing w:val="-4"/>
        </w:rPr>
        <w:t>元，加上年初未分</w:t>
      </w:r>
      <w:r>
        <w:rPr>
          <w:spacing w:val="12"/>
        </w:rPr>
        <w:t> </w:t>
      </w:r>
      <w:r>
        <w:rPr>
          <w:spacing w:val="12"/>
        </w:rPr>
      </w:r>
      <w:r>
        <w:rPr>
          <w:spacing w:val="-3"/>
        </w:rPr>
        <w:t>配利润</w:t>
      </w:r>
      <w:r>
        <w:rPr>
          <w:rFonts w:ascii="宋体" w:hAnsi="宋体" w:cs="宋体" w:eastAsia="宋体" w:hint="default"/>
          <w:spacing w:val="-3"/>
        </w:rPr>
        <w:t>1,302,394,057.24</w:t>
      </w:r>
      <w:r>
        <w:rPr>
          <w:spacing w:val="-3"/>
        </w:rPr>
        <w:t>元，截至</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日，母公司可供股东分配的利润为</w:t>
      </w:r>
      <w:r>
        <w:rPr>
          <w:rFonts w:ascii="宋体" w:hAnsi="宋体" w:cs="宋体" w:eastAsia="宋体" w:hint="default"/>
          <w:spacing w:val="-3"/>
        </w:rPr>
        <w:t>1,288,001,575.05</w:t>
      </w:r>
      <w:r>
        <w:rPr>
          <w:spacing w:val="-3"/>
        </w:rPr>
        <w:t>元，母公司期末资本公</w:t>
      </w:r>
      <w:r>
        <w:rPr>
          <w:spacing w:val="48"/>
        </w:rPr>
        <w:t> </w:t>
      </w:r>
      <w:r>
        <w:rPr>
          <w:spacing w:val="48"/>
        </w:rPr>
      </w:r>
      <w:r>
        <w:rPr>
          <w:spacing w:val="-4"/>
        </w:rPr>
        <w:t>积</w:t>
      </w:r>
      <w:r>
        <w:rPr>
          <w:rFonts w:ascii="宋体" w:hAnsi="宋体" w:cs="宋体" w:eastAsia="宋体" w:hint="default"/>
          <w:spacing w:val="-4"/>
        </w:rPr>
        <w:t>1,915,869,719.80</w:t>
      </w:r>
      <w:r>
        <w:rPr>
          <w:spacing w:val="-4"/>
        </w:rPr>
        <w:t>元。根据公司章程规定，在不损害公司持续经营能力的前提下，公司在任一连续三年中以现金方式累计</w:t>
      </w:r>
      <w:r>
        <w:rPr>
          <w:spacing w:val="75"/>
        </w:rPr>
        <w:t> </w:t>
      </w:r>
      <w:r>
        <w:rPr>
          <w:spacing w:val="75"/>
        </w:rPr>
      </w:r>
      <w:r>
        <w:rPr>
          <w:spacing w:val="-3"/>
        </w:rPr>
        <w:t>分配的利润不得少于该三年实现的年均可分配利润的</w:t>
      </w:r>
      <w:r>
        <w:rPr>
          <w:rFonts w:ascii="宋体" w:hAnsi="宋体" w:cs="宋体" w:eastAsia="宋体" w:hint="default"/>
          <w:spacing w:val="-3"/>
        </w:rPr>
        <w:t>30%</w:t>
      </w:r>
      <w:r>
        <w:rPr>
          <w:spacing w:val="-3"/>
        </w:rPr>
        <w:t>，在符合公司利润分配政策、保证公司正常经营和长远发展的前提</w:t>
      </w:r>
      <w:r>
        <w:rPr>
          <w:spacing w:val="73"/>
        </w:rPr>
        <w:t> </w:t>
      </w:r>
      <w:r>
        <w:rPr>
          <w:spacing w:val="73"/>
        </w:rPr>
      </w:r>
      <w:r>
        <w:rPr>
          <w:spacing w:val="-3"/>
        </w:rPr>
        <w:t>下，公司</w:t>
      </w:r>
      <w:r>
        <w:rPr>
          <w:rFonts w:ascii="宋体" w:hAnsi="宋体" w:cs="宋体" w:eastAsia="宋体" w:hint="default"/>
          <w:spacing w:val="-3"/>
        </w:rPr>
        <w:t>2017</w:t>
      </w:r>
      <w:r>
        <w:rPr>
          <w:spacing w:val="-3"/>
        </w:rPr>
        <w:t>年度利润分配及资本公积金转增股本的方案为：以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1,032,734,839</w:t>
      </w:r>
      <w:r>
        <w:rPr/>
        <w:t>股为基数，每</w:t>
      </w:r>
      <w:r>
        <w:rPr>
          <w:rFonts w:ascii="宋体" w:hAnsi="宋体" w:cs="宋体" w:eastAsia="宋体" w:hint="default"/>
        </w:rPr>
        <w:t>10</w:t>
      </w:r>
      <w:r>
        <w:rPr>
          <w:rFonts w:ascii="宋体" w:hAnsi="宋体" w:cs="宋体" w:eastAsia="宋体" w:hint="default"/>
          <w:spacing w:val="-4"/>
        </w:rPr>
        <w:t> </w:t>
      </w:r>
      <w:r>
        <w:rPr>
          <w:spacing w:val="-4"/>
        </w:rPr>
        <w:t>股派发现金红利</w:t>
      </w:r>
      <w:r>
        <w:rPr>
          <w:rFonts w:ascii="宋体" w:hAnsi="宋体" w:cs="宋体" w:eastAsia="宋体" w:hint="default"/>
          <w:spacing w:val="-4"/>
        </w:rPr>
        <w:t>2</w:t>
      </w:r>
      <w:r>
        <w:rPr>
          <w:spacing w:val="-4"/>
        </w:rPr>
        <w:t>元（含税），共计派发现金红利</w:t>
      </w:r>
      <w:r>
        <w:rPr>
          <w:rFonts w:ascii="宋体" w:hAnsi="宋体" w:cs="宋体" w:eastAsia="宋体" w:hint="default"/>
          <w:spacing w:val="-4"/>
        </w:rPr>
        <w:t>206,546,967.80</w:t>
      </w:r>
      <w:r>
        <w:rPr>
          <w:spacing w:val="-4"/>
        </w:rPr>
        <w:t>元，同时以资本公积转增股本，每</w:t>
      </w:r>
      <w:r>
        <w:rPr>
          <w:rFonts w:ascii="宋体" w:hAnsi="宋体" w:cs="宋体" w:eastAsia="宋体" w:hint="default"/>
          <w:spacing w:val="-4"/>
        </w:rPr>
        <w:t>10</w:t>
      </w:r>
      <w:r>
        <w:rPr>
          <w:spacing w:val="-4"/>
        </w:rPr>
        <w:t>股转增</w:t>
      </w:r>
      <w:r>
        <w:rPr>
          <w:rFonts w:ascii="宋体" w:hAnsi="宋体" w:cs="宋体" w:eastAsia="宋体" w:hint="default"/>
          <w:spacing w:val="-4"/>
        </w:rPr>
        <w:t>2</w:t>
      </w:r>
      <w:r>
        <w:rPr>
          <w:spacing w:val="-4"/>
        </w:rPr>
        <w:t>股，共计转增</w:t>
      </w:r>
      <w:r>
        <w:rPr>
          <w:spacing w:val="76"/>
        </w:rPr>
        <w:t> </w:t>
      </w:r>
      <w:r>
        <w:rPr>
          <w:spacing w:val="76"/>
        </w:rPr>
      </w:r>
      <w:r>
        <w:rPr/>
        <w:t>股本</w:t>
      </w:r>
      <w:r>
        <w:rPr>
          <w:rFonts w:ascii="宋体" w:hAnsi="宋体" w:cs="宋体" w:eastAsia="宋体" w:hint="default"/>
        </w:rPr>
        <w:t>206,546,967</w:t>
      </w:r>
      <w:r>
        <w:rPr/>
        <w:t>股</w:t>
      </w:r>
      <w:r>
        <w:rPr>
          <w:rFonts w:ascii="宋体" w:hAnsi="宋体" w:cs="宋体" w:eastAsia="宋体" w:hint="default"/>
        </w:rPr>
        <w:t>,</w:t>
      </w:r>
      <w:r>
        <w:rPr>
          <w:rFonts w:ascii="宋体" w:hAnsi="宋体" w:cs="宋体" w:eastAsia="宋体" w:hint="default"/>
          <w:spacing w:val="65"/>
        </w:rPr>
        <w:t> </w:t>
      </w:r>
      <w:r>
        <w:rPr>
          <w:spacing w:val="-3"/>
        </w:rPr>
        <w:t>转增后公司总股本为</w:t>
      </w:r>
      <w:r>
        <w:rPr>
          <w:rFonts w:ascii="宋体" w:hAnsi="宋体" w:cs="宋体" w:eastAsia="宋体" w:hint="default"/>
          <w:spacing w:val="-3"/>
        </w:rPr>
        <w:t>1,239,281,806</w:t>
      </w:r>
      <w:r>
        <w:rPr>
          <w:spacing w:val="-3"/>
        </w:rPr>
        <w:t>股。</w:t>
      </w:r>
      <w:r>
        <w:rPr/>
      </w:r>
    </w:p>
    <w:p>
      <w:pPr>
        <w:spacing w:line="240" w:lineRule="auto" w:before="6"/>
        <w:rPr>
          <w:rFonts w:ascii="宋体" w:hAnsi="宋体" w:cs="宋体" w:eastAsia="宋体" w:hint="default"/>
          <w:sz w:val="16"/>
          <w:szCs w:val="16"/>
        </w:rPr>
      </w:pPr>
    </w:p>
    <w:p>
      <w:pPr>
        <w:pStyle w:val="BodyText"/>
        <w:spacing w:line="477" w:lineRule="auto"/>
        <w:ind w:right="1131" w:firstLine="436"/>
        <w:jc w:val="both"/>
      </w:pPr>
      <w:r>
        <w:rPr>
          <w:spacing w:val="-3"/>
        </w:rPr>
        <w:t>根据瑞华会计师事务所（特殊普通合伙）审计报告，公司</w:t>
      </w:r>
      <w:r>
        <w:rPr>
          <w:rFonts w:ascii="宋体" w:hAnsi="宋体" w:cs="宋体" w:eastAsia="宋体" w:hint="default"/>
          <w:spacing w:val="-3"/>
        </w:rPr>
        <w:t>2018</w:t>
      </w:r>
      <w:r>
        <w:rPr>
          <w:spacing w:val="-3"/>
        </w:rPr>
        <w:t>年度母公司实现净利润</w:t>
      </w:r>
      <w:r>
        <w:rPr>
          <w:rFonts w:ascii="宋体" w:hAnsi="宋体" w:cs="宋体" w:eastAsia="宋体" w:hint="default"/>
          <w:spacing w:val="-3"/>
        </w:rPr>
        <w:t>178,810,622.31</w:t>
      </w:r>
      <w:r>
        <w:rPr>
          <w:spacing w:val="-3"/>
        </w:rPr>
        <w:t>元，根据《公司</w:t>
      </w:r>
      <w:r>
        <w:rPr>
          <w:w w:val="101"/>
        </w:rPr>
        <w:t> </w:t>
      </w:r>
      <w:r>
        <w:rPr>
          <w:spacing w:val="-2"/>
        </w:rPr>
        <w:t>法》和《公司章程》的有关规定，按</w:t>
      </w:r>
      <w:r>
        <w:rPr>
          <w:rFonts w:ascii="宋体" w:hAnsi="宋体" w:cs="宋体" w:eastAsia="宋体" w:hint="default"/>
          <w:spacing w:val="-2"/>
        </w:rPr>
        <w:t>2018</w:t>
      </w:r>
      <w:r>
        <w:rPr>
          <w:spacing w:val="-2"/>
        </w:rPr>
        <w:t>年度公司实现净利润的</w:t>
      </w:r>
      <w:r>
        <w:rPr>
          <w:rFonts w:ascii="宋体" w:hAnsi="宋体" w:cs="宋体" w:eastAsia="宋体" w:hint="default"/>
          <w:spacing w:val="-2"/>
        </w:rPr>
        <w:t>10</w:t>
      </w:r>
      <w:r>
        <w:rPr>
          <w:spacing w:val="-2"/>
        </w:rPr>
        <w:t>％提取法定盈余公积金</w:t>
      </w:r>
      <w:r>
        <w:rPr>
          <w:rFonts w:ascii="宋体" w:hAnsi="宋体" w:cs="宋体" w:eastAsia="宋体" w:hint="default"/>
          <w:spacing w:val="-2"/>
        </w:rPr>
        <w:t>17,881,062.23</w:t>
      </w:r>
      <w:r>
        <w:rPr>
          <w:spacing w:val="-2"/>
        </w:rPr>
        <w:t>元，分配</w:t>
      </w:r>
      <w:r>
        <w:rPr>
          <w:rFonts w:ascii="宋体" w:hAnsi="宋体" w:cs="宋体" w:eastAsia="宋体" w:hint="default"/>
          <w:spacing w:val="-2"/>
        </w:rPr>
        <w:t>2017</w:t>
      </w:r>
      <w:r>
        <w:rPr>
          <w:spacing w:val="-2"/>
        </w:rPr>
        <w:t>年股</w:t>
      </w:r>
      <w:r>
        <w:rPr>
          <w:spacing w:val="38"/>
        </w:rPr>
        <w:t> </w:t>
      </w:r>
      <w:r>
        <w:rPr/>
        <w:t>利</w:t>
      </w:r>
      <w:r>
        <w:rPr>
          <w:rFonts w:ascii="宋体" w:hAnsi="宋体" w:cs="宋体" w:eastAsia="宋体" w:hint="default"/>
        </w:rPr>
        <w:t>206,546,967.80</w:t>
      </w:r>
      <w:r>
        <w:rPr/>
        <w:t>元，加上年初未分配利润</w:t>
      </w:r>
      <w:r>
        <w:rPr>
          <w:rFonts w:ascii="宋体" w:hAnsi="宋体" w:cs="宋体" w:eastAsia="宋体" w:hint="default"/>
        </w:rPr>
        <w:t>1,288,001,575.05</w:t>
      </w:r>
      <w:r>
        <w:rPr/>
        <w:t>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日，母公司可供股东分配的利润为</w:t>
      </w:r>
    </w:p>
    <w:p>
      <w:pPr>
        <w:spacing w:after="0" w:line="477" w:lineRule="auto"/>
        <w:jc w:val="both"/>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75" w:lineRule="auto"/>
        <w:ind w:right="1123"/>
        <w:jc w:val="both"/>
      </w:pPr>
      <w:r>
        <w:rPr>
          <w:rFonts w:ascii="宋体" w:hAnsi="宋体" w:cs="宋体" w:eastAsia="宋体" w:hint="default"/>
          <w:spacing w:val="-4"/>
        </w:rPr>
        <w:t>1,242,384,167.33</w:t>
      </w:r>
      <w:r>
        <w:rPr>
          <w:spacing w:val="-4"/>
        </w:rPr>
        <w:t>元，资本公积</w:t>
      </w:r>
      <w:r>
        <w:rPr>
          <w:rFonts w:ascii="宋体" w:hAnsi="宋体" w:cs="宋体" w:eastAsia="宋体" w:hint="default"/>
          <w:spacing w:val="-4"/>
        </w:rPr>
        <w:t>1,709,322,752.80</w:t>
      </w:r>
      <w:r>
        <w:rPr>
          <w:spacing w:val="-4"/>
        </w:rPr>
        <w:t>元。根据公司章程规定，在不损害公司持续经营能力的前提下，公司在任</w:t>
      </w:r>
      <w:r>
        <w:rPr>
          <w:spacing w:val="18"/>
        </w:rPr>
        <w:t> </w:t>
      </w:r>
      <w:r>
        <w:rPr>
          <w:spacing w:val="18"/>
        </w:rPr>
      </w:r>
      <w:r>
        <w:rPr>
          <w:spacing w:val="-3"/>
        </w:rPr>
        <w:t>一连续三年中以现金方式累计分配的利润不得少于该三年实现的年均可分配利润的</w:t>
      </w:r>
      <w:r>
        <w:rPr>
          <w:rFonts w:ascii="宋体" w:hAnsi="宋体" w:cs="宋体" w:eastAsia="宋体" w:hint="default"/>
          <w:spacing w:val="-3"/>
        </w:rPr>
        <w:t>30%</w:t>
      </w:r>
      <w:r>
        <w:rPr>
          <w:spacing w:val="-3"/>
        </w:rPr>
        <w:t>，在符合公司利润分配政策、保证公</w:t>
      </w:r>
      <w:r>
        <w:rPr>
          <w:spacing w:val="74"/>
        </w:rPr>
        <w:t> </w:t>
      </w:r>
      <w:r>
        <w:rPr>
          <w:spacing w:val="74"/>
        </w:rPr>
      </w:r>
      <w:r>
        <w:rPr>
          <w:spacing w:val="-2"/>
        </w:rPr>
        <w:t>司正常经营和长远发展的前提下，公司</w:t>
      </w:r>
      <w:r>
        <w:rPr>
          <w:rFonts w:ascii="宋体" w:hAnsi="宋体" w:cs="宋体" w:eastAsia="宋体" w:hint="default"/>
          <w:spacing w:val="-2"/>
        </w:rPr>
        <w:t>2018</w:t>
      </w:r>
      <w:r>
        <w:rPr>
          <w:spacing w:val="-2"/>
        </w:rPr>
        <w:t>年度利润分配预案为：以</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日的总股本</w:t>
      </w:r>
      <w:r>
        <w:rPr>
          <w:rFonts w:ascii="宋体" w:hAnsi="宋体" w:cs="宋体" w:eastAsia="宋体" w:hint="default"/>
          <w:spacing w:val="-2"/>
        </w:rPr>
        <w:t>1,239,281,806</w:t>
      </w:r>
      <w:r>
        <w:rPr>
          <w:spacing w:val="-2"/>
        </w:rPr>
        <w:t>股为基数，每</w:t>
      </w:r>
      <w:r>
        <w:rPr>
          <w:spacing w:val="39"/>
        </w:rPr>
        <w:t> </w:t>
      </w:r>
      <w:r>
        <w:rPr>
          <w:spacing w:val="39"/>
        </w:rPr>
      </w:r>
      <w:r>
        <w:rPr>
          <w:rFonts w:ascii="宋体" w:hAnsi="宋体" w:cs="宋体" w:eastAsia="宋体" w:hint="default"/>
          <w:spacing w:val="-3"/>
        </w:rPr>
        <w:t>10</w:t>
      </w:r>
      <w:r>
        <w:rPr>
          <w:spacing w:val="-3"/>
        </w:rPr>
        <w:t>股派发现金红利</w:t>
      </w:r>
      <w:r>
        <w:rPr>
          <w:rFonts w:ascii="宋体" w:hAnsi="宋体" w:cs="宋体" w:eastAsia="宋体" w:hint="default"/>
          <w:spacing w:val="-3"/>
        </w:rPr>
        <w:t>2</w:t>
      </w:r>
      <w:r>
        <w:rPr>
          <w:spacing w:val="-3"/>
        </w:rPr>
        <w:t>元（含税），共计派发现金红利</w:t>
      </w:r>
      <w:r>
        <w:rPr>
          <w:rFonts w:ascii="宋体" w:hAnsi="宋体" w:cs="宋体" w:eastAsia="宋体" w:hint="default"/>
          <w:spacing w:val="-3"/>
        </w:rPr>
        <w:t>247,856,361.20</w:t>
      </w:r>
      <w:r>
        <w:rPr>
          <w:spacing w:val="-3"/>
        </w:rPr>
        <w:t>元，本次利润分配完成后，剩余未分配利润人民币</w:t>
      </w:r>
    </w:p>
    <w:p>
      <w:pPr>
        <w:pStyle w:val="BodyText"/>
        <w:spacing w:line="240" w:lineRule="auto" w:before="53"/>
        <w:ind w:right="1126"/>
        <w:jc w:val="left"/>
      </w:pPr>
      <w:r>
        <w:rPr>
          <w:rFonts w:ascii="宋体" w:hAnsi="宋体" w:cs="宋体" w:eastAsia="宋体" w:hint="default"/>
        </w:rPr>
        <w:t>994,527,806.13</w:t>
      </w:r>
      <w:r>
        <w:rPr/>
        <w:t>元结转以后年度分配。</w:t>
      </w:r>
    </w:p>
    <w:p>
      <w:pPr>
        <w:spacing w:line="240" w:lineRule="auto" w:before="0"/>
        <w:rPr>
          <w:rFonts w:ascii="宋体" w:hAnsi="宋体" w:cs="宋体" w:eastAsia="宋体" w:hint="default"/>
          <w:sz w:val="18"/>
          <w:szCs w:val="18"/>
        </w:rPr>
      </w:pPr>
    </w:p>
    <w:p>
      <w:pPr>
        <w:pStyle w:val="BodyText"/>
        <w:spacing w:line="240" w:lineRule="auto" w:before="158"/>
        <w:ind w:left="0" w:right="1122"/>
        <w:jc w:val="right"/>
      </w:pPr>
      <w:r>
        <w:rPr>
          <w:spacing w:val="-7"/>
        </w:rPr>
        <w:t>根据亚太（集团）会计师事务所（特殊普通合伙）审计报告，公司</w:t>
      </w:r>
      <w:r>
        <w:rPr>
          <w:spacing w:val="-18"/>
        </w:rPr>
        <w:t> </w:t>
      </w:r>
      <w:r>
        <w:rPr>
          <w:rFonts w:ascii="宋体" w:hAnsi="宋体" w:cs="宋体" w:eastAsia="宋体" w:hint="default"/>
        </w:rPr>
        <w:t>2019</w:t>
      </w:r>
      <w:r>
        <w:rPr>
          <w:rFonts w:ascii="宋体" w:hAnsi="宋体" w:cs="宋体" w:eastAsia="宋体" w:hint="default"/>
          <w:spacing w:val="-28"/>
        </w:rPr>
        <w:t> </w:t>
      </w:r>
      <w:r>
        <w:rPr/>
        <w:t>年度母公司净利润</w:t>
      </w:r>
      <w:r>
        <w:rPr>
          <w:spacing w:val="-20"/>
        </w:rPr>
        <w:t> </w:t>
      </w:r>
      <w:r>
        <w:rPr>
          <w:rFonts w:ascii="宋体" w:hAnsi="宋体" w:cs="宋体" w:eastAsia="宋体" w:hint="default"/>
        </w:rPr>
        <w:t>94,463,887.38</w:t>
      </w:r>
      <w:r>
        <w:rPr>
          <w:rFonts w:ascii="宋体" w:hAnsi="宋体" w:cs="宋体" w:eastAsia="宋体" w:hint="default"/>
          <w:spacing w:val="-20"/>
        </w:rPr>
        <w:t> </w:t>
      </w:r>
      <w:r>
        <w:rPr>
          <w:spacing w:val="-11"/>
        </w:rPr>
        <w:t>元，根据《公</w:t>
      </w:r>
    </w:p>
    <w:p>
      <w:pPr>
        <w:spacing w:line="240" w:lineRule="auto" w:before="8"/>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spacing w:val="-3"/>
        </w:rPr>
        <w:t>司法》和《公司章程》的有关规定，按</w:t>
      </w:r>
      <w:r>
        <w:rPr>
          <w:spacing w:val="-29"/>
        </w:rPr>
        <w:t> </w:t>
      </w:r>
      <w:r>
        <w:rPr>
          <w:rFonts w:ascii="宋体" w:hAnsi="宋体" w:cs="宋体" w:eastAsia="宋体" w:hint="default"/>
        </w:rPr>
        <w:t>2019</w:t>
      </w:r>
      <w:r>
        <w:rPr>
          <w:rFonts w:ascii="宋体" w:hAnsi="宋体" w:cs="宋体" w:eastAsia="宋体" w:hint="default"/>
          <w:spacing w:val="-29"/>
        </w:rPr>
        <w:t> </w:t>
      </w:r>
      <w:r>
        <w:rPr/>
        <w:t>年度公司实现净利润的</w:t>
      </w:r>
      <w:r>
        <w:rPr>
          <w:spacing w:val="-29"/>
        </w:rPr>
        <w:t> </w:t>
      </w:r>
      <w:r>
        <w:rPr>
          <w:rFonts w:ascii="宋体" w:hAnsi="宋体" w:cs="宋体" w:eastAsia="宋体" w:hint="default"/>
          <w:spacing w:val="-3"/>
        </w:rPr>
        <w:t>10</w:t>
      </w:r>
      <w:r>
        <w:rPr>
          <w:spacing w:val="-3"/>
        </w:rPr>
        <w:t>％提取法定盈余公积金</w:t>
      </w:r>
      <w:r>
        <w:rPr>
          <w:spacing w:val="-35"/>
        </w:rPr>
        <w:t> </w:t>
      </w:r>
      <w:r>
        <w:rPr>
          <w:rFonts w:ascii="宋体" w:hAnsi="宋体" w:cs="宋体" w:eastAsia="宋体" w:hint="default"/>
        </w:rPr>
        <w:t>9,446,388.73</w:t>
      </w:r>
      <w:r>
        <w:rPr>
          <w:rFonts w:ascii="宋体" w:hAnsi="宋体" w:cs="宋体" w:eastAsia="宋体" w:hint="default"/>
          <w:spacing w:val="-36"/>
        </w:rPr>
        <w:t> </w:t>
      </w:r>
      <w:r>
        <w:rPr/>
        <w:t>元，分配</w:t>
      </w:r>
      <w:r>
        <w:rPr>
          <w:spacing w:val="-29"/>
        </w:rPr>
        <w:t> </w:t>
      </w:r>
      <w:r>
        <w:rPr>
          <w:rFonts w:ascii="宋体" w:hAnsi="宋体" w:cs="宋体" w:eastAsia="宋体" w:hint="default"/>
        </w:rPr>
        <w:t>2018</w:t>
      </w:r>
    </w:p>
    <w:p>
      <w:pPr>
        <w:spacing w:line="240" w:lineRule="auto" w:before="12"/>
        <w:rPr>
          <w:rFonts w:ascii="宋体" w:hAnsi="宋体" w:cs="宋体" w:eastAsia="宋体" w:hint="default"/>
          <w:sz w:val="17"/>
          <w:szCs w:val="17"/>
        </w:rPr>
      </w:pPr>
    </w:p>
    <w:p>
      <w:pPr>
        <w:pStyle w:val="BodyText"/>
        <w:spacing w:line="240" w:lineRule="auto"/>
        <w:ind w:right="0"/>
        <w:jc w:val="left"/>
      </w:pPr>
      <w:r>
        <w:rPr/>
        <w:t>年股利</w:t>
      </w:r>
      <w:r>
        <w:rPr>
          <w:spacing w:val="-36"/>
        </w:rPr>
        <w:t> </w:t>
      </w:r>
      <w:r>
        <w:rPr>
          <w:rFonts w:ascii="宋体" w:hAnsi="宋体" w:cs="宋体" w:eastAsia="宋体" w:hint="default"/>
        </w:rPr>
        <w:t>247,856,361.20</w:t>
      </w:r>
      <w:r>
        <w:rPr>
          <w:rFonts w:ascii="宋体" w:hAnsi="宋体" w:cs="宋体" w:eastAsia="宋体" w:hint="default"/>
          <w:spacing w:val="-43"/>
        </w:rPr>
        <w:t> </w:t>
      </w:r>
      <w:r>
        <w:rPr>
          <w:spacing w:val="-3"/>
        </w:rPr>
        <w:t>元，加上年初未分配利润</w:t>
      </w:r>
      <w:r>
        <w:rPr>
          <w:spacing w:val="-36"/>
        </w:rPr>
        <w:t> </w:t>
      </w:r>
      <w:r>
        <w:rPr>
          <w:rFonts w:ascii="宋体" w:hAnsi="宋体" w:cs="宋体" w:eastAsia="宋体" w:hint="default"/>
        </w:rPr>
        <w:t>1,242,384,167.33</w:t>
      </w:r>
      <w:r>
        <w:rPr>
          <w:rFonts w:ascii="宋体" w:hAnsi="宋体" w:cs="宋体" w:eastAsia="宋体" w:hint="default"/>
          <w:spacing w:val="-36"/>
        </w:rPr>
        <w:t> </w:t>
      </w:r>
      <w:r>
        <w:rPr>
          <w:spacing w:val="-3"/>
        </w:rPr>
        <w:t>元，截至</w:t>
      </w:r>
      <w:r>
        <w:rPr>
          <w:spacing w:val="-36"/>
        </w:rPr>
        <w:t> </w:t>
      </w:r>
      <w:r>
        <w:rPr>
          <w:rFonts w:ascii="宋体" w:hAnsi="宋体" w:cs="宋体" w:eastAsia="宋体" w:hint="default"/>
        </w:rPr>
        <w:t>2019</w:t>
      </w:r>
      <w:r>
        <w:rPr>
          <w:rFonts w:ascii="宋体" w:hAnsi="宋体" w:cs="宋体" w:eastAsia="宋体" w:hint="default"/>
          <w:spacing w:val="-36"/>
        </w:rPr>
        <w:t> </w:t>
      </w:r>
      <w:r>
        <w:rPr/>
        <w:t>年</w:t>
      </w:r>
      <w:r>
        <w:rPr>
          <w:spacing w:val="-43"/>
        </w:rPr>
        <w:t> </w:t>
      </w:r>
      <w:r>
        <w:rPr>
          <w:rFonts w:ascii="宋体" w:hAnsi="宋体" w:cs="宋体" w:eastAsia="宋体" w:hint="default"/>
        </w:rPr>
        <w:t>12</w:t>
      </w:r>
      <w:r>
        <w:rPr>
          <w:rFonts w:ascii="宋体" w:hAnsi="宋体" w:cs="宋体" w:eastAsia="宋体" w:hint="default"/>
          <w:spacing w:val="-36"/>
        </w:rPr>
        <w:t> </w:t>
      </w:r>
      <w:r>
        <w:rPr/>
        <w:t>月</w:t>
      </w:r>
      <w:r>
        <w:rPr>
          <w:spacing w:val="-36"/>
        </w:rPr>
        <w:t> </w:t>
      </w:r>
      <w:r>
        <w:rPr>
          <w:rFonts w:ascii="宋体" w:hAnsi="宋体" w:cs="宋体" w:eastAsia="宋体" w:hint="default"/>
        </w:rPr>
        <w:t>31</w:t>
      </w:r>
      <w:r>
        <w:rPr>
          <w:rFonts w:ascii="宋体" w:hAnsi="宋体" w:cs="宋体" w:eastAsia="宋体" w:hint="default"/>
          <w:spacing w:val="-36"/>
        </w:rPr>
        <w:t> </w:t>
      </w:r>
      <w:r>
        <w:rPr>
          <w:spacing w:val="-3"/>
        </w:rPr>
        <w:t>日，母公司可供股东分配的</w:t>
      </w:r>
    </w:p>
    <w:p>
      <w:pPr>
        <w:spacing w:line="240" w:lineRule="auto" w:before="8"/>
        <w:rPr>
          <w:rFonts w:ascii="宋体" w:hAnsi="宋体" w:cs="宋体" w:eastAsia="宋体" w:hint="default"/>
          <w:sz w:val="17"/>
          <w:szCs w:val="17"/>
        </w:rPr>
      </w:pPr>
    </w:p>
    <w:p>
      <w:pPr>
        <w:pStyle w:val="BodyText"/>
        <w:spacing w:line="477" w:lineRule="auto"/>
        <w:ind w:right="0"/>
        <w:jc w:val="left"/>
      </w:pPr>
      <w:r>
        <w:rPr/>
        <w:t>利润为</w:t>
      </w:r>
      <w:r>
        <w:rPr>
          <w:spacing w:val="-37"/>
        </w:rPr>
        <w:t> </w:t>
      </w:r>
      <w:r>
        <w:rPr>
          <w:rFonts w:ascii="宋体" w:hAnsi="宋体" w:cs="宋体" w:eastAsia="宋体" w:hint="default"/>
        </w:rPr>
        <w:t>1,079,545,304.78</w:t>
      </w:r>
      <w:r>
        <w:rPr>
          <w:rFonts w:ascii="宋体" w:hAnsi="宋体" w:cs="宋体" w:eastAsia="宋体" w:hint="default"/>
          <w:spacing w:val="17"/>
        </w:rPr>
        <w:t> </w:t>
      </w:r>
      <w:r>
        <w:rPr>
          <w:spacing w:val="-9"/>
        </w:rPr>
        <w:t>元，资本公积</w:t>
      </w:r>
      <w:r>
        <w:rPr>
          <w:spacing w:val="-37"/>
        </w:rPr>
        <w:t> </w:t>
      </w:r>
      <w:r>
        <w:rPr>
          <w:rFonts w:ascii="宋体" w:hAnsi="宋体" w:cs="宋体" w:eastAsia="宋体" w:hint="default"/>
        </w:rPr>
        <w:t>1,709,322,752.80</w:t>
      </w:r>
      <w:r>
        <w:rPr>
          <w:rFonts w:ascii="宋体" w:hAnsi="宋体" w:cs="宋体" w:eastAsia="宋体" w:hint="default"/>
          <w:spacing w:val="-37"/>
        </w:rPr>
        <w:t> </w:t>
      </w:r>
      <w:r>
        <w:rPr>
          <w:spacing w:val="-6"/>
        </w:rPr>
        <w:t>元。根据公司章程规定，在不损害公司持续经营能力的前提下，</w:t>
      </w:r>
      <w:r>
        <w:rPr>
          <w:spacing w:val="-41"/>
        </w:rPr>
        <w:t> </w:t>
      </w:r>
      <w:r>
        <w:rPr>
          <w:spacing w:val="-41"/>
        </w:rPr>
      </w:r>
      <w:r>
        <w:rPr>
          <w:spacing w:val="-3"/>
        </w:rPr>
        <w:t>公司在任一连续三年中以现金方式累计分配的利润不得少于该三年实现的年均可分配利润的 </w:t>
      </w:r>
      <w:r>
        <w:rPr>
          <w:rFonts w:ascii="宋体" w:hAnsi="宋体" w:cs="宋体" w:eastAsia="宋体" w:hint="default"/>
          <w:spacing w:val="-5"/>
        </w:rPr>
        <w:t>30%</w:t>
      </w:r>
      <w:r>
        <w:rPr>
          <w:spacing w:val="-5"/>
        </w:rPr>
        <w:t>，在符合公司利润分配政策、</w:t>
      </w:r>
      <w:r>
        <w:rPr>
          <w:spacing w:val="-59"/>
        </w:rPr>
        <w:t> </w:t>
      </w:r>
      <w:r>
        <w:rPr>
          <w:spacing w:val="-59"/>
        </w:rPr>
      </w:r>
      <w:r>
        <w:rPr>
          <w:spacing w:val="-4"/>
        </w:rPr>
        <w:t>保证公司正常经营和长远发展的前提下，公司拟定 </w:t>
      </w:r>
      <w:r>
        <w:rPr>
          <w:rFonts w:ascii="宋体" w:hAnsi="宋体" w:cs="宋体" w:eastAsia="宋体" w:hint="default"/>
        </w:rPr>
        <w:t>2019 </w:t>
      </w:r>
      <w:r>
        <w:rPr>
          <w:spacing w:val="-4"/>
        </w:rPr>
        <w:t>年度利润分配及资本公积金转增股本的预案为：以 </w:t>
      </w:r>
      <w:r>
        <w:rPr>
          <w:rFonts w:ascii="宋体" w:hAnsi="宋体" w:cs="宋体" w:eastAsia="宋体" w:hint="default"/>
        </w:rPr>
        <w:t>2019 </w:t>
      </w:r>
      <w:r>
        <w:rPr/>
        <w:t>年 </w:t>
      </w:r>
      <w:r>
        <w:rPr>
          <w:rFonts w:ascii="宋体" w:hAnsi="宋体" w:cs="宋体" w:eastAsia="宋体" w:hint="default"/>
        </w:rPr>
        <w:t>12 </w:t>
      </w:r>
      <w:r>
        <w:rPr>
          <w:rFonts w:ascii="宋体" w:hAnsi="宋体" w:cs="宋体" w:eastAsia="宋体" w:hint="default"/>
          <w:spacing w:val="6"/>
        </w:rPr>
        <w:t> </w:t>
      </w:r>
      <w:r>
        <w:rPr/>
        <w:t>月</w:t>
      </w:r>
    </w:p>
    <w:p>
      <w:pPr>
        <w:pStyle w:val="BodyText"/>
        <w:spacing w:line="240" w:lineRule="auto" w:before="56"/>
        <w:ind w:right="0"/>
        <w:jc w:val="left"/>
      </w:pPr>
      <w:r>
        <w:rPr>
          <w:rFonts w:ascii="宋体" w:hAnsi="宋体" w:cs="宋体" w:eastAsia="宋体" w:hint="default"/>
        </w:rPr>
        <w:t>31</w:t>
      </w:r>
      <w:r>
        <w:rPr>
          <w:rFonts w:ascii="宋体" w:hAnsi="宋体" w:cs="宋体" w:eastAsia="宋体" w:hint="default"/>
          <w:spacing w:val="14"/>
        </w:rPr>
        <w:t> </w:t>
      </w:r>
      <w:r>
        <w:rPr/>
        <w:t>日的总股本</w:t>
      </w:r>
      <w:r>
        <w:rPr>
          <w:spacing w:val="-41"/>
        </w:rPr>
        <w:t> </w:t>
      </w:r>
      <w:r>
        <w:rPr>
          <w:rFonts w:ascii="宋体" w:hAnsi="宋体" w:cs="宋体" w:eastAsia="宋体" w:hint="default"/>
        </w:rPr>
        <w:t>1,239,281,806</w:t>
      </w:r>
      <w:r>
        <w:rPr>
          <w:rFonts w:ascii="宋体" w:hAnsi="宋体" w:cs="宋体" w:eastAsia="宋体" w:hint="default"/>
          <w:spacing w:val="-41"/>
        </w:rPr>
        <w:t> </w:t>
      </w:r>
      <w:r>
        <w:rPr>
          <w:spacing w:val="-12"/>
        </w:rPr>
        <w:t>股为基数，每</w:t>
      </w:r>
      <w:r>
        <w:rPr>
          <w:spacing w:val="-41"/>
        </w:rPr>
        <w:t> </w:t>
      </w:r>
      <w:r>
        <w:rPr>
          <w:rFonts w:ascii="宋体" w:hAnsi="宋体" w:cs="宋体" w:eastAsia="宋体" w:hint="default"/>
        </w:rPr>
        <w:t>10</w:t>
      </w:r>
      <w:r>
        <w:rPr>
          <w:rFonts w:ascii="宋体" w:hAnsi="宋体" w:cs="宋体" w:eastAsia="宋体" w:hint="default"/>
          <w:spacing w:val="8"/>
        </w:rPr>
        <w:t> </w:t>
      </w:r>
      <w:r>
        <w:rPr>
          <w:spacing w:val="-3"/>
        </w:rPr>
        <w:t>股派发现金红利</w:t>
      </w:r>
      <w:r>
        <w:rPr>
          <w:spacing w:val="14"/>
        </w:rPr>
        <w:t> </w:t>
      </w:r>
      <w:r>
        <w:rPr>
          <w:rFonts w:ascii="宋体" w:hAnsi="宋体" w:cs="宋体" w:eastAsia="宋体" w:hint="default"/>
        </w:rPr>
        <w:t>2.00</w:t>
      </w:r>
      <w:r>
        <w:rPr>
          <w:rFonts w:ascii="宋体" w:hAnsi="宋体" w:cs="宋体" w:eastAsia="宋体" w:hint="default"/>
          <w:spacing w:val="-41"/>
        </w:rPr>
        <w:t> </w:t>
      </w:r>
      <w:r>
        <w:rPr>
          <w:spacing w:val="-14"/>
        </w:rPr>
        <w:t>元（含税），共计派发现金红利</w:t>
      </w:r>
      <w:r>
        <w:rPr>
          <w:spacing w:val="10"/>
        </w:rPr>
        <w:t> </w:t>
      </w:r>
      <w:r>
        <w:rPr>
          <w:rFonts w:ascii="宋体" w:hAnsi="宋体" w:cs="宋体" w:eastAsia="宋体" w:hint="default"/>
        </w:rPr>
        <w:t>247,856,361.20</w:t>
      </w:r>
      <w:r>
        <w:rPr>
          <w:rFonts w:ascii="宋体" w:hAnsi="宋体" w:cs="宋体" w:eastAsia="宋体" w:hint="default"/>
          <w:spacing w:val="-41"/>
        </w:rPr>
        <w:t> </w:t>
      </w:r>
      <w:r>
        <w:rPr>
          <w:spacing w:val="-5"/>
        </w:rPr>
        <w:t>元，</w:t>
      </w:r>
      <w:r>
        <w:rPr/>
      </w:r>
    </w:p>
    <w:p>
      <w:pPr>
        <w:spacing w:line="240" w:lineRule="auto" w:before="3"/>
        <w:rPr>
          <w:rFonts w:ascii="宋体" w:hAnsi="宋体" w:cs="宋体" w:eastAsia="宋体" w:hint="default"/>
          <w:sz w:val="17"/>
          <w:szCs w:val="17"/>
        </w:rPr>
      </w:pPr>
    </w:p>
    <w:p>
      <w:pPr>
        <w:pStyle w:val="BodyText"/>
        <w:spacing w:line="636" w:lineRule="auto"/>
        <w:ind w:left="513" w:right="1126" w:hanging="360"/>
        <w:jc w:val="left"/>
      </w:pPr>
      <w:r>
        <w:rPr>
          <w:spacing w:val="-3"/>
        </w:rPr>
        <w:t>本次利润分配完成后，剩余未分配利润人民币 </w:t>
      </w:r>
      <w:r>
        <w:rPr>
          <w:rFonts w:ascii="宋体" w:hAnsi="宋体" w:cs="宋体" w:eastAsia="宋体" w:hint="default"/>
        </w:rPr>
        <w:t>831,688,943.58 </w:t>
      </w:r>
      <w:r>
        <w:rPr/>
        <w:t>元结转以后年度分配。</w:t>
      </w:r>
      <w:r>
        <w:rPr>
          <w:spacing w:val="-74"/>
        </w:rPr>
        <w:t> </w:t>
      </w:r>
      <w:r>
        <w:rPr>
          <w:spacing w:val="-74"/>
        </w:rPr>
      </w:r>
      <w:r>
        <w:rPr>
          <w:spacing w:val="-3"/>
        </w:rPr>
        <w:t>公司近三年（包括本报告期）普通股现金分红情况表</w:t>
      </w:r>
    </w:p>
    <w:p>
      <w:pPr>
        <w:pStyle w:val="BodyText"/>
        <w:spacing w:line="240" w:lineRule="auto" w:before="19"/>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5"/>
        <w:gridCol w:w="1205"/>
        <w:gridCol w:w="1210"/>
        <w:gridCol w:w="1215"/>
        <w:gridCol w:w="1210"/>
        <w:gridCol w:w="1210"/>
        <w:gridCol w:w="1210"/>
        <w:gridCol w:w="1210"/>
      </w:tblGrid>
      <w:tr>
        <w:trPr>
          <w:trHeight w:val="245" w:hRule="exact"/>
        </w:trPr>
        <w:tc>
          <w:tcPr>
            <w:tcW w:w="1215"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57" w:right="5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表中归属于上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市公司普通股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股东的净利润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的比率</w:t>
            </w:r>
          </w:p>
        </w:tc>
      </w:tr>
      <w:tr>
        <w:trPr>
          <w:trHeight w:val="159"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62" w:right="55"/>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210"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57" w:right="56"/>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4"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6"/>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报表中归属于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上市公司普通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股股东的净利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润</w:t>
            </w:r>
          </w:p>
        </w:tc>
        <w:tc>
          <w:tcPr>
            <w:tcW w:w="121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8"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7" w:right="55"/>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4"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17" w:right="147"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210" w:type="dxa"/>
            <w:vMerge/>
            <w:tcBorders>
              <w:left w:val="single" w:sz="4" w:space="0" w:color="000000"/>
              <w:right w:val="single" w:sz="4" w:space="0" w:color="000000"/>
            </w:tcBorders>
            <w:shd w:val="clear" w:color="auto" w:fill="D2D2D2"/>
          </w:tcPr>
          <w:p>
            <w:pPr/>
          </w:p>
        </w:tc>
      </w:tr>
      <w:tr>
        <w:trPr>
          <w:trHeight w:val="158" w:hRule="exact"/>
        </w:trPr>
        <w:tc>
          <w:tcPr>
            <w:tcW w:w="1215" w:type="dxa"/>
            <w:vMerge/>
            <w:tcBorders>
              <w:left w:val="single" w:sz="4" w:space="0" w:color="000000"/>
              <w:bottom w:val="nil" w:sz="6" w:space="0" w:color="auto"/>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1"/>
              <w:ind w:left="9"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1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389" w:hRule="exact"/>
        </w:trPr>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8" w:hRule="exact"/>
        </w:trPr>
        <w:tc>
          <w:tcPr>
            <w:tcW w:w="1215" w:type="dxa"/>
            <w:vMerge w:val="restart"/>
            <w:tcBorders>
              <w:top w:val="nil" w:sz="6" w:space="0" w:color="auto"/>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4" w:hRule="exact"/>
        </w:trPr>
        <w:tc>
          <w:tcPr>
            <w:tcW w:w="1215" w:type="dxa"/>
            <w:vMerge/>
            <w:tcBorders>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8"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4"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8"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r>
      <w:tr>
        <w:trPr>
          <w:trHeight w:val="154" w:hRule="exact"/>
        </w:trPr>
        <w:tc>
          <w:tcPr>
            <w:tcW w:w="1215"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r>
      <w:tr>
        <w:trPr>
          <w:trHeight w:val="245"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6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right="13"/>
              <w:jc w:val="right"/>
              <w:rPr>
                <w:rFonts w:ascii="Times New Roman" w:hAnsi="Times New Roman" w:cs="Times New Roman" w:eastAsia="Times New Roman" w:hint="default"/>
                <w:sz w:val="18"/>
                <w:szCs w:val="18"/>
              </w:rPr>
            </w:pPr>
            <w:r>
              <w:rPr>
                <w:rFonts w:ascii="Times New Roman"/>
                <w:spacing w:val="-1"/>
                <w:sz w:val="18"/>
              </w:rPr>
              <w:t>247,856,361.20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 w:right="0"/>
              <w:jc w:val="center"/>
              <w:rPr>
                <w:rFonts w:ascii="Times New Roman" w:hAnsi="Times New Roman" w:cs="Times New Roman" w:eastAsia="Times New Roman" w:hint="default"/>
                <w:sz w:val="18"/>
                <w:szCs w:val="18"/>
              </w:rPr>
            </w:pPr>
            <w:r>
              <w:rPr>
                <w:rFonts w:ascii="Times New Roman"/>
                <w:sz w:val="18"/>
              </w:rPr>
              <w:t>343,682,499.84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72.12%</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247,856,361.20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72.12%</w:t>
            </w:r>
          </w:p>
        </w:tc>
      </w:tr>
      <w:tr>
        <w:trPr>
          <w:trHeight w:val="48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4"/>
              <w:ind w:right="13"/>
              <w:jc w:val="right"/>
              <w:rPr>
                <w:rFonts w:ascii="Times New Roman" w:hAnsi="Times New Roman" w:cs="Times New Roman" w:eastAsia="Times New Roman" w:hint="default"/>
                <w:sz w:val="18"/>
                <w:szCs w:val="18"/>
              </w:rPr>
            </w:pPr>
            <w:r>
              <w:rPr>
                <w:rFonts w:ascii="Times New Roman"/>
                <w:spacing w:val="-1"/>
                <w:sz w:val="18"/>
              </w:rPr>
              <w:t>247,856,361.20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1" w:right="0"/>
              <w:jc w:val="center"/>
              <w:rPr>
                <w:rFonts w:ascii="Times New Roman" w:hAnsi="Times New Roman" w:cs="Times New Roman" w:eastAsia="Times New Roman" w:hint="default"/>
                <w:sz w:val="18"/>
                <w:szCs w:val="18"/>
              </w:rPr>
            </w:pPr>
            <w:r>
              <w:rPr>
                <w:rFonts w:ascii="Times New Roman"/>
                <w:sz w:val="18"/>
              </w:rPr>
              <w:t>-92,720,082.99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-267.32%</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pacing w:val="-1"/>
                <w:sz w:val="18"/>
              </w:rPr>
              <w:t>247,856,361.20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-267.32%</w:t>
            </w:r>
          </w:p>
        </w:tc>
      </w:tr>
      <w:tr>
        <w:trPr>
          <w:trHeight w:val="48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
              <w:jc w:val="right"/>
              <w:rPr>
                <w:rFonts w:ascii="Times New Roman" w:hAnsi="Times New Roman" w:cs="Times New Roman" w:eastAsia="Times New Roman" w:hint="default"/>
                <w:sz w:val="18"/>
                <w:szCs w:val="18"/>
              </w:rPr>
            </w:pPr>
            <w:r>
              <w:rPr>
                <w:rFonts w:ascii="Times New Roman"/>
                <w:spacing w:val="-1"/>
                <w:sz w:val="18"/>
              </w:rPr>
              <w:t>206,546,967.80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2" w:right="0"/>
              <w:jc w:val="center"/>
              <w:rPr>
                <w:rFonts w:ascii="Times New Roman" w:hAnsi="Times New Roman" w:cs="Times New Roman" w:eastAsia="Times New Roman" w:hint="default"/>
                <w:sz w:val="18"/>
                <w:szCs w:val="18"/>
              </w:rPr>
            </w:pPr>
            <w:r>
              <w:rPr>
                <w:rFonts w:ascii="Times New Roman"/>
                <w:sz w:val="18"/>
              </w:rPr>
              <w:t>378,967,619.06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54.50%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spacing w:val="-1"/>
                <w:sz w:val="18"/>
              </w:rPr>
              <w:t>206,546,967.80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54.50%</w:t>
            </w:r>
          </w:p>
        </w:tc>
      </w:tr>
    </w:tbl>
    <w:p>
      <w:pPr>
        <w:spacing w:line="240" w:lineRule="auto" w:before="3"/>
        <w:rPr>
          <w:rFonts w:ascii="宋体" w:hAnsi="宋体" w:cs="宋体" w:eastAsia="宋体" w:hint="default"/>
          <w:sz w:val="15"/>
          <w:szCs w:val="15"/>
        </w:rPr>
      </w:pPr>
    </w:p>
    <w:p>
      <w:pPr>
        <w:pStyle w:val="BodyText"/>
        <w:spacing w:line="240" w:lineRule="auto" w:before="46"/>
        <w:ind w:right="1126"/>
        <w:jc w:val="left"/>
      </w:pPr>
      <w:r>
        <w:rPr>
          <w:spacing w:val="-3"/>
        </w:rPr>
        <w:t>公司报告期内盈利且母公司可供普通股股东分配利润为正但未提出普通股现金红利分配预案</w:t>
      </w:r>
    </w:p>
    <w:p>
      <w:pPr>
        <w:spacing w:line="240" w:lineRule="auto" w:before="0"/>
        <w:rPr>
          <w:rFonts w:ascii="宋体" w:hAnsi="宋体" w:cs="宋体" w:eastAsia="宋体" w:hint="default"/>
          <w:sz w:val="18"/>
          <w:szCs w:val="18"/>
        </w:rPr>
      </w:pPr>
    </w:p>
    <w:p>
      <w:pPr>
        <w:pStyle w:val="BodyText"/>
        <w:spacing w:line="240" w:lineRule="auto" w:before="148"/>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060" w:bottom="16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1126"/>
        <w:jc w:val="left"/>
        <w:rPr>
          <w:b w:val="0"/>
          <w:bCs w:val="0"/>
        </w:rPr>
      </w:pPr>
      <w:bookmarkStart w:name="二、本报告期利润分配及资本公积金转增股本情况" w:id="84"/>
      <w:bookmarkEnd w:id="84"/>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832"/>
        <w:gridCol w:w="5858"/>
      </w:tblGrid>
      <w:tr>
        <w:trPr>
          <w:trHeight w:val="423"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22"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8"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18"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1,239,281,806</w:t>
            </w:r>
          </w:p>
        </w:tc>
      </w:tr>
      <w:tr>
        <w:trPr>
          <w:trHeight w:val="423"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247,856,361.20</w:t>
            </w:r>
          </w:p>
        </w:tc>
      </w:tr>
      <w:tr>
        <w:trPr>
          <w:trHeight w:val="422"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z w:val="18"/>
              </w:rPr>
              <w:t>0.00</w:t>
            </w:r>
          </w:p>
        </w:tc>
      </w:tr>
      <w:tr>
        <w:trPr>
          <w:trHeight w:val="422"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247,856,361.20</w:t>
            </w:r>
          </w:p>
        </w:tc>
      </w:tr>
      <w:tr>
        <w:trPr>
          <w:trHeight w:val="408"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1,079,545,304.78</w:t>
            </w:r>
          </w:p>
        </w:tc>
      </w:tr>
      <w:tr>
        <w:trPr>
          <w:trHeight w:val="759"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24" w:right="13"/>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比例</w:t>
            </w:r>
          </w:p>
        </w:tc>
        <w:tc>
          <w:tcPr>
            <w:tcW w:w="5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w:t>
            </w:r>
          </w:p>
        </w:tc>
      </w:tr>
      <w:tr>
        <w:trPr>
          <w:trHeight w:val="413" w:hRule="exact"/>
        </w:trPr>
        <w:tc>
          <w:tcPr>
            <w:tcW w:w="9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27" w:hRule="exact"/>
        </w:trPr>
        <w:tc>
          <w:tcPr>
            <w:tcW w:w="969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4" w:hRule="exact"/>
        </w:trPr>
        <w:tc>
          <w:tcPr>
            <w:tcW w:w="9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4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2775" w:hRule="exact"/>
        </w:trPr>
        <w:tc>
          <w:tcPr>
            <w:tcW w:w="9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8" w:firstLine="436"/>
              <w:jc w:val="left"/>
              <w:rPr>
                <w:rFonts w:ascii="宋体" w:hAnsi="宋体" w:cs="宋体" w:eastAsia="宋体" w:hint="default"/>
                <w:sz w:val="18"/>
                <w:szCs w:val="18"/>
              </w:rPr>
            </w:pPr>
            <w:r>
              <w:rPr>
                <w:rFonts w:ascii="宋体" w:hAnsi="宋体" w:cs="宋体" w:eastAsia="宋体" w:hint="default"/>
                <w:spacing w:val="-3"/>
                <w:sz w:val="18"/>
                <w:szCs w:val="18"/>
              </w:rPr>
              <w:t>根据亚太（集团）会计师事务所（特殊普通合伙）审计报告，公司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年度母公司净利润</w:t>
            </w:r>
            <w:r>
              <w:rPr>
                <w:rFonts w:ascii="Times New Roman" w:hAnsi="Times New Roman" w:cs="Times New Roman" w:eastAsia="Times New Roman" w:hint="default"/>
                <w:spacing w:val="-3"/>
                <w:sz w:val="18"/>
                <w:szCs w:val="18"/>
              </w:rPr>
              <w:t>94,463,887.38</w:t>
            </w:r>
            <w:r>
              <w:rPr>
                <w:rFonts w:ascii="宋体" w:hAnsi="宋体" w:cs="宋体" w:eastAsia="宋体" w:hint="default"/>
                <w:spacing w:val="-3"/>
                <w:sz w:val="18"/>
                <w:szCs w:val="18"/>
              </w:rPr>
              <w:t>元，根据《公</w:t>
            </w:r>
            <w:r>
              <w:rPr>
                <w:rFonts w:ascii="宋体" w:hAnsi="宋体" w:cs="宋体" w:eastAsia="宋体" w:hint="default"/>
                <w:w w:val="101"/>
                <w:sz w:val="18"/>
                <w:szCs w:val="18"/>
              </w:rPr>
              <w:t> </w:t>
            </w:r>
            <w:r>
              <w:rPr>
                <w:rFonts w:ascii="宋体" w:hAnsi="宋体" w:cs="宋体" w:eastAsia="宋体" w:hint="default"/>
                <w:spacing w:val="-3"/>
                <w:sz w:val="18"/>
                <w:szCs w:val="18"/>
              </w:rPr>
              <w:t>司法》和《公司章程》的有关规定，按</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年度公司实现净利润的</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％提取法定盈余公积金</w:t>
            </w:r>
            <w:r>
              <w:rPr>
                <w:rFonts w:ascii="Times New Roman" w:hAnsi="Times New Roman" w:cs="Times New Roman" w:eastAsia="Times New Roman" w:hint="default"/>
                <w:spacing w:val="-3"/>
                <w:sz w:val="18"/>
                <w:szCs w:val="18"/>
              </w:rPr>
              <w:t>9,446,388.73</w:t>
            </w:r>
            <w:r>
              <w:rPr>
                <w:rFonts w:ascii="宋体" w:hAnsi="宋体" w:cs="宋体" w:eastAsia="宋体" w:hint="default"/>
                <w:spacing w:val="-3"/>
                <w:sz w:val="18"/>
                <w:szCs w:val="18"/>
              </w:rPr>
              <w:t>元，分配</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年股</w:t>
            </w:r>
            <w:r>
              <w:rPr>
                <w:rFonts w:ascii="宋体" w:hAnsi="宋体" w:cs="宋体" w:eastAsia="宋体" w:hint="default"/>
                <w:spacing w:val="5"/>
                <w:sz w:val="18"/>
                <w:szCs w:val="18"/>
              </w:rPr>
              <w:t> </w:t>
            </w:r>
            <w:r>
              <w:rPr>
                <w:rFonts w:ascii="宋体" w:hAnsi="宋体" w:cs="宋体" w:eastAsia="宋体" w:hint="default"/>
                <w:sz w:val="18"/>
                <w:szCs w:val="18"/>
              </w:rPr>
              <w:t>利</w:t>
            </w:r>
            <w:r>
              <w:rPr>
                <w:rFonts w:ascii="Times New Roman" w:hAnsi="Times New Roman" w:cs="Times New Roman" w:eastAsia="Times New Roman" w:hint="default"/>
                <w:sz w:val="18"/>
                <w:szCs w:val="18"/>
              </w:rPr>
              <w:t>247,856,361.20</w:t>
            </w:r>
            <w:r>
              <w:rPr>
                <w:rFonts w:ascii="宋体" w:hAnsi="宋体" w:cs="宋体" w:eastAsia="宋体" w:hint="default"/>
                <w:sz w:val="18"/>
                <w:szCs w:val="18"/>
              </w:rPr>
              <w:t>元，加上年初未分配利润</w:t>
            </w:r>
            <w:r>
              <w:rPr>
                <w:rFonts w:ascii="Times New Roman" w:hAnsi="Times New Roman" w:cs="Times New Roman" w:eastAsia="Times New Roman" w:hint="default"/>
                <w:sz w:val="18"/>
                <w:szCs w:val="18"/>
              </w:rPr>
              <w:t>1,242,384,167.33</w:t>
            </w:r>
            <w:r>
              <w:rPr>
                <w:rFonts w:ascii="宋体" w:hAnsi="宋体" w:cs="宋体" w:eastAsia="宋体" w:hint="default"/>
                <w:sz w:val="18"/>
                <w:szCs w:val="18"/>
              </w:rPr>
              <w:t>元，截至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日，母公司可供股东分配的利润为</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1,079,545,304.78 </w:t>
            </w:r>
            <w:r>
              <w:rPr>
                <w:rFonts w:ascii="宋体" w:hAnsi="宋体" w:cs="宋体" w:eastAsia="宋体" w:hint="default"/>
                <w:spacing w:val="-3"/>
                <w:sz w:val="18"/>
                <w:szCs w:val="18"/>
              </w:rPr>
              <w:t>元，资本公积</w:t>
            </w:r>
            <w:r>
              <w:rPr>
                <w:rFonts w:ascii="Times New Roman" w:hAnsi="Times New Roman" w:cs="Times New Roman" w:eastAsia="Times New Roman" w:hint="default"/>
                <w:spacing w:val="-3"/>
                <w:sz w:val="18"/>
                <w:szCs w:val="18"/>
              </w:rPr>
              <w:t>1,709,322,752.80</w:t>
            </w:r>
            <w:r>
              <w:rPr>
                <w:rFonts w:ascii="宋体" w:hAnsi="宋体" w:cs="宋体" w:eastAsia="宋体" w:hint="default"/>
                <w:spacing w:val="-3"/>
                <w:sz w:val="18"/>
                <w:szCs w:val="18"/>
              </w:rPr>
              <w:t>元。根据公司章程规定，在不损害公司持续经营能力的前提下，公司在任一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连续三年中以现金方式累计分配的利润不得少于该三年实现的年均可分配利润的</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，在符合公司利润分配政策、保证公司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正常经营和长远发展的前提下，公司拟定</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年度利润分配及资本公积金转增股本的预案为：以</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日的</w:t>
            </w:r>
            <w:r>
              <w:rPr>
                <w:rFonts w:ascii="宋体" w:hAnsi="宋体" w:cs="宋体" w:eastAsia="宋体" w:hint="default"/>
                <w:spacing w:val="-84"/>
                <w:sz w:val="18"/>
                <w:szCs w:val="18"/>
              </w:rPr>
              <w:t> </w:t>
            </w:r>
            <w:r>
              <w:rPr>
                <w:rFonts w:ascii="宋体" w:hAnsi="宋体" w:cs="宋体" w:eastAsia="宋体" w:hint="default"/>
                <w:spacing w:val="-3"/>
                <w:w w:val="101"/>
                <w:sz w:val="18"/>
                <w:szCs w:val="18"/>
              </w:rPr>
              <w:t>总股本</w:t>
            </w:r>
            <w:r>
              <w:rPr>
                <w:rFonts w:ascii="Times New Roman" w:hAnsi="Times New Roman" w:cs="Times New Roman" w:eastAsia="Times New Roman" w:hint="default"/>
                <w:spacing w:val="-3"/>
                <w:w w:val="101"/>
                <w:sz w:val="18"/>
                <w:szCs w:val="18"/>
              </w:rPr>
              <w:t>1,239,281,806</w:t>
            </w:r>
            <w:r>
              <w:rPr>
                <w:rFonts w:ascii="宋体" w:hAnsi="宋体" w:cs="宋体" w:eastAsia="宋体" w:hint="default"/>
                <w:spacing w:val="-3"/>
                <w:w w:val="101"/>
                <w:sz w:val="18"/>
                <w:szCs w:val="18"/>
              </w:rPr>
              <w:t>股为基数，每</w:t>
            </w:r>
            <w:r>
              <w:rPr>
                <w:rFonts w:ascii="Times New Roman" w:hAnsi="Times New Roman" w:cs="Times New Roman" w:eastAsia="Times New Roman" w:hint="default"/>
                <w:spacing w:val="-3"/>
                <w:w w:val="101"/>
                <w:sz w:val="18"/>
                <w:szCs w:val="18"/>
              </w:rPr>
              <w:t>10</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3"/>
                <w:w w:val="101"/>
                <w:sz w:val="18"/>
                <w:szCs w:val="18"/>
              </w:rPr>
              <w:t>股派发现金红利</w:t>
            </w:r>
            <w:r>
              <w:rPr>
                <w:rFonts w:ascii="宋体" w:hAnsi="宋体" w:cs="宋体" w:eastAsia="宋体" w:hint="default"/>
                <w:spacing w:val="16"/>
                <w:w w:val="101"/>
                <w:sz w:val="18"/>
                <w:szCs w:val="18"/>
              </w:rPr>
              <w:t> </w:t>
            </w:r>
            <w:r>
              <w:rPr>
                <w:rFonts w:ascii="Times New Roman" w:hAnsi="Times New Roman" w:cs="Times New Roman" w:eastAsia="Times New Roman" w:hint="default"/>
                <w:spacing w:val="-9"/>
                <w:w w:val="101"/>
                <w:sz w:val="18"/>
                <w:szCs w:val="18"/>
              </w:rPr>
              <w:t>2.00</w:t>
            </w:r>
            <w:r>
              <w:rPr>
                <w:rFonts w:ascii="宋体" w:hAnsi="宋体" w:cs="宋体" w:eastAsia="宋体" w:hint="default"/>
                <w:spacing w:val="-9"/>
                <w:w w:val="101"/>
                <w:sz w:val="18"/>
                <w:szCs w:val="18"/>
              </w:rPr>
              <w:t>元（含税），共计派发现金红利</w:t>
            </w:r>
            <w:r>
              <w:rPr>
                <w:rFonts w:ascii="宋体" w:hAnsi="宋体" w:cs="宋体" w:eastAsia="宋体" w:hint="default"/>
                <w:spacing w:val="16"/>
                <w:w w:val="101"/>
                <w:sz w:val="18"/>
                <w:szCs w:val="18"/>
              </w:rPr>
              <w:t> </w:t>
            </w:r>
            <w:r>
              <w:rPr>
                <w:rFonts w:ascii="Times New Roman" w:hAnsi="Times New Roman" w:cs="Times New Roman" w:eastAsia="Times New Roman" w:hint="default"/>
                <w:spacing w:val="-3"/>
                <w:w w:val="101"/>
                <w:sz w:val="18"/>
                <w:szCs w:val="18"/>
              </w:rPr>
              <w:t>247,856,361.20</w:t>
            </w:r>
            <w:r>
              <w:rPr>
                <w:rFonts w:ascii="宋体" w:hAnsi="宋体" w:cs="宋体" w:eastAsia="宋体" w:hint="default"/>
                <w:spacing w:val="-3"/>
                <w:w w:val="101"/>
                <w:sz w:val="18"/>
                <w:szCs w:val="18"/>
              </w:rPr>
              <w:t>元，本次利润分配</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完成后，剩余未分配利润人民币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831,688,943.58</w:t>
            </w:r>
            <w:r>
              <w:rPr>
                <w:rFonts w:ascii="宋体" w:hAnsi="宋体" w:cs="宋体" w:eastAsia="宋体" w:hint="default"/>
                <w:sz w:val="18"/>
                <w:szCs w:val="18"/>
              </w:rPr>
              <w:t>元结转以后年度分配。</w:t>
            </w:r>
          </w:p>
        </w:tc>
      </w:tr>
    </w:tbl>
    <w:p>
      <w:pPr>
        <w:spacing w:line="240" w:lineRule="auto" w:before="9"/>
        <w:rPr>
          <w:rFonts w:ascii="宋体" w:hAnsi="宋体" w:cs="宋体" w:eastAsia="宋体" w:hint="default"/>
          <w:sz w:val="17"/>
          <w:szCs w:val="17"/>
        </w:rPr>
      </w:pPr>
    </w:p>
    <w:p>
      <w:pPr>
        <w:pStyle w:val="Heading2"/>
        <w:spacing w:line="240" w:lineRule="auto" w:before="26"/>
        <w:ind w:right="1126"/>
        <w:jc w:val="left"/>
        <w:rPr>
          <w:b w:val="0"/>
          <w:bCs w:val="0"/>
        </w:rPr>
      </w:pPr>
      <w:bookmarkStart w:name="三、承诺事项履行情况" w:id="85"/>
      <w:bookmarkEnd w:id="85"/>
      <w:r>
        <w:rPr>
          <w:b w:val="0"/>
          <w:bCs w:val="0"/>
        </w:rPr>
      </w:r>
      <w:r>
        <w:rPr/>
        <w:t>三、承诺事项履行情况</w:t>
      </w:r>
      <w:r>
        <w:rPr>
          <w:b w:val="0"/>
          <w:bCs w:val="0"/>
        </w:rPr>
      </w:r>
    </w:p>
    <w:p>
      <w:pPr>
        <w:spacing w:line="240" w:lineRule="auto" w:before="3"/>
        <w:rPr>
          <w:rFonts w:ascii="宋体" w:hAnsi="宋体" w:cs="宋体" w:eastAsia="宋体" w:hint="default"/>
          <w:b/>
          <w:bCs/>
          <w:sz w:val="25"/>
          <w:szCs w:val="25"/>
        </w:rPr>
      </w:pPr>
    </w:p>
    <w:p>
      <w:pPr>
        <w:pStyle w:val="Heading3"/>
        <w:spacing w:line="254" w:lineRule="auto"/>
        <w:ind w:right="1126"/>
        <w:jc w:val="left"/>
        <w:rPr>
          <w:b w:val="0"/>
          <w:bCs w:val="0"/>
        </w:rPr>
      </w:pPr>
      <w:bookmarkStart w:name="1、公司实际控制人、股东、关联方、收购人以及公司等承诺相关方在报告期内履行完毕及" w:id="86"/>
      <w:bookmarkEnd w:id="8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88"/>
        <w:gridCol w:w="1224"/>
        <w:gridCol w:w="1066"/>
        <w:gridCol w:w="3712"/>
        <w:gridCol w:w="802"/>
        <w:gridCol w:w="864"/>
        <w:gridCol w:w="1042"/>
      </w:tblGrid>
      <w:tr>
        <w:trPr>
          <w:trHeight w:val="401"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6" w:right="103"/>
              <w:jc w:val="both"/>
              <w:rPr>
                <w:rFonts w:ascii="宋体" w:hAnsi="宋体" w:cs="宋体" w:eastAsia="宋体" w:hint="default"/>
                <w:sz w:val="18"/>
                <w:szCs w:val="18"/>
              </w:rPr>
            </w:pPr>
            <w:r>
              <w:rPr>
                <w:rFonts w:ascii="宋体" w:hAnsi="宋体" w:cs="宋体" w:eastAsia="宋体" w:hint="default"/>
                <w:sz w:val="18"/>
                <w:szCs w:val="18"/>
              </w:rPr>
              <w:t>公司董事、监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事、高级管理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人员</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23" w:right="127"/>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712" w:type="dxa"/>
            <w:vMerge w:val="restart"/>
            <w:tcBorders>
              <w:top w:val="single" w:sz="4" w:space="0" w:color="000000"/>
              <w:left w:val="single" w:sz="4" w:space="0" w:color="000000"/>
              <w:right w:val="single" w:sz="4" w:space="0" w:color="000000"/>
            </w:tcBorders>
          </w:tcPr>
          <w:p>
            <w:pPr>
              <w:pStyle w:val="TableParagraph"/>
              <w:spacing w:line="309" w:lineRule="auto" w:before="53"/>
              <w:ind w:left="23"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在任职期间持有公司股票的，每年转让的股份</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不超过其所持股份总数的</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，离职后半年内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不得转让其所持有的公司股份；在申报离任</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6</w:t>
            </w:r>
          </w:p>
          <w:p>
            <w:pPr>
              <w:pStyle w:val="TableParagraph"/>
              <w:spacing w:line="312" w:lineRule="auto" w:before="5"/>
              <w:ind w:left="23" w:right="17"/>
              <w:jc w:val="both"/>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个月内通过证券交易所挂牌交易出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售公司股票数量占所持有公司股票总数的比例</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不超过</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任期期间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及离职后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10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03"/>
              <w:jc w:val="both"/>
              <w:rPr>
                <w:rFonts w:ascii="宋体" w:hAnsi="宋体" w:cs="宋体" w:eastAsia="宋体" w:hint="default"/>
                <w:sz w:val="18"/>
                <w:szCs w:val="18"/>
              </w:rPr>
            </w:pPr>
            <w:r>
              <w:rPr>
                <w:rFonts w:ascii="宋体" w:hAnsi="宋体" w:cs="宋体" w:eastAsia="宋体" w:hint="default"/>
                <w:spacing w:val="-2"/>
                <w:sz w:val="18"/>
                <w:szCs w:val="18"/>
              </w:rPr>
              <w:t>截至本报告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披露之日，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承诺人均遵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守了以上承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r>
      <w:tr>
        <w:trPr>
          <w:trHeight w:val="1330"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24" w:right="27"/>
              <w:jc w:val="both"/>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发行或再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融资时所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作承诺</w:t>
            </w:r>
          </w:p>
        </w:tc>
        <w:tc>
          <w:tcPr>
            <w:tcW w:w="1224" w:type="dxa"/>
            <w:vMerge/>
            <w:tcBorders>
              <w:left w:val="single" w:sz="10" w:space="0" w:color="D2D2D2"/>
              <w:right w:val="single" w:sz="4" w:space="0" w:color="000000"/>
            </w:tcBorders>
          </w:tcPr>
          <w:p>
            <w:pPr/>
          </w:p>
        </w:tc>
        <w:tc>
          <w:tcPr>
            <w:tcW w:w="1066" w:type="dxa"/>
            <w:vMerge/>
            <w:tcBorders>
              <w:left w:val="single" w:sz="4" w:space="0" w:color="000000"/>
              <w:right w:val="single" w:sz="4" w:space="0" w:color="000000"/>
            </w:tcBorders>
          </w:tcPr>
          <w:p>
            <w:pPr/>
          </w:p>
        </w:tc>
        <w:tc>
          <w:tcPr>
            <w:tcW w:w="371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r>
      <w:tr>
        <w:trPr>
          <w:trHeight w:val="317"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4" w:type="dxa"/>
            <w:vMerge/>
            <w:tcBorders>
              <w:left w:val="single" w:sz="10" w:space="0" w:color="D2D2D2"/>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371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0.340729pt;margin-top:382.439972pt;width:45.7pt;height:61pt;mso-position-horizontal-relative:page;mso-position-vertical-relative:page;z-index:-1180528" type="#_x0000_t202" filled="false" stroked="false">
            <v:textbox inset="0,0,0,0">
              <w:txbxContent>
                <w:p>
                  <w:pPr>
                    <w:spacing w:line="240" w:lineRule="auto" w:before="6"/>
                    <w:rPr>
                      <w:rFonts w:ascii="Times New Roman" w:hAnsi="Times New Roman" w:cs="Times New Roman" w:eastAsia="Times New Roman" w:hint="default"/>
                      <w:sz w:val="15"/>
                      <w:szCs w:val="15"/>
                    </w:rPr>
                  </w:pPr>
                </w:p>
                <w:p>
                  <w:pPr>
                    <w:pStyle w:val="BodyText"/>
                    <w:spacing w:line="240" w:lineRule="auto"/>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88"/>
        <w:gridCol w:w="1224"/>
        <w:gridCol w:w="1066"/>
        <w:gridCol w:w="3712"/>
        <w:gridCol w:w="802"/>
        <w:gridCol w:w="864"/>
        <w:gridCol w:w="1042"/>
      </w:tblGrid>
      <w:tr>
        <w:trPr>
          <w:trHeight w:val="1964" w:hRule="exact"/>
        </w:trPr>
        <w:tc>
          <w:tcPr>
            <w:tcW w:w="788" w:type="dxa"/>
            <w:vMerge w:val="restart"/>
            <w:tcBorders>
              <w:top w:val="single" w:sz="4" w:space="0" w:color="000000"/>
              <w:left w:val="single" w:sz="4" w:space="0" w:color="000000"/>
              <w:right w:val="single" w:sz="4" w:space="0" w:color="000000"/>
            </w:tcBorders>
            <w:shd w:val="clear" w:color="auto" w:fill="D2D2D2"/>
          </w:tcPr>
          <w:p>
            <w:pPr/>
          </w:p>
        </w:tc>
        <w:tc>
          <w:tcPr>
            <w:tcW w:w="122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5"/>
              <w:jc w:val="left"/>
              <w:rPr>
                <w:rFonts w:ascii="宋体" w:hAnsi="宋体" w:cs="宋体" w:eastAsia="宋体" w:hint="default"/>
                <w:sz w:val="18"/>
                <w:szCs w:val="18"/>
              </w:rPr>
            </w:pPr>
            <w:r>
              <w:rPr>
                <w:rFonts w:ascii="宋体" w:hAnsi="宋体" w:cs="宋体" w:eastAsia="宋体" w:hint="default"/>
                <w:sz w:val="18"/>
                <w:szCs w:val="18"/>
              </w:rPr>
              <w:t>先锋创业有限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公司、唐进波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新余爱乐投资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管理中心（有限</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合伙）</w:t>
            </w:r>
          </w:p>
        </w:tc>
        <w:tc>
          <w:tcPr>
            <w:tcW w:w="10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7" w:lineRule="exact" w:before="105"/>
              <w:ind w:left="-1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6" w:right="0"/>
              <w:jc w:val="left"/>
              <w:rPr>
                <w:rFonts w:ascii="宋体" w:hAnsi="宋体" w:cs="宋体" w:eastAsia="宋体" w:hint="default"/>
                <w:sz w:val="18"/>
                <w:szCs w:val="18"/>
              </w:rPr>
            </w:pPr>
            <w:r>
              <w:rPr>
                <w:rFonts w:ascii="宋体" w:hAnsi="宋体" w:cs="宋体" w:eastAsia="宋体" w:hint="default"/>
                <w:sz w:val="18"/>
                <w:szCs w:val="18"/>
              </w:rPr>
              <w:t>股份限售承</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p>
            <w:pPr>
              <w:pStyle w:val="TableParagraph"/>
              <w:spacing w:line="974" w:lineRule="exact"/>
              <w:ind w:left="-8"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8pt;height:48.75pt;mso-position-horizontal-relative:char;mso-position-vertical-relative:line" coordorigin="0,0" coordsize="1056,975">
                  <v:group style="position:absolute;left:0;top:0;width:1056;height:624" coordorigin="0,0" coordsize="1056,624">
                    <v:shape style="position:absolute;left:0;top:0;width:1056;height:624" coordorigin="0,0" coordsize="1056,624" path="m0,624l1056,624,1056,0,0,0,0,624xe" filled="true" fillcolor="#ffffff" stroked="false">
                      <v:path arrowok="t"/>
                      <v:fill type="solid"/>
                    </v:shape>
                  </v:group>
                  <v:group style="position:absolute;left:24;top:624;width:1008;height:351" coordorigin="24,624" coordsize="1008,351">
                    <v:shape style="position:absolute;left:24;top:624;width:1008;height:351" coordorigin="24,624" coordsize="1008,351" path="m24,974l1032,974,1032,624,24,624,24,974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4" w:lineRule="auto"/>
              <w:ind w:left="23" w:right="17"/>
              <w:jc w:val="both"/>
              <w:rPr>
                <w:rFonts w:ascii="宋体" w:hAnsi="宋体" w:cs="宋体" w:eastAsia="宋体" w:hint="default"/>
                <w:sz w:val="18"/>
                <w:szCs w:val="18"/>
              </w:rPr>
            </w:pPr>
            <w:r>
              <w:rPr>
                <w:rFonts w:ascii="宋体" w:hAnsi="宋体" w:cs="宋体" w:eastAsia="宋体" w:hint="default"/>
                <w:spacing w:val="-3"/>
                <w:sz w:val="18"/>
                <w:szCs w:val="18"/>
              </w:rPr>
              <w:t>本次非公开发行的股份，自新增股份上市之日</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6"/>
                <w:sz w:val="18"/>
                <w:szCs w:val="18"/>
              </w:rPr>
              <w:t> </w:t>
            </w:r>
            <w:r>
              <w:rPr>
                <w:rFonts w:ascii="宋体" w:hAnsi="宋体" w:cs="宋体" w:eastAsia="宋体" w:hint="default"/>
                <w:spacing w:val="-8"/>
                <w:sz w:val="18"/>
                <w:szCs w:val="18"/>
              </w:rPr>
              <w:t>个月内不得转让。根据相关法律、法规或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其承诺，认购本次非公开发行股票的特定投资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者持有股份的锁定期另有规定或约定的，则服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从相关规定或约定。</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3"/>
              <w:jc w:val="both"/>
              <w:rPr>
                <w:rFonts w:ascii="宋体" w:hAnsi="宋体" w:cs="宋体" w:eastAsia="宋体" w:hint="default"/>
                <w:sz w:val="18"/>
                <w:szCs w:val="18"/>
              </w:rPr>
            </w:pPr>
            <w:r>
              <w:rPr>
                <w:rFonts w:ascii="宋体" w:hAnsi="宋体" w:cs="宋体" w:eastAsia="宋体" w:hint="default"/>
                <w:spacing w:val="-2"/>
                <w:sz w:val="18"/>
                <w:szCs w:val="18"/>
              </w:rPr>
              <w:t>截至本报告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披露之日，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承诺人均遵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守了以上承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诺，且已经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履行完毕。</w:t>
            </w:r>
          </w:p>
        </w:tc>
      </w:tr>
      <w:tr>
        <w:trPr>
          <w:trHeight w:val="1959" w:hRule="exact"/>
        </w:trPr>
        <w:tc>
          <w:tcPr>
            <w:tcW w:w="788"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103"/>
              <w:jc w:val="both"/>
              <w:rPr>
                <w:rFonts w:ascii="宋体" w:hAnsi="宋体" w:cs="宋体" w:eastAsia="宋体" w:hint="default"/>
                <w:sz w:val="18"/>
                <w:szCs w:val="18"/>
              </w:rPr>
            </w:pPr>
            <w:r>
              <w:rPr>
                <w:rFonts w:ascii="宋体" w:hAnsi="宋体" w:cs="宋体" w:eastAsia="宋体" w:hint="default"/>
                <w:spacing w:val="-2"/>
                <w:sz w:val="18"/>
                <w:szCs w:val="18"/>
              </w:rPr>
              <w:t>余斌、罗筱溪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米泽东、陈亮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杨治、吴学军</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7" w:lineRule="exact" w:before="105"/>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56"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股份限售承</w:t>
            </w:r>
          </w:p>
          <w:p>
            <w:pPr>
              <w:pStyle w:val="TableParagraph"/>
              <w:spacing w:line="156"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诺</w:t>
            </w:r>
            <w:r>
              <w:rPr>
                <w:rFonts w:ascii="宋体" w:hAnsi="宋体" w:cs="宋体" w:eastAsia="宋体" w:hint="default"/>
                <w:sz w:val="18"/>
                <w:szCs w:val="18"/>
              </w:rPr>
            </w:r>
          </w:p>
          <w:p>
            <w:pPr>
              <w:pStyle w:val="TableParagraph"/>
              <w:spacing w:line="1337" w:lineRule="exact"/>
              <w:ind w:left="-1" w:right="-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pict>
                <v:group style="width:52.8pt;height:66.9pt;mso-position-horizontal-relative:char;mso-position-vertical-relative:line" coordorigin="0,0" coordsize="1056,1338">
                  <v:group style="position:absolute;left:0;top:0;width:1056;height:624" coordorigin="0,0" coordsize="1056,624">
                    <v:shape style="position:absolute;left:0;top:0;width:1056;height:624" coordorigin="0,0" coordsize="1056,624" path="m0,624l1056,624,1056,0,0,0,0,624xe" filled="true" fillcolor="#ffffff" stroked="false">
                      <v:path arrowok="t"/>
                      <v:fill type="solid"/>
                    </v:shape>
                  </v:group>
                  <v:group style="position:absolute;left:12;top:624;width:2;height:702" coordorigin="12,624" coordsize="2,702">
                    <v:shape style="position:absolute;left:12;top:624;width:2;height:702" coordorigin="12,624" coordsize="0,702" path="m12,624l12,1325e" filled="false" stroked="true" strokeweight="1.2pt" strokecolor="#ffffff">
                      <v:path arrowok="t"/>
                    </v:shape>
                  </v:group>
                  <v:group style="position:absolute;left:24;top:624;width:1008;height:351" coordorigin="24,624" coordsize="1008,351">
                    <v:shape style="position:absolute;left:24;top:624;width:1008;height:351" coordorigin="24,624" coordsize="1008,351" path="m24,975l1032,975,1032,624,24,624,24,975xe" filled="true" fillcolor="#ffffff" stroked="false">
                      <v:path arrowok="t"/>
                      <v:fill type="solid"/>
                    </v:shape>
                  </v:group>
                  <v:group style="position:absolute;left:24;top:975;width:1008;height:351" coordorigin="24,975" coordsize="1008,351">
                    <v:shape style="position:absolute;left:24;top:975;width:1008;height:351" coordorigin="24,975" coordsize="1008,351" path="m24,1325l1032,1325,1032,975,24,975,24,1325xe" filled="true" fillcolor="#ffffff" stroked="false">
                      <v:path arrowok="t"/>
                      <v:fill type="solid"/>
                    </v:shape>
                  </v:group>
                </v:group>
              </w:pict>
            </w:r>
            <w:r>
              <w:rPr>
                <w:rFonts w:ascii="Times New Roman" w:hAnsi="Times New Roman" w:cs="Times New Roman" w:eastAsia="Times New Roman" w:hint="default"/>
                <w:position w:val="-2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70"/>
              <w:jc w:val="both"/>
              <w:rPr>
                <w:rFonts w:ascii="宋体" w:hAnsi="宋体" w:cs="宋体" w:eastAsia="宋体" w:hint="default"/>
                <w:sz w:val="18"/>
                <w:szCs w:val="18"/>
              </w:rPr>
            </w:pPr>
            <w:r>
              <w:rPr>
                <w:rFonts w:ascii="宋体" w:hAnsi="宋体" w:cs="宋体" w:eastAsia="宋体" w:hint="default"/>
                <w:spacing w:val="-3"/>
                <w:sz w:val="18"/>
                <w:szCs w:val="18"/>
              </w:rPr>
              <w:t>通过新余爱乐投资管理中心（有限合伙）认购</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公司非公开发行的股票，自本次非公开发行结</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束之日起三十六个月内不得转让。</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3"/>
              <w:jc w:val="both"/>
              <w:rPr>
                <w:rFonts w:ascii="宋体" w:hAnsi="宋体" w:cs="宋体" w:eastAsia="宋体" w:hint="default"/>
                <w:sz w:val="18"/>
                <w:szCs w:val="18"/>
              </w:rPr>
            </w:pPr>
            <w:r>
              <w:rPr>
                <w:rFonts w:ascii="宋体" w:hAnsi="宋体" w:cs="宋体" w:eastAsia="宋体" w:hint="default"/>
                <w:spacing w:val="-2"/>
                <w:sz w:val="18"/>
                <w:szCs w:val="18"/>
              </w:rPr>
              <w:t>截至本报告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披露之日，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承诺人均遵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守了以上承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诺，且已经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履行完毕。</w:t>
            </w:r>
          </w:p>
        </w:tc>
      </w:tr>
      <w:tr>
        <w:trPr>
          <w:trHeight w:val="2276" w:hRule="exact"/>
        </w:trPr>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2"/>
              <w:ind w:left="24" w:right="27"/>
              <w:jc w:val="both"/>
              <w:rPr>
                <w:rFonts w:ascii="宋体" w:hAnsi="宋体" w:cs="宋体" w:eastAsia="宋体" w:hint="default"/>
                <w:sz w:val="18"/>
                <w:szCs w:val="18"/>
              </w:rPr>
            </w:pPr>
            <w:r>
              <w:rPr>
                <w:rFonts w:ascii="宋体" w:hAnsi="宋体" w:cs="宋体" w:eastAsia="宋体" w:hint="default"/>
                <w:sz w:val="18"/>
                <w:szCs w:val="18"/>
              </w:rPr>
              <w:t>其他对公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司中小股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东所作承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2"/>
              <w:jc w:val="both"/>
              <w:rPr>
                <w:rFonts w:ascii="宋体" w:hAnsi="宋体" w:cs="宋体" w:eastAsia="宋体" w:hint="default"/>
                <w:sz w:val="18"/>
                <w:szCs w:val="18"/>
              </w:rPr>
            </w:pPr>
            <w:r>
              <w:rPr>
                <w:rFonts w:ascii="宋体" w:hAnsi="宋体" w:cs="宋体" w:eastAsia="宋体" w:hint="default"/>
                <w:sz w:val="18"/>
                <w:szCs w:val="18"/>
              </w:rPr>
              <w:t>深圳市神州通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投资集团有限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公司、深圳市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全球星实业有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限公司、黄绍武</w:t>
            </w:r>
            <w:r>
              <w:rPr>
                <w:rFonts w:ascii="宋体" w:hAnsi="宋体" w:cs="宋体" w:eastAsia="宋体" w:hint="default"/>
                <w:spacing w:val="-15"/>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14"/>
                <w:w w:val="101"/>
                <w:sz w:val="18"/>
                <w:szCs w:val="18"/>
              </w:rPr>
              <w:t>易、资金占用</w:t>
            </w:r>
            <w:r>
              <w:rPr>
                <w:rFonts w:ascii="宋体" w:hAnsi="宋体" w:cs="宋体" w:eastAsia="宋体" w:hint="default"/>
                <w:w w:val="101"/>
                <w:sz w:val="18"/>
                <w:szCs w:val="18"/>
              </w:rPr>
              <w:t> </w:t>
            </w:r>
            <w:r>
              <w:rPr>
                <w:rFonts w:ascii="宋体" w:hAnsi="宋体" w:cs="宋体" w:eastAsia="宋体" w:hint="default"/>
                <w:sz w:val="18"/>
                <w:szCs w:val="18"/>
              </w:rPr>
              <w:t>方面的承诺</w:t>
            </w:r>
          </w:p>
        </w:tc>
        <w:tc>
          <w:tcPr>
            <w:tcW w:w="3712"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58"/>
              <w:ind w:left="23" w:right="-41"/>
              <w:jc w:val="left"/>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本公司所控制的企业将来</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不会以任何方式直接或间接从事与公司相竞争</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的业务，不会直接或间接投资、收购竞争企业，</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也不会以任何方式为竞争企业提供任何业务上</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的帮助。如因未履行避免同业竞争的承诺而给</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公司造成损失，将对公司遭受的全部损失作出</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赔偿。</w:t>
            </w:r>
          </w:p>
        </w:tc>
        <w:tc>
          <w:tcPr>
            <w:tcW w:w="80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50" w:lineRule="exact"/>
              <w:ind w:left="16" w:right="-3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7.5pt;height:17.55pt;mso-position-horizontal-relative:char;mso-position-vertical-relative:line" coordorigin="0,0" coordsize="750,351">
                  <v:group style="position:absolute;left:0;top:0;width:750;height:351" coordorigin="0,0" coordsize="750,351">
                    <v:shape style="position:absolute;left:0;top:0;width:750;height:351" coordorigin="0,0" coordsize="750,351" path="m0,350l749,350,749,0,0,0,0,350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pacing w:val="-2"/>
                <w:sz w:val="18"/>
                <w:szCs w:val="18"/>
              </w:rPr>
              <w:t>截至本报告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披露之日，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承诺人均遵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守了以上承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r>
      <w:tr>
        <w:trPr>
          <w:trHeight w:val="3462" w:hRule="exact"/>
        </w:trPr>
        <w:tc>
          <w:tcPr>
            <w:tcW w:w="788" w:type="dxa"/>
            <w:vMerge/>
            <w:tcBorders>
              <w:left w:val="single" w:sz="4" w:space="0" w:color="000000"/>
              <w:right w:val="single" w:sz="4" w:space="0" w:color="000000"/>
            </w:tcBorders>
            <w:shd w:val="clear" w:color="auto" w:fill="D2D2D2"/>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pacing w:val="-5"/>
                <w:sz w:val="18"/>
                <w:szCs w:val="18"/>
              </w:rPr>
              <w:t>自本承诺函出具之日，本人将善意使用控制权</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严格履行控股股东、实际控制人的诚信义务、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信息披露义务及其他义务，不利用控制地位及</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关联关系损害公司和社会公众股股东的利益，</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不通过任何方式影响公司的独立性，不通过任</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何方式影响公司的独立决策，不通过任何方式</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使利益在公司与天音控股之间不正常流动，不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利用与黄绍文之间的亲属关系损害天音控股的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利益。本人将严格履行上述承诺，若违反上述</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承诺，本人将承担一切责任。</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121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pict>
                <v:group style="width:39.65pt;height:61pt;mso-position-horizontal-relative:char;mso-position-vertical-relative:line" coordorigin="0,0" coordsize="793,1220">
                  <v:group style="position:absolute;left:0;top:0;width:793;height:1220" coordorigin="0,0" coordsize="793,1220">
                    <v:shape style="position:absolute;left:0;top:0;width:793;height:1220" coordorigin="0,0" coordsize="793,1220" path="m0,1219l792,1219,792,0,0,0,0,1219xe" filled="true" fillcolor="#ffffff" stroked="false">
                      <v:path arrowok="t"/>
                      <v:fill type="solid"/>
                    </v:shape>
                  </v:group>
                </v:group>
              </w:pict>
            </w:r>
            <w:r>
              <w:rPr>
                <w:rFonts w:ascii="Times New Roman" w:hAnsi="Times New Roman" w:cs="Times New Roman" w:eastAsia="Times New Roman" w:hint="default"/>
                <w:position w:val="-23"/>
                <w:sz w:val="20"/>
                <w:szCs w:val="20"/>
              </w:rPr>
            </w:r>
          </w:p>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3"/>
              <w:ind w:left="23" w:right="103"/>
              <w:jc w:val="both"/>
              <w:rPr>
                <w:rFonts w:ascii="宋体" w:hAnsi="宋体" w:cs="宋体" w:eastAsia="宋体" w:hint="default"/>
                <w:sz w:val="18"/>
                <w:szCs w:val="18"/>
              </w:rPr>
            </w:pPr>
            <w:r>
              <w:rPr>
                <w:rFonts w:ascii="宋体" w:hAnsi="宋体" w:cs="宋体" w:eastAsia="宋体" w:hint="default"/>
                <w:spacing w:val="-2"/>
                <w:sz w:val="18"/>
                <w:szCs w:val="18"/>
              </w:rPr>
              <w:t>截至本报告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披露之日，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承诺人均遵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守了以上承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r>
      <w:tr>
        <w:trPr>
          <w:trHeight w:val="1959" w:hRule="exact"/>
        </w:trPr>
        <w:tc>
          <w:tcPr>
            <w:tcW w:w="788"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z w:val="18"/>
                <w:szCs w:val="18"/>
              </w:rPr>
              <w:t>周友盟、米泽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东、杨治、陈亮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pacing w:val="-2"/>
                <w:sz w:val="18"/>
                <w:szCs w:val="18"/>
              </w:rPr>
              <w:t>股份增持承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计划自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日起六个月内增持公司股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5"/>
                <w:sz w:val="18"/>
                <w:szCs w:val="18"/>
              </w:rPr>
              <w:t>份，合计增持金额不低于人民币 </w:t>
            </w:r>
            <w:r>
              <w:rPr>
                <w:rFonts w:ascii="Times New Roman" w:hAnsi="Times New Roman" w:cs="Times New Roman" w:eastAsia="Times New Roman" w:hint="default"/>
                <w:sz w:val="18"/>
                <w:szCs w:val="18"/>
              </w:rPr>
              <w:t>1,000 </w:t>
            </w:r>
            <w:r>
              <w:rPr>
                <w:rFonts w:ascii="宋体" w:hAnsi="宋体" w:cs="宋体" w:eastAsia="宋体" w:hint="default"/>
                <w:spacing w:val="-13"/>
                <w:sz w:val="18"/>
                <w:szCs w:val="18"/>
              </w:rPr>
              <w:t>万元，不</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3"/>
              <w:jc w:val="both"/>
              <w:rPr>
                <w:rFonts w:ascii="宋体" w:hAnsi="宋体" w:cs="宋体" w:eastAsia="宋体" w:hint="default"/>
                <w:sz w:val="18"/>
                <w:szCs w:val="18"/>
              </w:rPr>
            </w:pPr>
            <w:r>
              <w:rPr>
                <w:rFonts w:ascii="宋体" w:hAnsi="宋体" w:cs="宋体" w:eastAsia="宋体" w:hint="default"/>
                <w:spacing w:val="-2"/>
                <w:sz w:val="18"/>
                <w:szCs w:val="18"/>
              </w:rPr>
              <w:t>截至本报告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披露之日，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承诺人均遵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守了以上承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诺，且已经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履行完毕。</w:t>
            </w:r>
          </w:p>
        </w:tc>
      </w:tr>
    </w:tbl>
    <w:p>
      <w:pPr>
        <w:spacing w:after="0" w:line="316" w:lineRule="auto"/>
        <w:jc w:val="both"/>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0.331604pt;margin-top:72.509979pt;width:45.7pt;height:305.350pt;mso-position-horizontal-relative:page;mso-position-vertical-relative:page;z-index:-1180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w w:val="101"/>
                    </w:rPr>
                    <w:t>，</w:t>
                  </w:r>
                  <w:r>
                    <w:rPr/>
                  </w:r>
                </w:p>
              </w:txbxContent>
            </v:textbox>
            <w10:wrap type="none"/>
          </v:shape>
        </w:pict>
      </w:r>
      <w:r>
        <w:rPr/>
        <w:pict>
          <v:group style="position:absolute;margin-left:396.380005pt;margin-top:72.509979pt;width:39.65pt;height:305.350pt;mso-position-horizontal-relative:page;mso-position-vertical-relative:page;z-index:-1180480" coordorigin="7928,1450" coordsize="793,6107">
            <v:shape style="position:absolute;left:7928;top:1450;width:793;height:6107" coordorigin="7928,1450" coordsize="793,6107" path="m7928,7557l8720,7557,8720,1450,7928,1450,7928,7557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88"/>
        <w:gridCol w:w="1224"/>
        <w:gridCol w:w="1066"/>
        <w:gridCol w:w="3712"/>
        <w:gridCol w:w="802"/>
        <w:gridCol w:w="864"/>
        <w:gridCol w:w="1042"/>
      </w:tblGrid>
      <w:tr>
        <w:trPr>
          <w:trHeight w:val="362" w:hRule="exact"/>
        </w:trPr>
        <w:tc>
          <w:tcPr>
            <w:tcW w:w="788" w:type="dxa"/>
            <w:vMerge w:val="restart"/>
            <w:tcBorders>
              <w:top w:val="single" w:sz="4" w:space="0" w:color="000000"/>
              <w:left w:val="single" w:sz="4" w:space="0" w:color="000000"/>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37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、分配方式：公司可以采取现金、股票或者现</w:t>
            </w:r>
          </w:p>
        </w:tc>
        <w:tc>
          <w:tcPr>
            <w:tcW w:w="802"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1042" w:type="dxa"/>
            <w:tcBorders>
              <w:top w:val="single" w:sz="4" w:space="0" w:color="000000"/>
              <w:left w:val="single" w:sz="4" w:space="0" w:color="000000"/>
              <w:bottom w:val="nil" w:sz="6" w:space="0" w:color="auto"/>
              <w:right w:val="single" w:sz="4" w:space="0" w:color="000000"/>
            </w:tcBorders>
          </w:tcPr>
          <w:p>
            <w:pPr/>
          </w:p>
        </w:tc>
      </w:tr>
      <w:tr>
        <w:trPr>
          <w:trHeight w:val="305"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3"/>
                <w:sz w:val="18"/>
                <w:szCs w:val="18"/>
              </w:rPr>
              <w:t>金与股票相结合方式分配利润，在公司盈利且</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不影响公司正常生产经营所需现金流情况下，</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公司将优先采用现金方式进行利润分配。</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、利</w:t>
            </w:r>
            <w:r>
              <w:rPr>
                <w:rFonts w:ascii="宋体" w:hAnsi="宋体" w:cs="宋体" w:eastAsia="宋体" w:hint="default"/>
                <w:sz w:val="18"/>
                <w:szCs w:val="18"/>
              </w:rPr>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润分配的时间：公司原则上按年进行利润分配</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15"/>
              <w:jc w:val="left"/>
              <w:rPr>
                <w:rFonts w:ascii="宋体" w:hAnsi="宋体" w:cs="宋体" w:eastAsia="宋体" w:hint="default"/>
                <w:sz w:val="18"/>
                <w:szCs w:val="18"/>
              </w:rPr>
            </w:pPr>
            <w:r>
              <w:rPr>
                <w:rFonts w:ascii="宋体" w:hAnsi="宋体" w:cs="宋体" w:eastAsia="宋体" w:hint="default"/>
                <w:spacing w:val="-3"/>
                <w:sz w:val="18"/>
                <w:szCs w:val="18"/>
              </w:rPr>
              <w:t>并可以进行中期利润分配和特别利润分配。</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利润分配的顺序：如果存在以前年度亏损，首</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先弥补以前年度亏损；按照税后净利润的</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10%</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提取法定盈余公积金，法定盈余公积金已达注</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册资本的</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时可不再提取；公司从税后利润</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中提取法定盈余公积金后，经股东大会决议，</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还可以从税后利润中提取任意公积金；公司弥</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补亏损和提取公积金所余税后利润，按照股东</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39"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持有的股份比例分配。</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、利润分配的条件</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）公司该年度或半年度实现的可分配利润</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（即公司弥补亏损、提取公积金后所余的税后</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利润）为正值、且现金流充裕，实施现金分红</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不会影响公司后续持续经营；公司累计可供分</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配利润为正值；审计机构对公司的该年度财务</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7"/>
              <w:ind w:left="23" w:right="103"/>
              <w:jc w:val="left"/>
              <w:rPr>
                <w:rFonts w:ascii="宋体" w:hAnsi="宋体" w:cs="宋体" w:eastAsia="宋体" w:hint="default"/>
                <w:sz w:val="18"/>
                <w:szCs w:val="18"/>
              </w:rPr>
            </w:pPr>
            <w:r>
              <w:rPr>
                <w:rFonts w:ascii="宋体" w:hAnsi="宋体" w:cs="宋体" w:eastAsia="宋体" w:hint="default"/>
                <w:spacing w:val="-2"/>
                <w:sz w:val="18"/>
                <w:szCs w:val="18"/>
              </w:rPr>
              <w:t>深圳市爱施德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19"/>
              <w:jc w:val="both"/>
              <w:rPr>
                <w:rFonts w:ascii="宋体" w:hAnsi="宋体" w:cs="宋体" w:eastAsia="宋体" w:hint="default"/>
                <w:sz w:val="18"/>
                <w:szCs w:val="18"/>
              </w:rPr>
            </w:pPr>
            <w:r>
              <w:rPr>
                <w:rFonts w:ascii="宋体" w:hAnsi="宋体" w:cs="宋体" w:eastAsia="宋体" w:hint="default"/>
                <w:spacing w:val="-3"/>
                <w:sz w:val="18"/>
                <w:szCs w:val="18"/>
              </w:rPr>
              <w:t>报告出具标准无保留意见的审计报告；公司未</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来十二个月无重大投资计划或重大现金支出等</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9"/>
                <w:w w:val="101"/>
                <w:sz w:val="18"/>
                <w:szCs w:val="18"/>
              </w:rPr>
              <w:t>事项发生（募集资金项目除外）。重大投资计划</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或重大现金支出是指公司未来十二个月内拟对</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c>
          <w:tcPr>
            <w:tcW w:w="1042" w:type="dxa"/>
            <w:tcBorders>
              <w:top w:val="nil" w:sz="6" w:space="0" w:color="auto"/>
              <w:left w:val="single" w:sz="4" w:space="0" w:color="000000"/>
              <w:bottom w:val="nil" w:sz="6" w:space="0" w:color="auto"/>
              <w:right w:val="single" w:sz="4" w:space="0" w:color="000000"/>
            </w:tcBorders>
          </w:tcPr>
          <w:p>
            <w:pPr>
              <w:pStyle w:val="TableParagraph"/>
              <w:spacing w:line="319" w:lineRule="auto" w:before="2"/>
              <w:ind w:left="23" w:right="103"/>
              <w:jc w:val="both"/>
              <w:rPr>
                <w:rFonts w:ascii="宋体" w:hAnsi="宋体" w:cs="宋体" w:eastAsia="宋体" w:hint="default"/>
                <w:sz w:val="18"/>
                <w:szCs w:val="18"/>
              </w:rPr>
            </w:pPr>
            <w:r>
              <w:rPr>
                <w:rFonts w:ascii="宋体" w:hAnsi="宋体" w:cs="宋体" w:eastAsia="宋体" w:hint="default"/>
                <w:spacing w:val="-2"/>
                <w:sz w:val="18"/>
                <w:szCs w:val="18"/>
              </w:rPr>
              <w:t>截至本报告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披露之日，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公司遵守了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以上承诺。</w:t>
            </w: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外投资、收购资产、购买设备、建筑物的累计</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支出达到或超过公司最近一期经审计总资产的</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pacing w:val="-5"/>
                <w:w w:val="101"/>
                <w:sz w:val="18"/>
                <w:szCs w:val="18"/>
              </w:rPr>
              <w:t>分</w:t>
            </w:r>
            <w:r>
              <w:rPr>
                <w:rFonts w:ascii="宋体" w:hAnsi="宋体" w:cs="宋体" w:eastAsia="宋体" w:hint="default"/>
                <w:w w:val="101"/>
                <w:sz w:val="18"/>
                <w:szCs w:val="18"/>
              </w:rPr>
              <w:t>红</w:t>
            </w:r>
            <w:r>
              <w:rPr>
                <w:rFonts w:ascii="宋体" w:hAnsi="宋体" w:cs="宋体" w:eastAsia="宋体" w:hint="default"/>
                <w:spacing w:val="-5"/>
                <w:w w:val="101"/>
                <w:sz w:val="18"/>
                <w:szCs w:val="18"/>
              </w:rPr>
              <w:t>的</w:t>
            </w:r>
            <w:r>
              <w:rPr>
                <w:rFonts w:ascii="宋体" w:hAnsi="宋体" w:cs="宋体" w:eastAsia="宋体" w:hint="default"/>
                <w:w w:val="101"/>
                <w:sz w:val="18"/>
                <w:szCs w:val="18"/>
              </w:rPr>
              <w:t>比</w:t>
            </w:r>
            <w:r>
              <w:rPr>
                <w:rFonts w:ascii="宋体" w:hAnsi="宋体" w:cs="宋体" w:eastAsia="宋体" w:hint="default"/>
                <w:spacing w:val="-5"/>
                <w:w w:val="101"/>
                <w:sz w:val="18"/>
                <w:szCs w:val="18"/>
              </w:rPr>
              <w:t>例</w:t>
            </w:r>
            <w:r>
              <w:rPr>
                <w:rFonts w:ascii="宋体" w:hAnsi="宋体" w:cs="宋体" w:eastAsia="宋体" w:hint="default"/>
                <w:w w:val="101"/>
                <w:sz w:val="18"/>
                <w:szCs w:val="18"/>
              </w:rPr>
              <w:t>：</w:t>
            </w:r>
            <w:r>
              <w:rPr>
                <w:rFonts w:ascii="宋体" w:hAnsi="宋体" w:cs="宋体" w:eastAsia="宋体" w:hint="default"/>
                <w:spacing w:val="-5"/>
                <w:w w:val="101"/>
                <w:sz w:val="18"/>
                <w:szCs w:val="18"/>
              </w:rPr>
              <w:t>在</w:t>
            </w:r>
            <w:r>
              <w:rPr>
                <w:rFonts w:ascii="宋体" w:hAnsi="宋体" w:cs="宋体" w:eastAsia="宋体" w:hint="default"/>
                <w:w w:val="101"/>
                <w:sz w:val="18"/>
                <w:szCs w:val="18"/>
              </w:rPr>
              <w:t>不</w:t>
            </w:r>
            <w:r>
              <w:rPr>
                <w:rFonts w:ascii="宋体" w:hAnsi="宋体" w:cs="宋体" w:eastAsia="宋体" w:hint="default"/>
                <w:spacing w:val="-5"/>
                <w:w w:val="101"/>
                <w:sz w:val="18"/>
                <w:szCs w:val="18"/>
              </w:rPr>
              <w:t>损</w:t>
            </w:r>
            <w:r>
              <w:rPr>
                <w:rFonts w:ascii="宋体" w:hAnsi="宋体" w:cs="宋体" w:eastAsia="宋体" w:hint="default"/>
                <w:w w:val="101"/>
                <w:sz w:val="18"/>
                <w:szCs w:val="18"/>
              </w:rPr>
              <w:t>害</w:t>
            </w:r>
            <w:r>
              <w:rPr>
                <w:rFonts w:ascii="宋体" w:hAnsi="宋体" w:cs="宋体" w:eastAsia="宋体" w:hint="default"/>
                <w:spacing w:val="-5"/>
                <w:w w:val="101"/>
                <w:sz w:val="18"/>
                <w:szCs w:val="18"/>
              </w:rPr>
              <w:t>公</w:t>
            </w:r>
            <w:r>
              <w:rPr>
                <w:rFonts w:ascii="宋体" w:hAnsi="宋体" w:cs="宋体" w:eastAsia="宋体" w:hint="default"/>
                <w:w w:val="101"/>
                <w:sz w:val="18"/>
                <w:szCs w:val="18"/>
              </w:rPr>
              <w:t>司持</w:t>
            </w:r>
            <w:r>
              <w:rPr>
                <w:rFonts w:ascii="宋体" w:hAnsi="宋体" w:cs="宋体" w:eastAsia="宋体" w:hint="default"/>
                <w:sz w:val="18"/>
                <w:szCs w:val="18"/>
              </w:rPr>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续经营能力的前提下，公司在任一连续三年中</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以现金方式累计分配的利润不得少于该三年实</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现的年均可分配利润的</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。具体的分红比例</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由董事会根据公司年度盈利状况和未来资金使</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用计划提出预案。公司董事会将综合考虑所处</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行业特点、发展阶段、自身经营模式、盈利水</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平以及是否有重大资金支出安排等因素，区分</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下列情形，并按照公司章程规定的程序，提出</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差</w:t>
            </w:r>
            <w:r>
              <w:rPr>
                <w:rFonts w:ascii="宋体" w:hAnsi="宋体" w:cs="宋体" w:eastAsia="宋体" w:hint="default"/>
                <w:spacing w:val="-5"/>
                <w:w w:val="101"/>
                <w:sz w:val="18"/>
                <w:szCs w:val="18"/>
              </w:rPr>
              <w:t>异</w:t>
            </w:r>
            <w:r>
              <w:rPr>
                <w:rFonts w:ascii="宋体" w:hAnsi="宋体" w:cs="宋体" w:eastAsia="宋体" w:hint="default"/>
                <w:w w:val="101"/>
                <w:sz w:val="18"/>
                <w:szCs w:val="18"/>
              </w:rPr>
              <w:t>化</w:t>
            </w:r>
            <w:r>
              <w:rPr>
                <w:rFonts w:ascii="宋体" w:hAnsi="宋体" w:cs="宋体" w:eastAsia="宋体" w:hint="default"/>
                <w:spacing w:val="-5"/>
                <w:w w:val="101"/>
                <w:sz w:val="18"/>
                <w:szCs w:val="18"/>
              </w:rPr>
              <w:t>的</w:t>
            </w: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政策</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3</w:t>
            </w:r>
            <w:r>
              <w:rPr>
                <w:rFonts w:ascii="宋体" w:hAnsi="宋体" w:cs="宋体" w:eastAsia="宋体" w:hint="default"/>
                <w:w w:val="101"/>
                <w:sz w:val="18"/>
                <w:szCs w:val="18"/>
              </w:rPr>
              <w:t>）</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配的</w:t>
            </w:r>
            <w:r>
              <w:rPr>
                <w:rFonts w:ascii="宋体" w:hAnsi="宋体" w:cs="宋体" w:eastAsia="宋体" w:hint="default"/>
                <w:sz w:val="18"/>
                <w:szCs w:val="18"/>
              </w:rPr>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具体条件：发放股票股利应综合考虑公司的股</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本规模、股权结构等因素。公司在经营情况良</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好，并且董事会认为发放股票股利有利于公司</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全体股东整体利益时且具有公司成长性、每股</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净资产的摊薄等真实合理因素的情况下，可以</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788" w:type="dxa"/>
            <w:vMerge/>
            <w:tcBorders>
              <w:left w:val="single" w:sz="4" w:space="0" w:color="000000"/>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37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在满足上述现金分红的条件下，提出股票股利</w:t>
            </w:r>
          </w:p>
        </w:tc>
        <w:tc>
          <w:tcPr>
            <w:tcW w:w="802" w:type="dxa"/>
            <w:tcBorders>
              <w:top w:val="nil" w:sz="6" w:space="0" w:color="auto"/>
              <w:left w:val="single" w:sz="4" w:space="0" w:color="000000"/>
              <w:bottom w:val="nil" w:sz="6" w:space="0" w:color="auto"/>
              <w:right w:val="single" w:sz="4" w:space="0" w:color="000000"/>
            </w:tcBorders>
          </w:tcPr>
          <w:p>
            <w:pPr/>
          </w:p>
        </w:tc>
        <w:tc>
          <w:tcPr>
            <w:tcW w:w="864" w:type="dxa"/>
            <w:tcBorders>
              <w:top w:val="nil" w:sz="6" w:space="0" w:color="auto"/>
              <w:left w:val="single" w:sz="4" w:space="0" w:color="000000"/>
              <w:bottom w:val="nil" w:sz="6" w:space="0" w:color="auto"/>
              <w:right w:val="single" w:sz="4" w:space="0" w:color="000000"/>
            </w:tcBorders>
          </w:tcPr>
          <w:p>
            <w:pPr/>
          </w:p>
        </w:tc>
        <w:tc>
          <w:tcPr>
            <w:tcW w:w="1042"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788" w:type="dxa"/>
            <w:vMerge/>
            <w:tcBorders>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37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分配预案。</w:t>
            </w:r>
          </w:p>
        </w:tc>
        <w:tc>
          <w:tcPr>
            <w:tcW w:w="802"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104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8" w:type="dxa"/>
        <w:tblLayout w:type="fixed"/>
        <w:tblCellMar>
          <w:top w:w="0" w:type="dxa"/>
          <w:left w:w="0" w:type="dxa"/>
          <w:bottom w:w="0" w:type="dxa"/>
          <w:right w:w="0" w:type="dxa"/>
        </w:tblCellMar>
        <w:tblLook w:val="01E0"/>
      </w:tblPr>
      <w:tblGrid>
        <w:gridCol w:w="788"/>
        <w:gridCol w:w="8710"/>
      </w:tblGrid>
      <w:tr>
        <w:trPr>
          <w:trHeight w:val="715"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z w:val="18"/>
                <w:szCs w:val="18"/>
              </w:rPr>
              <w:t>承诺是否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按时履行</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212"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7"/>
              <w:jc w:val="both"/>
              <w:rPr>
                <w:rFonts w:ascii="宋体" w:hAnsi="宋体" w:cs="宋体" w:eastAsia="宋体" w:hint="default"/>
                <w:sz w:val="18"/>
                <w:szCs w:val="18"/>
              </w:rPr>
            </w:pPr>
            <w:r>
              <w:rPr>
                <w:rFonts w:ascii="宋体" w:hAnsi="宋体" w:cs="宋体" w:eastAsia="宋体" w:hint="default"/>
                <w:sz w:val="18"/>
                <w:szCs w:val="18"/>
              </w:rPr>
              <w:t>如承诺超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期未履行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应当详细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说明未完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成履行的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具体原因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及下一步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的工作计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划</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33"/>
              <w:jc w:val="left"/>
              <w:rPr>
                <w:rFonts w:ascii="宋体" w:hAnsi="宋体" w:cs="宋体" w:eastAsia="宋体" w:hint="default"/>
                <w:sz w:val="18"/>
                <w:szCs w:val="18"/>
              </w:rPr>
            </w:pPr>
            <w:r>
              <w:rPr>
                <w:rFonts w:ascii="宋体" w:hAnsi="宋体" w:cs="宋体" w:eastAsia="宋体" w:hint="default"/>
                <w:spacing w:val="-3"/>
                <w:sz w:val="18"/>
                <w:szCs w:val="18"/>
              </w:rPr>
              <w:t>公司报告期不存在公司、股东、实际控制人、收购人、董事、监事、高级管理人员或其他关联方超期未履行完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毕的承诺事项。</w:t>
            </w:r>
          </w:p>
        </w:tc>
      </w:tr>
    </w:tbl>
    <w:p>
      <w:pPr>
        <w:spacing w:line="240" w:lineRule="auto" w:before="10"/>
        <w:rPr>
          <w:rFonts w:ascii="Times New Roman" w:hAnsi="Times New Roman" w:cs="Times New Roman" w:eastAsia="Times New Roman" w:hint="default"/>
          <w:sz w:val="21"/>
          <w:szCs w:val="21"/>
        </w:rPr>
      </w:pPr>
    </w:p>
    <w:p>
      <w:pPr>
        <w:pStyle w:val="Heading3"/>
        <w:spacing w:line="254" w:lineRule="auto" w:before="36"/>
        <w:ind w:left="173" w:right="355"/>
        <w:jc w:val="left"/>
        <w:rPr>
          <w:b w:val="0"/>
          <w:bCs w:val="0"/>
        </w:rPr>
      </w:pPr>
      <w:bookmarkStart w:name="2、公司资产或项目存在盈利预测，且报告期仍处在盈利预测期间，公司就资产或项目达到" w:id="87"/>
      <w:bookmarkEnd w:id="8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173" w:right="3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173" w:right="355"/>
        <w:jc w:val="left"/>
        <w:rPr>
          <w:b w:val="0"/>
          <w:bCs w:val="0"/>
        </w:rPr>
      </w:pPr>
      <w:bookmarkStart w:name="四、控股股东及其关联方对上市公司的非经营性占用资金情况" w:id="88"/>
      <w:bookmarkEnd w:id="88"/>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pStyle w:val="BodyText"/>
        <w:spacing w:line="343" w:lineRule="auto"/>
        <w:ind w:left="173" w:right="38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left="173" w:right="355"/>
        <w:jc w:val="left"/>
        <w:rPr>
          <w:b w:val="0"/>
          <w:bCs w:val="0"/>
        </w:rPr>
      </w:pPr>
      <w:bookmarkStart w:name="五、董事会、监事会、独立董事（如有）对会计师事务所本报告期“非标准审计报告”的说" w:id="89"/>
      <w:bookmarkEnd w:id="8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173" w:right="3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173" w:right="355"/>
        <w:jc w:val="left"/>
        <w:rPr>
          <w:b w:val="0"/>
          <w:bCs w:val="0"/>
        </w:rPr>
      </w:pPr>
      <w:bookmarkStart w:name="六、与上年度财务报告相比，会计政策、会计估计和核算方法发生变化的情况说明" w:id="90"/>
      <w:bookmarkEnd w:id="90"/>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73" w:right="3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2463"/>
        <w:gridCol w:w="2694"/>
        <w:gridCol w:w="4591"/>
      </w:tblGrid>
      <w:tr>
        <w:trPr>
          <w:trHeight w:val="422" w:hRule="exact"/>
        </w:trPr>
        <w:tc>
          <w:tcPr>
            <w:tcW w:w="246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45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92" w:hRule="exact"/>
        </w:trPr>
        <w:tc>
          <w:tcPr>
            <w:tcW w:w="246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宋体" w:hAnsi="宋体" w:cs="宋体" w:eastAsia="宋体" w:hint="default"/>
                <w:sz w:val="18"/>
                <w:szCs w:val="18"/>
              </w:rPr>
            </w:pPr>
            <w:r>
              <w:rPr>
                <w:rFonts w:ascii="宋体" w:hAnsi="宋体" w:cs="宋体" w:eastAsia="宋体" w:hint="default"/>
                <w:spacing w:val="-3"/>
                <w:sz w:val="18"/>
                <w:szCs w:val="18"/>
              </w:rPr>
              <w:t>新金融工具准则</w:t>
            </w:r>
          </w:p>
        </w:tc>
        <w:tc>
          <w:tcPr>
            <w:tcW w:w="26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pacing w:val="-3"/>
                <w:sz w:val="18"/>
                <w:szCs w:val="18"/>
              </w:rPr>
              <w:t>经公司第四届董事会第二十四次</w:t>
            </w:r>
          </w:p>
          <w:p>
            <w:pPr>
              <w:pStyle w:val="TableParagraph"/>
              <w:spacing w:line="240" w:lineRule="auto" w:before="77"/>
              <w:ind w:left="8" w:right="0"/>
              <w:jc w:val="center"/>
              <w:rPr>
                <w:rFonts w:ascii="宋体" w:hAnsi="宋体" w:cs="宋体" w:eastAsia="宋体" w:hint="default"/>
                <w:sz w:val="18"/>
                <w:szCs w:val="18"/>
              </w:rPr>
            </w:pPr>
            <w:r>
              <w:rPr>
                <w:rFonts w:ascii="宋体" w:hAnsi="宋体" w:cs="宋体" w:eastAsia="宋体" w:hint="default"/>
                <w:sz w:val="18"/>
                <w:szCs w:val="18"/>
              </w:rPr>
              <w:t>（定期）会议审议通过</w:t>
            </w:r>
          </w:p>
        </w:tc>
        <w:tc>
          <w:tcPr>
            <w:tcW w:w="459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4" w:right="-5"/>
              <w:jc w:val="left"/>
              <w:rPr>
                <w:rFonts w:ascii="宋体" w:hAnsi="宋体" w:cs="宋体" w:eastAsia="宋体" w:hint="default"/>
                <w:sz w:val="18"/>
                <w:szCs w:val="18"/>
              </w:rPr>
            </w:pPr>
            <w:r>
              <w:rPr>
                <w:rFonts w:ascii="宋体" w:hAnsi="宋体" w:cs="宋体" w:eastAsia="宋体" w:hint="default"/>
                <w:spacing w:val="-3"/>
                <w:sz w:val="18"/>
                <w:szCs w:val="18"/>
              </w:rPr>
              <w:t>《企业会计准则第</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金融工具确认和计量（</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6"/>
                <w:sz w:val="18"/>
                <w:szCs w:val="18"/>
              </w:rPr>
              <w:t> </w:t>
            </w:r>
            <w:r>
              <w:rPr>
                <w:rFonts w:ascii="宋体" w:hAnsi="宋体" w:cs="宋体" w:eastAsia="宋体" w:hint="default"/>
                <w:spacing w:val="-15"/>
                <w:w w:val="101"/>
                <w:sz w:val="18"/>
                <w:szCs w:val="18"/>
              </w:rPr>
              <w:t>修订）》（财会〔</w:t>
            </w:r>
            <w:r>
              <w:rPr>
                <w:rFonts w:ascii="Times New Roman" w:hAnsi="Times New Roman" w:cs="Times New Roman" w:eastAsia="Times New Roman" w:hint="default"/>
                <w:spacing w:val="-15"/>
                <w:w w:val="101"/>
                <w:sz w:val="18"/>
                <w:szCs w:val="18"/>
              </w:rPr>
              <w:t>2017</w:t>
            </w:r>
            <w:r>
              <w:rPr>
                <w:rFonts w:ascii="宋体" w:hAnsi="宋体" w:cs="宋体" w:eastAsia="宋体" w:hint="default"/>
                <w:spacing w:val="-15"/>
                <w:w w:val="101"/>
                <w:sz w:val="18"/>
                <w:szCs w:val="18"/>
              </w:rPr>
              <w:t>〕</w:t>
            </w:r>
            <w:r>
              <w:rPr>
                <w:rFonts w:ascii="Times New Roman" w:hAnsi="Times New Roman" w:cs="Times New Roman" w:eastAsia="Times New Roman" w:hint="default"/>
                <w:spacing w:val="-15"/>
                <w:w w:val="101"/>
                <w:sz w:val="18"/>
                <w:szCs w:val="18"/>
              </w:rPr>
              <w:t>7</w:t>
            </w:r>
            <w:r>
              <w:rPr>
                <w:rFonts w:ascii="宋体" w:hAnsi="宋体" w:cs="宋体" w:eastAsia="宋体" w:hint="default"/>
                <w:spacing w:val="-15"/>
                <w:w w:val="101"/>
                <w:sz w:val="18"/>
                <w:szCs w:val="18"/>
              </w:rPr>
              <w:t>号）、《企业会计准则第</w:t>
            </w:r>
            <w:r>
              <w:rPr>
                <w:rFonts w:ascii="Times New Roman" w:hAnsi="Times New Roman" w:cs="Times New Roman" w:eastAsia="Times New Roman" w:hint="default"/>
                <w:spacing w:val="-15"/>
                <w:w w:val="101"/>
                <w:sz w:val="18"/>
                <w:szCs w:val="18"/>
              </w:rPr>
              <w:t>23</w:t>
            </w:r>
            <w:r>
              <w:rPr>
                <w:rFonts w:ascii="宋体" w:hAnsi="宋体" w:cs="宋体" w:eastAsia="宋体" w:hint="default"/>
                <w:spacing w:val="-15"/>
                <w:w w:val="101"/>
                <w:sz w:val="18"/>
                <w:szCs w:val="18"/>
              </w:rPr>
              <w:t>号</w:t>
            </w:r>
            <w:r>
              <w:rPr>
                <w:rFonts w:ascii="Times New Roman" w:hAnsi="Times New Roman" w:cs="Times New Roman" w:eastAsia="Times New Roman" w:hint="default"/>
                <w:spacing w:val="-15"/>
                <w:w w:val="101"/>
                <w:sz w:val="18"/>
                <w:szCs w:val="18"/>
              </w:rPr>
              <w:t>——</w:t>
            </w:r>
            <w:r>
              <w:rPr>
                <w:rFonts w:ascii="宋体" w:hAnsi="宋体" w:cs="宋体" w:eastAsia="宋体" w:hint="default"/>
                <w:spacing w:val="-15"/>
                <w:w w:val="101"/>
                <w:sz w:val="18"/>
                <w:szCs w:val="18"/>
              </w:rPr>
              <w:t>金</w:t>
            </w:r>
            <w:r>
              <w:rPr>
                <w:rFonts w:ascii="宋体" w:hAnsi="宋体" w:cs="宋体" w:eastAsia="宋体" w:hint="default"/>
                <w:spacing w:val="-73"/>
                <w:w w:val="101"/>
                <w:sz w:val="18"/>
                <w:szCs w:val="18"/>
              </w:rPr>
              <w:t> </w:t>
            </w:r>
            <w:r>
              <w:rPr>
                <w:rFonts w:ascii="宋体" w:hAnsi="宋体" w:cs="宋体" w:eastAsia="宋体" w:hint="default"/>
                <w:spacing w:val="-14"/>
                <w:w w:val="101"/>
                <w:sz w:val="18"/>
                <w:szCs w:val="18"/>
              </w:rPr>
              <w:t>融资产转移（</w:t>
            </w:r>
            <w:r>
              <w:rPr>
                <w:rFonts w:ascii="Times New Roman" w:hAnsi="Times New Roman" w:cs="Times New Roman" w:eastAsia="Times New Roman" w:hint="default"/>
                <w:spacing w:val="-14"/>
                <w:w w:val="101"/>
                <w:sz w:val="18"/>
                <w:szCs w:val="18"/>
              </w:rPr>
              <w:t>2017</w:t>
            </w:r>
            <w:r>
              <w:rPr>
                <w:rFonts w:ascii="宋体" w:hAnsi="宋体" w:cs="宋体" w:eastAsia="宋体" w:hint="default"/>
                <w:spacing w:val="-14"/>
                <w:w w:val="101"/>
                <w:sz w:val="18"/>
                <w:szCs w:val="18"/>
              </w:rPr>
              <w:t>年修订）》（财会〔</w:t>
            </w:r>
            <w:r>
              <w:rPr>
                <w:rFonts w:ascii="Times New Roman" w:hAnsi="Times New Roman" w:cs="Times New Roman" w:eastAsia="Times New Roman" w:hint="default"/>
                <w:spacing w:val="-14"/>
                <w:w w:val="101"/>
                <w:sz w:val="18"/>
                <w:szCs w:val="18"/>
              </w:rPr>
              <w:t>2017</w:t>
            </w:r>
            <w:r>
              <w:rPr>
                <w:rFonts w:ascii="宋体" w:hAnsi="宋体" w:cs="宋体" w:eastAsia="宋体" w:hint="default"/>
                <w:spacing w:val="-14"/>
                <w:w w:val="101"/>
                <w:sz w:val="18"/>
                <w:szCs w:val="18"/>
              </w:rPr>
              <w:t>〕</w:t>
            </w:r>
            <w:r>
              <w:rPr>
                <w:rFonts w:ascii="Times New Roman" w:hAnsi="Times New Roman" w:cs="Times New Roman" w:eastAsia="Times New Roman" w:hint="default"/>
                <w:spacing w:val="-14"/>
                <w:w w:val="101"/>
                <w:sz w:val="18"/>
                <w:szCs w:val="18"/>
              </w:rPr>
              <w:t>8</w:t>
            </w:r>
            <w:r>
              <w:rPr>
                <w:rFonts w:ascii="宋体" w:hAnsi="宋体" w:cs="宋体" w:eastAsia="宋体" w:hint="default"/>
                <w:spacing w:val="-14"/>
                <w:w w:val="101"/>
                <w:sz w:val="18"/>
                <w:szCs w:val="18"/>
              </w:rPr>
              <w:t>号）、《企业会</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9"/>
                <w:w w:val="101"/>
                <w:sz w:val="18"/>
                <w:szCs w:val="18"/>
              </w:rPr>
              <w:t>计准则第</w:t>
            </w:r>
            <w:r>
              <w:rPr>
                <w:rFonts w:ascii="Times New Roman" w:hAnsi="Times New Roman" w:cs="Times New Roman" w:eastAsia="Times New Roman" w:hint="default"/>
                <w:spacing w:val="-9"/>
                <w:w w:val="101"/>
                <w:sz w:val="18"/>
                <w:szCs w:val="18"/>
              </w:rPr>
              <w:t>24</w:t>
            </w:r>
            <w:r>
              <w:rPr>
                <w:rFonts w:ascii="宋体" w:hAnsi="宋体" w:cs="宋体" w:eastAsia="宋体" w:hint="default"/>
                <w:spacing w:val="-9"/>
                <w:w w:val="101"/>
                <w:sz w:val="18"/>
                <w:szCs w:val="18"/>
              </w:rPr>
              <w:t>号</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套期会计（</w:t>
            </w:r>
            <w:r>
              <w:rPr>
                <w:rFonts w:ascii="Times New Roman" w:hAnsi="Times New Roman" w:cs="Times New Roman" w:eastAsia="Times New Roman" w:hint="default"/>
                <w:spacing w:val="-9"/>
                <w:w w:val="101"/>
                <w:sz w:val="18"/>
                <w:szCs w:val="18"/>
              </w:rPr>
              <w:t>2017</w:t>
            </w:r>
            <w:r>
              <w:rPr>
                <w:rFonts w:ascii="宋体" w:hAnsi="宋体" w:cs="宋体" w:eastAsia="宋体" w:hint="default"/>
                <w:spacing w:val="-9"/>
                <w:w w:val="101"/>
                <w:sz w:val="18"/>
                <w:szCs w:val="18"/>
              </w:rPr>
              <w:t>年修订）》（财会〔</w:t>
            </w:r>
            <w:r>
              <w:rPr>
                <w:rFonts w:ascii="Times New Roman" w:hAnsi="Times New Roman" w:cs="Times New Roman" w:eastAsia="Times New Roman" w:hint="default"/>
                <w:spacing w:val="-9"/>
                <w:w w:val="101"/>
                <w:sz w:val="18"/>
                <w:szCs w:val="18"/>
              </w:rPr>
              <w:t>2017</w:t>
            </w:r>
            <w:r>
              <w:rPr>
                <w:rFonts w:ascii="Times New Roman" w:hAnsi="Times New Roman" w:cs="Times New Roman" w:eastAsia="Times New Roman" w:hint="default"/>
                <w:spacing w:val="-30"/>
                <w:w w:val="101"/>
                <w:sz w:val="18"/>
                <w:szCs w:val="18"/>
              </w:rPr>
              <w:t> </w:t>
            </w:r>
            <w:r>
              <w:rPr>
                <w:rFonts w:ascii="Times New Roman" w:hAnsi="Times New Roman" w:cs="Times New Roman" w:eastAsia="Times New Roman" w:hint="default"/>
                <w:spacing w:val="-30"/>
                <w:w w:val="101"/>
                <w:sz w:val="18"/>
                <w:szCs w:val="18"/>
              </w:rPr>
            </w:r>
            <w:r>
              <w:rPr>
                <w:rFonts w:ascii="Times New Roman" w:hAnsi="Times New Roman" w:cs="Times New Roman" w:eastAsia="Times New Roman" w:hint="default"/>
                <w:spacing w:val="-9"/>
                <w:w w:val="101"/>
                <w:sz w:val="18"/>
                <w:szCs w:val="18"/>
              </w:rPr>
              <w:t>9</w:t>
            </w:r>
            <w:r>
              <w:rPr>
                <w:rFonts w:ascii="宋体" w:hAnsi="宋体" w:cs="宋体" w:eastAsia="宋体" w:hint="default"/>
                <w:spacing w:val="-9"/>
                <w:w w:val="101"/>
                <w:sz w:val="18"/>
                <w:szCs w:val="18"/>
              </w:rPr>
              <w:t>号）、《企业会计准则第</w:t>
            </w:r>
            <w:r>
              <w:rPr>
                <w:rFonts w:ascii="Times New Roman" w:hAnsi="Times New Roman" w:cs="Times New Roman" w:eastAsia="Times New Roman" w:hint="default"/>
                <w:spacing w:val="-9"/>
                <w:w w:val="101"/>
                <w:sz w:val="18"/>
                <w:szCs w:val="18"/>
              </w:rPr>
              <w:t>37</w:t>
            </w:r>
            <w:r>
              <w:rPr>
                <w:rFonts w:ascii="宋体" w:hAnsi="宋体" w:cs="宋体" w:eastAsia="宋体" w:hint="default"/>
                <w:spacing w:val="-9"/>
                <w:w w:val="101"/>
                <w:sz w:val="18"/>
                <w:szCs w:val="18"/>
              </w:rPr>
              <w:t>号</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金融工具列报（</w:t>
            </w:r>
            <w:r>
              <w:rPr>
                <w:rFonts w:ascii="Times New Roman" w:hAnsi="Times New Roman" w:cs="Times New Roman" w:eastAsia="Times New Roman" w:hint="default"/>
                <w:spacing w:val="-9"/>
                <w:w w:val="101"/>
                <w:sz w:val="18"/>
                <w:szCs w:val="18"/>
              </w:rPr>
              <w:t>2017</w:t>
            </w:r>
            <w:r>
              <w:rPr>
                <w:rFonts w:ascii="宋体" w:hAnsi="宋体" w:cs="宋体" w:eastAsia="宋体" w:hint="default"/>
                <w:spacing w:val="-9"/>
                <w:w w:val="101"/>
                <w:sz w:val="18"/>
                <w:szCs w:val="18"/>
              </w:rPr>
              <w:t>年修</w:t>
            </w:r>
            <w:r>
              <w:rPr>
                <w:rFonts w:ascii="宋体" w:hAnsi="宋体" w:cs="宋体" w:eastAsia="宋体" w:hint="default"/>
                <w:spacing w:val="-85"/>
                <w:w w:val="101"/>
                <w:sz w:val="18"/>
                <w:szCs w:val="18"/>
              </w:rPr>
              <w:t> </w:t>
            </w:r>
            <w:r>
              <w:rPr>
                <w:rFonts w:ascii="宋体" w:hAnsi="宋体" w:cs="宋体" w:eastAsia="宋体" w:hint="default"/>
                <w:spacing w:val="-13"/>
                <w:w w:val="101"/>
                <w:sz w:val="18"/>
                <w:szCs w:val="18"/>
              </w:rPr>
              <w:t>订）》（财会〔</w:t>
            </w:r>
            <w:r>
              <w:rPr>
                <w:rFonts w:ascii="Times New Roman" w:hAnsi="Times New Roman" w:cs="Times New Roman" w:eastAsia="Times New Roman" w:hint="default"/>
                <w:spacing w:val="-13"/>
                <w:w w:val="101"/>
                <w:sz w:val="18"/>
                <w:szCs w:val="18"/>
              </w:rPr>
              <w:t>2017</w:t>
            </w:r>
            <w:r>
              <w:rPr>
                <w:rFonts w:ascii="宋体" w:hAnsi="宋体" w:cs="宋体" w:eastAsia="宋体" w:hint="default"/>
                <w:spacing w:val="-13"/>
                <w:w w:val="101"/>
                <w:sz w:val="18"/>
                <w:szCs w:val="18"/>
              </w:rPr>
              <w:t>〕</w:t>
            </w:r>
            <w:r>
              <w:rPr>
                <w:rFonts w:ascii="Times New Roman" w:hAnsi="Times New Roman" w:cs="Times New Roman" w:eastAsia="Times New Roman" w:hint="default"/>
                <w:spacing w:val="-13"/>
                <w:w w:val="101"/>
                <w:sz w:val="18"/>
                <w:szCs w:val="18"/>
              </w:rPr>
              <w:t>14</w:t>
            </w:r>
            <w:r>
              <w:rPr>
                <w:rFonts w:ascii="宋体" w:hAnsi="宋体" w:cs="宋体" w:eastAsia="宋体" w:hint="default"/>
                <w:spacing w:val="-13"/>
                <w:w w:val="101"/>
                <w:sz w:val="18"/>
                <w:szCs w:val="18"/>
              </w:rPr>
              <w:t>号）</w:t>
            </w:r>
            <w:r>
              <w:rPr>
                <w:rFonts w:ascii="宋体" w:hAnsi="宋体" w:cs="宋体" w:eastAsia="宋体" w:hint="default"/>
                <w:spacing w:val="-13"/>
                <w:sz w:val="18"/>
                <w:szCs w:val="18"/>
              </w:rPr>
            </w:r>
          </w:p>
        </w:tc>
      </w:tr>
      <w:tr>
        <w:trPr>
          <w:trHeight w:val="734" w:hRule="exact"/>
        </w:trPr>
        <w:tc>
          <w:tcPr>
            <w:tcW w:w="246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新财务报表格式</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宋体" w:hAnsi="宋体" w:cs="宋体" w:eastAsia="宋体" w:hint="default"/>
                <w:sz w:val="18"/>
                <w:szCs w:val="18"/>
              </w:rPr>
            </w:pPr>
            <w:r>
              <w:rPr>
                <w:rFonts w:ascii="宋体" w:hAnsi="宋体" w:cs="宋体" w:eastAsia="宋体" w:hint="default"/>
                <w:spacing w:val="-3"/>
                <w:sz w:val="18"/>
                <w:szCs w:val="18"/>
              </w:rPr>
              <w:t>经公司第四届董事会第二十八次</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（定期）会议审议通过</w:t>
            </w:r>
          </w:p>
        </w:tc>
        <w:tc>
          <w:tcPr>
            <w:tcW w:w="4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号</w:t>
            </w:r>
          </w:p>
        </w:tc>
      </w:tr>
      <w:tr>
        <w:trPr>
          <w:trHeight w:val="745" w:hRule="exact"/>
        </w:trPr>
        <w:tc>
          <w:tcPr>
            <w:tcW w:w="246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非货币性资产交换</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8" w:right="0"/>
              <w:jc w:val="center"/>
              <w:rPr>
                <w:rFonts w:ascii="宋体" w:hAnsi="宋体" w:cs="宋体" w:eastAsia="宋体" w:hint="default"/>
                <w:sz w:val="18"/>
                <w:szCs w:val="18"/>
              </w:rPr>
            </w:pPr>
            <w:r>
              <w:rPr>
                <w:rFonts w:ascii="宋体" w:hAnsi="宋体" w:cs="宋体" w:eastAsia="宋体" w:hint="default"/>
                <w:spacing w:val="-3"/>
                <w:sz w:val="18"/>
                <w:szCs w:val="18"/>
              </w:rPr>
              <w:t>经公司第四届董事会第二十八次</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（定期）会议审议通过</w:t>
            </w:r>
          </w:p>
        </w:tc>
        <w:tc>
          <w:tcPr>
            <w:tcW w:w="4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871" w:footer="1474" w:top="1060" w:bottom="1660" w:left="960" w:right="0"/>
        </w:sectPr>
      </w:pPr>
    </w:p>
    <w:p>
      <w:pPr>
        <w:spacing w:line="240" w:lineRule="auto" w:before="11"/>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2463"/>
        <w:gridCol w:w="2694"/>
        <w:gridCol w:w="4591"/>
      </w:tblGrid>
      <w:tr>
        <w:trPr>
          <w:trHeight w:val="739" w:hRule="exact"/>
        </w:trPr>
        <w:tc>
          <w:tcPr>
            <w:tcW w:w="246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债务重组</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宋体" w:hAnsi="宋体" w:cs="宋体" w:eastAsia="宋体" w:hint="default"/>
                <w:sz w:val="18"/>
                <w:szCs w:val="18"/>
              </w:rPr>
            </w:pPr>
            <w:r>
              <w:rPr>
                <w:rFonts w:ascii="宋体" w:hAnsi="宋体" w:cs="宋体" w:eastAsia="宋体" w:hint="default"/>
                <w:spacing w:val="-3"/>
                <w:sz w:val="18"/>
                <w:szCs w:val="18"/>
              </w:rPr>
              <w:t>经公司第四届董事会第二十八次</w:t>
            </w:r>
          </w:p>
          <w:p>
            <w:pPr>
              <w:pStyle w:val="TableParagraph"/>
              <w:spacing w:line="240" w:lineRule="auto" w:before="81"/>
              <w:ind w:left="8" w:right="0"/>
              <w:jc w:val="center"/>
              <w:rPr>
                <w:rFonts w:ascii="宋体" w:hAnsi="宋体" w:cs="宋体" w:eastAsia="宋体" w:hint="default"/>
                <w:sz w:val="18"/>
                <w:szCs w:val="18"/>
              </w:rPr>
            </w:pPr>
            <w:r>
              <w:rPr>
                <w:rFonts w:ascii="宋体" w:hAnsi="宋体" w:cs="宋体" w:eastAsia="宋体" w:hint="default"/>
                <w:sz w:val="18"/>
                <w:szCs w:val="18"/>
              </w:rPr>
              <w:t>（定期）会议审议通过</w:t>
            </w:r>
          </w:p>
        </w:tc>
        <w:tc>
          <w:tcPr>
            <w:tcW w:w="4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p>
        </w:tc>
      </w:tr>
    </w:tbl>
    <w:p>
      <w:pPr>
        <w:pStyle w:val="BodyText"/>
        <w:spacing w:line="300" w:lineRule="auto" w:before="53"/>
        <w:ind w:left="173" w:right="355"/>
        <w:jc w:val="left"/>
      </w:pPr>
      <w:r>
        <w:rPr>
          <w:spacing w:val="-4"/>
        </w:rPr>
        <w:t>本年度会计政策、会计估计和核算方法发生变化的具体变更内容及影响，详细见</w:t>
      </w:r>
      <w:r>
        <w:rPr>
          <w:rFonts w:ascii="Times New Roman" w:hAnsi="Times New Roman" w:cs="Times New Roman" w:eastAsia="Times New Roman" w:hint="default"/>
          <w:spacing w:val="-4"/>
        </w:rPr>
        <w:t>“</w:t>
      </w:r>
      <w:r>
        <w:rPr>
          <w:spacing w:val="-4"/>
        </w:rPr>
        <w:t>第十二节 </w:t>
      </w:r>
      <w:r>
        <w:rPr>
          <w:spacing w:val="-6"/>
        </w:rPr>
        <w:t>、五、</w:t>
      </w:r>
      <w:r>
        <w:rPr>
          <w:rFonts w:ascii="Times New Roman" w:hAnsi="Times New Roman" w:cs="Times New Roman" w:eastAsia="Times New Roman" w:hint="default"/>
          <w:spacing w:val="-6"/>
        </w:rPr>
        <w:t>29</w:t>
      </w:r>
      <w:r>
        <w:rPr>
          <w:spacing w:val="-6"/>
        </w:rPr>
        <w:t>、重要会计政策及会计</w:t>
      </w:r>
      <w:r>
        <w:rPr>
          <w:spacing w:val="-2"/>
        </w:rPr>
        <w:t> </w:t>
      </w:r>
      <w:r>
        <w:rPr>
          <w:spacing w:val="-2"/>
        </w:rPr>
      </w:r>
      <w:r>
        <w:rPr/>
        <w:t>估计变更</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9"/>
          <w:szCs w:val="19"/>
        </w:rPr>
      </w:pPr>
    </w:p>
    <w:p>
      <w:pPr>
        <w:pStyle w:val="Heading2"/>
        <w:spacing w:line="240" w:lineRule="auto"/>
        <w:ind w:left="173" w:right="355"/>
        <w:jc w:val="left"/>
        <w:rPr>
          <w:b w:val="0"/>
          <w:bCs w:val="0"/>
        </w:rPr>
      </w:pPr>
      <w:bookmarkStart w:name="七、报告期内发生重大会计差错更正需追溯重述的情况说明" w:id="91"/>
      <w:bookmarkEnd w:id="9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left="173" w:right="557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公司报告期无重大会计差错更正需追溯重述的情况。</w:t>
      </w:r>
    </w:p>
    <w:p>
      <w:pPr>
        <w:spacing w:line="240" w:lineRule="auto" w:before="4"/>
        <w:rPr>
          <w:rFonts w:ascii="宋体" w:hAnsi="宋体" w:cs="宋体" w:eastAsia="宋体" w:hint="default"/>
          <w:sz w:val="18"/>
          <w:szCs w:val="18"/>
        </w:rPr>
      </w:pPr>
    </w:p>
    <w:p>
      <w:pPr>
        <w:pStyle w:val="Heading2"/>
        <w:spacing w:line="240" w:lineRule="auto"/>
        <w:ind w:left="173" w:right="355"/>
        <w:jc w:val="left"/>
        <w:rPr>
          <w:b w:val="0"/>
          <w:bCs w:val="0"/>
        </w:rPr>
      </w:pPr>
      <w:bookmarkStart w:name="八、与上年度财务报告相比，合并报表范围发生变化的情况说明" w:id="92"/>
      <w:bookmarkEnd w:id="9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73" w:right="3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102"/>
        <w:ind w:left="173" w:right="355"/>
        <w:jc w:val="left"/>
      </w:pPr>
      <w:r>
        <w:rPr/>
        <w:t>本公司</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spacing w:val="-3"/>
        </w:rPr>
        <w:t>年度纳入合并范围的子企业共</w:t>
      </w:r>
      <w:r>
        <w:rPr>
          <w:spacing w:val="-34"/>
        </w:rPr>
        <w:t> </w:t>
      </w:r>
      <w:r>
        <w:rPr>
          <w:rFonts w:ascii="Times New Roman" w:hAnsi="Times New Roman" w:cs="Times New Roman" w:eastAsia="Times New Roman" w:hint="default"/>
        </w:rPr>
        <w:t>90</w:t>
      </w:r>
      <w:r>
        <w:rPr>
          <w:rFonts w:ascii="Times New Roman" w:hAnsi="Times New Roman" w:cs="Times New Roman" w:eastAsia="Times New Roman" w:hint="default"/>
          <w:spacing w:val="4"/>
        </w:rPr>
        <w:t> </w:t>
      </w:r>
      <w:r>
        <w:rPr>
          <w:spacing w:val="-3"/>
        </w:rPr>
        <w:t>户，本年度合并范围比上年度增加</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户，减少</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spacing w:val="-3"/>
        </w:rPr>
        <w:t>户，详细见“第十二节</w:t>
      </w:r>
      <w:r>
        <w:rPr>
          <w:spacing w:val="28"/>
        </w:rPr>
        <w:t> </w:t>
      </w:r>
      <w:r>
        <w:rPr/>
        <w:t>财</w:t>
      </w:r>
      <w:r>
        <w:rPr>
          <w:spacing w:val="-85"/>
        </w:rPr>
        <w:t> </w:t>
      </w:r>
      <w:r>
        <w:rPr>
          <w:spacing w:val="-85"/>
        </w:rPr>
      </w:r>
      <w:r>
        <w:rPr>
          <w:spacing w:val="-9"/>
          <w:w w:val="101"/>
        </w:rPr>
        <w:t>务报告、八、合并范围的变更”。</w:t>
      </w:r>
      <w:r>
        <w:rPr>
          <w:spacing w:val="-9"/>
        </w:rPr>
      </w:r>
    </w:p>
    <w:p>
      <w:pPr>
        <w:spacing w:line="240" w:lineRule="auto" w:before="3"/>
        <w:rPr>
          <w:rFonts w:ascii="宋体" w:hAnsi="宋体" w:cs="宋体" w:eastAsia="宋体" w:hint="default"/>
          <w:sz w:val="20"/>
          <w:szCs w:val="20"/>
        </w:rPr>
      </w:pPr>
    </w:p>
    <w:p>
      <w:pPr>
        <w:pStyle w:val="Heading2"/>
        <w:spacing w:line="240" w:lineRule="auto"/>
        <w:ind w:left="173" w:right="355"/>
        <w:jc w:val="left"/>
        <w:rPr>
          <w:b w:val="0"/>
          <w:bCs w:val="0"/>
        </w:rPr>
      </w:pPr>
      <w:bookmarkStart w:name="九、聘任、解聘会计师事务所情况" w:id="93"/>
      <w:bookmarkEnd w:id="93"/>
      <w:r>
        <w:rPr>
          <w:b w:val="0"/>
          <w:bCs w:val="0"/>
        </w:rPr>
      </w:r>
      <w:r>
        <w:rPr/>
        <w:t>九、聘任、解聘会计师事务所情况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73" w:right="355"/>
        <w:jc w:val="left"/>
      </w:pPr>
      <w:r>
        <w:rPr/>
        <w:t>现聘任的会计师事务所</w:t>
      </w:r>
    </w:p>
    <w:p>
      <w:pPr>
        <w:spacing w:line="240" w:lineRule="auto" w:before="8"/>
        <w:rPr>
          <w:rFonts w:ascii="宋体" w:hAnsi="宋体" w:cs="宋体" w:eastAsia="宋体" w:hint="default"/>
          <w:sz w:val="7"/>
          <w:szCs w:val="7"/>
        </w:rPr>
      </w:pPr>
    </w:p>
    <w:tbl>
      <w:tblPr>
        <w:tblW w:w="0" w:type="auto"/>
        <w:jc w:val="left"/>
        <w:tblInd w:w="16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亚太（集团）会计师事务所（特殊普通合伙）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90</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周英、林丹妮</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3"/>
        <w:ind w:left="173" w:right="355"/>
        <w:jc w:val="left"/>
      </w:pPr>
      <w:r>
        <w:rPr>
          <w:spacing w:val="-3"/>
        </w:rPr>
        <w:t>当期是否改聘会计师事务所</w:t>
      </w:r>
    </w:p>
    <w:p>
      <w:pPr>
        <w:pStyle w:val="BodyText"/>
        <w:spacing w:line="338" w:lineRule="auto" w:before="119"/>
        <w:ind w:left="173" w:right="557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1"/>
        <w:ind w:left="173" w:right="3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left="173" w:right="355"/>
        <w:jc w:val="left"/>
        <w:rPr>
          <w:b w:val="0"/>
          <w:bCs w:val="0"/>
        </w:rPr>
      </w:pPr>
      <w:bookmarkStart w:name="十、年度报告披露后面临暂停上市和终止上市情况" w:id="94"/>
      <w:bookmarkEnd w:id="94"/>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73" w:right="3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173" w:right="355"/>
        <w:jc w:val="left"/>
        <w:rPr>
          <w:b w:val="0"/>
          <w:bCs w:val="0"/>
        </w:rPr>
      </w:pPr>
      <w:bookmarkStart w:name="十一、破产重整相关事项" w:id="95"/>
      <w:bookmarkEnd w:id="95"/>
      <w:r>
        <w:rPr>
          <w:b w:val="0"/>
          <w:bCs w:val="0"/>
        </w:rPr>
      </w:r>
      <w:r>
        <w:rPr/>
        <w:t>十一、破产重整相关事项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left="173" w:right="650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10"/>
        <w:rPr>
          <w:rFonts w:ascii="宋体" w:hAnsi="宋体" w:cs="宋体" w:eastAsia="宋体" w:hint="default"/>
          <w:sz w:val="18"/>
          <w:szCs w:val="18"/>
        </w:rPr>
      </w:pPr>
    </w:p>
    <w:p>
      <w:pPr>
        <w:pStyle w:val="Heading2"/>
        <w:spacing w:line="240" w:lineRule="auto"/>
        <w:ind w:left="173" w:right="355"/>
        <w:jc w:val="left"/>
        <w:rPr>
          <w:b w:val="0"/>
          <w:bCs w:val="0"/>
        </w:rPr>
      </w:pPr>
      <w:bookmarkStart w:name="十二、重大诉讼、仲裁事项" w:id="96"/>
      <w:bookmarkEnd w:id="96"/>
      <w:r>
        <w:rPr>
          <w:b w:val="0"/>
          <w:bCs w:val="0"/>
        </w:rPr>
      </w:r>
      <w:r>
        <w:rPr/>
        <w:t>十二、重大诉讼、仲裁事项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73" w:right="3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060" w:bottom="1660" w:left="960" w:right="0"/>
        </w:sectPr>
      </w:pPr>
    </w:p>
    <w:p>
      <w:pPr>
        <w:spacing w:line="240" w:lineRule="auto" w:before="0"/>
        <w:rPr>
          <w:rFonts w:ascii="Times New Roman" w:hAnsi="Times New Roman" w:cs="Times New Roman" w:eastAsia="Times New Roman" w:hint="default"/>
          <w:sz w:val="20"/>
          <w:szCs w:val="20"/>
        </w:rPr>
      </w:pPr>
      <w:r>
        <w:rPr/>
        <w:pict>
          <v:group style="position:absolute;margin-left:367.820007pt;margin-top:429.235992pt;width:114.1pt;height:95.8pt;mso-position-horizontal-relative:page;mso-position-vertical-relative:page;z-index:-1180432" coordorigin="7356,8585" coordsize="2282,1916">
            <v:group style="position:absolute;left:7356;top:9876;width:1191;height:312" coordorigin="7356,9876" coordsize="1191,312">
              <v:shape style="position:absolute;left:7356;top:9876;width:1191;height:312" coordorigin="7356,9876" coordsize="1191,312" path="m7356,10188l8547,10188,8547,9876,7356,9876,7356,10188xe" filled="true" fillcolor="#ffffff" stroked="false">
                <v:path arrowok="t"/>
                <v:fill type="solid"/>
              </v:shape>
            </v:group>
            <v:group style="position:absolute;left:7356;top:10188;width:1191;height:312" coordorigin="7356,10188" coordsize="1191,312">
              <v:shape style="position:absolute;left:7356;top:10188;width:1191;height:312" coordorigin="7356,10188" coordsize="1191,312" path="m7356,10500l8547,10500,8547,10188,7356,10188,7356,10500xe" filled="true" fillcolor="#ffffff" stroked="false">
                <v:path arrowok="t"/>
                <v:fill type="solid"/>
              </v:shape>
            </v:group>
            <v:group style="position:absolute;left:8581;top:8585;width:1057;height:1388" coordorigin="8581,8585" coordsize="1057,1388">
              <v:shape style="position:absolute;left:8581;top:8585;width:1057;height:1388" coordorigin="8581,8585" coordsize="1057,1388" path="m8581,9972l9637,9972,9637,8585,8581,8585,8581,9972xe" filled="true" fillcolor="#ffffff" stroked="false">
                <v:path arrowok="t"/>
                <v:fill type="solid"/>
              </v:shape>
            </v:group>
            <w10:wrap type="none"/>
          </v:group>
        </w:pict>
      </w:r>
      <w:r>
        <w:rPr/>
        <w:pict>
          <v:group style="position:absolute;margin-left:429.049988pt;margin-top:535.825989pt;width:52.85pt;height:69.150pt;mso-position-horizontal-relative:page;mso-position-vertical-relative:page;z-index:-1180408" coordorigin="8581,10717" coordsize="1057,1383">
            <v:shape style="position:absolute;left:8581;top:10717;width:1057;height:1383" coordorigin="8581,10717" coordsize="1057,1383" path="m8581,12099l9637,12099,9637,10717,8581,10717,8581,12099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53"/>
        <w:gridCol w:w="854"/>
        <w:gridCol w:w="812"/>
        <w:gridCol w:w="932"/>
        <w:gridCol w:w="2444"/>
        <w:gridCol w:w="1249"/>
        <w:gridCol w:w="1066"/>
        <w:gridCol w:w="1061"/>
      </w:tblGrid>
      <w:tr>
        <w:trPr>
          <w:trHeight w:val="715" w:hRule="exact"/>
        </w:trPr>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302" w:right="55" w:hanging="240"/>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w:t>
            </w:r>
            <w:r>
              <w:rPr>
                <w:rFonts w:ascii="宋体" w:hAnsi="宋体" w:cs="宋体" w:eastAsia="宋体" w:hint="default"/>
                <w:spacing w:val="-76"/>
                <w:sz w:val="18"/>
                <w:szCs w:val="18"/>
              </w:rPr>
              <w:t> </w:t>
            </w:r>
            <w:r>
              <w:rPr>
                <w:rFonts w:ascii="宋体" w:hAnsi="宋体" w:cs="宋体" w:eastAsia="宋体" w:hint="default"/>
                <w:sz w:val="18"/>
                <w:szCs w:val="18"/>
              </w:rPr>
              <w:t>本情况</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36"/>
              <w:jc w:val="left"/>
              <w:rPr>
                <w:rFonts w:ascii="宋体" w:hAnsi="宋体" w:cs="宋体" w:eastAsia="宋体" w:hint="default"/>
                <w:sz w:val="18"/>
                <w:szCs w:val="18"/>
              </w:rPr>
            </w:pPr>
            <w:r>
              <w:rPr>
                <w:rFonts w:ascii="宋体" w:hAnsi="宋体" w:cs="宋体" w:eastAsia="宋体" w:hint="default"/>
                <w:sz w:val="18"/>
                <w:szCs w:val="18"/>
              </w:rPr>
              <w:t>是否形成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预计负债</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78" w:right="3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进展</w:t>
            </w: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pacing w:val="-3"/>
                <w:sz w:val="18"/>
                <w:szCs w:val="18"/>
              </w:rPr>
              <w:t>诉讼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仲裁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审理结果及影响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68" w:right="103" w:hanging="58"/>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07"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4" w:right="32"/>
              <w:jc w:val="both"/>
              <w:rPr>
                <w:rFonts w:ascii="宋体" w:hAnsi="宋体" w:cs="宋体" w:eastAsia="宋体" w:hint="default"/>
                <w:sz w:val="18"/>
                <w:szCs w:val="18"/>
              </w:rPr>
            </w:pPr>
            <w:r>
              <w:rPr>
                <w:rFonts w:ascii="宋体" w:hAnsi="宋体" w:cs="宋体" w:eastAsia="宋体" w:hint="default"/>
                <w:spacing w:val="-2"/>
                <w:sz w:val="18"/>
                <w:szCs w:val="18"/>
              </w:rPr>
              <w:t>中国农垦集团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有限公司买卖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合同纠纷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二审</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z w:val="18"/>
                <w:szCs w:val="18"/>
              </w:rPr>
              <w:t>深圳市中级人民法院于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日受理案件；</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日裁定驳回中国农垦的管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w w:val="101"/>
                <w:sz w:val="18"/>
                <w:szCs w:val="18"/>
              </w:rPr>
              <w:t>辖</w:t>
            </w:r>
            <w:r>
              <w:rPr>
                <w:rFonts w:ascii="宋体" w:hAnsi="宋体" w:cs="宋体" w:eastAsia="宋体" w:hint="default"/>
                <w:spacing w:val="-5"/>
                <w:w w:val="101"/>
                <w:sz w:val="18"/>
                <w:szCs w:val="18"/>
              </w:rPr>
              <w:t>权</w:t>
            </w:r>
            <w:r>
              <w:rPr>
                <w:rFonts w:ascii="宋体" w:hAnsi="宋体" w:cs="宋体" w:eastAsia="宋体" w:hint="default"/>
                <w:w w:val="101"/>
                <w:sz w:val="18"/>
                <w:szCs w:val="18"/>
              </w:rPr>
              <w:t>异议</w:t>
            </w:r>
            <w:r>
              <w:rPr>
                <w:rFonts w:ascii="宋体" w:hAnsi="宋体" w:cs="宋体" w:eastAsia="宋体" w:hint="default"/>
                <w:spacing w:val="-91"/>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日开</w:t>
            </w:r>
            <w:r>
              <w:rPr>
                <w:rFonts w:ascii="宋体" w:hAnsi="宋体" w:cs="宋体" w:eastAsia="宋体" w:hint="default"/>
                <w:sz w:val="18"/>
                <w:szCs w:val="18"/>
              </w:rPr>
            </w:r>
          </w:p>
          <w:p>
            <w:pPr>
              <w:pStyle w:val="TableParagraph"/>
              <w:spacing w:line="312" w:lineRule="auto" w:before="63"/>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庭审判，并于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日做支持我司诉求的判决。之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后，中国农垦提起上诉，广东</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省高级人民法院于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304" w:lineRule="auto" w:before="3"/>
              <w:ind w:left="23" w:right="1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日开庭审理，尚未作出判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38" w:lineRule="auto"/>
              <w:ind w:left="24" w:right="-48"/>
              <w:jc w:val="left"/>
              <w:rPr>
                <w:rFonts w:ascii="宋体" w:hAnsi="宋体" w:cs="宋体" w:eastAsia="宋体" w:hint="default"/>
                <w:sz w:val="18"/>
                <w:szCs w:val="18"/>
              </w:rPr>
            </w:pPr>
            <w:r>
              <w:rPr>
                <w:rFonts w:ascii="宋体" w:hAnsi="宋体" w:cs="宋体" w:eastAsia="宋体" w:hint="default"/>
                <w:spacing w:val="-3"/>
                <w:sz w:val="18"/>
                <w:szCs w:val="18"/>
              </w:rPr>
              <w:t>等待二审判决。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已查封了中国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农垦名下农发</w:t>
            </w:r>
          </w:p>
          <w:p>
            <w:pPr>
              <w:pStyle w:val="TableParagraph"/>
              <w:spacing w:line="319" w:lineRule="auto" w:before="2"/>
              <w:ind w:left="24" w:right="36"/>
              <w:jc w:val="left"/>
              <w:rPr>
                <w:rFonts w:ascii="宋体" w:hAnsi="宋体" w:cs="宋体" w:eastAsia="宋体" w:hint="default"/>
                <w:sz w:val="18"/>
                <w:szCs w:val="18"/>
              </w:rPr>
            </w:pPr>
            <w:r>
              <w:rPr>
                <w:rFonts w:ascii="宋体" w:hAnsi="宋体" w:cs="宋体" w:eastAsia="宋体" w:hint="default"/>
                <w:sz w:val="18"/>
                <w:szCs w:val="18"/>
              </w:rPr>
              <w:t>种业</w:t>
            </w:r>
            <w:r>
              <w:rPr>
                <w:rFonts w:ascii="宋体" w:hAnsi="宋体" w:cs="宋体" w:eastAsia="宋体" w:hint="default"/>
                <w:sz w:val="18"/>
                <w:szCs w:val="18"/>
              </w:rPr>
              <w:t>(</w:t>
            </w:r>
            <w:r>
              <w:rPr>
                <w:rFonts w:ascii="宋体" w:hAnsi="宋体" w:cs="宋体" w:eastAsia="宋体" w:hint="default"/>
                <w:sz w:val="18"/>
                <w:szCs w:val="18"/>
              </w:rPr>
              <w:t>股票代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码</w:t>
            </w:r>
            <w:r>
              <w:rPr>
                <w:rFonts w:ascii="宋体" w:hAnsi="宋体" w:cs="宋体" w:eastAsia="宋体" w:hint="default"/>
                <w:spacing w:val="-1"/>
                <w:sz w:val="18"/>
                <w:szCs w:val="18"/>
              </w:rPr>
              <w:t>:600313)44,</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896,226</w:t>
            </w:r>
            <w:r>
              <w:rPr>
                <w:rFonts w:ascii="宋体" w:hAnsi="宋体" w:cs="宋体" w:eastAsia="宋体" w:hint="default"/>
                <w:spacing w:val="-39"/>
                <w:sz w:val="18"/>
                <w:szCs w:val="18"/>
              </w:rPr>
              <w:t> </w:t>
            </w:r>
            <w:r>
              <w:rPr>
                <w:rFonts w:ascii="宋体" w:hAnsi="宋体" w:cs="宋体" w:eastAsia="宋体" w:hint="default"/>
                <w:sz w:val="18"/>
                <w:szCs w:val="18"/>
              </w:rPr>
              <w:t>股股</w:t>
            </w:r>
          </w:p>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12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2.85pt;height:61.5pt;mso-position-horizontal-relative:char;mso-position-vertical-relative:line" coordorigin="0,0" coordsize="1057,1230">
                  <v:group style="position:absolute;left:0;top:0;width:1057;height:1230" coordorigin="0,0" coordsize="1057,1230">
                    <v:shape style="position:absolute;left:0;top:0;width:1057;height:1230" coordorigin="0,0" coordsize="1057,1230" path="m0,1229l1056,1229,1056,0,0,0,0,1229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4" w:lineRule="auto" w:before="109"/>
              <w:ind w:left="24"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2"/>
                <w:sz w:val="18"/>
                <w:szCs w:val="18"/>
              </w:rPr>
              <w:t>com.cn</w:t>
            </w:r>
          </w:p>
        </w:tc>
      </w:tr>
      <w:tr>
        <w:trPr>
          <w:trHeight w:val="3212"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32"/>
              <w:jc w:val="both"/>
              <w:rPr>
                <w:rFonts w:ascii="宋体" w:hAnsi="宋体" w:cs="宋体" w:eastAsia="宋体" w:hint="default"/>
                <w:sz w:val="18"/>
                <w:szCs w:val="18"/>
              </w:rPr>
            </w:pPr>
            <w:r>
              <w:rPr>
                <w:rFonts w:ascii="宋体" w:hAnsi="宋体" w:cs="宋体" w:eastAsia="宋体" w:hint="default"/>
                <w:spacing w:val="-2"/>
                <w:sz w:val="18"/>
                <w:szCs w:val="18"/>
              </w:rPr>
              <w:t>深圳市飞马国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际供应链股份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壮勉票据纠纷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4,425.25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深圳市福田区人民法院于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p>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日受理案件，</w:t>
            </w:r>
            <w:r>
              <w:rPr>
                <w:rFonts w:ascii="Times New Roman" w:hAnsi="Times New Roman" w:cs="Times New Roman" w:eastAsia="Times New Roman" w:hint="default"/>
                <w:sz w:val="18"/>
                <w:szCs w:val="18"/>
              </w:rPr>
              <w:t>2018</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日开庭审理，并于</w:t>
            </w:r>
          </w:p>
          <w:p>
            <w:pPr>
              <w:pStyle w:val="TableParagraph"/>
              <w:spacing w:line="312" w:lineRule="auto" w:before="63"/>
              <w:ind w:left="23"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日作出支持我司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诉求的判决。之后，飞马国际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提起上诉，深圳市中级人民法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院于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日二审开</w:t>
            </w:r>
          </w:p>
          <w:p>
            <w:pPr>
              <w:pStyle w:val="TableParagraph"/>
              <w:spacing w:line="312" w:lineRule="auto" w:before="3"/>
              <w:ind w:left="23" w:right="65"/>
              <w:jc w:val="both"/>
              <w:rPr>
                <w:rFonts w:ascii="宋体" w:hAnsi="宋体" w:cs="宋体" w:eastAsia="宋体" w:hint="default"/>
                <w:sz w:val="18"/>
                <w:szCs w:val="18"/>
              </w:rPr>
            </w:pPr>
            <w:r>
              <w:rPr>
                <w:rFonts w:ascii="宋体" w:hAnsi="宋体" w:cs="宋体" w:eastAsia="宋体" w:hint="default"/>
                <w:sz w:val="18"/>
                <w:szCs w:val="18"/>
              </w:rPr>
              <w:t>庭审理，于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pacing w:val="-3"/>
                <w:sz w:val="18"/>
                <w:szCs w:val="18"/>
              </w:rPr>
              <w:t>作出了驳回上诉，维持原判的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判决。</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312"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日申</w:t>
            </w:r>
            <w:r>
              <w:rPr>
                <w:rFonts w:ascii="宋体" w:hAnsi="宋体" w:cs="宋体" w:eastAsia="宋体" w:hint="default"/>
                <w:spacing w:val="-88"/>
                <w:sz w:val="18"/>
                <w:szCs w:val="18"/>
              </w:rPr>
              <w:t> </w:t>
            </w:r>
            <w:r>
              <w:rPr>
                <w:rFonts w:ascii="宋体" w:hAnsi="宋体" w:cs="宋体" w:eastAsia="宋体" w:hint="default"/>
                <w:spacing w:val="-12"/>
                <w:w w:val="101"/>
                <w:sz w:val="18"/>
                <w:szCs w:val="18"/>
              </w:rPr>
              <w:t>请强制执行，从</w:t>
            </w:r>
            <w:r>
              <w:rPr>
                <w:rFonts w:ascii="宋体" w:hAnsi="宋体" w:cs="宋体" w:eastAsia="宋体" w:hint="default"/>
                <w:w w:val="101"/>
                <w:sz w:val="18"/>
                <w:szCs w:val="18"/>
              </w:rPr>
              <w:t> </w:t>
            </w:r>
            <w:r>
              <w:rPr>
                <w:rFonts w:ascii="宋体" w:hAnsi="宋体" w:cs="宋体" w:eastAsia="宋体" w:hint="default"/>
                <w:sz w:val="18"/>
                <w:szCs w:val="18"/>
              </w:rPr>
              <w:t>飞马国际银行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账户划扣</w:t>
            </w:r>
          </w:p>
          <w:p>
            <w:pPr>
              <w:pStyle w:val="TableParagraph"/>
              <w:spacing w:line="240" w:lineRule="auto" w:before="2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4620.83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14"/>
              <w:ind w:left="24"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2"/>
                <w:sz w:val="18"/>
                <w:szCs w:val="18"/>
              </w:rPr>
              <w:t>com.cn</w:t>
            </w:r>
          </w:p>
        </w:tc>
      </w:tr>
      <w:tr>
        <w:trPr>
          <w:trHeight w:val="3524"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32"/>
              <w:jc w:val="both"/>
              <w:rPr>
                <w:rFonts w:ascii="宋体" w:hAnsi="宋体" w:cs="宋体" w:eastAsia="宋体" w:hint="default"/>
                <w:sz w:val="18"/>
                <w:szCs w:val="18"/>
              </w:rPr>
            </w:pPr>
            <w:r>
              <w:rPr>
                <w:rFonts w:ascii="宋体" w:hAnsi="宋体" w:cs="宋体" w:eastAsia="宋体" w:hint="default"/>
                <w:spacing w:val="-2"/>
                <w:sz w:val="18"/>
                <w:szCs w:val="18"/>
              </w:rPr>
              <w:t>深圳市飞马国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际供应链股份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海寰亚电力运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营有限公司、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黄壮勉、俞倪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荣、谢雨彤票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据纠纷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2,829.65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二审</w:t>
            </w:r>
          </w:p>
        </w:tc>
        <w:tc>
          <w:tcPr>
            <w:tcW w:w="244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深圳市福田区人民法院已于</w:t>
            </w:r>
          </w:p>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日受理案件，于</w:t>
            </w:r>
          </w:p>
          <w:p>
            <w:pPr>
              <w:pStyle w:val="TableParagraph"/>
              <w:spacing w:line="312"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日开庭审理并作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出支持我司诉求的判决。之后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飞马国际提起上诉，深圳市中</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级人民法院于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日二审开庭审理，尚未作出判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决。</w:t>
            </w:r>
          </w:p>
        </w:tc>
        <w:tc>
          <w:tcPr>
            <w:tcW w:w="1249" w:type="dxa"/>
            <w:tcBorders>
              <w:top w:val="single" w:sz="4" w:space="0" w:color="000000"/>
              <w:left w:val="single" w:sz="13" w:space="0" w:color="FFFFFF"/>
              <w:bottom w:val="single" w:sz="4" w:space="0" w:color="000000"/>
              <w:right w:val="single" w:sz="10" w:space="0" w:color="FFFFFF"/>
            </w:tcBorders>
          </w:tcPr>
          <w:p>
            <w:pPr>
              <w:pStyle w:val="TableParagraph"/>
              <w:spacing w:line="319" w:lineRule="auto" w:before="53"/>
              <w:ind w:left="12" w:right="-55"/>
              <w:jc w:val="left"/>
              <w:rPr>
                <w:rFonts w:ascii="宋体" w:hAnsi="宋体" w:cs="宋体" w:eastAsia="宋体" w:hint="default"/>
                <w:sz w:val="18"/>
                <w:szCs w:val="18"/>
              </w:rPr>
            </w:pPr>
            <w:r>
              <w:rPr>
                <w:rFonts w:ascii="宋体" w:hAnsi="宋体" w:cs="宋体" w:eastAsia="宋体" w:hint="default"/>
                <w:spacing w:val="-3"/>
                <w:sz w:val="18"/>
                <w:szCs w:val="18"/>
              </w:rPr>
              <w:t>等待二审判决。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我司已与上海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寰亚电力运营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有限公司、俞倪</w:t>
            </w:r>
          </w:p>
          <w:p>
            <w:pPr>
              <w:pStyle w:val="TableParagraph"/>
              <w:spacing w:line="195" w:lineRule="exact" w:before="17"/>
              <w:ind w:left="12" w:right="0"/>
              <w:jc w:val="left"/>
              <w:rPr>
                <w:rFonts w:ascii="宋体" w:hAnsi="宋体" w:cs="宋体" w:eastAsia="宋体" w:hint="default"/>
                <w:sz w:val="18"/>
                <w:szCs w:val="18"/>
              </w:rPr>
            </w:pPr>
            <w:r>
              <w:rPr>
                <w:rFonts w:ascii="宋体" w:hAnsi="宋体" w:cs="宋体" w:eastAsia="宋体" w:hint="default"/>
                <w:spacing w:val="-12"/>
                <w:sz w:val="18"/>
                <w:szCs w:val="18"/>
              </w:rPr>
              <w:t>荣、谢雨彤、谭</w:t>
            </w:r>
          </w:p>
          <w:p>
            <w:pPr>
              <w:pStyle w:val="TableParagraph"/>
              <w:spacing w:line="156" w:lineRule="exact"/>
              <w:ind w:left="-128"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2" w:right="-55"/>
              <w:jc w:val="left"/>
              <w:rPr>
                <w:rFonts w:ascii="宋体" w:hAnsi="宋体" w:cs="宋体" w:eastAsia="宋体" w:hint="default"/>
                <w:sz w:val="18"/>
                <w:szCs w:val="18"/>
              </w:rPr>
            </w:pPr>
            <w:r>
              <w:rPr>
                <w:rFonts w:ascii="宋体" w:hAnsi="宋体" w:cs="宋体" w:eastAsia="宋体" w:hint="default"/>
                <w:spacing w:val="-3"/>
                <w:sz w:val="18"/>
                <w:szCs w:val="18"/>
              </w:rPr>
              <w:t>寓丹达成和解，</w:t>
            </w:r>
          </w:p>
          <w:p>
            <w:pPr>
              <w:pStyle w:val="TableParagraph"/>
              <w:spacing w:line="319" w:lineRule="auto" w:before="76"/>
              <w:ind w:left="12" w:right="-55"/>
              <w:jc w:val="left"/>
              <w:rPr>
                <w:rFonts w:ascii="宋体" w:hAnsi="宋体" w:cs="宋体" w:eastAsia="宋体" w:hint="default"/>
                <w:sz w:val="18"/>
                <w:szCs w:val="18"/>
              </w:rPr>
            </w:pPr>
            <w:r>
              <w:rPr>
                <w:rFonts w:ascii="宋体" w:hAnsi="宋体" w:cs="宋体" w:eastAsia="宋体" w:hint="default"/>
                <w:sz w:val="18"/>
                <w:szCs w:val="18"/>
              </w:rPr>
              <w:t>前述四被告将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分期偿还欠款，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还清后我司解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除对相应房产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的查封。</w:t>
            </w:r>
          </w:p>
        </w:tc>
        <w:tc>
          <w:tcPr>
            <w:tcW w:w="10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64" w:lineRule="auto"/>
              <w:ind w:left="24"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2"/>
                <w:sz w:val="18"/>
                <w:szCs w:val="18"/>
              </w:rPr>
              <w:t>com.cn</w:t>
            </w:r>
          </w:p>
        </w:tc>
      </w:tr>
    </w:tbl>
    <w:p>
      <w:pPr>
        <w:spacing w:after="0" w:line="364" w:lineRule="auto"/>
        <w:jc w:val="both"/>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29.049988pt;margin-top:265.749969pt;width:52.85pt;height:156.050pt;mso-position-horizontal-relative:page;mso-position-vertical-relative:page;z-index:-1180384" coordorigin="8581,5315" coordsize="1057,3121">
            <v:shape style="position:absolute;left:8581;top:5315;width:1057;height:3121" coordorigin="8581,5315" coordsize="1057,3121" path="m8581,8436l9637,8436,9637,5315,8581,5315,8581,8436xe" filled="true" fillcolor="#ffffff" stroked="false">
              <v:path arrowok="t"/>
              <v:fill type="solid"/>
            </v:shape>
            <w10:wrap type="none"/>
          </v:group>
        </w:pict>
      </w:r>
      <w:r>
        <w:rPr/>
        <w:pict>
          <v:group style="position:absolute;margin-left:429.049988pt;margin-top:575.450012pt;width:52.85pt;height:116.2pt;mso-position-horizontal-relative:page;mso-position-vertical-relative:page;z-index:-1180360" coordorigin="8581,11509" coordsize="1057,2324">
            <v:shape style="position:absolute;left:8581;top:11509;width:1057;height:2324" coordorigin="8581,11509" coordsize="1057,2324" path="m8581,13833l9637,13833,9637,11509,8581,11509,8581,13833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53"/>
        <w:gridCol w:w="854"/>
        <w:gridCol w:w="812"/>
        <w:gridCol w:w="932"/>
        <w:gridCol w:w="2444"/>
        <w:gridCol w:w="1249"/>
        <w:gridCol w:w="1066"/>
        <w:gridCol w:w="1061"/>
      </w:tblGrid>
      <w:tr>
        <w:trPr>
          <w:trHeight w:val="6996"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4" w:right="32"/>
              <w:jc w:val="both"/>
              <w:rPr>
                <w:rFonts w:ascii="宋体" w:hAnsi="宋体" w:cs="宋体" w:eastAsia="宋体" w:hint="default"/>
                <w:sz w:val="18"/>
                <w:szCs w:val="18"/>
              </w:rPr>
            </w:pPr>
            <w:r>
              <w:rPr>
                <w:rFonts w:ascii="宋体" w:hAnsi="宋体" w:cs="宋体" w:eastAsia="宋体" w:hint="default"/>
                <w:spacing w:val="-2"/>
                <w:sz w:val="18"/>
                <w:szCs w:val="18"/>
              </w:rPr>
              <w:t>深圳市飞马国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际供应链股份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海寰亚电力运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营有限公司、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黄壮勉、俞倪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荣、谢雨彤、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谭寓丹合同纠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2,196.41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pacing w:val="-3"/>
                <w:sz w:val="18"/>
                <w:szCs w:val="18"/>
              </w:rPr>
              <w:t>深圳市福田区人民法院已于</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受</w:t>
            </w:r>
            <w:r>
              <w:rPr>
                <w:rFonts w:ascii="宋体" w:hAnsi="宋体" w:cs="宋体" w:eastAsia="宋体" w:hint="default"/>
                <w:spacing w:val="-5"/>
                <w:w w:val="101"/>
                <w:sz w:val="18"/>
                <w:szCs w:val="18"/>
              </w:rPr>
              <w:t>理</w:t>
            </w:r>
            <w:r>
              <w:rPr>
                <w:rFonts w:ascii="宋体" w:hAnsi="宋体" w:cs="宋体" w:eastAsia="宋体" w:hint="default"/>
                <w:w w:val="101"/>
                <w:sz w:val="18"/>
                <w:szCs w:val="18"/>
              </w:rPr>
              <w:t>案</w:t>
            </w:r>
            <w:r>
              <w:rPr>
                <w:rFonts w:ascii="宋体" w:hAnsi="宋体" w:cs="宋体" w:eastAsia="宋体" w:hint="default"/>
                <w:spacing w:val="-5"/>
                <w:w w:val="101"/>
                <w:sz w:val="18"/>
                <w:szCs w:val="18"/>
              </w:rPr>
              <w:t>件</w:t>
            </w:r>
            <w:r>
              <w:rPr>
                <w:rFonts w:ascii="宋体" w:hAnsi="宋体" w:cs="宋体" w:eastAsia="宋体" w:hint="default"/>
                <w:spacing w:val="-87"/>
                <w:w w:val="101"/>
                <w:sz w:val="18"/>
                <w:szCs w:val="18"/>
              </w:rPr>
              <w:t>，</w:t>
            </w:r>
            <w:r>
              <w:rPr>
                <w:rFonts w:ascii="宋体" w:hAnsi="宋体" w:cs="宋体" w:eastAsia="宋体" w:hint="default"/>
                <w:w w:val="101"/>
                <w:sz w:val="18"/>
                <w:szCs w:val="18"/>
              </w:rPr>
              <w:t>于</w:t>
            </w:r>
            <w:r>
              <w:rPr>
                <w:rFonts w:ascii="宋体" w:hAnsi="宋体" w:cs="宋体" w:eastAsia="宋体"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开</w:t>
            </w:r>
            <w:r>
              <w:rPr>
                <w:rFonts w:ascii="宋体" w:hAnsi="宋体" w:cs="宋体" w:eastAsia="宋体" w:hint="default"/>
                <w:spacing w:val="-5"/>
                <w:w w:val="101"/>
                <w:sz w:val="18"/>
                <w:szCs w:val="18"/>
              </w:rPr>
              <w:t>庭</w:t>
            </w:r>
            <w:r>
              <w:rPr>
                <w:rFonts w:ascii="宋体" w:hAnsi="宋体" w:cs="宋体" w:eastAsia="宋体" w:hint="default"/>
                <w:w w:val="101"/>
                <w:sz w:val="18"/>
                <w:szCs w:val="18"/>
              </w:rPr>
              <w:t>审</w:t>
            </w:r>
            <w:r>
              <w:rPr>
                <w:rFonts w:ascii="宋体" w:hAnsi="宋体" w:cs="宋体" w:eastAsia="宋体" w:hint="default"/>
                <w:spacing w:val="-5"/>
                <w:w w:val="101"/>
                <w:sz w:val="18"/>
                <w:szCs w:val="18"/>
              </w:rPr>
              <w:t>理</w:t>
            </w:r>
            <w:r>
              <w:rPr>
                <w:rFonts w:ascii="宋体" w:hAnsi="宋体" w:cs="宋体" w:eastAsia="宋体" w:hint="default"/>
                <w:spacing w:val="-87"/>
                <w:w w:val="101"/>
                <w:sz w:val="18"/>
                <w:szCs w:val="18"/>
              </w:rPr>
              <w:t>，</w:t>
            </w:r>
            <w:r>
              <w:rPr>
                <w:rFonts w:ascii="宋体" w:hAnsi="宋体" w:cs="宋体" w:eastAsia="宋体" w:hint="default"/>
                <w:w w:val="101"/>
                <w:sz w:val="18"/>
                <w:szCs w:val="18"/>
              </w:rPr>
              <w:t>并</w:t>
            </w:r>
            <w:r>
              <w:rPr>
                <w:rFonts w:ascii="宋体" w:hAnsi="宋体" w:cs="宋体" w:eastAsia="宋体" w:hint="default"/>
                <w:sz w:val="18"/>
                <w:szCs w:val="18"/>
              </w:rPr>
            </w:r>
          </w:p>
          <w:p>
            <w:pPr>
              <w:pStyle w:val="TableParagraph"/>
              <w:spacing w:line="312" w:lineRule="auto" w:before="63"/>
              <w:ind w:left="23" w:right="12"/>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日作出支持</w:t>
            </w:r>
            <w:r>
              <w:rPr>
                <w:rFonts w:ascii="宋体" w:hAnsi="宋体" w:cs="宋体" w:eastAsia="宋体" w:hint="default"/>
                <w:w w:val="101"/>
                <w:sz w:val="18"/>
                <w:szCs w:val="18"/>
              </w:rPr>
              <w:t> </w:t>
            </w:r>
            <w:r>
              <w:rPr>
                <w:rFonts w:ascii="宋体" w:hAnsi="宋体" w:cs="宋体" w:eastAsia="宋体" w:hint="default"/>
                <w:spacing w:val="-3"/>
                <w:sz w:val="18"/>
                <w:szCs w:val="18"/>
              </w:rPr>
              <w:t>我司诉求的判决。之后，飞马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国际提起上诉，深圳市中级人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民法院于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日二</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审开庭审理，于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04"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日作出了驳回上诉，维持原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判的判决。</w:t>
            </w:r>
          </w:p>
        </w:tc>
        <w:tc>
          <w:tcPr>
            <w:tcW w:w="124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我司已于</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319" w:lineRule="auto" w:before="63"/>
              <w:ind w:left="24"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日申请强制执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行，并从飞马国</w:t>
            </w:r>
            <w:r>
              <w:rPr>
                <w:rFonts w:ascii="宋体" w:hAnsi="宋体" w:cs="宋体" w:eastAsia="宋体" w:hint="default"/>
                <w:w w:val="101"/>
                <w:sz w:val="18"/>
                <w:szCs w:val="18"/>
              </w:rPr>
              <w:t> </w:t>
            </w:r>
            <w:r>
              <w:rPr>
                <w:rFonts w:ascii="宋体" w:hAnsi="宋体" w:cs="宋体" w:eastAsia="宋体" w:hint="default"/>
                <w:sz w:val="18"/>
                <w:szCs w:val="18"/>
              </w:rPr>
              <w:t>际银行账户划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扣了银行存款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306.03</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w:t>
            </w:r>
          </w:p>
          <w:p>
            <w:pPr>
              <w:pStyle w:val="TableParagraph"/>
              <w:spacing w:line="319" w:lineRule="auto"/>
              <w:ind w:left="24" w:right="-55"/>
              <w:jc w:val="left"/>
              <w:rPr>
                <w:rFonts w:ascii="宋体" w:hAnsi="宋体" w:cs="宋体" w:eastAsia="宋体" w:hint="default"/>
                <w:sz w:val="18"/>
                <w:szCs w:val="18"/>
              </w:rPr>
            </w:pPr>
            <w:r>
              <w:rPr>
                <w:rFonts w:ascii="宋体" w:hAnsi="宋体" w:cs="宋体" w:eastAsia="宋体" w:hint="default"/>
                <w:sz w:val="18"/>
                <w:szCs w:val="18"/>
              </w:rPr>
              <w:t>我司已与上海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寰亚电力运营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有限公司、俞倪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2"/>
                <w:sz w:val="18"/>
                <w:szCs w:val="18"/>
              </w:rPr>
              <w:t>荣、谢雨彤、谭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寓丹达成和解，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前述四被告将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分期偿还欠款，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还清后我司解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除相应房产的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查封。</w:t>
            </w:r>
          </w:p>
          <w:p>
            <w:pPr>
              <w:pStyle w:val="TableParagraph"/>
              <w:spacing w:line="300" w:lineRule="auto" w:before="55"/>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上海寰亚已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日支付第一</w:t>
            </w:r>
          </w:p>
          <w:p>
            <w:pPr>
              <w:pStyle w:val="TableParagraph"/>
              <w:spacing w:line="304" w:lineRule="auto" w:before="63"/>
              <w:ind w:left="24" w:right="29"/>
              <w:jc w:val="left"/>
              <w:rPr>
                <w:rFonts w:ascii="宋体" w:hAnsi="宋体" w:cs="宋体" w:eastAsia="宋体" w:hint="default"/>
                <w:sz w:val="18"/>
                <w:szCs w:val="18"/>
              </w:rPr>
            </w:pPr>
            <w:r>
              <w:rPr>
                <w:rFonts w:ascii="宋体" w:hAnsi="宋体" w:cs="宋体" w:eastAsia="宋体" w:hint="default"/>
                <w:sz w:val="18"/>
                <w:szCs w:val="18"/>
              </w:rPr>
              <w:t>期还款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z w:val="18"/>
                <w:szCs w:val="18"/>
              </w:rPr>
              <w:t>元。</w:t>
            </w:r>
          </w:p>
        </w:tc>
        <w:tc>
          <w:tcPr>
            <w:tcW w:w="106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2"/>
              <w:ind w:left="24"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2"/>
                <w:sz w:val="18"/>
                <w:szCs w:val="18"/>
              </w:rPr>
              <w:t>com.cn</w:t>
            </w:r>
          </w:p>
        </w:tc>
      </w:tr>
      <w:tr>
        <w:trPr>
          <w:trHeight w:val="5397"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32"/>
              <w:jc w:val="both"/>
              <w:rPr>
                <w:rFonts w:ascii="宋体" w:hAnsi="宋体" w:cs="宋体" w:eastAsia="宋体" w:hint="default"/>
                <w:sz w:val="18"/>
                <w:szCs w:val="18"/>
              </w:rPr>
            </w:pPr>
            <w:r>
              <w:rPr>
                <w:rFonts w:ascii="宋体" w:hAnsi="宋体" w:cs="宋体" w:eastAsia="宋体" w:hint="default"/>
                <w:spacing w:val="-2"/>
                <w:sz w:val="18"/>
                <w:szCs w:val="18"/>
              </w:rPr>
              <w:t>深圳市飞马国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际供应链股份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海寰亚电力运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营有限公司、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黄壮勉、俞倪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荣、谢雨彤、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谭寓丹合同纠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2,771.29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both"/>
              <w:rPr>
                <w:rFonts w:ascii="宋体" w:hAnsi="宋体" w:cs="宋体" w:eastAsia="宋体" w:hint="default"/>
                <w:sz w:val="18"/>
                <w:szCs w:val="18"/>
              </w:rPr>
            </w:pPr>
            <w:r>
              <w:rPr>
                <w:rFonts w:ascii="宋体" w:hAnsi="宋体" w:cs="宋体" w:eastAsia="宋体" w:hint="default"/>
                <w:spacing w:val="-3"/>
                <w:sz w:val="18"/>
                <w:szCs w:val="18"/>
              </w:rPr>
              <w:t>深圳市福田区人民法院已于</w:t>
            </w:r>
          </w:p>
          <w:p>
            <w:pPr>
              <w:pStyle w:val="TableParagraph"/>
              <w:spacing w:line="240" w:lineRule="auto" w:before="71"/>
              <w:ind w:left="23"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受</w:t>
            </w:r>
            <w:r>
              <w:rPr>
                <w:rFonts w:ascii="宋体" w:hAnsi="宋体" w:cs="宋体" w:eastAsia="宋体" w:hint="default"/>
                <w:spacing w:val="-5"/>
                <w:w w:val="101"/>
                <w:sz w:val="18"/>
                <w:szCs w:val="18"/>
              </w:rPr>
              <w:t>理</w:t>
            </w:r>
            <w:r>
              <w:rPr>
                <w:rFonts w:ascii="宋体" w:hAnsi="宋体" w:cs="宋体" w:eastAsia="宋体" w:hint="default"/>
                <w:w w:val="101"/>
                <w:sz w:val="18"/>
                <w:szCs w:val="18"/>
              </w:rPr>
              <w:t>案</w:t>
            </w:r>
            <w:r>
              <w:rPr>
                <w:rFonts w:ascii="宋体" w:hAnsi="宋体" w:cs="宋体" w:eastAsia="宋体" w:hint="default"/>
                <w:spacing w:val="-5"/>
                <w:w w:val="101"/>
                <w:sz w:val="18"/>
                <w:szCs w:val="18"/>
              </w:rPr>
              <w:t>件</w:t>
            </w:r>
            <w:r>
              <w:rPr>
                <w:rFonts w:ascii="宋体" w:hAnsi="宋体" w:cs="宋体" w:eastAsia="宋体" w:hint="default"/>
                <w:spacing w:val="-87"/>
                <w:w w:val="101"/>
                <w:sz w:val="18"/>
                <w:szCs w:val="18"/>
              </w:rPr>
              <w:t>，</w:t>
            </w:r>
            <w:r>
              <w:rPr>
                <w:rFonts w:ascii="宋体" w:hAnsi="宋体" w:cs="宋体" w:eastAsia="宋体" w:hint="default"/>
                <w:w w:val="101"/>
                <w:sz w:val="18"/>
                <w:szCs w:val="18"/>
              </w:rPr>
              <w:t>于</w:t>
            </w:r>
            <w:r>
              <w:rPr>
                <w:rFonts w:ascii="宋体" w:hAnsi="宋体" w:cs="宋体" w:eastAsia="宋体"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开</w:t>
            </w:r>
            <w:r>
              <w:rPr>
                <w:rFonts w:ascii="宋体" w:hAnsi="宋体" w:cs="宋体" w:eastAsia="宋体" w:hint="default"/>
                <w:spacing w:val="-5"/>
                <w:w w:val="101"/>
                <w:sz w:val="18"/>
                <w:szCs w:val="18"/>
              </w:rPr>
              <w:t>庭</w:t>
            </w:r>
            <w:r>
              <w:rPr>
                <w:rFonts w:ascii="宋体" w:hAnsi="宋体" w:cs="宋体" w:eastAsia="宋体" w:hint="default"/>
                <w:w w:val="101"/>
                <w:sz w:val="18"/>
                <w:szCs w:val="18"/>
              </w:rPr>
              <w:t>审</w:t>
            </w:r>
            <w:r>
              <w:rPr>
                <w:rFonts w:ascii="宋体" w:hAnsi="宋体" w:cs="宋体" w:eastAsia="宋体" w:hint="default"/>
                <w:spacing w:val="-5"/>
                <w:w w:val="101"/>
                <w:sz w:val="18"/>
                <w:szCs w:val="18"/>
              </w:rPr>
              <w:t>理</w:t>
            </w:r>
            <w:r>
              <w:rPr>
                <w:rFonts w:ascii="宋体" w:hAnsi="宋体" w:cs="宋体" w:eastAsia="宋体" w:hint="default"/>
                <w:spacing w:val="-87"/>
                <w:w w:val="101"/>
                <w:sz w:val="18"/>
                <w:szCs w:val="18"/>
              </w:rPr>
              <w:t>，</w:t>
            </w:r>
            <w:r>
              <w:rPr>
                <w:rFonts w:ascii="宋体" w:hAnsi="宋体" w:cs="宋体" w:eastAsia="宋体" w:hint="default"/>
                <w:w w:val="101"/>
                <w:sz w:val="18"/>
                <w:szCs w:val="18"/>
              </w:rPr>
              <w:t>并</w:t>
            </w:r>
            <w:r>
              <w:rPr>
                <w:rFonts w:ascii="宋体" w:hAnsi="宋体" w:cs="宋体" w:eastAsia="宋体" w:hint="default"/>
                <w:sz w:val="18"/>
                <w:szCs w:val="18"/>
              </w:rPr>
            </w:r>
          </w:p>
          <w:p>
            <w:pPr>
              <w:pStyle w:val="TableParagraph"/>
              <w:spacing w:line="312" w:lineRule="auto" w:before="63"/>
              <w:ind w:left="23" w:right="12"/>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日作出支持</w:t>
            </w:r>
            <w:r>
              <w:rPr>
                <w:rFonts w:ascii="宋体" w:hAnsi="宋体" w:cs="宋体" w:eastAsia="宋体" w:hint="default"/>
                <w:w w:val="101"/>
                <w:sz w:val="18"/>
                <w:szCs w:val="18"/>
              </w:rPr>
              <w:t> </w:t>
            </w:r>
            <w:r>
              <w:rPr>
                <w:rFonts w:ascii="宋体" w:hAnsi="宋体" w:cs="宋体" w:eastAsia="宋体" w:hint="default"/>
                <w:spacing w:val="-3"/>
                <w:sz w:val="18"/>
                <w:szCs w:val="18"/>
              </w:rPr>
              <w:t>我司诉求的判决。之后，飞马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国际提起上诉，深圳市中级人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民法院于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日二</w:t>
            </w:r>
            <w:r>
              <w:rPr>
                <w:rFonts w:ascii="宋体" w:hAnsi="宋体" w:cs="宋体" w:eastAsia="宋体" w:hint="default"/>
                <w:sz w:val="18"/>
                <w:szCs w:val="18"/>
              </w:rPr>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审开庭审理，于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04"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日作出了驳回上诉，维持原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判的判决。</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我司已于</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316" w:lineRule="auto" w:before="6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日申请强制执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行，并从飞马国</w:t>
            </w:r>
            <w:r>
              <w:rPr>
                <w:rFonts w:ascii="宋体" w:hAnsi="宋体" w:cs="宋体" w:eastAsia="宋体" w:hint="default"/>
                <w:w w:val="101"/>
                <w:sz w:val="18"/>
                <w:szCs w:val="18"/>
              </w:rPr>
              <w:t> </w:t>
            </w:r>
            <w:r>
              <w:rPr>
                <w:rFonts w:ascii="宋体" w:hAnsi="宋体" w:cs="宋体" w:eastAsia="宋体" w:hint="default"/>
                <w:sz w:val="18"/>
                <w:szCs w:val="18"/>
              </w:rPr>
              <w:t>际银行账户划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扣了银行存款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242.55</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w:t>
            </w:r>
            <w:r>
              <w:rPr>
                <w:rFonts w:ascii="Times New Roman" w:hAnsi="Times New Roman" w:cs="Times New Roman" w:eastAsia="Times New Roman" w:hint="default"/>
                <w:sz w:val="18"/>
                <w:szCs w:val="18"/>
              </w:rPr>
            </w:r>
          </w:p>
          <w:p>
            <w:pPr>
              <w:pStyle w:val="TableParagraph"/>
              <w:spacing w:line="319" w:lineRule="auto"/>
              <w:ind w:left="24" w:right="-48"/>
              <w:jc w:val="left"/>
              <w:rPr>
                <w:rFonts w:ascii="宋体" w:hAnsi="宋体" w:cs="宋体" w:eastAsia="宋体" w:hint="default"/>
                <w:sz w:val="18"/>
                <w:szCs w:val="18"/>
              </w:rPr>
            </w:pPr>
            <w:r>
              <w:rPr>
                <w:rFonts w:ascii="宋体" w:hAnsi="宋体" w:cs="宋体" w:eastAsia="宋体" w:hint="default"/>
                <w:sz w:val="18"/>
                <w:szCs w:val="18"/>
              </w:rPr>
              <w:t>我司已与上海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寰亚电力运营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有限公司、俞倪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2"/>
                <w:sz w:val="18"/>
                <w:szCs w:val="18"/>
              </w:rPr>
              <w:t>荣、谢雨彤、谭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寓丹达成和解，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前四被告将分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期偿还欠款，还</w:t>
            </w:r>
            <w:r>
              <w:rPr>
                <w:rFonts w:ascii="宋体" w:hAnsi="宋体" w:cs="宋体" w:eastAsia="宋体" w:hint="default"/>
                <w:w w:val="101"/>
                <w:sz w:val="18"/>
                <w:szCs w:val="18"/>
              </w:rPr>
              <w:t> </w:t>
            </w:r>
            <w:r>
              <w:rPr>
                <w:rFonts w:ascii="宋体" w:hAnsi="宋体" w:cs="宋体" w:eastAsia="宋体" w:hint="default"/>
                <w:sz w:val="18"/>
                <w:szCs w:val="18"/>
              </w:rPr>
              <w:t>清后我司解除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相应房产的查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封。</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62" w:lineRule="auto"/>
              <w:ind w:left="24"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2"/>
                <w:sz w:val="18"/>
                <w:szCs w:val="18"/>
              </w:rPr>
              <w:t>com.cn</w:t>
            </w:r>
          </w:p>
        </w:tc>
      </w:tr>
    </w:tbl>
    <w:p>
      <w:pPr>
        <w:spacing w:after="0" w:line="362" w:lineRule="auto"/>
        <w:jc w:val="both"/>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0.842896pt;margin-top:72.499985pt;width:67.75pt;height:39.15pt;mso-position-horizontal-relative:page;mso-position-vertical-relative:page;z-index:-118031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53"/>
        <w:gridCol w:w="854"/>
        <w:gridCol w:w="812"/>
        <w:gridCol w:w="932"/>
        <w:gridCol w:w="2444"/>
        <w:gridCol w:w="1249"/>
        <w:gridCol w:w="1066"/>
        <w:gridCol w:w="1061"/>
      </w:tblGrid>
      <w:tr>
        <w:trPr>
          <w:trHeight w:val="1964"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32"/>
              <w:jc w:val="both"/>
              <w:rPr>
                <w:rFonts w:ascii="宋体" w:hAnsi="宋体" w:cs="宋体" w:eastAsia="宋体" w:hint="default"/>
                <w:sz w:val="18"/>
                <w:szCs w:val="18"/>
              </w:rPr>
            </w:pPr>
            <w:r>
              <w:rPr>
                <w:rFonts w:ascii="宋体" w:hAnsi="宋体" w:cs="宋体" w:eastAsia="宋体" w:hint="default"/>
                <w:spacing w:val="-2"/>
                <w:sz w:val="18"/>
                <w:szCs w:val="18"/>
              </w:rPr>
              <w:t>中国人民财产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保险有限公司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深圳市分公司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合同纠纷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1,672.85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一审</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深圳市福田区人民法院已于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w w:val="101"/>
                <w:sz w:val="18"/>
                <w:szCs w:val="18"/>
              </w:rPr>
              <w:t>2019</w:t>
            </w:r>
            <w:r>
              <w:rPr>
                <w:rFonts w:ascii="宋体" w:hAnsi="宋体" w:cs="宋体" w:eastAsia="宋体" w:hint="default"/>
                <w:spacing w:val="-49"/>
                <w:w w:val="101"/>
                <w:sz w:val="18"/>
                <w:szCs w:val="18"/>
              </w:rPr>
              <w:t> </w:t>
            </w:r>
            <w:r>
              <w:rPr>
                <w:rFonts w:ascii="宋体" w:hAnsi="宋体" w:cs="宋体" w:eastAsia="宋体" w:hint="default"/>
                <w:w w:val="101"/>
                <w:sz w:val="18"/>
                <w:szCs w:val="18"/>
              </w:rPr>
              <w:t>年</w:t>
            </w:r>
            <w:r>
              <w:rPr>
                <w:rFonts w:ascii="宋体" w:hAnsi="宋体" w:cs="宋体" w:eastAsia="宋体" w:hint="default"/>
                <w:spacing w:val="-49"/>
                <w:w w:val="101"/>
                <w:sz w:val="18"/>
                <w:szCs w:val="18"/>
              </w:rPr>
              <w:t> </w:t>
            </w:r>
            <w:r>
              <w:rPr>
                <w:rFonts w:ascii="宋体" w:hAnsi="宋体" w:cs="宋体" w:eastAsia="宋体" w:hint="default"/>
                <w:w w:val="101"/>
                <w:sz w:val="18"/>
                <w:szCs w:val="18"/>
              </w:rPr>
              <w:t>12</w:t>
            </w:r>
            <w:r>
              <w:rPr>
                <w:rFonts w:ascii="宋体" w:hAnsi="宋体" w:cs="宋体" w:eastAsia="宋体" w:hint="default"/>
                <w:spacing w:val="-49"/>
                <w:w w:val="101"/>
                <w:sz w:val="18"/>
                <w:szCs w:val="18"/>
              </w:rPr>
              <w:t> </w:t>
            </w: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宋体" w:hAnsi="宋体" w:cs="宋体" w:eastAsia="宋体" w:hint="default"/>
                <w:w w:val="101"/>
                <w:sz w:val="18"/>
                <w:szCs w:val="18"/>
              </w:rPr>
              <w:t>19</w:t>
            </w:r>
            <w:r>
              <w:rPr>
                <w:rFonts w:ascii="宋体" w:hAnsi="宋体" w:cs="宋体" w:eastAsia="宋体" w:hint="default"/>
                <w:spacing w:val="-54"/>
                <w:w w:val="101"/>
                <w:sz w:val="18"/>
                <w:szCs w:val="18"/>
              </w:rPr>
              <w:t> </w:t>
            </w:r>
            <w:r>
              <w:rPr>
                <w:rFonts w:ascii="宋体" w:hAnsi="宋体" w:cs="宋体" w:eastAsia="宋体" w:hint="default"/>
                <w:spacing w:val="-16"/>
                <w:w w:val="101"/>
                <w:sz w:val="18"/>
                <w:szCs w:val="18"/>
              </w:rPr>
              <w:t>日受理。之后</w:t>
            </w:r>
            <w:r>
              <w:rPr>
                <w:rFonts w:ascii="宋体" w:hAnsi="宋体" w:cs="宋体" w:eastAsia="宋体" w:hint="default"/>
                <w:w w:val="101"/>
                <w:sz w:val="18"/>
                <w:szCs w:val="18"/>
              </w:rPr>
              <w:t> </w:t>
            </w:r>
            <w:r>
              <w:rPr>
                <w:rFonts w:ascii="宋体" w:hAnsi="宋体" w:cs="宋体" w:eastAsia="宋体" w:hint="default"/>
                <w:spacing w:val="-3"/>
                <w:sz w:val="18"/>
                <w:szCs w:val="18"/>
              </w:rPr>
              <w:t>双方达成和解协议，我司于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2020</w:t>
            </w:r>
            <w:r>
              <w:rPr>
                <w:rFonts w:ascii="宋体" w:hAnsi="宋体" w:cs="宋体" w:eastAsia="宋体" w:hint="default"/>
                <w:spacing w:val="-6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6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pacing w:val="-3"/>
                <w:sz w:val="18"/>
                <w:szCs w:val="18"/>
              </w:rPr>
              <w:t>17</w:t>
            </w:r>
            <w:r>
              <w:rPr>
                <w:rFonts w:ascii="宋体" w:hAnsi="宋体" w:cs="宋体" w:eastAsia="宋体" w:hint="default"/>
                <w:spacing w:val="-56"/>
                <w:sz w:val="18"/>
                <w:szCs w:val="18"/>
              </w:rPr>
              <w:t> </w:t>
            </w:r>
            <w:r>
              <w:rPr>
                <w:rFonts w:ascii="宋体" w:hAnsi="宋体" w:cs="宋体" w:eastAsia="宋体" w:hint="default"/>
                <w:spacing w:val="-3"/>
                <w:sz w:val="18"/>
                <w:szCs w:val="18"/>
              </w:rPr>
              <w:t>日向法院提交撤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诉申请，待法院出具撤诉裁定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书。</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78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61.95pt;height:39.15pt;mso-position-horizontal-relative:char;mso-position-vertical-relative:line" coordorigin="0,0" coordsize="1239,783">
                  <v:group style="position:absolute;left:0;top:0;width:1239;height:783" coordorigin="0,0" coordsize="1239,783">
                    <v:shape style="position:absolute;left:0;top:0;width:1239;height:783" coordorigin="0,0" coordsize="1239,783" path="m0,782l1239,782,1239,0,0,0,0,782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10"/>
              <w:ind w:left="24"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2"/>
                <w:sz w:val="18"/>
                <w:szCs w:val="18"/>
              </w:rPr>
              <w:t>com.cn</w:t>
            </w:r>
          </w:p>
        </w:tc>
      </w:tr>
      <w:tr>
        <w:trPr>
          <w:trHeight w:val="2900"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2"/>
              <w:jc w:val="left"/>
              <w:rPr>
                <w:rFonts w:ascii="宋体" w:hAnsi="宋体" w:cs="宋体" w:eastAsia="宋体" w:hint="default"/>
                <w:sz w:val="18"/>
                <w:szCs w:val="18"/>
              </w:rPr>
            </w:pPr>
            <w:r>
              <w:rPr>
                <w:rFonts w:ascii="宋体" w:hAnsi="宋体" w:cs="宋体" w:eastAsia="宋体" w:hint="default"/>
                <w:spacing w:val="-2"/>
                <w:sz w:val="18"/>
                <w:szCs w:val="18"/>
              </w:rPr>
              <w:t>江苏浩聚电力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燃料有限公</w:t>
            </w:r>
            <w:r>
              <w:rPr>
                <w:rFonts w:ascii="宋体" w:hAnsi="宋体" w:cs="宋体" w:eastAsia="宋体" w:hint="default"/>
                <w:w w:val="101"/>
                <w:sz w:val="18"/>
                <w:szCs w:val="18"/>
              </w:rPr>
              <w:t> </w:t>
            </w:r>
            <w:r>
              <w:rPr>
                <w:rFonts w:ascii="宋体" w:hAnsi="宋体" w:cs="宋体" w:eastAsia="宋体" w:hint="default"/>
                <w:spacing w:val="-2"/>
                <w:sz w:val="18"/>
                <w:szCs w:val="18"/>
              </w:rPr>
              <w:t>司、王坤、大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连东媒供应链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服务有限公</w:t>
            </w:r>
            <w:r>
              <w:rPr>
                <w:rFonts w:ascii="宋体" w:hAnsi="宋体" w:cs="宋体" w:eastAsia="宋体" w:hint="default"/>
                <w:w w:val="101"/>
                <w:sz w:val="18"/>
                <w:szCs w:val="18"/>
              </w:rPr>
              <w:t> </w:t>
            </w:r>
            <w:r>
              <w:rPr>
                <w:rFonts w:ascii="宋体" w:hAnsi="宋体" w:cs="宋体" w:eastAsia="宋体" w:hint="default"/>
                <w:spacing w:val="-2"/>
                <w:sz w:val="18"/>
                <w:szCs w:val="18"/>
              </w:rPr>
              <w:t>司、泰德煤网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股份有限公</w:t>
            </w:r>
            <w:r>
              <w:rPr>
                <w:rFonts w:ascii="宋体" w:hAnsi="宋体" w:cs="宋体" w:eastAsia="宋体" w:hint="default"/>
                <w:w w:val="101"/>
                <w:sz w:val="18"/>
                <w:szCs w:val="18"/>
              </w:rPr>
              <w:t> </w:t>
            </w:r>
            <w:r>
              <w:rPr>
                <w:rFonts w:ascii="宋体" w:hAnsi="宋体" w:cs="宋体" w:eastAsia="宋体" w:hint="default"/>
                <w:spacing w:val="-2"/>
                <w:sz w:val="18"/>
                <w:szCs w:val="18"/>
              </w:rPr>
              <w:t>司、李洪国合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同纠纷</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2,158.12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一审</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深圳市福田区人民法院已于</w:t>
            </w:r>
          </w:p>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日受理案件，于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日开庭审理，</w:t>
            </w:r>
          </w:p>
          <w:p>
            <w:pPr>
              <w:pStyle w:val="TableParagraph"/>
              <w:spacing w:line="321"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50"/>
                <w:sz w:val="18"/>
                <w:szCs w:val="18"/>
              </w:rPr>
              <w:t> </w:t>
            </w:r>
            <w:r>
              <w:rPr>
                <w:rFonts w:ascii="宋体" w:hAnsi="宋体" w:cs="宋体" w:eastAsia="宋体" w:hint="default"/>
                <w:sz w:val="18"/>
                <w:szCs w:val="18"/>
              </w:rPr>
              <w:t>日作出支持</w:t>
            </w:r>
            <w:r>
              <w:rPr>
                <w:rFonts w:ascii="宋体" w:hAnsi="宋体" w:cs="宋体" w:eastAsia="宋体" w:hint="default"/>
                <w:w w:val="101"/>
                <w:sz w:val="18"/>
                <w:szCs w:val="18"/>
              </w:rPr>
              <w:t> </w:t>
            </w:r>
            <w:r>
              <w:rPr>
                <w:rFonts w:ascii="宋体" w:hAnsi="宋体" w:cs="宋体" w:eastAsia="宋体" w:hint="default"/>
                <w:sz w:val="18"/>
                <w:szCs w:val="18"/>
              </w:rPr>
              <w:t>我司诉求的一审判决。</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62" w:lineRule="auto"/>
              <w:ind w:left="24"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www.cninfo.</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2"/>
                <w:sz w:val="18"/>
                <w:szCs w:val="18"/>
              </w:rPr>
              <w:t>com.cn</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1126"/>
        <w:jc w:val="left"/>
        <w:rPr>
          <w:b w:val="0"/>
          <w:bCs w:val="0"/>
        </w:rPr>
      </w:pPr>
      <w:bookmarkStart w:name="十三、处罚及整改情况" w:id="97"/>
      <w:bookmarkEnd w:id="97"/>
      <w:r>
        <w:rPr>
          <w:b w:val="0"/>
          <w:bCs w:val="0"/>
        </w:rPr>
      </w:r>
      <w:r>
        <w:rPr/>
        <w:t>十三、处罚及整改情况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9"/>
        <w:rPr>
          <w:rFonts w:ascii="宋体" w:hAnsi="宋体" w:cs="宋体" w:eastAsia="宋体" w:hint="default"/>
          <w:sz w:val="18"/>
          <w:szCs w:val="18"/>
        </w:rPr>
      </w:pPr>
    </w:p>
    <w:p>
      <w:pPr>
        <w:pStyle w:val="Heading2"/>
        <w:spacing w:line="240" w:lineRule="auto"/>
        <w:ind w:right="1126"/>
        <w:jc w:val="left"/>
        <w:rPr>
          <w:b w:val="0"/>
          <w:bCs w:val="0"/>
        </w:rPr>
      </w:pPr>
      <w:bookmarkStart w:name="十四、公司及其控股股东、实际控制人的诚信状况" w:id="98"/>
      <w:bookmarkEnd w:id="98"/>
      <w:r>
        <w:rPr>
          <w:b w:val="0"/>
          <w:bCs w:val="0"/>
        </w:rPr>
      </w:r>
      <w:r>
        <w:rPr/>
        <w:t>十四、公司及其控股股东、实际控制人的诚信状况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26"/>
        <w:jc w:val="left"/>
        <w:rPr>
          <w:b w:val="0"/>
          <w:bCs w:val="0"/>
        </w:rPr>
      </w:pPr>
      <w:bookmarkStart w:name="十五、公司股权激励计划、员工持股计划或其他员工激励措施的实施情况" w:id="99"/>
      <w:bookmarkEnd w:id="9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331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公司报告期无股权激励计划、员工持股计划或其他员工激励措施及其实施情况。</w:t>
      </w:r>
    </w:p>
    <w:p>
      <w:pPr>
        <w:spacing w:line="240" w:lineRule="auto" w:before="5"/>
        <w:rPr>
          <w:rFonts w:ascii="宋体" w:hAnsi="宋体" w:cs="宋体" w:eastAsia="宋体" w:hint="default"/>
          <w:sz w:val="18"/>
          <w:szCs w:val="18"/>
        </w:rPr>
      </w:pPr>
    </w:p>
    <w:p>
      <w:pPr>
        <w:pStyle w:val="Heading2"/>
        <w:spacing w:line="240" w:lineRule="auto"/>
        <w:ind w:right="1126"/>
        <w:jc w:val="left"/>
        <w:rPr>
          <w:b w:val="0"/>
          <w:bCs w:val="0"/>
        </w:rPr>
      </w:pPr>
      <w:bookmarkStart w:name="十六、重大关联交易" w:id="100"/>
      <w:bookmarkEnd w:id="100"/>
      <w:r>
        <w:rPr>
          <w:b w:val="0"/>
          <w:bCs w:val="0"/>
        </w:rPr>
      </w: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与日常经营相关的关联交易" w:id="101"/>
      <w:bookmarkEnd w:id="10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line="240" w:lineRule="auto" w:before="0"/>
        <w:rPr>
          <w:rFonts w:ascii="宋体" w:hAnsi="宋体" w:cs="宋体" w:eastAsia="宋体" w:hint="default"/>
          <w:sz w:val="21"/>
          <w:szCs w:val="21"/>
        </w:rPr>
      </w:pPr>
    </w:p>
    <w:p>
      <w:pPr>
        <w:pStyle w:val="Heading3"/>
        <w:spacing w:line="240" w:lineRule="auto"/>
        <w:ind w:right="1126"/>
        <w:jc w:val="left"/>
        <w:rPr>
          <w:b w:val="0"/>
          <w:bCs w:val="0"/>
        </w:rPr>
      </w:pPr>
      <w:bookmarkStart w:name="2、资产或股权收购、出售发生的关联交易" w:id="102"/>
      <w:bookmarkEnd w:id="10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5"/>
        <w:gridCol w:w="706"/>
        <w:gridCol w:w="567"/>
        <w:gridCol w:w="931"/>
        <w:gridCol w:w="730"/>
        <w:gridCol w:w="802"/>
        <w:gridCol w:w="787"/>
        <w:gridCol w:w="586"/>
        <w:gridCol w:w="854"/>
        <w:gridCol w:w="922"/>
        <w:gridCol w:w="922"/>
        <w:gridCol w:w="907"/>
      </w:tblGrid>
      <w:tr>
        <w:trPr>
          <w:trHeight w:val="1340"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9" w:right="74"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83" w:right="93" w:hanging="183"/>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1" w:right="84"/>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34" w:firstLine="9"/>
              <w:jc w:val="both"/>
              <w:rPr>
                <w:rFonts w:ascii="宋体" w:hAnsi="宋体" w:cs="宋体" w:eastAsia="宋体" w:hint="default"/>
                <w:sz w:val="18"/>
                <w:szCs w:val="18"/>
              </w:rPr>
            </w:pPr>
            <w:r>
              <w:rPr>
                <w:rFonts w:ascii="宋体" w:hAnsi="宋体" w:cs="宋体" w:eastAsia="宋体" w:hint="default"/>
                <w:sz w:val="18"/>
                <w:szCs w:val="18"/>
              </w:rPr>
              <w:t>转让资产</w:t>
            </w:r>
            <w:r>
              <w:rPr>
                <w:rFonts w:ascii="宋体" w:hAnsi="宋体" w:cs="宋体" w:eastAsia="宋体" w:hint="default"/>
                <w:w w:val="101"/>
                <w:sz w:val="18"/>
                <w:szCs w:val="18"/>
              </w:rPr>
              <w:t> </w:t>
            </w:r>
            <w:r>
              <w:rPr>
                <w:rFonts w:ascii="宋体" w:hAnsi="宋体" w:cs="宋体" w:eastAsia="宋体" w:hint="default"/>
                <w:sz w:val="18"/>
                <w:szCs w:val="18"/>
              </w:rPr>
              <w:t>的账面价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3"/>
                <w:sz w:val="18"/>
                <w:szCs w:val="18"/>
              </w:rPr>
              <w:t>值（万元）</w:t>
            </w:r>
            <w:r>
              <w:rPr>
                <w:rFonts w:ascii="宋体" w:hAnsi="宋体" w:cs="宋体" w:eastAsia="宋体" w:hint="default"/>
                <w:sz w:val="18"/>
                <w:szCs w:val="18"/>
              </w:rPr>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21" w:firstLine="4"/>
              <w:jc w:val="both"/>
              <w:rPr>
                <w:rFonts w:ascii="宋体" w:hAnsi="宋体" w:cs="宋体" w:eastAsia="宋体" w:hint="default"/>
                <w:sz w:val="18"/>
                <w:szCs w:val="18"/>
              </w:rPr>
            </w:pPr>
            <w:r>
              <w:rPr>
                <w:rFonts w:ascii="宋体" w:hAnsi="宋体" w:cs="宋体" w:eastAsia="宋体" w:hint="default"/>
                <w:sz w:val="18"/>
                <w:szCs w:val="18"/>
              </w:rPr>
              <w:t>转让资产</w:t>
            </w:r>
            <w:r>
              <w:rPr>
                <w:rFonts w:ascii="宋体" w:hAnsi="宋体" w:cs="宋体" w:eastAsia="宋体" w:hint="default"/>
                <w:w w:val="101"/>
                <w:sz w:val="18"/>
                <w:szCs w:val="18"/>
              </w:rPr>
              <w:t> </w:t>
            </w:r>
            <w:r>
              <w:rPr>
                <w:rFonts w:ascii="宋体" w:hAnsi="宋体" w:cs="宋体" w:eastAsia="宋体" w:hint="default"/>
                <w:sz w:val="18"/>
                <w:szCs w:val="18"/>
              </w:rPr>
              <w:t>的评估价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w w:val="101"/>
                <w:sz w:val="18"/>
                <w:szCs w:val="18"/>
              </w:rPr>
              <w:t>值（万元</w:t>
            </w:r>
            <w:r>
              <w:rPr>
                <w:rFonts w:ascii="宋体" w:hAnsi="宋体" w:cs="宋体" w:eastAsia="宋体" w:hint="default"/>
                <w:spacing w:val="-22"/>
                <w:sz w:val="18"/>
                <w:szCs w:val="18"/>
              </w:rPr>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0" w:right="99"/>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86"/>
                <w:sz w:val="18"/>
                <w:szCs w:val="18"/>
              </w:rPr>
              <w:t> </w:t>
            </w:r>
            <w:r>
              <w:rPr>
                <w:rFonts w:ascii="宋体" w:hAnsi="宋体" w:cs="宋体" w:eastAsia="宋体" w:hint="default"/>
                <w:sz w:val="18"/>
                <w:szCs w:val="18"/>
              </w:rPr>
              <w:t>价格</w:t>
            </w:r>
          </w:p>
          <w:p>
            <w:pPr>
              <w:pStyle w:val="TableParagraph"/>
              <w:spacing w:line="199" w:lineRule="exact" w:before="22"/>
              <w:ind w:left="110"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9" w:lineRule="exact"/>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1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55"/>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结算方式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4"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4"/>
              <w:jc w:val="both"/>
              <w:rPr>
                <w:rFonts w:ascii="宋体" w:hAnsi="宋体" w:cs="宋体" w:eastAsia="宋体" w:hint="default"/>
                <w:sz w:val="18"/>
                <w:szCs w:val="18"/>
              </w:rPr>
            </w:pPr>
            <w:r>
              <w:rPr>
                <w:rFonts w:ascii="宋体" w:hAnsi="宋体" w:cs="宋体" w:eastAsia="宋体" w:hint="default"/>
                <w:sz w:val="18"/>
                <w:szCs w:val="18"/>
              </w:rPr>
              <w:t>赣江新区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全球星投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27"/>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66"/>
              <w:jc w:val="left"/>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58"/>
              <w:jc w:val="both"/>
              <w:rPr>
                <w:rFonts w:ascii="宋体" w:hAnsi="宋体" w:cs="宋体" w:eastAsia="宋体" w:hint="default"/>
                <w:sz w:val="18"/>
                <w:szCs w:val="18"/>
              </w:rPr>
            </w:pPr>
            <w:r>
              <w:rPr>
                <w:rFonts w:ascii="宋体" w:hAnsi="宋体" w:cs="宋体" w:eastAsia="宋体" w:hint="default"/>
                <w:sz w:val="18"/>
                <w:szCs w:val="18"/>
              </w:rPr>
              <w:t>转让国鑫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的出资份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52"/>
              <w:jc w:val="left"/>
              <w:rPr>
                <w:rFonts w:ascii="宋体" w:hAnsi="宋体" w:cs="宋体" w:eastAsia="宋体" w:hint="default"/>
                <w:sz w:val="18"/>
                <w:szCs w:val="18"/>
              </w:rPr>
            </w:pPr>
            <w:r>
              <w:rPr>
                <w:rFonts w:ascii="宋体" w:hAnsi="宋体" w:cs="宋体" w:eastAsia="宋体" w:hint="default"/>
                <w:sz w:val="18"/>
                <w:szCs w:val="18"/>
              </w:rPr>
              <w:t>公允价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1,800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1,800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1,800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现金结算</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62" w:lineRule="auto"/>
              <w:ind w:left="23" w:right="71"/>
              <w:jc w:val="left"/>
              <w:rPr>
                <w:rFonts w:ascii="Times New Roman" w:hAnsi="Times New Roman" w:cs="Times New Roman" w:eastAsia="Times New Roman" w:hint="default"/>
                <w:sz w:val="18"/>
                <w:szCs w:val="18"/>
              </w:rPr>
            </w:pPr>
            <w:r>
              <w:rPr>
                <w:rFonts w:ascii="Times New Roman"/>
                <w:spacing w:val="-3"/>
                <w:sz w:val="18"/>
              </w:rPr>
              <w:t>www.cninf</w:t>
            </w:r>
            <w:r>
              <w:rPr>
                <w:rFonts w:ascii="Times New Roman"/>
                <w:spacing w:val="-26"/>
                <w:sz w:val="18"/>
              </w:rPr>
              <w:t> </w:t>
            </w:r>
            <w:r>
              <w:rPr>
                <w:rFonts w:ascii="Times New Roman"/>
                <w:spacing w:val="-26"/>
                <w:sz w:val="18"/>
              </w:rPr>
            </w:r>
            <w:r>
              <w:rPr>
                <w:rFonts w:ascii="Times New Roman"/>
                <w:sz w:val="18"/>
              </w:rPr>
              <w:t>o.com.cn</w:t>
            </w:r>
          </w:p>
        </w:tc>
      </w:tr>
      <w:tr>
        <w:trPr>
          <w:trHeight w:val="716"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37"/>
              <w:jc w:val="left"/>
              <w:rPr>
                <w:rFonts w:ascii="宋体" w:hAnsi="宋体" w:cs="宋体" w:eastAsia="宋体" w:hint="default"/>
                <w:sz w:val="18"/>
                <w:szCs w:val="18"/>
              </w:rPr>
            </w:pPr>
            <w:r>
              <w:rPr>
                <w:rFonts w:ascii="宋体" w:hAnsi="宋体" w:cs="宋体" w:eastAsia="宋体" w:hint="default"/>
                <w:spacing w:val="-3"/>
                <w:sz w:val="18"/>
                <w:szCs w:val="18"/>
              </w:rPr>
              <w:t>转让价格与账面价值或评估价值差异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较大的原因（如有）</w:t>
            </w:r>
          </w:p>
        </w:tc>
        <w:tc>
          <w:tcPr>
            <w:tcW w:w="65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7"/>
              <w:jc w:val="left"/>
              <w:rPr>
                <w:rFonts w:ascii="宋体" w:hAnsi="宋体" w:cs="宋体" w:eastAsia="宋体" w:hint="default"/>
                <w:sz w:val="18"/>
                <w:szCs w:val="18"/>
              </w:rPr>
            </w:pPr>
            <w:r>
              <w:rPr>
                <w:rFonts w:ascii="宋体" w:hAnsi="宋体" w:cs="宋体" w:eastAsia="宋体" w:hint="default"/>
                <w:spacing w:val="-3"/>
                <w:sz w:val="18"/>
                <w:szCs w:val="18"/>
              </w:rPr>
              <w:t>对公司经营成果与财务状况的影响情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况</w:t>
            </w:r>
          </w:p>
        </w:tc>
        <w:tc>
          <w:tcPr>
            <w:tcW w:w="65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6"/>
                <w:sz w:val="18"/>
                <w:szCs w:val="18"/>
              </w:rPr>
              <w:t>如相关交易涉及业绩约定的，报告期内</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的业绩实现情况</w:t>
            </w:r>
          </w:p>
        </w:tc>
        <w:tc>
          <w:tcPr>
            <w:tcW w:w="65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共同对外投资的关联交易" w:id="103"/>
      <w:bookmarkEnd w:id="10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0"/>
        <w:rPr>
          <w:rFonts w:ascii="宋体" w:hAnsi="宋体" w:cs="宋体" w:eastAsia="宋体" w:hint="default"/>
          <w:sz w:val="21"/>
          <w:szCs w:val="21"/>
        </w:rPr>
      </w:pPr>
    </w:p>
    <w:p>
      <w:pPr>
        <w:pStyle w:val="Heading3"/>
        <w:spacing w:line="240" w:lineRule="auto"/>
        <w:ind w:right="1126"/>
        <w:jc w:val="left"/>
        <w:rPr>
          <w:b w:val="0"/>
          <w:bCs w:val="0"/>
        </w:rPr>
      </w:pPr>
      <w:bookmarkStart w:name="4、关联债权债务往来" w:id="104"/>
      <w:bookmarkEnd w:id="10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8"/>
        <w:rPr>
          <w:rFonts w:ascii="宋体" w:hAnsi="宋体" w:cs="宋体" w:eastAsia="宋体" w:hint="default"/>
          <w:sz w:val="20"/>
          <w:szCs w:val="20"/>
        </w:rPr>
      </w:pPr>
    </w:p>
    <w:p>
      <w:pPr>
        <w:pStyle w:val="Heading3"/>
        <w:spacing w:line="240" w:lineRule="auto"/>
        <w:ind w:right="1126"/>
        <w:jc w:val="left"/>
        <w:rPr>
          <w:b w:val="0"/>
          <w:bCs w:val="0"/>
        </w:rPr>
      </w:pPr>
      <w:bookmarkStart w:name="5、其他重大关联交易" w:id="105"/>
      <w:bookmarkEnd w:id="10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412" w:lineRule="auto"/>
        <w:ind w:left="513" w:right="112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5"/>
          <w:w w:val="101"/>
        </w:rPr>
        <w:t>为缓解公司短期资金周转压力，控股股东深圳市神州通投资集团有限公司及其一致行动人赣江新区全球星投资管理有限</w:t>
      </w:r>
      <w:r>
        <w:rPr>
          <w:spacing w:val="-5"/>
        </w:rPr>
      </w:r>
    </w:p>
    <w:p>
      <w:pPr>
        <w:pStyle w:val="BodyText"/>
        <w:spacing w:line="230" w:lineRule="exact"/>
        <w:ind w:right="0"/>
        <w:jc w:val="left"/>
      </w:pPr>
      <w:r>
        <w:rPr>
          <w:spacing w:val="-3"/>
        </w:rPr>
        <w:t>公司向公司提供总额不超过 </w:t>
      </w: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spacing w:val="-5"/>
        </w:rPr>
        <w:t>亿元（人民币）的无偿财务资助，有效期最长为两年，在有效期内可以连续循环使用。公司于</w:t>
      </w:r>
    </w:p>
    <w:p>
      <w:pPr>
        <w:pStyle w:val="BodyText"/>
        <w:spacing w:line="240" w:lineRule="auto" w:before="101"/>
        <w:ind w:right="0"/>
        <w:jc w:val="left"/>
      </w:pPr>
      <w:r>
        <w:rPr>
          <w:rFonts w:ascii="Times New Roman" w:hAnsi="Times New Roman" w:cs="Times New Roman" w:eastAsia="Times New Roman" w:hint="default"/>
        </w:rPr>
        <w:t>2019  </w:t>
      </w:r>
      <w:r>
        <w:rPr>
          <w:spacing w:val="-3"/>
        </w:rPr>
        <w:t>年度内共收到深圳市神州通投资集团有限公司财务资助金额合计 </w:t>
      </w:r>
      <w:r>
        <w:rPr>
          <w:rFonts w:ascii="Times New Roman" w:hAnsi="Times New Roman" w:cs="Times New Roman" w:eastAsia="Times New Roman" w:hint="default"/>
        </w:rPr>
        <w:t>27,780  </w:t>
      </w:r>
      <w:r>
        <w:rPr>
          <w:spacing w:val="-3"/>
        </w:rPr>
        <w:t>万元，用于公司日常采购需求，截至 </w:t>
      </w:r>
      <w:r>
        <w:rPr>
          <w:rFonts w:ascii="Times New Roman" w:hAnsi="Times New Roman" w:cs="Times New Roman" w:eastAsia="Times New Roman" w:hint="default"/>
        </w:rPr>
        <w:t>2019 </w:t>
      </w:r>
      <w:r>
        <w:rPr>
          <w:rFonts w:ascii="Times New Roman" w:hAnsi="Times New Roman" w:cs="Times New Roman" w:eastAsia="Times New Roman" w:hint="default"/>
          <w:spacing w:val="7"/>
        </w:rPr>
        <w:t> </w:t>
      </w:r>
      <w:r>
        <w:rPr/>
        <w:t>年</w:t>
      </w:r>
    </w:p>
    <w:p>
      <w:pPr>
        <w:pStyle w:val="BodyText"/>
        <w:spacing w:line="240" w:lineRule="auto" w:before="101"/>
        <w:ind w:right="1126"/>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3"/>
        </w:rPr>
        <w:t>日，公司已归还财务资助款 </w:t>
      </w:r>
      <w:r>
        <w:rPr>
          <w:rFonts w:ascii="Times New Roman" w:hAnsi="Times New Roman" w:cs="Times New Roman" w:eastAsia="Times New Roman" w:hint="default"/>
        </w:rPr>
        <w:t>27,780</w:t>
      </w:r>
      <w:r>
        <w:rPr>
          <w:rFonts w:ascii="Times New Roman" w:hAnsi="Times New Roman" w:cs="Times New Roman" w:eastAsia="Times New Roman" w:hint="default"/>
          <w:spacing w:val="-17"/>
        </w:rPr>
        <w:t> </w:t>
      </w:r>
      <w:r>
        <w:rPr>
          <w:spacing w:val="-3"/>
        </w:rPr>
        <w:t>万元，财务资助全部结清。</w:t>
      </w:r>
    </w:p>
    <w:p>
      <w:pPr>
        <w:spacing w:line="240" w:lineRule="auto" w:before="3"/>
        <w:rPr>
          <w:rFonts w:ascii="宋体" w:hAnsi="宋体" w:cs="宋体" w:eastAsia="宋体" w:hint="default"/>
          <w:sz w:val="21"/>
          <w:szCs w:val="21"/>
        </w:rPr>
      </w:pPr>
    </w:p>
    <w:p>
      <w:pPr>
        <w:pStyle w:val="Heading4"/>
        <w:spacing w:line="240" w:lineRule="auto"/>
        <w:ind w:right="1126"/>
        <w:jc w:val="left"/>
      </w:pPr>
      <w:r>
        <w:rPr/>
        <w:t>重大关联交易临时报告披露网站相关查询</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576"/>
        <w:gridCol w:w="2218"/>
        <w:gridCol w:w="2775"/>
      </w:tblGrid>
      <w:tr>
        <w:trPr>
          <w:trHeight w:val="401"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4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关于控股股东向公司提供财务资助暨关联交易的公告</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pacing w:val="-3"/>
                  <w:sz w:val="18"/>
                  <w:szCs w:val="18"/>
                </w:rPr>
                <w:t>www.cninfo.com.cn</w:t>
              </w:r>
            </w:hyperlink>
          </w:p>
        </w:tc>
      </w:tr>
      <w:tr>
        <w:trPr>
          <w:trHeight w:val="403" w:hRule="exact"/>
        </w:trPr>
        <w:tc>
          <w:tcPr>
            <w:tcW w:w="4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关于控股股东向公司提供财务资助暨关联交易的公告</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pacing w:val="-3"/>
                  <w:sz w:val="18"/>
                  <w:szCs w:val="18"/>
                </w:rPr>
                <w:t>www.cninfo.com.cn</w:t>
              </w:r>
            </w:hyperlink>
          </w:p>
        </w:tc>
      </w:tr>
      <w:tr>
        <w:trPr>
          <w:trHeight w:val="404" w:hRule="exact"/>
        </w:trPr>
        <w:tc>
          <w:tcPr>
            <w:tcW w:w="4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关于控股股东向公司提供财务资助暨关联交易的公告</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pacing w:val="-3"/>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26"/>
        <w:jc w:val="left"/>
        <w:rPr>
          <w:b w:val="0"/>
          <w:bCs w:val="0"/>
        </w:rPr>
      </w:pPr>
      <w:bookmarkStart w:name="十七、重大合同及其履行情况" w:id="106"/>
      <w:bookmarkEnd w:id="106"/>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6"/>
        <w:jc w:val="left"/>
        <w:rPr>
          <w:b w:val="0"/>
          <w:bCs w:val="0"/>
        </w:rPr>
      </w:pPr>
      <w:bookmarkStart w:name="1、托管、承包、租赁事项情况" w:id="107"/>
      <w:bookmarkEnd w:id="10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托管情况" w:id="108"/>
      <w:bookmarkEnd w:id="10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5"/>
        <w:rPr>
          <w:rFonts w:ascii="宋体" w:hAnsi="宋体" w:cs="宋体" w:eastAsia="宋体" w:hint="default"/>
          <w:sz w:val="20"/>
          <w:szCs w:val="20"/>
        </w:rPr>
      </w:pPr>
    </w:p>
    <w:p>
      <w:pPr>
        <w:pStyle w:val="Heading3"/>
        <w:spacing w:line="240" w:lineRule="auto"/>
        <w:ind w:right="1126"/>
        <w:jc w:val="left"/>
        <w:rPr>
          <w:b w:val="0"/>
          <w:bCs w:val="0"/>
        </w:rPr>
      </w:pPr>
      <w:bookmarkStart w:name="（2）承包情况" w:id="109"/>
      <w:bookmarkEnd w:id="10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126"/>
        <w:jc w:val="left"/>
        <w:rPr>
          <w:b w:val="0"/>
          <w:bCs w:val="0"/>
        </w:rPr>
      </w:pPr>
      <w:bookmarkStart w:name="（3）租赁情况" w:id="110"/>
      <w:bookmarkEnd w:id="11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9"/>
        <w:rPr>
          <w:rFonts w:ascii="宋体" w:hAnsi="宋体" w:cs="宋体" w:eastAsia="宋体" w:hint="default"/>
          <w:sz w:val="20"/>
          <w:szCs w:val="20"/>
        </w:rPr>
      </w:pPr>
    </w:p>
    <w:p>
      <w:pPr>
        <w:pStyle w:val="Heading3"/>
        <w:spacing w:line="240" w:lineRule="auto"/>
        <w:ind w:right="1126"/>
        <w:jc w:val="left"/>
        <w:rPr>
          <w:b w:val="0"/>
          <w:bCs w:val="0"/>
        </w:rPr>
      </w:pPr>
      <w:bookmarkStart w:name="2、重大担保" w:id="111"/>
      <w:bookmarkEnd w:id="11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1）担保情况" w:id="112"/>
      <w:bookmarkEnd w:id="11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05"/>
        <w:gridCol w:w="1116"/>
        <w:gridCol w:w="1010"/>
        <w:gridCol w:w="1127"/>
        <w:gridCol w:w="960"/>
        <w:gridCol w:w="738"/>
        <w:gridCol w:w="1433"/>
        <w:gridCol w:w="710"/>
        <w:gridCol w:w="783"/>
      </w:tblGrid>
      <w:tr>
        <w:trPr>
          <w:trHeight w:val="401" w:hRule="exact"/>
        </w:trPr>
        <w:tc>
          <w:tcPr>
            <w:tcW w:w="95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28"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90" w:hRule="exact"/>
        </w:trPr>
        <w:tc>
          <w:tcPr>
            <w:tcW w:w="1705" w:type="dxa"/>
            <w:vMerge w:val="restart"/>
            <w:tcBorders>
              <w:top w:val="single" w:sz="4" w:space="0" w:color="000000"/>
              <w:left w:val="single" w:sz="4" w:space="0" w:color="000000"/>
              <w:right w:val="single" w:sz="4" w:space="0" w:color="000000"/>
            </w:tcBorders>
            <w:shd w:val="clear" w:color="auto" w:fill="D2D2D2"/>
          </w:tcPr>
          <w:p>
            <w:pP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6"/>
              <w:ind w:left="194" w:right="18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1010" w:type="dxa"/>
            <w:vMerge w:val="restart"/>
            <w:tcBorders>
              <w:top w:val="single" w:sz="4" w:space="0" w:color="000000"/>
              <w:left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705" w:type="dxa"/>
            <w:vMerge/>
            <w:tcBorders>
              <w:left w:val="single" w:sz="4" w:space="0" w:color="000000"/>
              <w:bottom w:val="nil" w:sz="6" w:space="0" w:color="auto"/>
              <w:right w:val="single" w:sz="4" w:space="0" w:color="000000"/>
            </w:tcBorders>
            <w:shd w:val="clear" w:color="auto" w:fill="D2D2D2"/>
          </w:tcPr>
          <w:p>
            <w:pPr/>
          </w:p>
        </w:tc>
        <w:tc>
          <w:tcPr>
            <w:tcW w:w="1116"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bottom w:val="nil" w:sz="6" w:space="0" w:color="auto"/>
              <w:right w:val="single" w:sz="4" w:space="0" w:color="000000"/>
            </w:tcBorders>
            <w:shd w:val="clear" w:color="auto" w:fill="D2D2D2"/>
          </w:tcPr>
          <w:p>
            <w:pP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95" w:right="195" w:firstLine="182"/>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发生日期</w:t>
            </w: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15" w:right="108" w:firstLine="177"/>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担保金额</w:t>
            </w:r>
          </w:p>
        </w:tc>
        <w:tc>
          <w:tcPr>
            <w:tcW w:w="738"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87" w:right="174"/>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1433"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3"/>
              <w:ind w:left="75" w:right="79"/>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116" w:type="dxa"/>
            <w:vMerge/>
            <w:tcBorders>
              <w:left w:val="single" w:sz="4" w:space="0" w:color="000000"/>
              <w:right w:val="single" w:sz="4" w:space="0" w:color="000000"/>
            </w:tcBorders>
            <w:shd w:val="clear" w:color="auto" w:fill="D2D2D2"/>
          </w:tcPr>
          <w:p>
            <w:pPr/>
          </w:p>
        </w:tc>
        <w:tc>
          <w:tcPr>
            <w:tcW w:w="10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27" w:type="dxa"/>
            <w:vMerge/>
            <w:tcBorders>
              <w:left w:val="single" w:sz="4" w:space="0" w:color="000000"/>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738" w:type="dxa"/>
            <w:vMerge/>
            <w:tcBorders>
              <w:left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1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63" w:hRule="exact"/>
        </w:trPr>
        <w:tc>
          <w:tcPr>
            <w:tcW w:w="1705" w:type="dxa"/>
            <w:vMerge w:val="restart"/>
            <w:tcBorders>
              <w:top w:val="nil" w:sz="6" w:space="0" w:color="auto"/>
              <w:left w:val="single" w:sz="4" w:space="0" w:color="000000"/>
              <w:right w:val="single" w:sz="4" w:space="0" w:color="000000"/>
            </w:tcBorders>
            <w:shd w:val="clear" w:color="auto" w:fill="D2D2D2"/>
          </w:tcPr>
          <w:p>
            <w:pPr/>
          </w:p>
        </w:tc>
        <w:tc>
          <w:tcPr>
            <w:tcW w:w="1116" w:type="dxa"/>
            <w:vMerge/>
            <w:tcBorders>
              <w:left w:val="single" w:sz="4" w:space="0" w:color="000000"/>
              <w:right w:val="single" w:sz="4" w:space="0" w:color="000000"/>
            </w:tcBorders>
            <w:shd w:val="clear" w:color="auto" w:fill="D2D2D2"/>
          </w:tcPr>
          <w:p>
            <w:pPr/>
          </w:p>
        </w:tc>
        <w:tc>
          <w:tcPr>
            <w:tcW w:w="1010" w:type="dxa"/>
            <w:vMerge w:val="restart"/>
            <w:tcBorders>
              <w:top w:val="nil" w:sz="6" w:space="0" w:color="auto"/>
              <w:left w:val="single" w:sz="4" w:space="0" w:color="000000"/>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c>
          <w:tcPr>
            <w:tcW w:w="738" w:type="dxa"/>
            <w:vMerge/>
            <w:tcBorders>
              <w:left w:val="single" w:sz="4" w:space="0" w:color="000000"/>
              <w:bottom w:val="nil" w:sz="6" w:space="0" w:color="auto"/>
              <w:right w:val="single" w:sz="4" w:space="0" w:color="000000"/>
            </w:tcBorders>
            <w:shd w:val="clear" w:color="auto" w:fill="D2D2D2"/>
          </w:tcPr>
          <w:p>
            <w:pPr/>
          </w:p>
        </w:tc>
        <w:tc>
          <w:tcPr>
            <w:tcW w:w="1433" w:type="dxa"/>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705"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8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37"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际发生额合计（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92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28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4"/>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37"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0"/>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92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8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97" w:hRule="exact"/>
        </w:trPr>
        <w:tc>
          <w:tcPr>
            <w:tcW w:w="1705" w:type="dxa"/>
            <w:vMerge w:val="restart"/>
            <w:tcBorders>
              <w:top w:val="single" w:sz="4" w:space="0" w:color="000000"/>
              <w:left w:val="single" w:sz="4" w:space="0" w:color="000000"/>
              <w:right w:val="single" w:sz="4" w:space="0" w:color="000000"/>
            </w:tcBorders>
            <w:shd w:val="clear" w:color="auto" w:fill="D2D2D2"/>
          </w:tcPr>
          <w:p>
            <w:pPr/>
          </w:p>
        </w:tc>
        <w:tc>
          <w:tcPr>
            <w:tcW w:w="1116" w:type="dxa"/>
            <w:vMerge w:val="restart"/>
            <w:tcBorders>
              <w:top w:val="single" w:sz="4" w:space="0" w:color="000000"/>
              <w:left w:val="single" w:sz="4" w:space="0" w:color="000000"/>
              <w:right w:val="single" w:sz="4" w:space="0" w:color="FFFFFF"/>
            </w:tcBorders>
            <w:shd w:val="clear" w:color="auto" w:fill="D2D2D2"/>
          </w:tcPr>
          <w:p>
            <w:pPr>
              <w:pStyle w:val="TableParagraph"/>
              <w:spacing w:line="360" w:lineRule="auto" w:before="58"/>
              <w:ind w:left="194" w:right="18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1010" w:type="dxa"/>
            <w:vMerge w:val="restart"/>
            <w:tcBorders>
              <w:top w:val="single" w:sz="4" w:space="0" w:color="000000"/>
              <w:left w:val="single" w:sz="4" w:space="0" w:color="FFFFFF"/>
              <w:right w:val="single" w:sz="4" w:space="0" w:color="000000"/>
            </w:tcBorders>
            <w:shd w:val="clear" w:color="auto" w:fill="D2D2D2"/>
          </w:tcPr>
          <w:p>
            <w:pPr/>
          </w:p>
        </w:tc>
        <w:tc>
          <w:tcPr>
            <w:tcW w:w="1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705" w:type="dxa"/>
            <w:vMerge/>
            <w:tcBorders>
              <w:left w:val="single" w:sz="4" w:space="0" w:color="000000"/>
              <w:bottom w:val="nil" w:sz="6" w:space="0" w:color="auto"/>
              <w:right w:val="single" w:sz="4" w:space="0" w:color="000000"/>
            </w:tcBorders>
            <w:shd w:val="clear" w:color="auto" w:fill="D2D2D2"/>
          </w:tcPr>
          <w:p>
            <w:pPr/>
          </w:p>
        </w:tc>
        <w:tc>
          <w:tcPr>
            <w:tcW w:w="1116" w:type="dxa"/>
            <w:vMerge/>
            <w:tcBorders>
              <w:left w:val="single" w:sz="4" w:space="0" w:color="000000"/>
              <w:right w:val="single" w:sz="4" w:space="0" w:color="FFFFFF"/>
            </w:tcBorders>
            <w:shd w:val="clear" w:color="auto" w:fill="D2D2D2"/>
          </w:tcPr>
          <w:p>
            <w:pPr/>
          </w:p>
        </w:tc>
        <w:tc>
          <w:tcPr>
            <w:tcW w:w="1010" w:type="dxa"/>
            <w:vMerge/>
            <w:tcBorders>
              <w:left w:val="single" w:sz="4" w:space="0" w:color="FFFFFF"/>
              <w:bottom w:val="nil" w:sz="6" w:space="0" w:color="auto"/>
              <w:right w:val="single" w:sz="4" w:space="0" w:color="000000"/>
            </w:tcBorders>
            <w:shd w:val="clear" w:color="auto" w:fill="D2D2D2"/>
          </w:tcPr>
          <w:p>
            <w:pPr/>
          </w:p>
        </w:tc>
        <w:tc>
          <w:tcPr>
            <w:tcW w:w="1127"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95" w:right="195" w:firstLine="182"/>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发生日期</w:t>
            </w: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15" w:right="108" w:firstLine="177"/>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担保金额</w:t>
            </w:r>
          </w:p>
        </w:tc>
        <w:tc>
          <w:tcPr>
            <w:tcW w:w="738"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87" w:right="174"/>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1433"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75" w:right="79"/>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116" w:type="dxa"/>
            <w:vMerge/>
            <w:tcBorders>
              <w:left w:val="single" w:sz="4" w:space="0" w:color="000000"/>
              <w:right w:val="single" w:sz="4" w:space="0" w:color="FFFFFF"/>
            </w:tcBorders>
            <w:shd w:val="clear" w:color="auto" w:fill="D2D2D2"/>
          </w:tcPr>
          <w:p>
            <w:pPr/>
          </w:p>
        </w:tc>
        <w:tc>
          <w:tcPr>
            <w:tcW w:w="1010"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27" w:type="dxa"/>
            <w:vMerge/>
            <w:tcBorders>
              <w:left w:val="single" w:sz="4" w:space="0" w:color="000000"/>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738" w:type="dxa"/>
            <w:vMerge/>
            <w:tcBorders>
              <w:left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1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68" w:hRule="exact"/>
        </w:trPr>
        <w:tc>
          <w:tcPr>
            <w:tcW w:w="1705" w:type="dxa"/>
            <w:vMerge w:val="restart"/>
            <w:tcBorders>
              <w:top w:val="nil" w:sz="6" w:space="0" w:color="auto"/>
              <w:left w:val="single" w:sz="4" w:space="0" w:color="000000"/>
              <w:right w:val="single" w:sz="4" w:space="0" w:color="000000"/>
            </w:tcBorders>
            <w:shd w:val="clear" w:color="auto" w:fill="D2D2D2"/>
          </w:tcPr>
          <w:p>
            <w:pPr/>
          </w:p>
        </w:tc>
        <w:tc>
          <w:tcPr>
            <w:tcW w:w="1116" w:type="dxa"/>
            <w:vMerge/>
            <w:tcBorders>
              <w:left w:val="single" w:sz="4" w:space="0" w:color="000000"/>
              <w:right w:val="single" w:sz="4" w:space="0" w:color="FFFFFF"/>
            </w:tcBorders>
            <w:shd w:val="clear" w:color="auto" w:fill="D2D2D2"/>
          </w:tcPr>
          <w:p>
            <w:pPr/>
          </w:p>
        </w:tc>
        <w:tc>
          <w:tcPr>
            <w:tcW w:w="1010" w:type="dxa"/>
            <w:vMerge w:val="restart"/>
            <w:tcBorders>
              <w:top w:val="nil" w:sz="6" w:space="0" w:color="auto"/>
              <w:left w:val="single" w:sz="4" w:space="0" w:color="FFFFFF"/>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c>
          <w:tcPr>
            <w:tcW w:w="738" w:type="dxa"/>
            <w:vMerge/>
            <w:tcBorders>
              <w:left w:val="single" w:sz="4" w:space="0" w:color="000000"/>
              <w:bottom w:val="nil" w:sz="6" w:space="0" w:color="auto"/>
              <w:right w:val="single" w:sz="4" w:space="0" w:color="000000"/>
            </w:tcBorders>
            <w:shd w:val="clear" w:color="auto" w:fill="D2D2D2"/>
          </w:tcPr>
          <w:p>
            <w:pPr/>
          </w:p>
        </w:tc>
        <w:tc>
          <w:tcPr>
            <w:tcW w:w="1433" w:type="dxa"/>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705"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FFFFFF"/>
            </w:tcBorders>
            <w:shd w:val="clear" w:color="auto" w:fill="D2D2D2"/>
          </w:tcPr>
          <w:p>
            <w:pPr/>
          </w:p>
        </w:tc>
        <w:tc>
          <w:tcPr>
            <w:tcW w:w="1010" w:type="dxa"/>
            <w:vMerge/>
            <w:tcBorders>
              <w:left w:val="single" w:sz="4" w:space="0" w:color="FFFFFF"/>
              <w:bottom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 w:right="58"/>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25,000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0" w:right="83"/>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9" w:right="129"/>
              <w:jc w:val="both"/>
              <w:rPr>
                <w:rFonts w:ascii="宋体" w:hAnsi="宋体" w:cs="宋体" w:eastAsia="宋体" w:hint="default"/>
                <w:sz w:val="18"/>
                <w:szCs w:val="18"/>
              </w:rPr>
            </w:pPr>
            <w:r>
              <w:rPr>
                <w:rFonts w:ascii="宋体" w:hAnsi="宋体" w:cs="宋体" w:eastAsia="宋体" w:hint="default"/>
                <w:spacing w:val="-3"/>
                <w:sz w:val="18"/>
                <w:szCs w:val="18"/>
              </w:rPr>
              <w:t>采购合同项下的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最后付款到期日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三年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1128"/>
        <w:gridCol w:w="999"/>
        <w:gridCol w:w="1133"/>
        <w:gridCol w:w="960"/>
        <w:gridCol w:w="744"/>
        <w:gridCol w:w="1421"/>
        <w:gridCol w:w="716"/>
        <w:gridCol w:w="783"/>
      </w:tblGrid>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西藏酷爱通信有限公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0" w:right="89"/>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3"/>
                <w:sz w:val="18"/>
                <w:szCs w:val="18"/>
              </w:rPr>
              <w:t>采购合同项下的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最后付款到期日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三年</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深圳市酷众科技有限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0" w:right="89"/>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3"/>
              <w:jc w:val="both"/>
              <w:rPr>
                <w:rFonts w:ascii="宋体" w:hAnsi="宋体" w:cs="宋体" w:eastAsia="宋体" w:hint="default"/>
                <w:sz w:val="18"/>
                <w:szCs w:val="18"/>
              </w:rPr>
            </w:pPr>
            <w:r>
              <w:rPr>
                <w:rFonts w:ascii="宋体" w:hAnsi="宋体" w:cs="宋体" w:eastAsia="宋体" w:hint="default"/>
                <w:spacing w:val="-3"/>
                <w:sz w:val="18"/>
                <w:szCs w:val="18"/>
              </w:rPr>
              <w:t>采购合同项下的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最后付款到期日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三年</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深圳市酷脉科技有限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0" w:right="89"/>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3"/>
              <w:jc w:val="both"/>
              <w:rPr>
                <w:rFonts w:ascii="宋体" w:hAnsi="宋体" w:cs="宋体" w:eastAsia="宋体" w:hint="default"/>
                <w:sz w:val="18"/>
                <w:szCs w:val="18"/>
              </w:rPr>
            </w:pPr>
            <w:r>
              <w:rPr>
                <w:rFonts w:ascii="宋体" w:hAnsi="宋体" w:cs="宋体" w:eastAsia="宋体" w:hint="default"/>
                <w:spacing w:val="-3"/>
                <w:sz w:val="18"/>
                <w:szCs w:val="18"/>
              </w:rPr>
              <w:t>采购合同项下的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最后付款到期日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三年</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西藏酷爱通信有限公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73"/>
              <w:ind w:left="100" w:right="89"/>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51"/>
              <w:jc w:val="left"/>
              <w:rPr>
                <w:rFonts w:ascii="宋体" w:hAnsi="宋体" w:cs="宋体" w:eastAsia="宋体" w:hint="default"/>
                <w:sz w:val="18"/>
                <w:szCs w:val="18"/>
              </w:rPr>
            </w:pPr>
            <w:r>
              <w:rPr>
                <w:rFonts w:ascii="宋体" w:hAnsi="宋体" w:cs="宋体" w:eastAsia="宋体" w:hint="default"/>
                <w:spacing w:val="-3"/>
                <w:sz w:val="18"/>
                <w:szCs w:val="18"/>
              </w:rPr>
              <w:t>西藏酷爱通信有限公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100" w:right="89"/>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51"/>
              <w:jc w:val="left"/>
              <w:rPr>
                <w:rFonts w:ascii="宋体" w:hAnsi="宋体" w:cs="宋体" w:eastAsia="宋体" w:hint="default"/>
                <w:sz w:val="18"/>
                <w:szCs w:val="18"/>
              </w:rPr>
            </w:pPr>
            <w:r>
              <w:rPr>
                <w:rFonts w:ascii="宋体" w:hAnsi="宋体" w:cs="宋体" w:eastAsia="宋体" w:hint="default"/>
                <w:spacing w:val="-3"/>
                <w:sz w:val="18"/>
                <w:szCs w:val="18"/>
              </w:rPr>
              <w:t>西藏酷爱通信有限公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100" w:right="89"/>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5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51"/>
              <w:jc w:val="left"/>
              <w:rPr>
                <w:rFonts w:ascii="宋体" w:hAnsi="宋体" w:cs="宋体" w:eastAsia="宋体" w:hint="default"/>
                <w:sz w:val="18"/>
                <w:szCs w:val="18"/>
              </w:rPr>
            </w:pPr>
            <w:r>
              <w:rPr>
                <w:rFonts w:ascii="宋体" w:hAnsi="宋体" w:cs="宋体" w:eastAsia="宋体" w:hint="default"/>
                <w:spacing w:val="-3"/>
                <w:sz w:val="18"/>
                <w:szCs w:val="18"/>
              </w:rPr>
              <w:t>西藏酷爱通信有限公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西藏酷爱通信有限公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西藏酷爱通信有限公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深圳市爱施德股份有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限公司及其子公司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0" w:right="89"/>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5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100" w:right="89"/>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51"/>
              <w:jc w:val="left"/>
              <w:rPr>
                <w:rFonts w:ascii="宋体" w:hAnsi="宋体" w:cs="宋体" w:eastAsia="宋体" w:hint="default"/>
                <w:sz w:val="18"/>
                <w:szCs w:val="18"/>
              </w:rPr>
            </w:pPr>
            <w:r>
              <w:rPr>
                <w:rFonts w:ascii="宋体" w:hAnsi="宋体" w:cs="宋体" w:eastAsia="宋体" w:hint="default"/>
                <w:spacing w:val="-3"/>
                <w:sz w:val="18"/>
                <w:szCs w:val="18"/>
              </w:rPr>
              <w:t>中国供应链金融服务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7"/>
              <w:ind w:left="24" w:right="51"/>
              <w:jc w:val="left"/>
              <w:rPr>
                <w:rFonts w:ascii="宋体" w:hAnsi="宋体" w:cs="宋体" w:eastAsia="宋体" w:hint="default"/>
                <w:sz w:val="18"/>
                <w:szCs w:val="18"/>
              </w:rPr>
            </w:pPr>
            <w:r>
              <w:rPr>
                <w:rFonts w:ascii="宋体" w:hAnsi="宋体" w:cs="宋体" w:eastAsia="宋体" w:hint="default"/>
                <w:spacing w:val="-3"/>
                <w:sz w:val="18"/>
                <w:szCs w:val="18"/>
              </w:rPr>
              <w:t>爱施德（香港）有限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深圳市优友通讯有限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深圳市优友互联有限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0.619995pt;margin-top:672.190002pt;width:145.550pt;height:27.6pt;mso-position-horizontal-relative:page;mso-position-vertical-relative:page;z-index:-1180288" coordorigin="7812,13444" coordsize="2911,552">
            <v:group style="position:absolute;left:7812;top:13837;width:2911;height:159" coordorigin="7812,13837" coordsize="2911,159">
              <v:shape style="position:absolute;left:7812;top:13837;width:2911;height:159" coordorigin="7812,13837" coordsize="2911,159" path="m7812,13996l10723,13996,10723,13837,7812,13837,7812,13996xe" filled="true" fillcolor="#ffffff" stroked="false">
                <v:path arrowok="t"/>
                <v:fill type="solid"/>
              </v:shape>
            </v:group>
            <v:group style="position:absolute;left:7836;top:13444;width:2862;height:394" coordorigin="7836,13444" coordsize="2862,394">
              <v:shape style="position:absolute;left:7836;top:13444;width:2862;height:394" coordorigin="7836,13444" coordsize="2862,394" path="m7836,13837l10698,13837,10698,13444,7836,13444,7836,13837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1125"/>
        <w:gridCol w:w="1002"/>
        <w:gridCol w:w="1137"/>
        <w:gridCol w:w="947"/>
        <w:gridCol w:w="750"/>
        <w:gridCol w:w="1425"/>
        <w:gridCol w:w="711"/>
        <w:gridCol w:w="788"/>
      </w:tblGrid>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深圳市优友供应链有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深圳市实丰科技有限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1137"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中国供应链金融服务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5"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19,214.48</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73"/>
              <w:ind w:left="110" w:right="85"/>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63"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3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840,000</w:t>
            </w:r>
          </w:p>
        </w:tc>
        <w:tc>
          <w:tcPr>
            <w:tcW w:w="16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0" w:right="42"/>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保实际发生额合计</w:t>
            </w:r>
          </w:p>
          <w:p>
            <w:pPr>
              <w:pStyle w:val="TableParagraph"/>
              <w:spacing w:line="240" w:lineRule="auto" w:before="22"/>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924" w:type="dxa"/>
            <w:gridSpan w:val="3"/>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318,214.48</w:t>
            </w:r>
          </w:p>
        </w:tc>
      </w:tr>
      <w:tr>
        <w:trPr>
          <w:trHeight w:val="701" w:hRule="exact"/>
        </w:trPr>
        <w:tc>
          <w:tcPr>
            <w:tcW w:w="28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4"/>
              <w:ind w:left="24" w:right="96"/>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39" w:type="dxa"/>
            <w:gridSpan w:val="2"/>
            <w:vMerge/>
            <w:tcBorders>
              <w:left w:val="single" w:sz="10" w:space="0" w:color="D2D2D2"/>
              <w:right w:val="single" w:sz="13" w:space="0" w:color="D2D2D2"/>
            </w:tcBorders>
          </w:tcPr>
          <w:p>
            <w:pPr/>
          </w:p>
        </w:tc>
        <w:tc>
          <w:tcPr>
            <w:tcW w:w="1696" w:type="dxa"/>
            <w:gridSpan w:val="2"/>
            <w:vMerge/>
            <w:tcBorders>
              <w:left w:val="single" w:sz="4" w:space="0" w:color="000000"/>
              <w:right w:val="single" w:sz="4" w:space="0" w:color="000000"/>
            </w:tcBorders>
            <w:shd w:val="clear" w:color="auto" w:fill="D2D2D2"/>
          </w:tcPr>
          <w:p>
            <w:pPr/>
          </w:p>
        </w:tc>
        <w:tc>
          <w:tcPr>
            <w:tcW w:w="2924" w:type="dxa"/>
            <w:gridSpan w:val="3"/>
            <w:vMerge/>
            <w:tcBorders>
              <w:left w:val="single" w:sz="13" w:space="0" w:color="D2D2D2"/>
              <w:right w:val="single" w:sz="4" w:space="0" w:color="000000"/>
            </w:tcBorders>
          </w:tcPr>
          <w:p>
            <w:pPr/>
          </w:p>
        </w:tc>
      </w:tr>
      <w:tr>
        <w:trPr>
          <w:trHeight w:val="163"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39" w:type="dxa"/>
            <w:gridSpan w:val="2"/>
            <w:vMerge/>
            <w:tcBorders>
              <w:left w:val="single" w:sz="10" w:space="0" w:color="D2D2D2"/>
              <w:bottom w:val="single" w:sz="4" w:space="0" w:color="000000"/>
              <w:right w:val="single" w:sz="13" w:space="0" w:color="D2D2D2"/>
            </w:tcBorders>
          </w:tcPr>
          <w:p>
            <w:pPr/>
          </w:p>
        </w:tc>
        <w:tc>
          <w:tcPr>
            <w:tcW w:w="1696" w:type="dxa"/>
            <w:gridSpan w:val="2"/>
            <w:vMerge/>
            <w:tcBorders>
              <w:left w:val="single" w:sz="4" w:space="0" w:color="000000"/>
              <w:bottom w:val="single" w:sz="4" w:space="0" w:color="000000"/>
              <w:right w:val="single" w:sz="4" w:space="0" w:color="000000"/>
            </w:tcBorders>
            <w:shd w:val="clear" w:color="auto" w:fill="D2D2D2"/>
          </w:tcPr>
          <w:p>
            <w:pPr/>
          </w:p>
        </w:tc>
        <w:tc>
          <w:tcPr>
            <w:tcW w:w="2924" w:type="dxa"/>
            <w:gridSpan w:val="3"/>
            <w:vMerge/>
            <w:tcBorders>
              <w:left w:val="single" w:sz="13" w:space="0" w:color="D2D2D2"/>
              <w:bottom w:val="single" w:sz="4" w:space="0" w:color="000000"/>
              <w:right w:val="single" w:sz="4" w:space="0" w:color="000000"/>
            </w:tcBorders>
          </w:tcPr>
          <w:p>
            <w:pPr/>
          </w:p>
        </w:tc>
      </w:tr>
      <w:tr>
        <w:trPr>
          <w:trHeight w:val="163"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3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965,000</w:t>
            </w:r>
          </w:p>
        </w:tc>
        <w:tc>
          <w:tcPr>
            <w:tcW w:w="16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53"/>
              <w:ind w:left="20" w:right="42"/>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际担保余额合计</w:t>
            </w:r>
          </w:p>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924" w:type="dxa"/>
            <w:gridSpan w:val="3"/>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443,214.48</w:t>
            </w:r>
          </w:p>
        </w:tc>
      </w:tr>
      <w:tr>
        <w:trPr>
          <w:trHeight w:val="701" w:hRule="exact"/>
        </w:trPr>
        <w:tc>
          <w:tcPr>
            <w:tcW w:w="28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96"/>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39" w:type="dxa"/>
            <w:gridSpan w:val="2"/>
            <w:vMerge/>
            <w:tcBorders>
              <w:left w:val="single" w:sz="10" w:space="0" w:color="D2D2D2"/>
              <w:right w:val="single" w:sz="13" w:space="0" w:color="D2D2D2"/>
            </w:tcBorders>
          </w:tcPr>
          <w:p>
            <w:pPr/>
          </w:p>
        </w:tc>
        <w:tc>
          <w:tcPr>
            <w:tcW w:w="1696" w:type="dxa"/>
            <w:gridSpan w:val="2"/>
            <w:vMerge/>
            <w:tcBorders>
              <w:left w:val="single" w:sz="4" w:space="0" w:color="000000"/>
              <w:right w:val="single" w:sz="4" w:space="0" w:color="000000"/>
            </w:tcBorders>
            <w:shd w:val="clear" w:color="auto" w:fill="D2D2D2"/>
          </w:tcPr>
          <w:p>
            <w:pPr/>
          </w:p>
        </w:tc>
        <w:tc>
          <w:tcPr>
            <w:tcW w:w="2924" w:type="dxa"/>
            <w:gridSpan w:val="3"/>
            <w:vMerge/>
            <w:tcBorders>
              <w:left w:val="single" w:sz="13" w:space="0" w:color="D2D2D2"/>
              <w:right w:val="single" w:sz="4" w:space="0" w:color="000000"/>
            </w:tcBorders>
          </w:tcPr>
          <w:p>
            <w:pPr/>
          </w:p>
        </w:tc>
      </w:tr>
      <w:tr>
        <w:trPr>
          <w:trHeight w:val="168"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39" w:type="dxa"/>
            <w:gridSpan w:val="2"/>
            <w:vMerge/>
            <w:tcBorders>
              <w:left w:val="single" w:sz="10" w:space="0" w:color="D2D2D2"/>
              <w:bottom w:val="single" w:sz="4" w:space="0" w:color="000000"/>
              <w:right w:val="single" w:sz="13" w:space="0" w:color="D2D2D2"/>
            </w:tcBorders>
          </w:tcPr>
          <w:p>
            <w:pPr/>
          </w:p>
        </w:tc>
        <w:tc>
          <w:tcPr>
            <w:tcW w:w="1696" w:type="dxa"/>
            <w:gridSpan w:val="2"/>
            <w:vMerge/>
            <w:tcBorders>
              <w:left w:val="single" w:sz="4" w:space="0" w:color="000000"/>
              <w:bottom w:val="single" w:sz="4" w:space="0" w:color="000000"/>
              <w:right w:val="single" w:sz="4" w:space="0" w:color="000000"/>
            </w:tcBorders>
            <w:shd w:val="clear" w:color="auto" w:fill="D2D2D2"/>
          </w:tcPr>
          <w:p>
            <w:pPr/>
          </w:p>
        </w:tc>
        <w:tc>
          <w:tcPr>
            <w:tcW w:w="2924" w:type="dxa"/>
            <w:gridSpan w:val="3"/>
            <w:vMerge/>
            <w:tcBorders>
              <w:left w:val="single" w:sz="13" w:space="0" w:color="D2D2D2"/>
              <w:bottom w:val="single" w:sz="4" w:space="0" w:color="000000"/>
              <w:right w:val="single" w:sz="4" w:space="0" w:color="000000"/>
            </w:tcBorders>
          </w:tcPr>
          <w:p>
            <w:pPr/>
          </w:p>
        </w:tc>
      </w:tr>
      <w:tr>
        <w:trPr>
          <w:trHeight w:val="396" w:hRule="exact"/>
        </w:trPr>
        <w:tc>
          <w:tcPr>
            <w:tcW w:w="959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90"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6"/>
              <w:ind w:left="201" w:right="187"/>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1002" w:type="dxa"/>
            <w:vMerge w:val="restart"/>
            <w:tcBorders>
              <w:top w:val="single" w:sz="4" w:space="0" w:color="000000"/>
              <w:left w:val="single" w:sz="4" w:space="0" w:color="000000"/>
              <w:right w:val="single" w:sz="4" w:space="0" w:color="FFFFFF"/>
            </w:tcBorders>
            <w:shd w:val="clear" w:color="auto" w:fill="D2D2D2"/>
          </w:tcPr>
          <w:p>
            <w:pPr/>
          </w:p>
        </w:tc>
        <w:tc>
          <w:tcPr>
            <w:tcW w:w="1137" w:type="dxa"/>
            <w:tcBorders>
              <w:top w:val="single" w:sz="4" w:space="0" w:color="000000"/>
              <w:left w:val="single" w:sz="4" w:space="0" w:color="FFFFFF"/>
              <w:bottom w:val="nil" w:sz="6" w:space="0" w:color="auto"/>
              <w:right w:val="single" w:sz="4" w:space="0" w:color="000000"/>
            </w:tcBorders>
            <w:shd w:val="clear" w:color="auto" w:fill="D2D2D2"/>
          </w:tcPr>
          <w:p>
            <w:pPr/>
          </w:p>
        </w:tc>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5" w:type="dxa"/>
            <w:vMerge w:val="restart"/>
            <w:tcBorders>
              <w:top w:val="single" w:sz="4" w:space="0" w:color="000000"/>
              <w:left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FFFFFF"/>
            </w:tcBorders>
            <w:shd w:val="clear" w:color="auto" w:fill="D2D2D2"/>
          </w:tcPr>
          <w:p>
            <w:pPr/>
          </w:p>
        </w:tc>
        <w:tc>
          <w:tcPr>
            <w:tcW w:w="1137" w:type="dxa"/>
            <w:vMerge w:val="restart"/>
            <w:tcBorders>
              <w:top w:val="nil" w:sz="6" w:space="0" w:color="auto"/>
              <w:left w:val="single" w:sz="4" w:space="0" w:color="FFFFFF"/>
              <w:right w:val="single" w:sz="4" w:space="0" w:color="000000"/>
            </w:tcBorders>
            <w:shd w:val="clear" w:color="auto" w:fill="D2D2D2"/>
          </w:tcPr>
          <w:p>
            <w:pPr>
              <w:pStyle w:val="TableParagraph"/>
              <w:spacing w:line="362" w:lineRule="auto" w:before="44"/>
              <w:ind w:left="201" w:right="199" w:firstLine="182"/>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发生日期</w:t>
            </w:r>
          </w:p>
        </w:tc>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01" w:right="108" w:firstLine="177"/>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担保金额</w:t>
            </w:r>
          </w:p>
        </w:tc>
        <w:tc>
          <w:tcPr>
            <w:tcW w:w="750"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87" w:right="187"/>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1425" w:type="dxa"/>
            <w:vMerge/>
            <w:tcBorders>
              <w:left w:val="single" w:sz="4" w:space="0" w:color="000000"/>
              <w:bottom w:val="nil" w:sz="6" w:space="0" w:color="auto"/>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3"/>
              <w:ind w:left="76" w:right="79"/>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3"/>
              <w:ind w:left="23" w:right="2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25" w:type="dxa"/>
            <w:vMerge/>
            <w:tcBorders>
              <w:left w:val="single" w:sz="4" w:space="0" w:color="000000"/>
              <w:right w:val="single" w:sz="4" w:space="0" w:color="000000"/>
            </w:tcBorders>
            <w:shd w:val="clear" w:color="auto" w:fill="D2D2D2"/>
          </w:tcPr>
          <w:p>
            <w:pPr/>
          </w:p>
        </w:tc>
        <w:tc>
          <w:tcPr>
            <w:tcW w:w="1002"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37" w:type="dxa"/>
            <w:vMerge/>
            <w:tcBorders>
              <w:left w:val="single" w:sz="4" w:space="0" w:color="FFFFFF"/>
              <w:right w:val="single" w:sz="4" w:space="0" w:color="000000"/>
            </w:tcBorders>
            <w:shd w:val="clear" w:color="auto" w:fill="D2D2D2"/>
          </w:tcPr>
          <w:p>
            <w:pPr/>
          </w:p>
        </w:tc>
        <w:tc>
          <w:tcPr>
            <w:tcW w:w="947" w:type="dxa"/>
            <w:vMerge/>
            <w:tcBorders>
              <w:left w:val="single" w:sz="4" w:space="0" w:color="000000"/>
              <w:right w:val="single" w:sz="4" w:space="0" w:color="000000"/>
            </w:tcBorders>
            <w:shd w:val="clear" w:color="auto" w:fill="D2D2D2"/>
          </w:tcPr>
          <w:p>
            <w:pPr/>
          </w:p>
        </w:tc>
        <w:tc>
          <w:tcPr>
            <w:tcW w:w="750" w:type="dxa"/>
            <w:vMerge/>
            <w:tcBorders>
              <w:left w:val="single" w:sz="4" w:space="0" w:color="000000"/>
              <w:right w:val="single" w:sz="4" w:space="0" w:color="000000"/>
            </w:tcBorders>
            <w:shd w:val="clear" w:color="auto" w:fill="D2D2D2"/>
          </w:tcPr>
          <w:p>
            <w:pPr/>
          </w:p>
        </w:tc>
        <w:tc>
          <w:tcPr>
            <w:tcW w:w="14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4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11"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63"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FFFFFF"/>
            </w:tcBorders>
            <w:shd w:val="clear" w:color="auto" w:fill="D2D2D2"/>
          </w:tcPr>
          <w:p>
            <w:pPr/>
          </w:p>
        </w:tc>
        <w:tc>
          <w:tcPr>
            <w:tcW w:w="1137" w:type="dxa"/>
            <w:vMerge/>
            <w:tcBorders>
              <w:left w:val="single" w:sz="4" w:space="0" w:color="FFFFFF"/>
              <w:bottom w:val="nil" w:sz="6" w:space="0" w:color="auto"/>
              <w:right w:val="single" w:sz="4" w:space="0" w:color="000000"/>
            </w:tcBorders>
            <w:shd w:val="clear" w:color="auto" w:fill="D2D2D2"/>
          </w:tcPr>
          <w:p>
            <w:pPr/>
          </w:p>
        </w:tc>
        <w:tc>
          <w:tcPr>
            <w:tcW w:w="947" w:type="dxa"/>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bottom w:val="nil" w:sz="6" w:space="0" w:color="auto"/>
              <w:right w:val="single" w:sz="4" w:space="0" w:color="000000"/>
            </w:tcBorders>
            <w:shd w:val="clear" w:color="auto" w:fill="D2D2D2"/>
          </w:tcPr>
          <w:p>
            <w:pPr/>
          </w:p>
        </w:tc>
        <w:tc>
          <w:tcPr>
            <w:tcW w:w="1425" w:type="dxa"/>
            <w:vMerge w:val="restart"/>
            <w:tcBorders>
              <w:top w:val="nil" w:sz="6" w:space="0" w:color="auto"/>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FFFFFF"/>
            </w:tcBorders>
            <w:shd w:val="clear" w:color="auto" w:fill="D2D2D2"/>
          </w:tcPr>
          <w:p>
            <w:pPr/>
          </w:p>
        </w:tc>
        <w:tc>
          <w:tcPr>
            <w:tcW w:w="1137" w:type="dxa"/>
            <w:tcBorders>
              <w:top w:val="nil" w:sz="6" w:space="0" w:color="auto"/>
              <w:left w:val="single" w:sz="4" w:space="0" w:color="FFFFFF"/>
              <w:bottom w:val="single" w:sz="4" w:space="0" w:color="000000"/>
              <w:right w:val="single" w:sz="4" w:space="0" w:color="000000"/>
            </w:tcBorders>
            <w:shd w:val="clear" w:color="auto" w:fill="D2D2D2"/>
          </w:tcPr>
          <w:p>
            <w:pPr/>
          </w:p>
        </w:tc>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5"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w:t>
            </w:r>
          </w:p>
        </w:tc>
        <w:tc>
          <w:tcPr>
            <w:tcW w:w="11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25,000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0" w:right="94"/>
              <w:jc w:val="left"/>
              <w:rPr>
                <w:rFonts w:ascii="宋体" w:hAnsi="宋体" w:cs="宋体" w:eastAsia="宋体" w:hint="default"/>
                <w:sz w:val="18"/>
                <w:szCs w:val="18"/>
              </w:rPr>
            </w:pPr>
            <w:r>
              <w:rPr>
                <w:rFonts w:ascii="宋体" w:hAnsi="宋体" w:cs="宋体" w:eastAsia="宋体" w:hint="default"/>
                <w:sz w:val="18"/>
                <w:szCs w:val="18"/>
              </w:rPr>
              <w:t>连带责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任保证</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23"/>
              <w:jc w:val="both"/>
              <w:rPr>
                <w:rFonts w:ascii="宋体" w:hAnsi="宋体" w:cs="宋体" w:eastAsia="宋体" w:hint="default"/>
                <w:sz w:val="18"/>
                <w:szCs w:val="18"/>
              </w:rPr>
            </w:pPr>
            <w:r>
              <w:rPr>
                <w:rFonts w:ascii="宋体" w:hAnsi="宋体" w:cs="宋体" w:eastAsia="宋体" w:hint="default"/>
                <w:spacing w:val="-3"/>
                <w:sz w:val="18"/>
                <w:szCs w:val="18"/>
              </w:rPr>
              <w:t>采购合同项下的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最后付款到期日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三年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爱施德（香港）有限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w:t>
            </w:r>
          </w:p>
        </w:tc>
        <w:tc>
          <w:tcPr>
            <w:tcW w:w="1137" w:type="dxa"/>
            <w:tcBorders>
              <w:top w:val="single" w:sz="4" w:space="0" w:color="000000"/>
              <w:left w:val="single" w:sz="4" w:space="0" w:color="FFFFFF"/>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51"/>
              <w:jc w:val="left"/>
              <w:rPr>
                <w:rFonts w:ascii="宋体" w:hAnsi="宋体" w:cs="宋体" w:eastAsia="宋体" w:hint="default"/>
                <w:sz w:val="18"/>
                <w:szCs w:val="18"/>
              </w:rPr>
            </w:pPr>
            <w:r>
              <w:rPr>
                <w:rFonts w:ascii="宋体" w:hAnsi="宋体" w:cs="宋体" w:eastAsia="宋体" w:hint="default"/>
                <w:spacing w:val="-3"/>
                <w:sz w:val="18"/>
                <w:szCs w:val="18"/>
              </w:rPr>
              <w:t>上海凝鹏通讯科技有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1137" w:type="dxa"/>
            <w:tcBorders>
              <w:top w:val="single" w:sz="4" w:space="0" w:color="000000"/>
              <w:left w:val="single" w:sz="4" w:space="0" w:color="FFFFFF"/>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3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104,000</w:t>
            </w:r>
          </w:p>
        </w:tc>
        <w:tc>
          <w:tcPr>
            <w:tcW w:w="16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53"/>
              <w:ind w:left="20" w:right="42"/>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保实际发生额合计</w:t>
            </w:r>
          </w:p>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924" w:type="dxa"/>
            <w:gridSpan w:val="3"/>
            <w:vMerge w:val="restart"/>
            <w:tcBorders>
              <w:top w:val="single" w:sz="4" w:space="0" w:color="000000"/>
              <w:left w:val="single" w:sz="13" w:space="0" w:color="D2D2D2"/>
              <w:right w:val="single" w:sz="4" w:space="0" w:color="000000"/>
            </w:tcBorders>
          </w:tcPr>
          <w:p>
            <w:pPr/>
          </w:p>
        </w:tc>
      </w:tr>
      <w:tr>
        <w:trPr>
          <w:trHeight w:val="706" w:hRule="exact"/>
        </w:trPr>
        <w:tc>
          <w:tcPr>
            <w:tcW w:w="28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96"/>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139" w:type="dxa"/>
            <w:gridSpan w:val="2"/>
            <w:vMerge/>
            <w:tcBorders>
              <w:left w:val="single" w:sz="10" w:space="0" w:color="D2D2D2"/>
              <w:right w:val="single" w:sz="13" w:space="0" w:color="D2D2D2"/>
            </w:tcBorders>
          </w:tcPr>
          <w:p>
            <w:pPr/>
          </w:p>
        </w:tc>
        <w:tc>
          <w:tcPr>
            <w:tcW w:w="1696" w:type="dxa"/>
            <w:gridSpan w:val="2"/>
            <w:vMerge/>
            <w:tcBorders>
              <w:left w:val="single" w:sz="4" w:space="0" w:color="000000"/>
              <w:right w:val="single" w:sz="4" w:space="0" w:color="000000"/>
            </w:tcBorders>
            <w:shd w:val="clear" w:color="auto" w:fill="D2D2D2"/>
          </w:tcPr>
          <w:p>
            <w:pPr/>
          </w:p>
        </w:tc>
        <w:tc>
          <w:tcPr>
            <w:tcW w:w="2924" w:type="dxa"/>
            <w:gridSpan w:val="3"/>
            <w:vMerge/>
            <w:tcBorders>
              <w:left w:val="single" w:sz="13" w:space="0" w:color="D2D2D2"/>
              <w:right w:val="single" w:sz="4" w:space="0" w:color="000000"/>
            </w:tcBorders>
          </w:tcPr>
          <w:p>
            <w:pPr/>
          </w:p>
        </w:tc>
      </w:tr>
      <w:tr>
        <w:trPr>
          <w:trHeight w:val="163"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39" w:type="dxa"/>
            <w:gridSpan w:val="2"/>
            <w:vMerge/>
            <w:tcBorders>
              <w:left w:val="single" w:sz="10" w:space="0" w:color="D2D2D2"/>
              <w:bottom w:val="single" w:sz="4" w:space="0" w:color="000000"/>
              <w:right w:val="single" w:sz="13" w:space="0" w:color="D2D2D2"/>
            </w:tcBorders>
          </w:tcPr>
          <w:p>
            <w:pPr/>
          </w:p>
        </w:tc>
        <w:tc>
          <w:tcPr>
            <w:tcW w:w="1696" w:type="dxa"/>
            <w:gridSpan w:val="2"/>
            <w:vMerge/>
            <w:tcBorders>
              <w:left w:val="single" w:sz="4" w:space="0" w:color="000000"/>
              <w:bottom w:val="single" w:sz="4" w:space="0" w:color="000000"/>
              <w:right w:val="single" w:sz="4" w:space="0" w:color="000000"/>
            </w:tcBorders>
            <w:shd w:val="clear" w:color="auto" w:fill="D2D2D2"/>
          </w:tcPr>
          <w:p>
            <w:pPr/>
          </w:p>
        </w:tc>
        <w:tc>
          <w:tcPr>
            <w:tcW w:w="2924" w:type="dxa"/>
            <w:gridSpan w:val="3"/>
            <w:vMerge/>
            <w:tcBorders>
              <w:left w:val="single" w:sz="13" w:space="0" w:color="D2D2D2"/>
              <w:bottom w:val="single" w:sz="4" w:space="0" w:color="000000"/>
              <w:right w:val="single" w:sz="4" w:space="0" w:color="000000"/>
            </w:tcBorders>
          </w:tcPr>
          <w:p>
            <w:pPr/>
          </w:p>
        </w:tc>
      </w:tr>
      <w:tr>
        <w:trPr>
          <w:trHeight w:val="159"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3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129,000</w:t>
            </w:r>
          </w:p>
        </w:tc>
        <w:tc>
          <w:tcPr>
            <w:tcW w:w="16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54"/>
              <w:ind w:left="20" w:right="42"/>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际担保余额合计</w:t>
            </w:r>
          </w:p>
          <w:p>
            <w:pPr>
              <w:pStyle w:val="TableParagraph"/>
              <w:spacing w:line="240" w:lineRule="auto" w:before="27"/>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924" w:type="dxa"/>
            <w:gridSpan w:val="3"/>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706" w:hRule="exact"/>
        </w:trPr>
        <w:tc>
          <w:tcPr>
            <w:tcW w:w="28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96"/>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139" w:type="dxa"/>
            <w:gridSpan w:val="2"/>
            <w:vMerge/>
            <w:tcBorders>
              <w:left w:val="single" w:sz="10" w:space="0" w:color="D2D2D2"/>
              <w:right w:val="single" w:sz="13" w:space="0" w:color="D2D2D2"/>
            </w:tcBorders>
          </w:tcPr>
          <w:p>
            <w:pPr/>
          </w:p>
        </w:tc>
        <w:tc>
          <w:tcPr>
            <w:tcW w:w="1696" w:type="dxa"/>
            <w:gridSpan w:val="2"/>
            <w:vMerge/>
            <w:tcBorders>
              <w:left w:val="single" w:sz="4" w:space="0" w:color="000000"/>
              <w:right w:val="single" w:sz="4" w:space="0" w:color="000000"/>
            </w:tcBorders>
            <w:shd w:val="clear" w:color="auto" w:fill="D2D2D2"/>
          </w:tcPr>
          <w:p>
            <w:pPr/>
          </w:p>
        </w:tc>
        <w:tc>
          <w:tcPr>
            <w:tcW w:w="2924" w:type="dxa"/>
            <w:gridSpan w:val="3"/>
            <w:vMerge/>
            <w:tcBorders>
              <w:left w:val="single" w:sz="13" w:space="0" w:color="D2D2D2"/>
              <w:right w:val="single" w:sz="4" w:space="0" w:color="000000"/>
            </w:tcBorders>
          </w:tcPr>
          <w:p>
            <w:pPr/>
          </w:p>
        </w:tc>
      </w:tr>
      <w:tr>
        <w:trPr>
          <w:trHeight w:val="163"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39" w:type="dxa"/>
            <w:gridSpan w:val="2"/>
            <w:vMerge/>
            <w:tcBorders>
              <w:left w:val="single" w:sz="10" w:space="0" w:color="D2D2D2"/>
              <w:bottom w:val="single" w:sz="4" w:space="0" w:color="000000"/>
              <w:right w:val="single" w:sz="13" w:space="0" w:color="D2D2D2"/>
            </w:tcBorders>
          </w:tcPr>
          <w:p>
            <w:pPr/>
          </w:p>
        </w:tc>
        <w:tc>
          <w:tcPr>
            <w:tcW w:w="1696" w:type="dxa"/>
            <w:gridSpan w:val="2"/>
            <w:vMerge/>
            <w:tcBorders>
              <w:left w:val="single" w:sz="4" w:space="0" w:color="000000"/>
              <w:bottom w:val="single" w:sz="4" w:space="0" w:color="000000"/>
              <w:right w:val="single" w:sz="4" w:space="0" w:color="000000"/>
            </w:tcBorders>
            <w:shd w:val="clear" w:color="auto" w:fill="D2D2D2"/>
          </w:tcPr>
          <w:p>
            <w:pPr/>
          </w:p>
        </w:tc>
        <w:tc>
          <w:tcPr>
            <w:tcW w:w="2924" w:type="dxa"/>
            <w:gridSpan w:val="3"/>
            <w:vMerge/>
            <w:tcBorders>
              <w:left w:val="single" w:sz="13" w:space="0" w:color="D2D2D2"/>
              <w:bottom w:val="single" w:sz="4" w:space="0" w:color="000000"/>
              <w:right w:val="single" w:sz="4" w:space="0" w:color="000000"/>
            </w:tcBorders>
          </w:tcPr>
          <w:p>
            <w:pPr/>
          </w:p>
        </w:tc>
      </w:tr>
      <w:tr>
        <w:trPr>
          <w:trHeight w:val="394" w:hRule="exact"/>
        </w:trPr>
        <w:tc>
          <w:tcPr>
            <w:tcW w:w="959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168"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3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944,000</w:t>
            </w:r>
          </w:p>
        </w:tc>
        <w:tc>
          <w:tcPr>
            <w:tcW w:w="16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8"/>
              <w:ind w:left="20" w:right="42"/>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生额合计</w:t>
            </w:r>
          </w:p>
          <w:p>
            <w:pPr>
              <w:pStyle w:val="TableParagraph"/>
              <w:spacing w:line="240" w:lineRule="auto" w:before="25"/>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924" w:type="dxa"/>
            <w:gridSpan w:val="3"/>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318,214.48</w:t>
            </w:r>
          </w:p>
        </w:tc>
      </w:tr>
      <w:tr>
        <w:trPr>
          <w:trHeight w:val="701" w:hRule="exact"/>
        </w:trPr>
        <w:tc>
          <w:tcPr>
            <w:tcW w:w="28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139" w:type="dxa"/>
            <w:gridSpan w:val="2"/>
            <w:vMerge/>
            <w:tcBorders>
              <w:left w:val="single" w:sz="10" w:space="0" w:color="D2D2D2"/>
              <w:right w:val="single" w:sz="13" w:space="0" w:color="D2D2D2"/>
            </w:tcBorders>
          </w:tcPr>
          <w:p>
            <w:pPr/>
          </w:p>
        </w:tc>
        <w:tc>
          <w:tcPr>
            <w:tcW w:w="1696" w:type="dxa"/>
            <w:gridSpan w:val="2"/>
            <w:vMerge/>
            <w:tcBorders>
              <w:left w:val="single" w:sz="4" w:space="0" w:color="000000"/>
              <w:right w:val="single" w:sz="4" w:space="0" w:color="000000"/>
            </w:tcBorders>
            <w:shd w:val="clear" w:color="auto" w:fill="D2D2D2"/>
          </w:tcPr>
          <w:p>
            <w:pPr/>
          </w:p>
        </w:tc>
        <w:tc>
          <w:tcPr>
            <w:tcW w:w="2924" w:type="dxa"/>
            <w:gridSpan w:val="3"/>
            <w:vMerge/>
            <w:tcBorders>
              <w:left w:val="single" w:sz="13" w:space="0" w:color="D2D2D2"/>
              <w:right w:val="single" w:sz="4" w:space="0" w:color="000000"/>
            </w:tcBorders>
          </w:tcPr>
          <w:p>
            <w:pPr/>
          </w:p>
        </w:tc>
      </w:tr>
      <w:tr>
        <w:trPr>
          <w:trHeight w:val="163"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39" w:type="dxa"/>
            <w:gridSpan w:val="2"/>
            <w:vMerge/>
            <w:tcBorders>
              <w:left w:val="single" w:sz="10" w:space="0" w:color="D2D2D2"/>
              <w:bottom w:val="single" w:sz="4" w:space="0" w:color="000000"/>
              <w:right w:val="single" w:sz="13" w:space="0" w:color="D2D2D2"/>
            </w:tcBorders>
          </w:tcPr>
          <w:p>
            <w:pPr/>
          </w:p>
        </w:tc>
        <w:tc>
          <w:tcPr>
            <w:tcW w:w="1696" w:type="dxa"/>
            <w:gridSpan w:val="2"/>
            <w:vMerge/>
            <w:tcBorders>
              <w:left w:val="single" w:sz="4" w:space="0" w:color="000000"/>
              <w:bottom w:val="single" w:sz="4" w:space="0" w:color="000000"/>
              <w:right w:val="single" w:sz="4" w:space="0" w:color="000000"/>
            </w:tcBorders>
            <w:shd w:val="clear" w:color="auto" w:fill="D2D2D2"/>
          </w:tcPr>
          <w:p>
            <w:pPr/>
          </w:p>
        </w:tc>
        <w:tc>
          <w:tcPr>
            <w:tcW w:w="2924" w:type="dxa"/>
            <w:gridSpan w:val="3"/>
            <w:vMerge/>
            <w:tcBorders>
              <w:left w:val="single" w:sz="13" w:space="0" w:color="D2D2D2"/>
              <w:bottom w:val="single" w:sz="4" w:space="0" w:color="000000"/>
              <w:right w:val="single" w:sz="4" w:space="0" w:color="000000"/>
            </w:tcBorders>
          </w:tcPr>
          <w:p>
            <w:pPr/>
          </w:p>
        </w:tc>
      </w:tr>
      <w:tr>
        <w:trPr>
          <w:trHeight w:val="715"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139"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78" w:right="0"/>
              <w:jc w:val="left"/>
              <w:rPr>
                <w:rFonts w:ascii="Times New Roman" w:hAnsi="Times New Roman" w:cs="Times New Roman" w:eastAsia="Times New Roman" w:hint="default"/>
                <w:sz w:val="18"/>
                <w:szCs w:val="18"/>
              </w:rPr>
            </w:pPr>
            <w:r>
              <w:rPr>
                <w:rFonts w:ascii="Times New Roman"/>
                <w:sz w:val="18"/>
              </w:rPr>
              <w:t>1,094,000</w:t>
            </w:r>
          </w:p>
        </w:tc>
        <w:tc>
          <w:tcPr>
            <w:tcW w:w="1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4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报告期末实际担保余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额合计（</w:t>
            </w:r>
            <w:r>
              <w:rPr>
                <w:rFonts w:ascii="Times New Roman" w:hAnsi="Times New Roman" w:cs="Times New Roman" w:eastAsia="Times New Roman" w:hint="default"/>
                <w:spacing w:val="-3"/>
                <w:sz w:val="18"/>
                <w:szCs w:val="18"/>
              </w:rPr>
              <w:t>A4+B4+C4</w:t>
            </w:r>
          </w:p>
        </w:tc>
        <w:tc>
          <w:tcPr>
            <w:tcW w:w="1425"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28"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9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468,214.48</w:t>
            </w:r>
          </w:p>
        </w:tc>
      </w:tr>
      <w:tr>
        <w:trPr>
          <w:trHeight w:val="404" w:hRule="exact"/>
        </w:trPr>
        <w:tc>
          <w:tcPr>
            <w:tcW w:w="49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620" w:type="dxa"/>
            <w:gridSpan w:val="5"/>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94.50%</w:t>
            </w:r>
          </w:p>
        </w:tc>
      </w:tr>
      <w:tr>
        <w:trPr>
          <w:trHeight w:val="398" w:hRule="exact"/>
        </w:trPr>
        <w:tc>
          <w:tcPr>
            <w:tcW w:w="959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70"/>
        <w:gridCol w:w="4624"/>
      </w:tblGrid>
      <w:tr>
        <w:trPr>
          <w:trHeight w:val="403" w:hRule="exact"/>
        </w:trPr>
        <w:tc>
          <w:tcPr>
            <w:tcW w:w="4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29,214.48</w:t>
            </w:r>
          </w:p>
        </w:tc>
      </w:tr>
      <w:tr>
        <w:trPr>
          <w:trHeight w:val="401" w:hRule="exact"/>
        </w:trPr>
        <w:tc>
          <w:tcPr>
            <w:tcW w:w="4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220,483.97</w:t>
            </w:r>
          </w:p>
        </w:tc>
      </w:tr>
      <w:tr>
        <w:trPr>
          <w:trHeight w:val="403" w:hRule="exact"/>
        </w:trPr>
        <w:tc>
          <w:tcPr>
            <w:tcW w:w="4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249,698.45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6"/>
        <w:jc w:val="left"/>
        <w:rPr>
          <w:b w:val="0"/>
          <w:bCs w:val="0"/>
        </w:rPr>
      </w:pPr>
      <w:bookmarkStart w:name="（2）违规对外担保情况" w:id="113"/>
      <w:bookmarkEnd w:id="11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5"/>
        <w:rPr>
          <w:rFonts w:ascii="宋体" w:hAnsi="宋体" w:cs="宋体" w:eastAsia="宋体" w:hint="default"/>
          <w:sz w:val="20"/>
          <w:szCs w:val="20"/>
        </w:rPr>
      </w:pPr>
    </w:p>
    <w:p>
      <w:pPr>
        <w:pStyle w:val="Heading3"/>
        <w:spacing w:line="240" w:lineRule="auto"/>
        <w:ind w:right="1126"/>
        <w:jc w:val="left"/>
        <w:rPr>
          <w:b w:val="0"/>
          <w:bCs w:val="0"/>
        </w:rPr>
      </w:pPr>
      <w:bookmarkStart w:name="3、委托他人进行现金资产管理情况" w:id="114"/>
      <w:bookmarkEnd w:id="11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委托理财情况" w:id="115"/>
      <w:bookmarkEnd w:id="11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474" w:top="1060" w:bottom="16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620" w:bottom="280" w:left="980" w:right="0"/>
          <w:cols w:num="2" w:equalWidth="0">
            <w:col w:w="1959" w:space="6785"/>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399"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361,170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220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361,170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220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240" w:lineRule="auto" w:before="53"/>
        <w:ind w:right="1126"/>
        <w:jc w:val="left"/>
      </w:pPr>
      <w:r>
        <w:rPr>
          <w:spacing w:val="-3"/>
        </w:rPr>
        <w:t>单项金额重大或安全性较低、流动性较差、不保本的高风险委托理财具体情况</w:t>
      </w:r>
    </w:p>
    <w:p>
      <w:pPr>
        <w:pStyle w:val="BodyText"/>
        <w:spacing w:line="338" w:lineRule="auto" w:before="120"/>
        <w:ind w:right="464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委托理财出现预期无法收回本金或存在其他可能导致减值的情形</w:t>
      </w:r>
    </w:p>
    <w:p>
      <w:pPr>
        <w:pStyle w:val="BodyText"/>
        <w:spacing w:line="240" w:lineRule="auto" w:before="41"/>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2）委托贷款情况" w:id="116"/>
      <w:bookmarkEnd w:id="11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8"/>
        <w:rPr>
          <w:rFonts w:ascii="宋体" w:hAnsi="宋体" w:cs="宋体" w:eastAsia="宋体" w:hint="default"/>
          <w:sz w:val="20"/>
          <w:szCs w:val="20"/>
        </w:rPr>
      </w:pPr>
    </w:p>
    <w:p>
      <w:pPr>
        <w:pStyle w:val="Heading3"/>
        <w:spacing w:line="240" w:lineRule="auto"/>
        <w:ind w:right="1126"/>
        <w:jc w:val="left"/>
        <w:rPr>
          <w:b w:val="0"/>
          <w:bCs w:val="0"/>
        </w:rPr>
      </w:pPr>
      <w:bookmarkStart w:name="4、其他重大合同" w:id="117"/>
      <w:bookmarkEnd w:id="11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after="0" w:line="343" w:lineRule="auto"/>
        <w:jc w:val="left"/>
        <w:sectPr>
          <w:type w:val="continuous"/>
          <w:pgSz w:w="11910" w:h="16840"/>
          <w:pgMar w:top="620" w:bottom="28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1126"/>
        <w:jc w:val="left"/>
        <w:rPr>
          <w:b w:val="0"/>
          <w:bCs w:val="0"/>
        </w:rPr>
      </w:pPr>
      <w:bookmarkStart w:name="十八、社会责任情况" w:id="118"/>
      <w:bookmarkEnd w:id="118"/>
      <w:r>
        <w:rPr>
          <w:b w:val="0"/>
          <w:bCs w:val="0"/>
        </w:rPr>
      </w:r>
      <w:r>
        <w:rPr/>
        <w:t>十八、社会责任情况</w:t>
      </w:r>
      <w:r>
        <w:rPr>
          <w:b w:val="0"/>
          <w:bCs w:val="0"/>
        </w:rPr>
      </w:r>
    </w:p>
    <w:p>
      <w:pPr>
        <w:pStyle w:val="Heading4"/>
        <w:spacing w:line="696" w:lineRule="exact" w:before="19"/>
        <w:ind w:left="575" w:right="1126" w:hanging="423"/>
        <w:jc w:val="left"/>
      </w:pPr>
      <w:bookmarkStart w:name="1、履行社会责任情况" w:id="119"/>
      <w:bookmarkEnd w:id="119"/>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spacing w:val="-102"/>
        </w:rPr>
        <w:t> </w:t>
      </w:r>
      <w:r>
        <w:rPr>
          <w:spacing w:val="-2"/>
        </w:rPr>
        <w:t>公司坚持企业发展与社会责任并重，在实现股东利益最大的同时，积极响应国家政策的要求和社会发</w:t>
      </w:r>
    </w:p>
    <w:p>
      <w:pPr>
        <w:pStyle w:val="Heading4"/>
        <w:spacing w:line="240" w:lineRule="auto" w:before="76"/>
        <w:ind w:right="1126"/>
        <w:jc w:val="left"/>
      </w:pPr>
      <w:r>
        <w:rPr/>
        <w:t>展的需要，真诚回报社会。</w:t>
      </w:r>
    </w:p>
    <w:p>
      <w:pPr>
        <w:pStyle w:val="Heading4"/>
        <w:spacing w:line="610" w:lineRule="atLeast" w:before="30"/>
        <w:ind w:left="527" w:right="1126" w:firstLine="48"/>
        <w:jc w:val="left"/>
      </w:pPr>
      <w:r>
        <w:rPr/>
        <w:t>（</w:t>
      </w:r>
      <w:r>
        <w:rPr>
          <w:rFonts w:ascii="Times New Roman" w:hAnsi="Times New Roman" w:cs="Times New Roman" w:eastAsia="Times New Roman" w:hint="default"/>
        </w:rPr>
        <w:t>1</w:t>
      </w:r>
      <w:r>
        <w:rPr/>
        <w:t>）股东和债权人权益保护</w:t>
      </w:r>
      <w:r>
        <w:rPr>
          <w:w w:val="100"/>
        </w:rPr>
        <w:t> </w:t>
      </w:r>
      <w:r>
        <w:rPr>
          <w:spacing w:val="-1"/>
        </w:rPr>
        <w:t>公司严格按照《公司法》、《证券法》、《深圳证券交易所股票上市规则》、《深圳证券交易所上市</w:t>
      </w:r>
    </w:p>
    <w:p>
      <w:pPr>
        <w:spacing w:line="240" w:lineRule="auto" w:before="8"/>
        <w:rPr>
          <w:rFonts w:ascii="宋体" w:hAnsi="宋体" w:cs="宋体" w:eastAsia="宋体" w:hint="default"/>
          <w:sz w:val="14"/>
          <w:szCs w:val="14"/>
        </w:rPr>
      </w:pPr>
    </w:p>
    <w:p>
      <w:pPr>
        <w:pStyle w:val="Heading4"/>
        <w:spacing w:line="240" w:lineRule="auto"/>
        <w:ind w:right="1126"/>
        <w:jc w:val="left"/>
      </w:pPr>
      <w:r>
        <w:rPr/>
        <w:t>公司规范运作指引》等相关法律法规的要求，真实、准确、完整地进行信息披露。</w:t>
      </w:r>
    </w:p>
    <w:p>
      <w:pPr>
        <w:spacing w:line="240" w:lineRule="auto" w:before="1"/>
        <w:rPr>
          <w:rFonts w:ascii="宋体" w:hAnsi="宋体" w:cs="宋体" w:eastAsia="宋体" w:hint="default"/>
          <w:sz w:val="27"/>
          <w:szCs w:val="27"/>
        </w:rPr>
      </w:pPr>
    </w:p>
    <w:p>
      <w:pPr>
        <w:pStyle w:val="Heading4"/>
        <w:spacing w:line="408" w:lineRule="auto"/>
        <w:ind w:right="1123" w:firstLine="374"/>
        <w:jc w:val="both"/>
      </w:pPr>
      <w:r>
        <w:rPr>
          <w:spacing w:val="-1"/>
        </w:rPr>
        <w:t>公司积极接待各类投资者，通过网上业绩说明会、网上集体接待日、投资者电话、电子邮箱、深交所</w:t>
      </w:r>
      <w:r>
        <w:rPr>
          <w:w w:val="100"/>
        </w:rPr>
        <w:t> </w:t>
      </w:r>
      <w:r>
        <w:rPr>
          <w:spacing w:val="-2"/>
        </w:rPr>
        <w:t>“互动易”平台等多种方式，保持与投资者的交流互动，以便于公司广大股东与债权人能及时地了解公司</w:t>
      </w:r>
      <w:r>
        <w:rPr>
          <w:spacing w:val="-31"/>
        </w:rPr>
        <w:t> </w:t>
      </w:r>
      <w:r>
        <w:rPr>
          <w:spacing w:val="-31"/>
        </w:rPr>
      </w:r>
      <w:r>
        <w:rPr/>
        <w:t>的经营情况。</w:t>
      </w:r>
    </w:p>
    <w:p>
      <w:pPr>
        <w:spacing w:line="240" w:lineRule="auto" w:before="11"/>
        <w:rPr>
          <w:rFonts w:ascii="宋体" w:hAnsi="宋体" w:cs="宋体" w:eastAsia="宋体" w:hint="default"/>
          <w:sz w:val="15"/>
          <w:szCs w:val="15"/>
        </w:rPr>
      </w:pPr>
    </w:p>
    <w:p>
      <w:pPr>
        <w:pStyle w:val="Heading4"/>
        <w:spacing w:line="391" w:lineRule="auto"/>
        <w:ind w:right="1122" w:firstLine="374"/>
        <w:jc w:val="both"/>
      </w:pPr>
      <w:r>
        <w:rPr>
          <w:spacing w:val="-1"/>
        </w:rPr>
        <w:t>公司非常重视对投资者的合理回报，在不影响公司正常经营和持续发展的前提下，制定了相对稳定的</w:t>
      </w:r>
      <w:r>
        <w:rPr>
          <w:w w:val="100"/>
        </w:rPr>
        <w:t> </w:t>
      </w:r>
      <w:r>
        <w:rPr>
          <w:spacing w:val="-2"/>
        </w:rPr>
        <w:t>利润分配政策和分红方案以回报股东。公司</w:t>
      </w:r>
      <w:r>
        <w:rPr>
          <w:rFonts w:ascii="Times New Roman" w:hAnsi="Times New Roman" w:cs="Times New Roman" w:eastAsia="Times New Roman" w:hint="default"/>
          <w:spacing w:val="-2"/>
        </w:rPr>
        <w:t>2018</w:t>
      </w:r>
      <w:r>
        <w:rPr>
          <w:spacing w:val="-2"/>
        </w:rPr>
        <w:t>年度权益分派方案获</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日召开的</w:t>
      </w:r>
      <w:r>
        <w:rPr>
          <w:rFonts w:ascii="Times New Roman" w:hAnsi="Times New Roman" w:cs="Times New Roman" w:eastAsia="Times New Roman" w:hint="default"/>
          <w:spacing w:val="-2"/>
        </w:rPr>
        <w:t>2018</w:t>
      </w:r>
      <w:r>
        <w:rPr>
          <w:spacing w:val="-2"/>
        </w:rPr>
        <w:t>年度股东大</w:t>
      </w:r>
      <w:r>
        <w:rPr>
          <w:spacing w:val="-18"/>
        </w:rPr>
        <w:t> </w:t>
      </w:r>
      <w:r>
        <w:rPr>
          <w:spacing w:val="-18"/>
        </w:rPr>
      </w:r>
      <w:r>
        <w:rPr/>
        <w:t>会审议通过，以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1,239,281,806</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2.00</w:t>
      </w:r>
      <w:r>
        <w:rPr/>
        <w:t>元（含税），</w:t>
      </w:r>
      <w:r>
        <w:rPr>
          <w:spacing w:val="-31"/>
        </w:rPr>
        <w:t> </w:t>
      </w:r>
      <w:r>
        <w:rPr>
          <w:spacing w:val="-31"/>
        </w:rPr>
      </w:r>
      <w:r>
        <w:rPr/>
        <w:t>共计派发现金红利</w:t>
      </w:r>
      <w:r>
        <w:rPr>
          <w:rFonts w:ascii="Times New Roman" w:hAnsi="Times New Roman" w:cs="Times New Roman" w:eastAsia="Times New Roman" w:hint="default"/>
        </w:rPr>
        <w:t>247,856,361.20</w:t>
      </w:r>
      <w:r>
        <w:rPr/>
        <w:t>元。</w:t>
      </w:r>
    </w:p>
    <w:p>
      <w:pPr>
        <w:pStyle w:val="Heading4"/>
        <w:spacing w:line="240" w:lineRule="auto" w:before="187"/>
        <w:ind w:left="575" w:right="1126"/>
        <w:jc w:val="left"/>
      </w:pPr>
      <w:r>
        <w:rPr/>
        <w:t>（</w:t>
      </w:r>
      <w:r>
        <w:rPr>
          <w:rFonts w:ascii="Times New Roman" w:hAnsi="Times New Roman" w:cs="Times New Roman" w:eastAsia="Times New Roman" w:hint="default"/>
        </w:rPr>
        <w:t>2</w:t>
      </w:r>
      <w:r>
        <w:rPr/>
        <w:t>）职工权益保护</w:t>
      </w:r>
    </w:p>
    <w:p>
      <w:pPr>
        <w:spacing w:line="240" w:lineRule="auto" w:before="11"/>
        <w:rPr>
          <w:rFonts w:ascii="宋体" w:hAnsi="宋体" w:cs="宋体" w:eastAsia="宋体" w:hint="default"/>
          <w:sz w:val="25"/>
          <w:szCs w:val="25"/>
        </w:rPr>
      </w:pPr>
    </w:p>
    <w:p>
      <w:pPr>
        <w:pStyle w:val="Heading4"/>
        <w:spacing w:line="408" w:lineRule="auto"/>
        <w:ind w:right="1125" w:firstLine="422"/>
        <w:jc w:val="both"/>
      </w:pPr>
      <w:r>
        <w:rPr>
          <w:spacing w:val="-2"/>
        </w:rPr>
        <w:t>公司严格遵守《劳动法》、《劳动合同法》等相关法律法规，建立合法的用工制度，依法为员工缴纳</w:t>
      </w:r>
      <w:r>
        <w:rPr>
          <w:w w:val="100"/>
        </w:rPr>
        <w:t> </w:t>
      </w:r>
      <w:r>
        <w:rPr>
          <w:spacing w:val="-2"/>
        </w:rPr>
        <w:t>各项社会保险，保障员工享有国家规定的各项合法权益，同时公司通过为员工购买重疾、意外等商业保险</w:t>
      </w:r>
      <w:r>
        <w:rPr>
          <w:spacing w:val="-33"/>
        </w:rPr>
        <w:t> </w:t>
      </w:r>
      <w:r>
        <w:rPr>
          <w:spacing w:val="-33"/>
        </w:rPr>
      </w:r>
      <w:r>
        <w:rPr>
          <w:spacing w:val="-2"/>
        </w:rPr>
        <w:t>帮助员工抵御风险。在员工关怀方面，公司通过带薪年假、全员体检、下午茶、生日福利及其他企业文化</w:t>
      </w:r>
      <w:r>
        <w:rPr>
          <w:spacing w:val="-38"/>
        </w:rPr>
        <w:t> </w:t>
      </w:r>
      <w:r>
        <w:rPr>
          <w:spacing w:val="-38"/>
        </w:rPr>
      </w:r>
      <w:r>
        <w:rPr/>
        <w:t>活动，关注员工身心健康，深化企业文化，与员工共同发展。</w:t>
      </w:r>
    </w:p>
    <w:p>
      <w:pPr>
        <w:spacing w:line="240" w:lineRule="auto" w:before="6"/>
        <w:rPr>
          <w:rFonts w:ascii="宋体" w:hAnsi="宋体" w:cs="宋体" w:eastAsia="宋体" w:hint="default"/>
          <w:sz w:val="15"/>
          <w:szCs w:val="15"/>
        </w:rPr>
      </w:pPr>
    </w:p>
    <w:p>
      <w:pPr>
        <w:pStyle w:val="Heading4"/>
        <w:spacing w:line="240" w:lineRule="auto"/>
        <w:ind w:left="470" w:right="1126"/>
        <w:jc w:val="left"/>
      </w:pPr>
      <w:r>
        <w:rPr/>
        <w:t>（</w:t>
      </w:r>
      <w:r>
        <w:rPr>
          <w:rFonts w:ascii="Times New Roman" w:hAnsi="Times New Roman" w:cs="Times New Roman" w:eastAsia="Times New Roman" w:hint="default"/>
        </w:rPr>
        <w:t>3</w:t>
      </w:r>
      <w:r>
        <w:rPr/>
        <w:t>）供应商、客户和消费者权益保护</w:t>
      </w:r>
    </w:p>
    <w:p>
      <w:pPr>
        <w:spacing w:line="240" w:lineRule="auto" w:before="11"/>
        <w:rPr>
          <w:rFonts w:ascii="宋体" w:hAnsi="宋体" w:cs="宋体" w:eastAsia="宋体" w:hint="default"/>
          <w:sz w:val="25"/>
          <w:szCs w:val="25"/>
        </w:rPr>
      </w:pPr>
    </w:p>
    <w:p>
      <w:pPr>
        <w:pStyle w:val="Heading4"/>
        <w:spacing w:line="405" w:lineRule="auto"/>
        <w:ind w:right="1122" w:firstLine="422"/>
        <w:jc w:val="both"/>
      </w:pPr>
      <w:r>
        <w:rPr>
          <w:spacing w:val="-2"/>
        </w:rPr>
        <w:t>公司坚持诚实守信、规范运营，与供应商和客户建立合作共赢的战略合作伙伴关系，保持长期良好的</w:t>
      </w:r>
      <w:r>
        <w:rPr>
          <w:w w:val="100"/>
        </w:rPr>
        <w:t> </w:t>
      </w:r>
      <w:r>
        <w:rPr>
          <w:spacing w:val="-2"/>
        </w:rPr>
        <w:t>合作，充分尊重并保护供应商、客户的合法权益。公司根据“合法经营、守法纳税”的经营道德切实履行</w:t>
      </w:r>
      <w:r>
        <w:rPr>
          <w:spacing w:val="-33"/>
        </w:rPr>
        <w:t> </w:t>
      </w:r>
      <w:r>
        <w:rPr>
          <w:spacing w:val="-33"/>
        </w:rPr>
      </w:r>
      <w:r>
        <w:rPr/>
        <w:t>公司对供应商、对客户、对消费者的社会责任。</w:t>
      </w:r>
    </w:p>
    <w:p>
      <w:pPr>
        <w:spacing w:line="240" w:lineRule="auto" w:before="8"/>
        <w:rPr>
          <w:rFonts w:ascii="宋体" w:hAnsi="宋体" w:cs="宋体" w:eastAsia="宋体" w:hint="default"/>
          <w:sz w:val="15"/>
          <w:szCs w:val="15"/>
        </w:rPr>
      </w:pPr>
    </w:p>
    <w:p>
      <w:pPr>
        <w:pStyle w:val="Heading4"/>
        <w:spacing w:line="240" w:lineRule="auto"/>
        <w:ind w:left="470" w:right="1126"/>
        <w:jc w:val="left"/>
      </w:pPr>
      <w:r>
        <w:rPr/>
        <w:t>（</w:t>
      </w:r>
      <w:r>
        <w:rPr>
          <w:rFonts w:ascii="Times New Roman" w:hAnsi="Times New Roman" w:cs="Times New Roman" w:eastAsia="Times New Roman" w:hint="default"/>
        </w:rPr>
        <w:t>4</w:t>
      </w:r>
      <w:r>
        <w:rPr/>
        <w:t>）社会公益事业</w:t>
      </w:r>
    </w:p>
    <w:p>
      <w:pPr>
        <w:spacing w:line="240" w:lineRule="auto" w:before="11"/>
        <w:rPr>
          <w:rFonts w:ascii="宋体" w:hAnsi="宋体" w:cs="宋体" w:eastAsia="宋体" w:hint="default"/>
          <w:sz w:val="25"/>
          <w:szCs w:val="25"/>
        </w:rPr>
      </w:pPr>
    </w:p>
    <w:p>
      <w:pPr>
        <w:pStyle w:val="Heading4"/>
        <w:spacing w:line="240" w:lineRule="auto"/>
        <w:ind w:left="575" w:right="1126"/>
        <w:jc w:val="left"/>
      </w:pPr>
      <w:r>
        <w:rPr>
          <w:spacing w:val="-4"/>
        </w:rPr>
        <w:t>自</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1</w:t>
      </w:r>
      <w:r>
        <w:rPr>
          <w:spacing w:val="-4"/>
        </w:rPr>
        <w:t>月新型冠状病毒肺炎疫情爆发以来，公司坚决贯彻各级政府战略，积极投身疫情防控工作，</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pStyle w:val="Heading4"/>
        <w:spacing w:line="391" w:lineRule="auto" w:before="182"/>
        <w:ind w:right="1123"/>
        <w:jc w:val="both"/>
      </w:pPr>
      <w:r>
        <w:rPr>
          <w:spacing w:val="-2"/>
        </w:rPr>
        <w:t>切实保护员工身体健康与生命安全，维护公司正常经营秩序。为践行社会责任，支持抗击疫情，公司在做</w:t>
      </w:r>
      <w:r>
        <w:rPr>
          <w:spacing w:val="-33"/>
        </w:rPr>
        <w:t> </w:t>
      </w:r>
      <w:r>
        <w:rPr>
          <w:spacing w:val="-33"/>
        </w:rPr>
      </w:r>
      <w:r>
        <w:rPr/>
        <w:t>好自身防疫工作的同时，通过深圳市红十字会捐赠人民币</w:t>
      </w:r>
      <w:r>
        <w:rPr>
          <w:rFonts w:ascii="Times New Roman" w:hAnsi="Times New Roman" w:cs="Times New Roman" w:eastAsia="Times New Roman" w:hint="default"/>
        </w:rPr>
        <w:t>100</w:t>
      </w:r>
      <w:r>
        <w:rPr/>
        <w:t>万元，所捐款项将专项用于新型冠状病毒肺</w:t>
      </w:r>
      <w:r>
        <w:rPr>
          <w:spacing w:val="-29"/>
        </w:rPr>
        <w:t> </w:t>
      </w:r>
      <w:r>
        <w:rPr>
          <w:spacing w:val="-29"/>
        </w:rPr>
      </w:r>
      <w:r>
        <w:rPr>
          <w:spacing w:val="-2"/>
        </w:rPr>
        <w:t>炎疫情防治；公司子公司深圳市优友互联有限公司向湖北地区约</w:t>
      </w:r>
      <w:r>
        <w:rPr>
          <w:rFonts w:ascii="Times New Roman" w:hAnsi="Times New Roman" w:cs="Times New Roman" w:eastAsia="Times New Roman" w:hint="default"/>
          <w:spacing w:val="-2"/>
        </w:rPr>
        <w:t>17</w:t>
      </w:r>
      <w:r>
        <w:rPr>
          <w:spacing w:val="-2"/>
        </w:rPr>
        <w:t>万用户调增通信信用额度，合计约人民</w:t>
      </w:r>
      <w:r>
        <w:rPr>
          <w:spacing w:val="-29"/>
        </w:rPr>
        <w:t> </w:t>
      </w:r>
      <w:r>
        <w:rPr>
          <w:spacing w:val="-29"/>
        </w:rPr>
      </w:r>
      <w:r>
        <w:rPr/>
        <w:t>币</w:t>
      </w:r>
      <w:r>
        <w:rPr>
          <w:rFonts w:ascii="Times New Roman" w:hAnsi="Times New Roman" w:cs="Times New Roman" w:eastAsia="Times New Roman" w:hint="default"/>
        </w:rPr>
        <w:t>50</w:t>
      </w:r>
      <w:r>
        <w:rPr/>
        <w:t>万元，保障了特殊时期其湖北地区用户的通信服务。</w:t>
      </w:r>
    </w:p>
    <w:p>
      <w:pPr>
        <w:spacing w:line="240" w:lineRule="auto" w:before="5"/>
        <w:rPr>
          <w:rFonts w:ascii="宋体" w:hAnsi="宋体" w:cs="宋体" w:eastAsia="宋体" w:hint="default"/>
          <w:sz w:val="19"/>
          <w:szCs w:val="19"/>
        </w:rPr>
      </w:pPr>
    </w:p>
    <w:p>
      <w:pPr>
        <w:pStyle w:val="Heading3"/>
        <w:spacing w:line="240" w:lineRule="auto"/>
        <w:ind w:right="1126"/>
        <w:jc w:val="left"/>
        <w:rPr>
          <w:b w:val="0"/>
          <w:bCs w:val="0"/>
        </w:rPr>
      </w:pPr>
      <w:bookmarkStart w:name="2、履行精准扶贫社会责任情况" w:id="120"/>
      <w:bookmarkEnd w:id="12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spacing w:val="-3"/>
        </w:rPr>
        <w:t>公司报告年度暂未开展精准扶贫工作，也暂无后续精准扶贫计划。</w:t>
      </w:r>
    </w:p>
    <w:p>
      <w:pPr>
        <w:spacing w:line="240" w:lineRule="auto" w:before="8"/>
        <w:rPr>
          <w:rFonts w:ascii="宋体" w:hAnsi="宋体" w:cs="宋体" w:eastAsia="宋体" w:hint="default"/>
          <w:sz w:val="26"/>
          <w:szCs w:val="26"/>
        </w:rPr>
      </w:pPr>
    </w:p>
    <w:p>
      <w:pPr>
        <w:pStyle w:val="Heading3"/>
        <w:spacing w:line="240" w:lineRule="auto"/>
        <w:ind w:right="1126"/>
        <w:jc w:val="left"/>
        <w:rPr>
          <w:b w:val="0"/>
          <w:bCs w:val="0"/>
        </w:rPr>
      </w:pPr>
      <w:bookmarkStart w:name="3、环境保护相关的情况" w:id="121"/>
      <w:bookmarkEnd w:id="12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spacing w:val="-3"/>
        </w:rPr>
        <w:t>上市公司及其子公司不属于环境保护部门公布的重点排污单位。</w:t>
      </w:r>
    </w:p>
    <w:p>
      <w:pPr>
        <w:spacing w:line="240" w:lineRule="auto" w:before="0"/>
        <w:rPr>
          <w:rFonts w:ascii="宋体" w:hAnsi="宋体" w:cs="宋体" w:eastAsia="宋体" w:hint="default"/>
          <w:sz w:val="24"/>
          <w:szCs w:val="24"/>
        </w:rPr>
      </w:pPr>
    </w:p>
    <w:p>
      <w:pPr>
        <w:pStyle w:val="Heading2"/>
        <w:spacing w:line="240" w:lineRule="auto"/>
        <w:ind w:right="1126"/>
        <w:jc w:val="left"/>
        <w:rPr>
          <w:b w:val="0"/>
          <w:bCs w:val="0"/>
        </w:rPr>
      </w:pPr>
      <w:bookmarkStart w:name="十九、其他重大事项的说明" w:id="122"/>
      <w:bookmarkEnd w:id="122"/>
      <w:r>
        <w:rPr>
          <w:b w:val="0"/>
          <w:bCs w:val="0"/>
        </w:rPr>
      </w:r>
      <w:r>
        <w:rPr/>
        <w:t>十九、其他重大事项的说明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Heading4"/>
        <w:spacing w:line="624" w:lineRule="exact" w:before="14"/>
        <w:ind w:left="714" w:right="1126"/>
        <w:jc w:val="left"/>
      </w:pPr>
      <w:r>
        <w:rPr>
          <w:rFonts w:ascii="Times New Roman" w:hAnsi="Times New Roman" w:cs="Times New Roman" w:eastAsia="Times New Roman" w:hint="default"/>
        </w:rPr>
        <w:t>1</w:t>
      </w:r>
      <w:r>
        <w:rPr/>
        <w:t>、</w:t>
      </w:r>
      <w:r>
        <w:rPr>
          <w:rFonts w:ascii="宋体" w:hAnsi="宋体" w:cs="宋体" w:eastAsia="宋体" w:hint="default"/>
          <w:b/>
          <w:bCs/>
        </w:rPr>
        <w:t>董事、高管增持</w:t>
      </w:r>
      <w:r>
        <w:rPr>
          <w:rFonts w:ascii="宋体" w:hAnsi="宋体" w:cs="宋体" w:eastAsia="宋体" w:hint="default"/>
          <w:b/>
          <w:bCs/>
          <w:spacing w:val="-102"/>
        </w:rPr>
        <w:t> </w:t>
      </w:r>
      <w:r>
        <w:rPr>
          <w:spacing w:val="-2"/>
        </w:rPr>
        <w:t>公司部分董事及高级管理人员计划在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02</w:t>
      </w:r>
      <w:r>
        <w:rPr>
          <w:spacing w:val="-2"/>
        </w:rPr>
        <w:t>月</w:t>
      </w:r>
      <w:r>
        <w:rPr>
          <w:rFonts w:ascii="Times New Roman" w:hAnsi="Times New Roman" w:cs="Times New Roman" w:eastAsia="Times New Roman" w:hint="default"/>
          <w:spacing w:val="-2"/>
        </w:rPr>
        <w:t>01</w:t>
      </w:r>
      <w:r>
        <w:rPr>
          <w:spacing w:val="-2"/>
        </w:rPr>
        <w:t>日起六个月内增持公司股份，合计增持金额不低</w:t>
      </w:r>
    </w:p>
    <w:p>
      <w:pPr>
        <w:pStyle w:val="Heading4"/>
        <w:spacing w:line="384" w:lineRule="auto" w:before="100"/>
        <w:ind w:right="1126"/>
        <w:jc w:val="left"/>
      </w:pPr>
      <w:r>
        <w:rPr/>
        <w:t>于人民币</w:t>
      </w:r>
      <w:r>
        <w:rPr>
          <w:rFonts w:ascii="Times New Roman" w:hAnsi="Times New Roman" w:cs="Times New Roman" w:eastAsia="Times New Roman" w:hint="default"/>
        </w:rPr>
        <w:t>1,000</w:t>
      </w:r>
      <w:r>
        <w:rPr/>
        <w:t>万元，不超过人民币</w:t>
      </w:r>
      <w:r>
        <w:rPr>
          <w:rFonts w:ascii="Times New Roman" w:hAnsi="Times New Roman" w:cs="Times New Roman" w:eastAsia="Times New Roman" w:hint="default"/>
        </w:rPr>
        <w:t>2,000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31</w:t>
      </w:r>
      <w:r>
        <w:rPr/>
        <w:t>日收市，公司部分董事及高级管理人员</w:t>
      </w:r>
      <w:r>
        <w:rPr>
          <w:w w:val="100"/>
        </w:rPr>
        <w:t> </w:t>
      </w:r>
      <w:r>
        <w:rPr>
          <w:spacing w:val="-2"/>
        </w:rPr>
        <w:t>本次增持计划已实施完毕。</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02</w:t>
      </w:r>
      <w:r>
        <w:rPr>
          <w:spacing w:val="-2"/>
        </w:rPr>
        <w:t>月</w:t>
      </w:r>
      <w:r>
        <w:rPr>
          <w:rFonts w:ascii="Times New Roman" w:hAnsi="Times New Roman" w:cs="Times New Roman" w:eastAsia="Times New Roman" w:hint="default"/>
          <w:spacing w:val="-2"/>
        </w:rPr>
        <w:t>01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07</w:t>
      </w:r>
      <w:r>
        <w:rPr>
          <w:spacing w:val="-2"/>
        </w:rPr>
        <w:t>月</w:t>
      </w:r>
      <w:r>
        <w:rPr>
          <w:rFonts w:ascii="Times New Roman" w:hAnsi="Times New Roman" w:cs="Times New Roman" w:eastAsia="Times New Roman" w:hint="default"/>
          <w:spacing w:val="-2"/>
        </w:rPr>
        <w:t>31</w:t>
      </w:r>
      <w:r>
        <w:rPr>
          <w:spacing w:val="-2"/>
        </w:rPr>
        <w:t>日期间，公司部分董事及高级管理人员累计增</w:t>
      </w:r>
      <w:r>
        <w:rPr>
          <w:spacing w:val="-16"/>
        </w:rPr>
        <w:t> </w:t>
      </w:r>
      <w:r>
        <w:rPr>
          <w:spacing w:val="-16"/>
        </w:rPr>
      </w:r>
      <w:r>
        <w:rPr/>
        <w:t>持公司股份合计</w:t>
      </w:r>
      <w:r>
        <w:rPr>
          <w:rFonts w:ascii="Times New Roman" w:hAnsi="Times New Roman" w:cs="Times New Roman" w:eastAsia="Times New Roman" w:hint="default"/>
        </w:rPr>
        <w:t>1,815,680</w:t>
      </w:r>
      <w:r>
        <w:rPr/>
        <w:t>股，占公司目前总股本的</w:t>
      </w:r>
      <w:r>
        <w:rPr>
          <w:rFonts w:ascii="Times New Roman" w:hAnsi="Times New Roman" w:cs="Times New Roman" w:eastAsia="Times New Roman" w:hint="default"/>
        </w:rPr>
        <w:t>0.147%</w:t>
      </w:r>
      <w:r>
        <w:rPr/>
        <w:t>，累计增持金额为人民币</w:t>
      </w:r>
      <w:r>
        <w:rPr>
          <w:rFonts w:ascii="Times New Roman" w:hAnsi="Times New Roman" w:cs="Times New Roman" w:eastAsia="Times New Roman" w:hint="default"/>
        </w:rPr>
        <w:t>10,165,711.50</w:t>
      </w:r>
      <w:r>
        <w:rPr/>
        <w:t>元。</w:t>
      </w:r>
    </w:p>
    <w:p>
      <w:pPr>
        <w:spacing w:line="240" w:lineRule="auto" w:before="2"/>
        <w:rPr>
          <w:rFonts w:ascii="宋体" w:hAnsi="宋体" w:cs="宋体" w:eastAsia="宋体" w:hint="default"/>
          <w:sz w:val="15"/>
          <w:szCs w:val="15"/>
        </w:rPr>
      </w:pPr>
    </w:p>
    <w:p>
      <w:pPr>
        <w:pStyle w:val="Heading4"/>
        <w:spacing w:line="384" w:lineRule="auto"/>
        <w:ind w:right="1122" w:firstLine="561"/>
        <w:jc w:val="both"/>
      </w:pPr>
      <w:r>
        <w:rPr/>
        <w:t>具体内容详见公司分别于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01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07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02</w:t>
      </w:r>
      <w:r>
        <w:rPr/>
        <w:t>日在巨潮资讯网上披露</w:t>
      </w:r>
      <w:r>
        <w:rPr>
          <w:w w:val="100"/>
        </w:rPr>
        <w:t> </w:t>
      </w:r>
      <w:r>
        <w:rPr>
          <w:spacing w:val="-1"/>
        </w:rPr>
        <w:t>的《关于董事及高级管理人员增持公司股份计划的公告》（公告编号：</w:t>
      </w:r>
      <w:r>
        <w:rPr>
          <w:rFonts w:ascii="Times New Roman" w:hAnsi="Times New Roman" w:cs="Times New Roman" w:eastAsia="Times New Roman" w:hint="default"/>
          <w:spacing w:val="-1"/>
        </w:rPr>
        <w:t>2019-005</w:t>
      </w:r>
      <w:r>
        <w:rPr>
          <w:spacing w:val="-1"/>
        </w:rPr>
        <w:t>）、《关于董事及高级管</w:t>
      </w:r>
      <w:r>
        <w:rPr>
          <w:spacing w:val="-37"/>
        </w:rPr>
        <w:t> </w:t>
      </w:r>
      <w:r>
        <w:rPr>
          <w:spacing w:val="-37"/>
        </w:rPr>
      </w:r>
      <w:r>
        <w:rPr>
          <w:spacing w:val="-1"/>
        </w:rPr>
        <w:t>理人员增持公司股份计划的进展公告》（公告编号：</w:t>
      </w:r>
      <w:r>
        <w:rPr>
          <w:rFonts w:ascii="Times New Roman" w:hAnsi="Times New Roman" w:cs="Times New Roman" w:eastAsia="Times New Roman" w:hint="default"/>
          <w:spacing w:val="-1"/>
        </w:rPr>
        <w:t>2019-035</w:t>
      </w:r>
      <w:r>
        <w:rPr>
          <w:spacing w:val="-1"/>
        </w:rPr>
        <w:t>）、《关于董事及高级管理人员增持公司股</w:t>
      </w:r>
      <w:r>
        <w:rPr>
          <w:spacing w:val="-37"/>
        </w:rPr>
        <w:t> </w:t>
      </w:r>
      <w:r>
        <w:rPr>
          <w:spacing w:val="-37"/>
        </w:rPr>
      </w:r>
      <w:r>
        <w:rPr/>
        <w:t>份计划实施完成的公告》（公告编号：</w:t>
      </w:r>
      <w:r>
        <w:rPr>
          <w:rFonts w:ascii="Times New Roman" w:hAnsi="Times New Roman" w:cs="Times New Roman" w:eastAsia="Times New Roman" w:hint="default"/>
        </w:rPr>
        <w:t>2019-053</w:t>
      </w:r>
      <w:r>
        <w:rPr/>
        <w:t>）。</w:t>
      </w:r>
    </w:p>
    <w:p>
      <w:pPr>
        <w:spacing w:before="193"/>
        <w:ind w:left="714" w:right="11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b/>
          <w:bCs/>
          <w:sz w:val="21"/>
          <w:szCs w:val="21"/>
        </w:rPr>
        <w:t>拟发行公司债券</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pStyle w:val="Heading4"/>
        <w:spacing w:line="393" w:lineRule="auto"/>
        <w:ind w:right="1122" w:firstLine="561"/>
        <w:jc w:val="both"/>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12</w:t>
      </w:r>
      <w:r>
        <w:rPr>
          <w:spacing w:val="-3"/>
        </w:rPr>
        <w:t>日召开的第四届董事会第二十四次（定期）会议，审议通过了《关于公司符合发</w:t>
      </w:r>
      <w:r>
        <w:rPr>
          <w:w w:val="100"/>
        </w:rPr>
        <w:t> </w:t>
      </w:r>
      <w:r>
        <w:rPr>
          <w:spacing w:val="-2"/>
        </w:rPr>
        <w:t>行公司债券的条件的议案》、《关于本次发行公司债券方案的议案》等相关议案，同意公司拟向中国证券</w:t>
      </w:r>
      <w:r>
        <w:rPr>
          <w:spacing w:val="-38"/>
        </w:rPr>
        <w:t> </w:t>
      </w:r>
      <w:r>
        <w:rPr>
          <w:spacing w:val="-38"/>
        </w:rPr>
      </w:r>
      <w:r>
        <w:rPr>
          <w:spacing w:val="-2"/>
        </w:rPr>
        <w:t>监督管理委员会申请公开发行不超过</w:t>
      </w:r>
      <w:r>
        <w:rPr>
          <w:rFonts w:ascii="Times New Roman" w:hAnsi="Times New Roman" w:cs="Times New Roman" w:eastAsia="Times New Roman" w:hint="default"/>
          <w:spacing w:val="-2"/>
        </w:rPr>
        <w:t>13</w:t>
      </w:r>
      <w:r>
        <w:rPr>
          <w:spacing w:val="-2"/>
        </w:rPr>
        <w:t>亿元人民币公司债券。本次发行债券事项已经公司于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w:t>
      </w:r>
      <w:r>
        <w:rPr>
          <w:spacing w:val="-22"/>
        </w:rPr>
        <w:t> </w:t>
      </w:r>
      <w:r>
        <w:rPr/>
        <w:t>召开的</w:t>
      </w:r>
      <w:r>
        <w:rPr>
          <w:rFonts w:ascii="Times New Roman" w:hAnsi="Times New Roman" w:cs="Times New Roman" w:eastAsia="Times New Roman" w:hint="default"/>
        </w:rPr>
        <w:t>2018</w:t>
      </w:r>
      <w:r>
        <w:rPr/>
        <w:t>年年度股东大会审议通过。</w:t>
      </w:r>
    </w:p>
    <w:p>
      <w:pPr>
        <w:pStyle w:val="Heading4"/>
        <w:spacing w:line="240" w:lineRule="auto" w:before="190"/>
        <w:ind w:left="714" w:right="1126"/>
        <w:jc w:val="left"/>
      </w:pPr>
      <w:r>
        <w:rPr/>
        <w:t>具体内容详见公司分别于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09</w:t>
      </w:r>
      <w:r>
        <w:rPr/>
        <w:t>日在巨潮资讯网上披露的《关于拟发行公</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pStyle w:val="Heading4"/>
        <w:spacing w:line="240" w:lineRule="auto" w:before="177"/>
        <w:ind w:right="1126"/>
        <w:jc w:val="left"/>
      </w:pPr>
      <w:r>
        <w:rPr>
          <w:spacing w:val="-5"/>
        </w:rPr>
        <w:t>司债券的公告》（公告编号：</w:t>
      </w:r>
      <w:r>
        <w:rPr>
          <w:rFonts w:ascii="Times New Roman" w:hAnsi="Times New Roman" w:cs="Times New Roman" w:eastAsia="Times New Roman" w:hint="default"/>
          <w:spacing w:val="-5"/>
        </w:rPr>
        <w:t>2019-026</w:t>
      </w:r>
      <w:r>
        <w:rPr>
          <w:spacing w:val="-5"/>
        </w:rPr>
        <w:t>）、《</w:t>
      </w:r>
      <w:r>
        <w:rPr>
          <w:rFonts w:ascii="Times New Roman" w:hAnsi="Times New Roman" w:cs="Times New Roman" w:eastAsia="Times New Roman" w:hint="default"/>
          <w:spacing w:val="-5"/>
        </w:rPr>
        <w:t>2018</w:t>
      </w:r>
      <w:r>
        <w:rPr>
          <w:spacing w:val="-5"/>
        </w:rPr>
        <w:t>年年度股东大会决议的公告》（公告编号：</w:t>
      </w:r>
      <w:r>
        <w:rPr>
          <w:rFonts w:ascii="Times New Roman" w:hAnsi="Times New Roman" w:cs="Times New Roman" w:eastAsia="Times New Roman" w:hint="default"/>
          <w:spacing w:val="-5"/>
        </w:rPr>
        <w:t>2019-036</w:t>
      </w:r>
      <w:r>
        <w:rPr>
          <w:spacing w:val="-5"/>
        </w:rPr>
        <w:t>）。</w:t>
      </w:r>
      <w:r>
        <w:rPr/>
      </w:r>
    </w:p>
    <w:p>
      <w:pPr>
        <w:pStyle w:val="Heading4"/>
        <w:spacing w:line="630" w:lineRule="exact" w:before="74"/>
        <w:ind w:left="714" w:right="1126" w:hanging="140"/>
        <w:jc w:val="left"/>
      </w:pPr>
      <w:r>
        <w:rPr>
          <w:rFonts w:ascii="Times New Roman" w:hAnsi="Times New Roman" w:cs="Times New Roman" w:eastAsia="Times New Roman" w:hint="default"/>
          <w:b/>
          <w:bCs/>
        </w:rPr>
        <w:t>3</w:t>
      </w:r>
      <w:r>
        <w:rPr>
          <w:rFonts w:ascii="宋体" w:hAnsi="宋体" w:cs="宋体" w:eastAsia="宋体" w:hint="default"/>
          <w:b/>
          <w:bCs/>
        </w:rPr>
        <w:t>、股东减持股份</w:t>
      </w:r>
      <w:r>
        <w:rPr>
          <w:rFonts w:ascii="宋体" w:hAnsi="宋体" w:cs="宋体" w:eastAsia="宋体" w:hint="default"/>
          <w:b/>
          <w:bCs/>
          <w:spacing w:val="-103"/>
        </w:rPr>
        <w:t>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日收到公司持股</w:t>
      </w:r>
      <w:r>
        <w:rPr>
          <w:rFonts w:ascii="Times New Roman" w:hAnsi="Times New Roman" w:cs="Times New Roman" w:eastAsia="Times New Roman" w:hint="default"/>
          <w:spacing w:val="-2"/>
        </w:rPr>
        <w:t>5%</w:t>
      </w:r>
      <w:r>
        <w:rPr>
          <w:spacing w:val="-2"/>
        </w:rPr>
        <w:t>以上股东赣江新区全球星投资管理有限公司的通知，赣江新区</w:t>
      </w:r>
    </w:p>
    <w:p>
      <w:pPr>
        <w:pStyle w:val="Heading4"/>
        <w:spacing w:line="384" w:lineRule="auto" w:before="94"/>
        <w:ind w:right="0"/>
        <w:jc w:val="left"/>
      </w:pPr>
      <w:r>
        <w:rPr/>
        <w:t>全球星投资管理有限公司于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日通过大宗交易方式减持其持有的公司无限售流通股</w:t>
      </w:r>
      <w:r>
        <w:rPr>
          <w:rFonts w:ascii="Times New Roman" w:hAnsi="Times New Roman" w:cs="Times New Roman" w:eastAsia="Times New Roman" w:hint="default"/>
        </w:rPr>
        <w:t>18,800,000</w:t>
      </w:r>
      <w:r>
        <w:rPr/>
        <w:t>股，</w:t>
      </w:r>
      <w:r>
        <w:rPr>
          <w:spacing w:val="-23"/>
        </w:rPr>
        <w:t> </w:t>
      </w:r>
      <w:r>
        <w:rPr/>
        <w:t>占公司总股本的</w:t>
      </w:r>
      <w:r>
        <w:rPr>
          <w:rFonts w:ascii="Times New Roman" w:hAnsi="Times New Roman" w:cs="Times New Roman" w:eastAsia="Times New Roman" w:hint="default"/>
        </w:rPr>
        <w:t>1.52%</w:t>
      </w:r>
      <w:r>
        <w:rPr/>
        <w:t>。</w:t>
      </w:r>
    </w:p>
    <w:p>
      <w:pPr>
        <w:spacing w:line="240" w:lineRule="auto" w:before="3"/>
        <w:rPr>
          <w:rFonts w:ascii="宋体" w:hAnsi="宋体" w:cs="宋体" w:eastAsia="宋体" w:hint="default"/>
          <w:sz w:val="15"/>
          <w:szCs w:val="15"/>
        </w:rPr>
      </w:pPr>
    </w:p>
    <w:p>
      <w:pPr>
        <w:pStyle w:val="Heading4"/>
        <w:spacing w:line="386" w:lineRule="auto"/>
        <w:ind w:right="1123" w:firstLine="561"/>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日收到公司控股股东深圳市神州通投资集团有限公司、股东新余全球星投资管</w:t>
      </w:r>
      <w:r>
        <w:rPr>
          <w:w w:val="100"/>
        </w:rPr>
        <w:t> </w:t>
      </w:r>
      <w:r>
        <w:rPr/>
        <w:t>理有限公司的通知，深圳市神州通投资集团有限公司将其直接持有的公司无限售流通股</w:t>
      </w:r>
      <w:r>
        <w:rPr>
          <w:rFonts w:ascii="Times New Roman" w:hAnsi="Times New Roman" w:cs="Times New Roman" w:eastAsia="Times New Roman" w:hint="default"/>
        </w:rPr>
        <w:t>21,180,000</w:t>
      </w:r>
      <w:r>
        <w:rPr/>
        <w:t>股和通</w:t>
      </w:r>
      <w:r>
        <w:rPr>
          <w:spacing w:val="-103"/>
        </w:rPr>
        <w:t> </w:t>
      </w:r>
      <w:r>
        <w:rPr>
          <w:spacing w:val="-103"/>
        </w:rPr>
      </w:r>
      <w:r>
        <w:rPr>
          <w:spacing w:val="-2"/>
        </w:rPr>
        <w:t>过定向资产管理计划间接持有的公司无限售流通股</w:t>
      </w:r>
      <w:r>
        <w:rPr>
          <w:rFonts w:ascii="Times New Roman" w:hAnsi="Times New Roman" w:cs="Times New Roman" w:eastAsia="Times New Roman" w:hint="default"/>
          <w:spacing w:val="-2"/>
        </w:rPr>
        <w:t>2,218,859</w:t>
      </w:r>
      <w:r>
        <w:rPr>
          <w:spacing w:val="-2"/>
        </w:rPr>
        <w:t>股均以大宗交易的方式进行了减持，共占公司</w:t>
      </w:r>
      <w:r>
        <w:rPr>
          <w:spacing w:val="-21"/>
        </w:rPr>
        <w:t> </w:t>
      </w:r>
      <w:r>
        <w:rPr>
          <w:spacing w:val="-21"/>
        </w:rPr>
      </w:r>
      <w:r>
        <w:rPr>
          <w:spacing w:val="-2"/>
        </w:rPr>
        <w:t>总股本的</w:t>
      </w:r>
      <w:r>
        <w:rPr>
          <w:rFonts w:ascii="Times New Roman" w:hAnsi="Times New Roman" w:cs="Times New Roman" w:eastAsia="Times New Roman" w:hint="default"/>
          <w:spacing w:val="-2"/>
        </w:rPr>
        <w:t>1.89%</w:t>
      </w:r>
      <w:r>
        <w:rPr>
          <w:spacing w:val="-2"/>
        </w:rPr>
        <w:t>；新余全球星投资管理有限公司将其通过定向资产管理计划间接持有的公司无限售流通股</w:t>
      </w:r>
      <w:r>
        <w:rPr>
          <w:spacing w:val="-9"/>
        </w:rPr>
        <w:t> </w:t>
      </w:r>
      <w:r>
        <w:rPr>
          <w:spacing w:val="-9"/>
        </w:rPr>
      </w:r>
      <w:r>
        <w:rPr>
          <w:rFonts w:ascii="Times New Roman" w:hAnsi="Times New Roman" w:cs="Times New Roman" w:eastAsia="Times New Roman" w:hint="default"/>
        </w:rPr>
        <w:t>598,800</w:t>
      </w:r>
      <w:r>
        <w:rPr/>
        <w:t>股以大宗交易的方式进行了减持，占公司总股本的</w:t>
      </w:r>
      <w:r>
        <w:rPr>
          <w:rFonts w:ascii="Times New Roman" w:hAnsi="Times New Roman" w:cs="Times New Roman" w:eastAsia="Times New Roman" w:hint="default"/>
        </w:rPr>
        <w:t>0.05%</w:t>
      </w:r>
      <w:r>
        <w:rPr/>
        <w:t>。</w:t>
      </w:r>
    </w:p>
    <w:p>
      <w:pPr>
        <w:pStyle w:val="Heading4"/>
        <w:spacing w:line="381" w:lineRule="auto" w:before="196"/>
        <w:ind w:right="1208" w:firstLine="561"/>
        <w:jc w:val="left"/>
      </w:pPr>
      <w:r>
        <w:rPr>
          <w:spacing w:val="-1"/>
        </w:rPr>
        <w:t>具体内容详见公司分别于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12</w:t>
      </w:r>
      <w:r>
        <w:rPr>
          <w:spacing w:val="-1"/>
        </w:rPr>
        <w:t>日在巨潮资讯网上披露的《关于持股</w:t>
      </w:r>
      <w:r>
        <w:rPr>
          <w:rFonts w:ascii="Times New Roman" w:hAnsi="Times New Roman" w:cs="Times New Roman" w:eastAsia="Times New Roman" w:hint="default"/>
          <w:spacing w:val="-1"/>
        </w:rPr>
        <w:t>5%</w:t>
      </w:r>
      <w:r>
        <w:rPr>
          <w:spacing w:val="-1"/>
        </w:rPr>
        <w:t>以</w:t>
      </w:r>
      <w:r>
        <w:rPr>
          <w:w w:val="100"/>
        </w:rPr>
        <w:t> </w:t>
      </w:r>
      <w:r>
        <w:rPr>
          <w:spacing w:val="-17"/>
          <w:w w:val="100"/>
        </w:rPr>
        <w:t>上股东减持股份的公告》（公告编号：</w:t>
      </w:r>
      <w:r>
        <w:rPr>
          <w:rFonts w:ascii="Times New Roman" w:hAnsi="Times New Roman" w:cs="Times New Roman" w:eastAsia="Times New Roman" w:hint="default"/>
          <w:spacing w:val="-17"/>
          <w:w w:val="100"/>
        </w:rPr>
        <w:t>2019-044</w:t>
      </w:r>
      <w:r>
        <w:rPr>
          <w:spacing w:val="-17"/>
          <w:w w:val="100"/>
        </w:rPr>
        <w:t>）、《关于公司股东减持股份的公告》（公告编号：</w:t>
      </w:r>
      <w:r>
        <w:rPr>
          <w:rFonts w:ascii="Times New Roman" w:hAnsi="Times New Roman" w:cs="Times New Roman" w:eastAsia="Times New Roman" w:hint="default"/>
          <w:spacing w:val="-17"/>
          <w:w w:val="100"/>
        </w:rPr>
        <w:t>2019-085</w:t>
      </w:r>
      <w:r>
        <w:rPr>
          <w:spacing w:val="-17"/>
          <w:w w:val="100"/>
        </w:rPr>
        <w:t>）。</w:t>
      </w:r>
      <w:r>
        <w:rPr>
          <w:w w:val="100"/>
        </w:rPr>
      </w:r>
    </w:p>
    <w:p>
      <w:pPr>
        <w:pStyle w:val="Heading3"/>
        <w:spacing w:line="240" w:lineRule="auto" w:before="196"/>
        <w:ind w:left="714" w:right="1126"/>
        <w:jc w:val="left"/>
        <w:rPr>
          <w:b w:val="0"/>
          <w:bCs w:val="0"/>
        </w:rPr>
      </w:pPr>
      <w:r>
        <w:rPr>
          <w:rFonts w:ascii="Times New Roman" w:hAnsi="Times New Roman" w:cs="Times New Roman" w:eastAsia="Times New Roman" w:hint="default"/>
        </w:rPr>
        <w:t>4</w:t>
      </w:r>
      <w:r>
        <w:rPr/>
        <w:t>、转让国鑫基金管理有限公司之认缴出资额</w:t>
      </w:r>
      <w:r>
        <w:rPr>
          <w:b w:val="0"/>
          <w:bCs w:val="0"/>
        </w:rPr>
      </w:r>
    </w:p>
    <w:p>
      <w:pPr>
        <w:spacing w:line="240" w:lineRule="auto" w:before="11"/>
        <w:rPr>
          <w:rFonts w:ascii="宋体" w:hAnsi="宋体" w:cs="宋体" w:eastAsia="宋体" w:hint="default"/>
          <w:b/>
          <w:bCs/>
          <w:sz w:val="25"/>
          <w:szCs w:val="25"/>
        </w:rPr>
      </w:pPr>
    </w:p>
    <w:p>
      <w:pPr>
        <w:pStyle w:val="Heading4"/>
        <w:spacing w:line="386" w:lineRule="auto"/>
        <w:ind w:right="1126" w:firstLine="561"/>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22</w:t>
      </w:r>
      <w:r>
        <w:rPr>
          <w:spacing w:val="-3"/>
        </w:rPr>
        <w:t>日召开了第四届董事会第二十七次（临时）会议，审议通过了《关于转让国鑫基</w:t>
      </w:r>
      <w:r>
        <w:rPr>
          <w:w w:val="100"/>
        </w:rPr>
        <w:t> </w:t>
      </w:r>
      <w:r>
        <w:rPr/>
        <w:t>金管理有限公司之认缴出资额的议案》。公司与赣江新区全球星投资管理有限公司、张礼庆于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spacing w:val="-103"/>
        </w:rPr>
        <w:t> </w:t>
      </w:r>
      <w:r>
        <w:rPr>
          <w:rFonts w:ascii="Times New Roman" w:hAnsi="Times New Roman" w:cs="Times New Roman" w:eastAsia="Times New Roman" w:hint="default"/>
          <w:spacing w:val="-2"/>
        </w:rPr>
        <w:t>22</w:t>
      </w:r>
      <w:r>
        <w:rPr>
          <w:spacing w:val="-2"/>
        </w:rPr>
        <w:t>日在深圳签署了《深圳市爱施德股份有限公司与赣江新区全球星投资管理有限公司、张礼庆关于国鑫基</w:t>
      </w:r>
      <w:r>
        <w:rPr>
          <w:spacing w:val="-31"/>
        </w:rPr>
        <w:t> </w:t>
      </w:r>
      <w:r>
        <w:rPr>
          <w:spacing w:val="-31"/>
        </w:rPr>
      </w:r>
      <w:r>
        <w:rPr>
          <w:spacing w:val="-3"/>
        </w:rPr>
        <w:t>金管理有限公司的认缴出资额转让协议》，公司作价</w:t>
      </w:r>
      <w:r>
        <w:rPr>
          <w:rFonts w:ascii="Times New Roman" w:hAnsi="Times New Roman" w:cs="Times New Roman" w:eastAsia="Times New Roman" w:hint="default"/>
          <w:spacing w:val="-3"/>
        </w:rPr>
        <w:t>1,800</w:t>
      </w:r>
      <w:r>
        <w:rPr>
          <w:spacing w:val="-3"/>
        </w:rPr>
        <w:t>万元向赣江新区全球星投资管理有限公司转让国</w:t>
      </w:r>
      <w:r>
        <w:rPr>
          <w:spacing w:val="-34"/>
        </w:rPr>
        <w:t> </w:t>
      </w:r>
      <w:r>
        <w:rPr>
          <w:spacing w:val="-34"/>
        </w:rPr>
      </w:r>
      <w:r>
        <w:rPr/>
        <w:t>鑫基金</w:t>
      </w:r>
      <w:r>
        <w:rPr>
          <w:rFonts w:ascii="Times New Roman" w:hAnsi="Times New Roman" w:cs="Times New Roman" w:eastAsia="Times New Roman" w:hint="default"/>
        </w:rPr>
        <w:t>40%</w:t>
      </w:r>
      <w:r>
        <w:rPr/>
        <w:t>的认缴出资额。</w:t>
      </w:r>
    </w:p>
    <w:p>
      <w:pPr>
        <w:pStyle w:val="Heading4"/>
        <w:spacing w:line="384" w:lineRule="auto" w:before="197"/>
        <w:ind w:right="1126" w:firstLine="561"/>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日公司已收到转让款</w:t>
      </w:r>
      <w:r>
        <w:rPr>
          <w:rFonts w:ascii="Times New Roman" w:hAnsi="Times New Roman" w:cs="Times New Roman" w:eastAsia="Times New Roman" w:hint="default"/>
          <w:spacing w:val="-2"/>
        </w:rPr>
        <w:t>1,800</w:t>
      </w:r>
      <w:r>
        <w:rPr>
          <w:spacing w:val="-2"/>
        </w:rPr>
        <w:t>万元，本次转让事项已全部完成，公司应履行的发起人</w:t>
      </w:r>
      <w:r>
        <w:rPr>
          <w:w w:val="100"/>
        </w:rPr>
        <w:t> </w:t>
      </w:r>
      <w:r>
        <w:rPr/>
        <w:t>的权利义务已全部转让给赣江新区全球星投资管理有限公司。</w:t>
      </w:r>
    </w:p>
    <w:p>
      <w:pPr>
        <w:spacing w:line="240" w:lineRule="auto" w:before="6"/>
        <w:rPr>
          <w:rFonts w:ascii="宋体" w:hAnsi="宋体" w:cs="宋体" w:eastAsia="宋体" w:hint="default"/>
          <w:sz w:val="17"/>
          <w:szCs w:val="17"/>
        </w:rPr>
      </w:pPr>
    </w:p>
    <w:p>
      <w:pPr>
        <w:pStyle w:val="Heading4"/>
        <w:spacing w:line="384" w:lineRule="auto"/>
        <w:ind w:right="1138" w:firstLine="561"/>
        <w:jc w:val="both"/>
      </w:pPr>
      <w:r>
        <w:rPr>
          <w:spacing w:val="-1"/>
        </w:rPr>
        <w:t>具体内容详见公司分别于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07</w:t>
      </w:r>
      <w:r>
        <w:rPr>
          <w:spacing w:val="-1"/>
        </w:rPr>
        <w:t>月</w:t>
      </w:r>
      <w:r>
        <w:rPr>
          <w:rFonts w:ascii="Times New Roman" w:hAnsi="Times New Roman" w:cs="Times New Roman" w:eastAsia="Times New Roman" w:hint="default"/>
          <w:spacing w:val="-1"/>
        </w:rPr>
        <w:t>24</w:t>
      </w:r>
      <w:r>
        <w:rPr>
          <w:spacing w:val="-1"/>
        </w:rPr>
        <w:t>日、</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w:t>
      </w:r>
      <w:r>
        <w:rPr>
          <w:spacing w:val="-1"/>
        </w:rPr>
        <w:t>日在巨潮资讯网上披露的《关于转让国鑫基</w:t>
      </w:r>
      <w:r>
        <w:rPr>
          <w:w w:val="100"/>
        </w:rPr>
        <w:t> </w:t>
      </w:r>
      <w:r>
        <w:rPr>
          <w:spacing w:val="-2"/>
        </w:rPr>
        <w:t>金管理有限公司之认缴出资额的公告》（公告编号：</w:t>
      </w:r>
      <w:r>
        <w:rPr>
          <w:rFonts w:ascii="Times New Roman" w:hAnsi="Times New Roman" w:cs="Times New Roman" w:eastAsia="Times New Roman" w:hint="default"/>
          <w:spacing w:val="-2"/>
        </w:rPr>
        <w:t>2019-048</w:t>
      </w:r>
      <w:r>
        <w:rPr>
          <w:spacing w:val="-2"/>
        </w:rPr>
        <w:t>）、《关于转让国鑫基金管理有限公司之认</w:t>
      </w:r>
      <w:r>
        <w:rPr>
          <w:spacing w:val="-4"/>
        </w:rPr>
        <w:t> </w:t>
      </w:r>
      <w:r>
        <w:rPr>
          <w:spacing w:val="-4"/>
        </w:rPr>
      </w:r>
      <w:r>
        <w:rPr/>
        <w:t>缴出资额的进展公告》（公告编号：</w:t>
      </w:r>
      <w:r>
        <w:rPr>
          <w:rFonts w:ascii="Times New Roman" w:hAnsi="Times New Roman" w:cs="Times New Roman" w:eastAsia="Times New Roman" w:hint="default"/>
        </w:rPr>
        <w:t>2019-115</w:t>
      </w:r>
      <w:r>
        <w:rPr/>
        <w:t>）。</w:t>
      </w:r>
    </w:p>
    <w:p>
      <w:pPr>
        <w:pStyle w:val="Heading3"/>
        <w:spacing w:line="240" w:lineRule="auto" w:before="193"/>
        <w:ind w:left="714" w:right="1126"/>
        <w:jc w:val="left"/>
        <w:rPr>
          <w:b w:val="0"/>
          <w:bCs w:val="0"/>
        </w:rPr>
      </w:pPr>
      <w:r>
        <w:rPr>
          <w:rFonts w:ascii="Times New Roman" w:hAnsi="Times New Roman" w:cs="Times New Roman" w:eastAsia="Times New Roman" w:hint="default"/>
        </w:rPr>
        <w:t>5</w:t>
      </w:r>
      <w:r>
        <w:rPr/>
        <w:t>、非公开发行股票限售股上市流通</w:t>
      </w:r>
      <w:r>
        <w:rPr>
          <w:b w:val="0"/>
          <w:bCs w:val="0"/>
        </w:rPr>
      </w:r>
    </w:p>
    <w:p>
      <w:pPr>
        <w:pStyle w:val="Heading4"/>
        <w:spacing w:line="460" w:lineRule="atLeast" w:before="169"/>
        <w:ind w:right="1126" w:firstLine="561"/>
        <w:jc w:val="left"/>
      </w:pPr>
      <w:r>
        <w:rPr>
          <w:spacing w:val="-2"/>
        </w:rPr>
        <w:t>公司经中国证券监督管理委员会证监许可</w:t>
      </w:r>
      <w:r>
        <w:rPr>
          <w:rFonts w:ascii="Times New Roman" w:hAnsi="Times New Roman" w:cs="Times New Roman" w:eastAsia="Times New Roman" w:hint="default"/>
          <w:spacing w:val="-2"/>
        </w:rPr>
        <w:t>[2016]769</w:t>
      </w:r>
      <w:r>
        <w:rPr>
          <w:spacing w:val="-2"/>
        </w:rPr>
        <w:t>号文核准，并经深圳证券交易所同意，公司非公</w:t>
      </w:r>
      <w:r>
        <w:rPr>
          <w:w w:val="100"/>
        </w:rPr>
        <w:t> </w:t>
      </w:r>
      <w:r>
        <w:rPr>
          <w:spacing w:val="-1"/>
        </w:rPr>
        <w:t>开发行</w:t>
      </w:r>
      <w:r>
        <w:rPr>
          <w:rFonts w:ascii="Times New Roman" w:hAnsi="Times New Roman" w:cs="Times New Roman" w:eastAsia="Times New Roman" w:hint="default"/>
          <w:spacing w:val="-1"/>
        </w:rPr>
        <w:t>A</w:t>
      </w:r>
      <w:r>
        <w:rPr>
          <w:spacing w:val="-1"/>
        </w:rPr>
        <w:t>股股票共计</w:t>
      </w:r>
      <w:r>
        <w:rPr>
          <w:rFonts w:ascii="Times New Roman" w:hAnsi="Times New Roman" w:cs="Times New Roman" w:eastAsia="Times New Roman" w:hint="default"/>
          <w:spacing w:val="-1"/>
        </w:rPr>
        <w:t>41,350,000</w:t>
      </w:r>
      <w:r>
        <w:rPr>
          <w:spacing w:val="-1"/>
        </w:rPr>
        <w:t>股。上述新增股份已于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22</w:t>
      </w:r>
      <w:r>
        <w:rPr>
          <w:spacing w:val="-1"/>
        </w:rPr>
        <w:t>日在深圳证券交易所上市，并自上市之</w:t>
      </w:r>
    </w:p>
    <w:p>
      <w:pPr>
        <w:spacing w:after="0" w:line="460" w:lineRule="atLeast"/>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pStyle w:val="Heading4"/>
        <w:spacing w:line="240" w:lineRule="auto" w:before="177"/>
        <w:ind w:right="1126"/>
        <w:jc w:val="left"/>
      </w:pPr>
      <w:r>
        <w:rPr/>
        <w:t>日起三十六个月内不得转让，可上市流通时间为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w:t>
      </w:r>
    </w:p>
    <w:p>
      <w:pPr>
        <w:spacing w:line="240" w:lineRule="auto" w:before="11"/>
        <w:rPr>
          <w:rFonts w:ascii="宋体" w:hAnsi="宋体" w:cs="宋体" w:eastAsia="宋体" w:hint="default"/>
          <w:sz w:val="25"/>
          <w:szCs w:val="25"/>
        </w:rPr>
      </w:pPr>
    </w:p>
    <w:p>
      <w:pPr>
        <w:pStyle w:val="Heading4"/>
        <w:spacing w:line="384" w:lineRule="auto"/>
        <w:ind w:right="1115" w:firstLine="56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日，公司实施完成</w:t>
      </w:r>
      <w:r>
        <w:rPr>
          <w:rFonts w:ascii="Times New Roman" w:hAnsi="Times New Roman" w:cs="Times New Roman" w:eastAsia="Times New Roman" w:hint="default"/>
        </w:rPr>
        <w:t>2017</w:t>
      </w:r>
      <w:r>
        <w:rPr/>
        <w:t>年年度权益分派实施方案：以资本公积向全体股东每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4"/>
          <w:w w:val="100"/>
        </w:rPr>
        <w:t>股，转增后总股本增加至</w:t>
      </w:r>
      <w:r>
        <w:rPr>
          <w:rFonts w:ascii="Times New Roman" w:hAnsi="Times New Roman" w:cs="Times New Roman" w:eastAsia="Times New Roman" w:hint="default"/>
          <w:spacing w:val="-4"/>
          <w:w w:val="100"/>
        </w:rPr>
        <w:t>1,239,281,806</w:t>
      </w:r>
      <w:r>
        <w:rPr>
          <w:spacing w:val="-4"/>
          <w:w w:val="100"/>
        </w:rPr>
        <w:t>股。发行对象认购的非公开发行股份由</w:t>
      </w:r>
      <w:r>
        <w:rPr>
          <w:rFonts w:ascii="Times New Roman" w:hAnsi="Times New Roman" w:cs="Times New Roman" w:eastAsia="Times New Roman" w:hint="default"/>
          <w:spacing w:val="-4"/>
          <w:w w:val="100"/>
        </w:rPr>
        <w:t>41,350,000</w:t>
      </w:r>
      <w:r>
        <w:rPr>
          <w:spacing w:val="-4"/>
          <w:w w:val="100"/>
        </w:rPr>
        <w:t>股调整为</w:t>
      </w:r>
      <w:r>
        <w:rPr>
          <w:rFonts w:ascii="Times New Roman" w:hAnsi="Times New Roman" w:cs="Times New Roman" w:eastAsia="Times New Roman" w:hint="default"/>
          <w:spacing w:val="-4"/>
          <w:w w:val="100"/>
        </w:rPr>
        <w:t>49,620,000</w:t>
      </w:r>
      <w:r>
        <w:rPr>
          <w:rFonts w:ascii="Times New Roman" w:hAnsi="Times New Roman" w:cs="Times New Roman" w:eastAsia="Times New Roman" w:hint="default"/>
          <w:spacing w:val="-25"/>
          <w:w w:val="100"/>
        </w:rPr>
        <w:t> </w:t>
      </w:r>
      <w:r>
        <w:rPr>
          <w:rFonts w:ascii="Times New Roman" w:hAnsi="Times New Roman" w:cs="Times New Roman" w:eastAsia="Times New Roman" w:hint="default"/>
          <w:spacing w:val="-25"/>
          <w:w w:val="100"/>
        </w:rPr>
      </w:r>
      <w:r>
        <w:rPr/>
        <w:t>股。</w:t>
      </w:r>
    </w:p>
    <w:p>
      <w:pPr>
        <w:spacing w:line="240" w:lineRule="auto" w:before="6"/>
        <w:rPr>
          <w:rFonts w:ascii="宋体" w:hAnsi="宋体" w:cs="宋体" w:eastAsia="宋体" w:hint="default"/>
          <w:sz w:val="17"/>
          <w:szCs w:val="17"/>
        </w:rPr>
      </w:pPr>
    </w:p>
    <w:p>
      <w:pPr>
        <w:pStyle w:val="Heading4"/>
        <w:spacing w:line="384" w:lineRule="auto"/>
        <w:ind w:right="0" w:firstLine="56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日，发行对象认购的非公开发行股份共计</w:t>
      </w:r>
      <w:r>
        <w:rPr>
          <w:rFonts w:ascii="Times New Roman" w:hAnsi="Times New Roman" w:cs="Times New Roman" w:eastAsia="Times New Roman" w:hint="default"/>
        </w:rPr>
        <w:t>49,620,000</w:t>
      </w:r>
      <w:r>
        <w:rPr/>
        <w:t>股解除限售上市流通。具体内容详</w:t>
      </w:r>
      <w:r>
        <w:rPr>
          <w:w w:val="100"/>
        </w:rPr>
        <w:t> </w:t>
      </w:r>
      <w:r>
        <w:rPr/>
        <w:t>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19</w:t>
      </w:r>
      <w:r>
        <w:rPr/>
        <w:t>日在在巨潮资讯网上披露的《关于非公开发行股票限售股上市流通的提示性公告》</w:t>
      </w:r>
    </w:p>
    <w:p>
      <w:pPr>
        <w:pStyle w:val="Heading4"/>
        <w:spacing w:line="240" w:lineRule="auto" w:before="35"/>
        <w:ind w:right="1126"/>
        <w:jc w:val="left"/>
      </w:pPr>
      <w:r>
        <w:rPr/>
        <w:t>（公告编号：</w:t>
      </w:r>
      <w:r>
        <w:rPr>
          <w:rFonts w:ascii="Times New Roman" w:hAnsi="Times New Roman" w:cs="Times New Roman" w:eastAsia="Times New Roman" w:hint="default"/>
        </w:rPr>
        <w:t>2019-045</w:t>
      </w:r>
      <w:r>
        <w:rPr/>
        <w:t>）。</w:t>
      </w:r>
    </w:p>
    <w:p>
      <w:pPr>
        <w:spacing w:line="240" w:lineRule="auto" w:before="6"/>
        <w:rPr>
          <w:rFonts w:ascii="宋体" w:hAnsi="宋体" w:cs="宋体" w:eastAsia="宋体" w:hint="default"/>
          <w:sz w:val="25"/>
          <w:szCs w:val="25"/>
        </w:rPr>
      </w:pPr>
    </w:p>
    <w:p>
      <w:pPr>
        <w:pStyle w:val="Heading3"/>
        <w:spacing w:line="240" w:lineRule="auto"/>
        <w:ind w:left="714" w:right="1126"/>
        <w:jc w:val="left"/>
        <w:rPr>
          <w:b w:val="0"/>
          <w:bCs w:val="0"/>
        </w:rPr>
      </w:pPr>
      <w:r>
        <w:rPr>
          <w:rFonts w:ascii="Times New Roman" w:hAnsi="Times New Roman" w:cs="Times New Roman" w:eastAsia="Times New Roman" w:hint="default"/>
        </w:rPr>
        <w:t>6</w:t>
      </w:r>
      <w:r>
        <w:rPr/>
        <w:t>、“</w:t>
      </w:r>
      <w:r>
        <w:rPr>
          <w:rFonts w:ascii="Times New Roman" w:hAnsi="Times New Roman" w:cs="Times New Roman" w:eastAsia="Times New Roman" w:hint="default"/>
        </w:rPr>
        <w:t>17</w:t>
      </w:r>
      <w:r>
        <w:rPr/>
        <w:t>深爱债”摘牌</w:t>
      </w:r>
      <w:r>
        <w:rPr>
          <w:b w:val="0"/>
          <w:bCs w:val="0"/>
        </w:rPr>
      </w:r>
    </w:p>
    <w:p>
      <w:pPr>
        <w:spacing w:line="240" w:lineRule="auto" w:before="12"/>
        <w:rPr>
          <w:rFonts w:ascii="宋体" w:hAnsi="宋体" w:cs="宋体" w:eastAsia="宋体" w:hint="default"/>
          <w:b/>
          <w:bCs/>
          <w:sz w:val="25"/>
          <w:szCs w:val="25"/>
        </w:rPr>
      </w:pPr>
    </w:p>
    <w:p>
      <w:pPr>
        <w:pStyle w:val="Heading4"/>
        <w:spacing w:line="381" w:lineRule="auto"/>
        <w:ind w:right="1127" w:firstLine="561"/>
        <w:jc w:val="left"/>
      </w:pPr>
      <w:r>
        <w:rPr>
          <w:rFonts w:ascii="Times New Roman" w:hAnsi="Times New Roman" w:cs="Times New Roman" w:eastAsia="Times New Roman" w:hint="default"/>
        </w:rPr>
        <w:t>2017</w:t>
      </w:r>
      <w:r>
        <w:rPr/>
        <w:t>年公司债券（</w:t>
      </w:r>
      <w:r>
        <w:rPr>
          <w:rFonts w:ascii="Times New Roman" w:hAnsi="Times New Roman" w:cs="Times New Roman" w:eastAsia="Times New Roman" w:hint="default"/>
        </w:rPr>
        <w:t>17</w:t>
      </w:r>
      <w:r>
        <w:rPr/>
        <w:t>深爱债）于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04</w:t>
      </w:r>
      <w:r>
        <w:rPr/>
        <w:t>日摘牌。具体内容详见公司于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03</w:t>
      </w:r>
      <w:r>
        <w:rPr/>
        <w:t>日在巨潮</w:t>
      </w:r>
      <w:r>
        <w:rPr>
          <w:w w:val="100"/>
        </w:rPr>
        <w:t> </w:t>
      </w:r>
      <w:r>
        <w:rPr/>
        <w:t>资讯网上披露的《关于“</w:t>
      </w:r>
      <w:r>
        <w:rPr>
          <w:rFonts w:ascii="Times New Roman" w:hAnsi="Times New Roman" w:cs="Times New Roman" w:eastAsia="Times New Roman" w:hint="default"/>
        </w:rPr>
        <w:t>17</w:t>
      </w:r>
      <w:r>
        <w:rPr/>
        <w:t>深爱债”回售结果暨摘牌的公告》（公告编号：</w:t>
      </w:r>
      <w:r>
        <w:rPr>
          <w:rFonts w:ascii="Times New Roman" w:hAnsi="Times New Roman" w:cs="Times New Roman" w:eastAsia="Times New Roman" w:hint="default"/>
        </w:rPr>
        <w:t>2019-061</w:t>
      </w:r>
      <w:r>
        <w:rPr/>
        <w:t>）。</w:t>
      </w:r>
    </w:p>
    <w:p>
      <w:pPr>
        <w:pStyle w:val="Heading3"/>
        <w:spacing w:line="240" w:lineRule="auto" w:before="196"/>
        <w:ind w:left="714" w:right="1126"/>
        <w:jc w:val="left"/>
        <w:rPr>
          <w:b w:val="0"/>
          <w:bCs w:val="0"/>
        </w:rPr>
      </w:pPr>
      <w:r>
        <w:rPr>
          <w:rFonts w:ascii="Times New Roman" w:hAnsi="Times New Roman" w:cs="Times New Roman" w:eastAsia="Times New Roman" w:hint="default"/>
        </w:rPr>
        <w:t>7</w:t>
      </w:r>
      <w:r>
        <w:rPr/>
        <w:t>、协议转让</w:t>
      </w:r>
      <w:r>
        <w:rPr>
          <w:b w:val="0"/>
          <w:bCs w:val="0"/>
        </w:rPr>
      </w:r>
    </w:p>
    <w:p>
      <w:pPr>
        <w:spacing w:line="240" w:lineRule="auto" w:before="11"/>
        <w:rPr>
          <w:rFonts w:ascii="宋体" w:hAnsi="宋体" w:cs="宋体" w:eastAsia="宋体" w:hint="default"/>
          <w:b/>
          <w:bCs/>
          <w:sz w:val="25"/>
          <w:szCs w:val="25"/>
        </w:rPr>
      </w:pPr>
    </w:p>
    <w:p>
      <w:pPr>
        <w:pStyle w:val="Heading4"/>
        <w:spacing w:line="391" w:lineRule="auto"/>
        <w:ind w:right="1122" w:firstLine="561"/>
        <w:jc w:val="both"/>
      </w:pPr>
      <w:r>
        <w:rPr/>
        <w:t>公司控股股东深圳市神州通投资集团有限公司及其一致行动人赣江新区全球星投资管理有限公司于</w:t>
      </w:r>
      <w:r>
        <w:rPr>
          <w:w w:val="100"/>
        </w:rPr>
        <w:t> </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20</w:t>
      </w:r>
      <w:r>
        <w:rPr>
          <w:spacing w:val="-6"/>
        </w:rPr>
        <w:t>日与自然人向时煜签署了《股份转让协议》，将合计持有的公司</w:t>
      </w:r>
      <w:r>
        <w:rPr>
          <w:rFonts w:ascii="Times New Roman" w:hAnsi="Times New Roman" w:cs="Times New Roman" w:eastAsia="Times New Roman" w:hint="default"/>
          <w:spacing w:val="-6"/>
        </w:rPr>
        <w:t>63,000,000</w:t>
      </w:r>
      <w:r>
        <w:rPr>
          <w:spacing w:val="-6"/>
        </w:rPr>
        <w:t>股无限售流通股（占</w:t>
      </w:r>
      <w:r>
        <w:rPr>
          <w:spacing w:val="2"/>
        </w:rPr>
        <w:t> </w:t>
      </w:r>
      <w:r>
        <w:rPr>
          <w:spacing w:val="2"/>
        </w:rPr>
      </w:r>
      <w:r>
        <w:rPr/>
        <w:t>公司总股本的</w:t>
      </w:r>
      <w:r>
        <w:rPr>
          <w:rFonts w:ascii="Times New Roman" w:hAnsi="Times New Roman" w:cs="Times New Roman" w:eastAsia="Times New Roman" w:hint="default"/>
        </w:rPr>
        <w:t>5.08%</w:t>
      </w:r>
      <w:r>
        <w:rPr/>
        <w:t>）协议转让给自然人向时煜先生。本次转让价格确定为</w:t>
      </w:r>
      <w:r>
        <w:rPr>
          <w:rFonts w:ascii="Times New Roman" w:hAnsi="Times New Roman" w:cs="Times New Roman" w:eastAsia="Times New Roman" w:hint="default"/>
        </w:rPr>
        <w:t>5.22</w:t>
      </w:r>
      <w:r>
        <w:rPr/>
        <w:t>元</w:t>
      </w:r>
      <w:r>
        <w:rPr>
          <w:rFonts w:ascii="Times New Roman" w:hAnsi="Times New Roman" w:cs="Times New Roman" w:eastAsia="Times New Roman" w:hint="default"/>
        </w:rPr>
        <w:t>/</w:t>
      </w:r>
      <w:r>
        <w:rPr/>
        <w:t>股，转让总价为</w:t>
      </w:r>
      <w:r>
        <w:rPr>
          <w:rFonts w:ascii="Times New Roman" w:hAnsi="Times New Roman" w:cs="Times New Roman" w:eastAsia="Times New Roman" w:hint="default"/>
        </w:rPr>
        <w:t>32,886</w:t>
      </w:r>
      <w:r>
        <w:rPr>
          <w:rFonts w:ascii="Times New Roman" w:hAnsi="Times New Roman" w:cs="Times New Roman" w:eastAsia="Times New Roman" w:hint="default"/>
          <w:spacing w:val="5"/>
        </w:rPr>
        <w:t> </w:t>
      </w:r>
      <w:r>
        <w:rPr/>
        <w:t>万元。上述协议转让已于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日经中国证券登记结算有限责任公司办理完毕并出具了《证券过户</w:t>
      </w:r>
      <w:r>
        <w:rPr>
          <w:spacing w:val="-30"/>
        </w:rPr>
        <w:t> </w:t>
      </w:r>
      <w:r>
        <w:rPr>
          <w:spacing w:val="-30"/>
        </w:rPr>
      </w:r>
      <w:r>
        <w:rPr/>
        <w:t>登记确认书》。</w:t>
      </w:r>
    </w:p>
    <w:p>
      <w:pPr>
        <w:spacing w:line="240" w:lineRule="auto" w:before="12"/>
        <w:rPr>
          <w:rFonts w:ascii="宋体" w:hAnsi="宋体" w:cs="宋体" w:eastAsia="宋体" w:hint="default"/>
          <w:sz w:val="16"/>
          <w:szCs w:val="16"/>
        </w:rPr>
      </w:pPr>
    </w:p>
    <w:p>
      <w:pPr>
        <w:pStyle w:val="Heading4"/>
        <w:spacing w:line="386" w:lineRule="auto"/>
        <w:ind w:right="1122" w:firstLine="561"/>
        <w:jc w:val="both"/>
      </w:pPr>
      <w:r>
        <w:rPr/>
        <w:t>具体内容详见公司分别于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30</w:t>
      </w:r>
      <w:r>
        <w:rPr/>
        <w:t>日在巨潮资讯网上披露的关于公司控股股</w:t>
      </w:r>
      <w:r>
        <w:rPr>
          <w:w w:val="100"/>
        </w:rPr>
        <w:t> </w:t>
      </w:r>
      <w:r>
        <w:rPr>
          <w:spacing w:val="-3"/>
        </w:rPr>
        <w:t>东及持股</w:t>
      </w:r>
      <w:r>
        <w:rPr>
          <w:rFonts w:ascii="Times New Roman" w:hAnsi="Times New Roman" w:cs="Times New Roman" w:eastAsia="Times New Roman" w:hint="default"/>
          <w:spacing w:val="-3"/>
        </w:rPr>
        <w:t>5%</w:t>
      </w:r>
      <w:r>
        <w:rPr>
          <w:spacing w:val="-3"/>
        </w:rPr>
        <w:t>以上的股东协议转让公司部分股份的提示性公告》（公告编号：</w:t>
      </w:r>
      <w:r>
        <w:rPr>
          <w:rFonts w:ascii="Times New Roman" w:hAnsi="Times New Roman" w:cs="Times New Roman" w:eastAsia="Times New Roman" w:hint="default"/>
          <w:spacing w:val="-3"/>
        </w:rPr>
        <w:t>2019-063</w:t>
      </w:r>
      <w:r>
        <w:rPr>
          <w:spacing w:val="-3"/>
        </w:rPr>
        <w:t>）、《简式权益变动</w:t>
      </w:r>
      <w:r>
        <w:rPr>
          <w:spacing w:val="-8"/>
        </w:rPr>
        <w:t> </w:t>
      </w:r>
      <w:r>
        <w:rPr>
          <w:spacing w:val="-8"/>
        </w:rPr>
      </w:r>
      <w:r>
        <w:rPr>
          <w:spacing w:val="-4"/>
        </w:rPr>
        <w:t>报告书（一）》和《简式权益变动报告书（二）》、《关于公司控股股东及持股</w:t>
      </w:r>
      <w:r>
        <w:rPr>
          <w:rFonts w:ascii="Times New Roman" w:hAnsi="Times New Roman" w:cs="Times New Roman" w:eastAsia="Times New Roman" w:hint="default"/>
          <w:spacing w:val="-4"/>
        </w:rPr>
        <w:t>5%</w:t>
      </w:r>
      <w:r>
        <w:rPr>
          <w:spacing w:val="-4"/>
        </w:rPr>
        <w:t>以上的股东协议转让公</w:t>
      </w:r>
      <w:r>
        <w:rPr>
          <w:spacing w:val="-9"/>
        </w:rPr>
        <w:t> </w:t>
      </w:r>
      <w:r>
        <w:rPr>
          <w:spacing w:val="-9"/>
        </w:rPr>
      </w:r>
      <w:r>
        <w:rPr/>
        <w:t>司部分股份完成过户登记的公告》（公告编号：</w:t>
      </w:r>
      <w:r>
        <w:rPr>
          <w:rFonts w:ascii="Times New Roman" w:hAnsi="Times New Roman" w:cs="Times New Roman" w:eastAsia="Times New Roman" w:hint="default"/>
        </w:rPr>
        <w:t>2019-071</w:t>
      </w:r>
      <w:r>
        <w:rPr/>
        <w:t>）。</w:t>
      </w:r>
    </w:p>
    <w:p>
      <w:pPr>
        <w:spacing w:line="240" w:lineRule="auto" w:before="6"/>
        <w:rPr>
          <w:rFonts w:ascii="宋体" w:hAnsi="宋体" w:cs="宋体" w:eastAsia="宋体" w:hint="default"/>
          <w:sz w:val="17"/>
          <w:szCs w:val="17"/>
        </w:rPr>
      </w:pPr>
    </w:p>
    <w:p>
      <w:pPr>
        <w:pStyle w:val="Heading2"/>
        <w:spacing w:line="240" w:lineRule="auto"/>
        <w:ind w:right="1126"/>
        <w:jc w:val="left"/>
        <w:rPr>
          <w:b w:val="0"/>
          <w:bCs w:val="0"/>
        </w:rPr>
      </w:pPr>
      <w:bookmarkStart w:name="二十、公司子公司重大事项" w:id="123"/>
      <w:bookmarkEnd w:id="123"/>
      <w:r>
        <w:rPr>
          <w:b w:val="0"/>
          <w:bCs w:val="0"/>
        </w:rPr>
      </w:r>
      <w:r>
        <w:rPr/>
        <w:t>二十、公司子公司重大事项</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624" w:lineRule="exact" w:before="14"/>
        <w:ind w:left="714" w:right="11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、子公司获得高新技术企业证书</w:t>
      </w:r>
      <w:r>
        <w:rPr>
          <w:rFonts w:ascii="宋体" w:hAnsi="宋体" w:cs="宋体" w:eastAsia="宋体" w:hint="default"/>
          <w:b/>
          <w:bCs/>
          <w:spacing w:val="-100"/>
          <w:sz w:val="21"/>
          <w:szCs w:val="21"/>
        </w:rPr>
        <w:t> </w:t>
      </w:r>
      <w:r>
        <w:rPr>
          <w:rFonts w:ascii="宋体" w:hAnsi="宋体" w:cs="宋体" w:eastAsia="宋体" w:hint="default"/>
          <w:sz w:val="21"/>
          <w:szCs w:val="21"/>
        </w:rPr>
        <w:t>控股子公司深圳市优友互联有限公司、深圳市爱保科技信息服务有限公司、深圳金石创新科技有限</w:t>
      </w:r>
    </w:p>
    <w:p>
      <w:pPr>
        <w:pStyle w:val="Heading4"/>
        <w:spacing w:line="240" w:lineRule="auto" w:before="101"/>
        <w:ind w:right="0"/>
        <w:jc w:val="left"/>
      </w:pPr>
      <w:r>
        <w:rPr/>
        <w:t>公司、子公司北京威丰科技有限公司分别获得《高新技术企业证书》。根据《中华人民共和国企业所得税</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pStyle w:val="Heading4"/>
        <w:spacing w:line="403" w:lineRule="auto" w:before="182"/>
        <w:ind w:right="0"/>
        <w:jc w:val="left"/>
      </w:pPr>
      <w:r>
        <w:rPr/>
        <w:t>法》等有关规定，自获得高新技术企业认证通过后三年内可享受国家关于高新技术企业的相关优惠政策，</w:t>
      </w:r>
      <w:r>
        <w:rPr>
          <w:spacing w:val="-30"/>
        </w:rPr>
        <w:t> </w:t>
      </w:r>
      <w:r>
        <w:rPr>
          <w:spacing w:val="-30"/>
        </w:rPr>
      </w:r>
      <w:r>
        <w:rPr/>
        <w:t>按</w:t>
      </w:r>
      <w:r>
        <w:rPr>
          <w:rFonts w:ascii="Times New Roman" w:hAnsi="Times New Roman" w:cs="Times New Roman" w:eastAsia="Times New Roman" w:hint="default"/>
        </w:rPr>
        <w:t>15%</w:t>
      </w:r>
      <w:r>
        <w:rPr/>
        <w:t>的税率征收企业所得税。该税收优惠政策预计将对公司未来经营业绩产生一定的积极影响。</w:t>
      </w:r>
    </w:p>
    <w:p>
      <w:pPr>
        <w:pStyle w:val="Heading4"/>
        <w:spacing w:line="384" w:lineRule="auto" w:before="180"/>
        <w:ind w:right="1124" w:firstLine="561"/>
        <w:jc w:val="both"/>
      </w:pPr>
      <w:r>
        <w:rPr/>
        <w:t>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日在巨潮资讯网上披露的《关于子公司获得高新</w:t>
      </w:r>
      <w:r>
        <w:rPr>
          <w:w w:val="100"/>
        </w:rPr>
        <w:t> </w:t>
      </w:r>
      <w:r>
        <w:rPr>
          <w:spacing w:val="-1"/>
        </w:rPr>
        <w:t>技术企业证书的公告》（公告编号：</w:t>
      </w:r>
      <w:r>
        <w:rPr>
          <w:rFonts w:ascii="Times New Roman" w:hAnsi="Times New Roman" w:cs="Times New Roman" w:eastAsia="Times New Roman" w:hint="default"/>
          <w:spacing w:val="-1"/>
        </w:rPr>
        <w:t>2019-008</w:t>
      </w:r>
      <w:r>
        <w:rPr>
          <w:spacing w:val="-1"/>
        </w:rPr>
        <w:t>）、《关于控股子公司获得高新技术企业证书的公告》（公</w:t>
      </w:r>
      <w:r>
        <w:rPr>
          <w:spacing w:val="-39"/>
        </w:rPr>
        <w:t> </w:t>
      </w:r>
      <w:r>
        <w:rPr>
          <w:spacing w:val="-39"/>
        </w:rPr>
      </w:r>
      <w:r>
        <w:rPr/>
        <w:t>告编号：</w:t>
      </w:r>
      <w:r>
        <w:rPr>
          <w:rFonts w:ascii="Times New Roman" w:hAnsi="Times New Roman" w:cs="Times New Roman" w:eastAsia="Times New Roman" w:hint="default"/>
        </w:rPr>
        <w:t>2020-022</w:t>
      </w:r>
      <w:r>
        <w:rPr/>
        <w:t>）。</w:t>
      </w:r>
    </w:p>
    <w:p>
      <w:pPr>
        <w:pStyle w:val="Heading3"/>
        <w:spacing w:line="240" w:lineRule="auto" w:before="194"/>
        <w:ind w:left="714" w:right="1126"/>
        <w:jc w:val="left"/>
        <w:rPr>
          <w:b w:val="0"/>
          <w:bCs w:val="0"/>
        </w:rPr>
      </w:pPr>
      <w:r>
        <w:rPr>
          <w:rFonts w:ascii="Times New Roman" w:hAnsi="Times New Roman" w:cs="Times New Roman" w:eastAsia="Times New Roman" w:hint="default"/>
        </w:rPr>
        <w:t>2</w:t>
      </w:r>
      <w:r>
        <w:rPr/>
        <w:t>、全资子公司瑞成汇达转让海南小贷股权</w:t>
      </w:r>
      <w:r>
        <w:rPr>
          <w:b w:val="0"/>
          <w:bCs w:val="0"/>
        </w:rPr>
      </w:r>
    </w:p>
    <w:p>
      <w:pPr>
        <w:spacing w:line="240" w:lineRule="auto" w:before="11"/>
        <w:rPr>
          <w:rFonts w:ascii="宋体" w:hAnsi="宋体" w:cs="宋体" w:eastAsia="宋体" w:hint="default"/>
          <w:b/>
          <w:bCs/>
          <w:sz w:val="25"/>
          <w:szCs w:val="25"/>
        </w:rPr>
      </w:pPr>
    </w:p>
    <w:p>
      <w:pPr>
        <w:pStyle w:val="Heading4"/>
        <w:spacing w:line="384" w:lineRule="auto"/>
        <w:ind w:right="1122" w:firstLine="561"/>
        <w:jc w:val="both"/>
      </w:pPr>
      <w:r>
        <w:rPr/>
        <w:t>为优化公司产业布局，有效聚焦优势资源，公司全资子公司瑞成汇达拟作价</w:t>
      </w:r>
      <w:r>
        <w:rPr>
          <w:rFonts w:ascii="Times New Roman" w:hAnsi="Times New Roman" w:cs="Times New Roman" w:eastAsia="Times New Roman" w:hint="default"/>
        </w:rPr>
        <w:t>13,775</w:t>
      </w:r>
      <w:r>
        <w:rPr/>
        <w:t>万元向北京海湾</w:t>
      </w:r>
      <w:r>
        <w:rPr>
          <w:w w:val="100"/>
        </w:rPr>
        <w:t> </w:t>
      </w:r>
      <w:r>
        <w:rPr/>
        <w:t>京城房地产开发有限公司转让其持有的海南先锋网信小额贷款有限公司</w:t>
      </w:r>
      <w:r>
        <w:rPr>
          <w:rFonts w:ascii="Times New Roman" w:hAnsi="Times New Roman" w:cs="Times New Roman" w:eastAsia="Times New Roman" w:hint="default"/>
        </w:rPr>
        <w:t>51%</w:t>
      </w:r>
      <w:r>
        <w:rPr/>
        <w:t>股权。</w:t>
      </w:r>
    </w:p>
    <w:p>
      <w:pPr>
        <w:spacing w:line="240" w:lineRule="auto" w:before="3"/>
        <w:rPr>
          <w:rFonts w:ascii="宋体" w:hAnsi="宋体" w:cs="宋体" w:eastAsia="宋体" w:hint="default"/>
          <w:sz w:val="15"/>
          <w:szCs w:val="15"/>
        </w:rPr>
      </w:pPr>
    </w:p>
    <w:p>
      <w:pPr>
        <w:pStyle w:val="Heading4"/>
        <w:spacing w:line="384" w:lineRule="auto"/>
        <w:ind w:right="1122" w:firstLine="561"/>
        <w:jc w:val="both"/>
      </w:pPr>
      <w:r>
        <w:rPr>
          <w:spacing w:val="-3"/>
        </w:rPr>
        <w:t>本次股权转让事项已经公司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日召开的第四届董事会第二十九次（临时）会议、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rFonts w:ascii="Times New Roman" w:hAnsi="Times New Roman" w:cs="Times New Roman" w:eastAsia="Times New Roman" w:hint="default"/>
          <w:w w:val="100"/>
        </w:rPr>
        <w:t> </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2019</w:t>
      </w:r>
      <w:r>
        <w:rPr>
          <w:spacing w:val="-2"/>
        </w:rPr>
        <w:t>年第一次临时股东大会审议通过。公司独立董事对本次股权转让事项发表了同意的独立</w:t>
      </w:r>
      <w:r>
        <w:rPr>
          <w:spacing w:val="-27"/>
        </w:rPr>
        <w:t> </w:t>
      </w:r>
      <w:r>
        <w:rPr>
          <w:spacing w:val="-27"/>
        </w:rPr>
      </w:r>
      <w:r>
        <w:rPr/>
        <w:t>意见。</w:t>
      </w:r>
    </w:p>
    <w:p>
      <w:pPr>
        <w:spacing w:line="240" w:lineRule="auto" w:before="1"/>
        <w:rPr>
          <w:rFonts w:ascii="宋体" w:hAnsi="宋体" w:cs="宋体" w:eastAsia="宋体" w:hint="default"/>
          <w:sz w:val="17"/>
          <w:szCs w:val="17"/>
        </w:rPr>
      </w:pPr>
    </w:p>
    <w:p>
      <w:pPr>
        <w:pStyle w:val="Heading4"/>
        <w:spacing w:line="240" w:lineRule="auto"/>
        <w:ind w:left="714" w:right="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日已经收到</w:t>
      </w:r>
      <w:r>
        <w:rPr>
          <w:rFonts w:ascii="Times New Roman" w:hAnsi="Times New Roman" w:cs="Times New Roman" w:eastAsia="Times New Roman" w:hint="default"/>
        </w:rPr>
        <w:t>60%</w:t>
      </w:r>
      <w:r>
        <w:rPr/>
        <w:t>转让款，并已转移控制权，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日收到剩余</w:t>
      </w:r>
      <w:r>
        <w:rPr>
          <w:rFonts w:ascii="Times New Roman" w:hAnsi="Times New Roman" w:cs="Times New Roman" w:eastAsia="Times New Roman" w:hint="default"/>
        </w:rPr>
        <w:t>40%</w:t>
      </w:r>
      <w:r>
        <w:rPr/>
        <w:t>转让款。</w:t>
      </w:r>
    </w:p>
    <w:p>
      <w:pPr>
        <w:spacing w:line="240" w:lineRule="auto" w:before="11"/>
        <w:rPr>
          <w:rFonts w:ascii="宋体" w:hAnsi="宋体" w:cs="宋体" w:eastAsia="宋体" w:hint="default"/>
          <w:sz w:val="25"/>
          <w:szCs w:val="25"/>
        </w:rPr>
      </w:pPr>
    </w:p>
    <w:p>
      <w:pPr>
        <w:pStyle w:val="Heading4"/>
        <w:spacing w:line="391" w:lineRule="auto"/>
        <w:ind w:right="1123" w:firstLine="561"/>
        <w:jc w:val="both"/>
      </w:pPr>
      <w:r>
        <w:rPr/>
        <w:t>具体内容详见公司分别于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日在巨潮资讯网上披露的《第四届董事会</w:t>
      </w:r>
      <w:r>
        <w:rPr>
          <w:w w:val="100"/>
        </w:rPr>
        <w:t> </w:t>
      </w:r>
      <w:r>
        <w:rPr>
          <w:spacing w:val="-1"/>
        </w:rPr>
        <w:t>第二十九次（临时）会议决议公告》（公告编号：</w:t>
      </w:r>
      <w:r>
        <w:rPr>
          <w:rFonts w:ascii="Times New Roman" w:hAnsi="Times New Roman" w:cs="Times New Roman" w:eastAsia="Times New Roman" w:hint="default"/>
          <w:spacing w:val="-1"/>
        </w:rPr>
        <w:t>2019-064</w:t>
      </w:r>
      <w:r>
        <w:rPr>
          <w:spacing w:val="-1"/>
        </w:rPr>
        <w:t>）、《关于第四届董事会第二十九次（临时）</w:t>
      </w:r>
      <w:r>
        <w:rPr>
          <w:spacing w:val="-38"/>
        </w:rPr>
        <w:t> </w:t>
      </w:r>
      <w:r>
        <w:rPr>
          <w:spacing w:val="-38"/>
        </w:rPr>
      </w:r>
      <w:r>
        <w:rPr>
          <w:spacing w:val="-2"/>
        </w:rPr>
        <w:t>会议相关事项的独立意见》、《关于全资子公司北京瑞成汇达科技有限公司转让海南先锋网信小额贷款有</w:t>
      </w:r>
      <w:r>
        <w:rPr>
          <w:spacing w:val="-33"/>
        </w:rPr>
        <w:t> </w:t>
      </w:r>
      <w:r>
        <w:rPr>
          <w:spacing w:val="-33"/>
        </w:rPr>
      </w:r>
      <w:r>
        <w:rPr>
          <w:spacing w:val="-1"/>
        </w:rPr>
        <w:t>限公司股权的公告》（公告编号：</w:t>
      </w:r>
      <w:r>
        <w:rPr>
          <w:rFonts w:ascii="Times New Roman" w:hAnsi="Times New Roman" w:cs="Times New Roman" w:eastAsia="Times New Roman" w:hint="default"/>
          <w:spacing w:val="-1"/>
        </w:rPr>
        <w:t>2019-069</w:t>
      </w:r>
      <w:r>
        <w:rPr>
          <w:spacing w:val="-1"/>
        </w:rPr>
        <w:t>）、《</w:t>
      </w:r>
      <w:r>
        <w:rPr>
          <w:rFonts w:ascii="Times New Roman" w:hAnsi="Times New Roman" w:cs="Times New Roman" w:eastAsia="Times New Roman" w:hint="default"/>
          <w:spacing w:val="-1"/>
        </w:rPr>
        <w:t>2019</w:t>
      </w:r>
      <w:r>
        <w:rPr>
          <w:spacing w:val="-1"/>
        </w:rPr>
        <w:t>年第一次临时股东大会决议的公告》（公告编号：</w:t>
      </w:r>
      <w:r>
        <w:rPr>
          <w:spacing w:val="-37"/>
        </w:rPr>
        <w:t> </w:t>
      </w:r>
      <w:r>
        <w:rPr>
          <w:spacing w:val="-37"/>
        </w:rPr>
      </w:r>
      <w:r>
        <w:rPr>
          <w:rFonts w:ascii="Times New Roman" w:hAnsi="Times New Roman" w:cs="Times New Roman" w:eastAsia="Times New Roman" w:hint="default"/>
        </w:rPr>
        <w:t>2019-076</w:t>
      </w:r>
      <w:r>
        <w:rPr/>
        <w:t>）。</w:t>
      </w:r>
    </w:p>
    <w:p>
      <w:pPr>
        <w:pStyle w:val="Heading3"/>
        <w:spacing w:line="240" w:lineRule="auto" w:before="186"/>
        <w:ind w:left="714" w:right="1126"/>
        <w:jc w:val="left"/>
        <w:rPr>
          <w:b w:val="0"/>
          <w:bCs w:val="0"/>
        </w:rPr>
      </w:pPr>
      <w:r>
        <w:rPr>
          <w:rFonts w:ascii="Times New Roman" w:hAnsi="Times New Roman" w:cs="Times New Roman" w:eastAsia="Times New Roman" w:hint="default"/>
        </w:rPr>
        <w:t>3</w:t>
      </w:r>
      <w:r>
        <w:rPr/>
        <w:t>、成立控股子公司深圳市实丰科技有限公司暨关联交易事项</w:t>
      </w:r>
      <w:r>
        <w:rPr>
          <w:b w:val="0"/>
          <w:bCs w:val="0"/>
        </w:rPr>
      </w:r>
    </w:p>
    <w:p>
      <w:pPr>
        <w:spacing w:line="240" w:lineRule="auto" w:before="12"/>
        <w:rPr>
          <w:rFonts w:ascii="宋体" w:hAnsi="宋体" w:cs="宋体" w:eastAsia="宋体" w:hint="default"/>
          <w:b/>
          <w:bCs/>
          <w:sz w:val="25"/>
          <w:szCs w:val="25"/>
        </w:rPr>
      </w:pPr>
    </w:p>
    <w:p>
      <w:pPr>
        <w:pStyle w:val="Heading4"/>
        <w:spacing w:line="405" w:lineRule="auto"/>
        <w:ind w:right="1125" w:firstLine="561"/>
        <w:jc w:val="both"/>
      </w:pPr>
      <w:r>
        <w:rPr/>
        <w:t>为进一步扩大公司分销和零售业务范围，提升公司盈利能力，并充分调动员工的积极性，落实公司</w:t>
      </w:r>
      <w:r>
        <w:rPr>
          <w:w w:val="100"/>
        </w:rPr>
        <w:t> </w:t>
      </w:r>
      <w:r>
        <w:rPr>
          <w:spacing w:val="-2"/>
        </w:rPr>
        <w:t>合伙人文化，实现公司与员工收益共享、风险共担，公司与合肥骐嘉通讯科技有限公司、无锡市奕恒思远</w:t>
      </w:r>
      <w:r>
        <w:rPr>
          <w:spacing w:val="-33"/>
        </w:rPr>
        <w:t> </w:t>
      </w:r>
      <w:r>
        <w:rPr>
          <w:spacing w:val="-33"/>
        </w:rPr>
      </w:r>
      <w:r>
        <w:rPr>
          <w:spacing w:val="-2"/>
        </w:rPr>
        <w:t>科技有限公司、深圳市胜启投资有限公司拟共同投资成立控股子公司深圳市实丰科技有限公司，聚焦三星</w:t>
      </w:r>
      <w:r>
        <w:rPr>
          <w:spacing w:val="-33"/>
        </w:rPr>
        <w:t> </w:t>
      </w:r>
      <w:r>
        <w:rPr>
          <w:spacing w:val="-33"/>
        </w:rPr>
      </w:r>
      <w:r>
        <w:rPr/>
        <w:t>品牌手机分销和零售新业务，开拓三星分销和零售新兴市场。</w:t>
      </w:r>
    </w:p>
    <w:p>
      <w:pPr>
        <w:spacing w:line="240" w:lineRule="auto" w:before="8"/>
        <w:rPr>
          <w:rFonts w:ascii="宋体" w:hAnsi="宋体" w:cs="宋体" w:eastAsia="宋体" w:hint="default"/>
          <w:sz w:val="15"/>
          <w:szCs w:val="15"/>
        </w:rPr>
      </w:pPr>
    </w:p>
    <w:p>
      <w:pPr>
        <w:pStyle w:val="Heading4"/>
        <w:spacing w:line="240" w:lineRule="auto"/>
        <w:ind w:left="714" w:right="112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日，深圳市实丰科技有限公司成立。</w:t>
      </w:r>
    </w:p>
    <w:p>
      <w:pPr>
        <w:spacing w:line="240" w:lineRule="auto" w:before="11"/>
        <w:rPr>
          <w:rFonts w:ascii="宋体" w:hAnsi="宋体" w:cs="宋体" w:eastAsia="宋体" w:hint="default"/>
          <w:sz w:val="25"/>
          <w:szCs w:val="25"/>
        </w:rPr>
      </w:pPr>
    </w:p>
    <w:p>
      <w:pPr>
        <w:pStyle w:val="Heading4"/>
        <w:spacing w:line="240" w:lineRule="auto"/>
        <w:ind w:left="714" w:right="1126"/>
        <w:jc w:val="left"/>
      </w:pPr>
      <w:r>
        <w:rPr/>
        <w:t>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30</w:t>
      </w:r>
      <w:r>
        <w:rPr/>
        <w:t>日在巨潮资讯网上披露的《第四届董事会第二十九次（临时）会</w:t>
      </w:r>
    </w:p>
    <w:p>
      <w:pPr>
        <w:pStyle w:val="Heading4"/>
        <w:spacing w:line="460" w:lineRule="atLeast" w:before="11"/>
        <w:ind w:right="1124"/>
        <w:jc w:val="left"/>
      </w:pPr>
      <w:r>
        <w:rPr>
          <w:spacing w:val="-1"/>
        </w:rPr>
        <w:t>议决议公告》（公告编号：</w:t>
      </w:r>
      <w:r>
        <w:rPr>
          <w:rFonts w:ascii="Times New Roman" w:hAnsi="Times New Roman" w:cs="Times New Roman" w:eastAsia="Times New Roman" w:hint="default"/>
          <w:spacing w:val="-1"/>
        </w:rPr>
        <w:t>2019-064</w:t>
      </w:r>
      <w:r>
        <w:rPr>
          <w:spacing w:val="-1"/>
        </w:rPr>
        <w:t>）、《关于第四届董事会第二十九次（临时）会议相关事项的独立意</w:t>
      </w:r>
      <w:r>
        <w:rPr>
          <w:spacing w:val="-39"/>
        </w:rPr>
        <w:t> </w:t>
      </w:r>
      <w:r>
        <w:rPr>
          <w:spacing w:val="-39"/>
        </w:rPr>
      </w:r>
      <w:r>
        <w:rPr/>
        <w:t>见》、《关于拟成立深圳市实丰科技有限公司暨关联交易的公告》（公告编号：</w:t>
      </w:r>
      <w:r>
        <w:rPr>
          <w:rFonts w:ascii="Times New Roman" w:hAnsi="Times New Roman" w:cs="Times New Roman" w:eastAsia="Times New Roman" w:hint="default"/>
        </w:rPr>
        <w:t>2019-068</w:t>
      </w:r>
      <w:r>
        <w:rPr/>
        <w:t>）。</w:t>
      </w:r>
    </w:p>
    <w:p>
      <w:pPr>
        <w:spacing w:after="0" w:line="460" w:lineRule="atLeast"/>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2967" w:right="1126"/>
        <w:jc w:val="left"/>
        <w:rPr>
          <w:b w:val="0"/>
          <w:bCs w:val="0"/>
        </w:rPr>
      </w:pPr>
      <w:bookmarkStart w:name="第六节 股份变动及股东情况" w:id="124"/>
      <w:bookmarkEnd w:id="124"/>
      <w:r>
        <w:rPr>
          <w:b w:val="0"/>
          <w:bCs w:val="0"/>
        </w:rPr>
      </w:r>
      <w:bookmarkStart w:name="_bookmark5" w:id="125"/>
      <w:bookmarkEnd w:id="125"/>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1126"/>
        <w:jc w:val="left"/>
        <w:rPr>
          <w:b w:val="0"/>
          <w:bCs w:val="0"/>
        </w:rPr>
      </w:pPr>
      <w:bookmarkStart w:name="一、股份变动情况" w:id="126"/>
      <w:bookmarkEnd w:id="126"/>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股份变动情况" w:id="127"/>
      <w:bookmarkEnd w:id="12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54"/>
        <w:gridCol w:w="1258"/>
        <w:gridCol w:w="951"/>
        <w:gridCol w:w="504"/>
        <w:gridCol w:w="480"/>
        <w:gridCol w:w="629"/>
        <w:gridCol w:w="1095"/>
        <w:gridCol w:w="1081"/>
        <w:gridCol w:w="1119"/>
        <w:gridCol w:w="792"/>
      </w:tblGrid>
      <w:tr>
        <w:trPr>
          <w:trHeight w:val="403" w:hRule="exact"/>
        </w:trPr>
        <w:tc>
          <w:tcPr>
            <w:tcW w:w="1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2"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9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1654" w:type="dxa"/>
            <w:vMerge w:val="restart"/>
            <w:tcBorders>
              <w:top w:val="nil" w:sz="6" w:space="0" w:color="auto"/>
              <w:left w:val="single" w:sz="4" w:space="0" w:color="000000"/>
              <w:right w:val="single" w:sz="4" w:space="0" w:color="000000"/>
            </w:tcBorders>
            <w:shd w:val="clear" w:color="auto" w:fill="D2D2D2"/>
          </w:tcPr>
          <w:p>
            <w:pPr/>
          </w:p>
        </w:tc>
        <w:tc>
          <w:tcPr>
            <w:tcW w:w="12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86"/>
                <w:sz w:val="18"/>
                <w:szCs w:val="18"/>
              </w:rPr>
              <w:t> </w:t>
            </w:r>
            <w:r>
              <w:rPr>
                <w:rFonts w:ascii="宋体" w:hAnsi="宋体" w:cs="宋体" w:eastAsia="宋体" w:hint="default"/>
                <w:sz w:val="18"/>
                <w:szCs w:val="18"/>
              </w:rPr>
              <w:t>新股</w:t>
            </w:r>
          </w:p>
        </w:tc>
        <w:tc>
          <w:tcPr>
            <w:tcW w:w="4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9" w:right="31"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1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54" w:type="dxa"/>
            <w:vMerge/>
            <w:tcBorders>
              <w:left w:val="single" w:sz="4" w:space="0" w:color="000000"/>
              <w:bottom w:val="nil" w:sz="6" w:space="0" w:color="auto"/>
              <w:right w:val="single" w:sz="4" w:space="0" w:color="000000"/>
            </w:tcBorders>
            <w:shd w:val="clear" w:color="auto" w:fill="D2D2D2"/>
          </w:tcPr>
          <w:p>
            <w:pPr/>
          </w:p>
        </w:tc>
        <w:tc>
          <w:tcPr>
            <w:tcW w:w="12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04" w:type="dxa"/>
            <w:vMerge/>
            <w:tcBorders>
              <w:left w:val="single" w:sz="4" w:space="0" w:color="000000"/>
              <w:right w:val="single" w:sz="4" w:space="0" w:color="000000"/>
            </w:tcBorders>
            <w:shd w:val="clear" w:color="auto" w:fill="D2D2D2"/>
          </w:tcPr>
          <w:p>
            <w:pPr/>
          </w:p>
        </w:tc>
        <w:tc>
          <w:tcPr>
            <w:tcW w:w="4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29" w:type="dxa"/>
            <w:vMerge/>
            <w:tcBorders>
              <w:left w:val="single" w:sz="4" w:space="0" w:color="000000"/>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54" w:type="dxa"/>
            <w:vMerge w:val="restart"/>
            <w:tcBorders>
              <w:top w:val="nil" w:sz="6" w:space="0" w:color="auto"/>
              <w:left w:val="single" w:sz="4" w:space="0" w:color="000000"/>
              <w:right w:val="single" w:sz="4" w:space="0" w:color="000000"/>
            </w:tcBorders>
            <w:shd w:val="clear" w:color="auto" w:fill="D2D2D2"/>
          </w:tcPr>
          <w:p>
            <w:pPr/>
          </w:p>
        </w:tc>
        <w:tc>
          <w:tcPr>
            <w:tcW w:w="1258" w:type="dxa"/>
            <w:vMerge/>
            <w:tcBorders>
              <w:left w:val="single" w:sz="4" w:space="0" w:color="000000"/>
              <w:bottom w:val="nil" w:sz="6" w:space="0" w:color="auto"/>
              <w:right w:val="single" w:sz="4" w:space="0" w:color="000000"/>
            </w:tcBorders>
            <w:shd w:val="clear" w:color="auto" w:fill="D2D2D2"/>
          </w:tcPr>
          <w:p>
            <w:pPr/>
          </w:p>
        </w:tc>
        <w:tc>
          <w:tcPr>
            <w:tcW w:w="951" w:type="dxa"/>
            <w:vMerge/>
            <w:tcBorders>
              <w:left w:val="single" w:sz="4" w:space="0" w:color="000000"/>
              <w:bottom w:val="nil" w:sz="6" w:space="0" w:color="auto"/>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480" w:type="dxa"/>
            <w:vMerge/>
            <w:tcBorders>
              <w:left w:val="single" w:sz="4" w:space="0" w:color="000000"/>
              <w:bottom w:val="nil" w:sz="6" w:space="0" w:color="auto"/>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1119"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54" w:type="dxa"/>
            <w:vMerge/>
            <w:tcBorders>
              <w:left w:val="single" w:sz="4" w:space="0" w:color="000000"/>
              <w:bottom w:val="single" w:sz="4" w:space="0" w:color="000000"/>
              <w:right w:val="single" w:sz="4" w:space="0" w:color="000000"/>
            </w:tcBorders>
            <w:shd w:val="clear" w:color="auto" w:fill="D2D2D2"/>
          </w:tcPr>
          <w:p>
            <w:pPr/>
          </w:p>
        </w:tc>
        <w:tc>
          <w:tcPr>
            <w:tcW w:w="12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4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
              <w:jc w:val="righ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66,107,986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5.33%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-49,531,515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-49,531,515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16,576,471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1.34%</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66,107,986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-49,531,515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-49,531,515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16,576,471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1.34%</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
              <w:jc w:val="righ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30,420,000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-30,420,000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-30,420,000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35,687,986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-19,111,515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-19,111,515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16,576,471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1.34%</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righ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7"/>
              <w:jc w:val="righ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1,173,173,820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94.67%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49,531,515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49,531,515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1,222,705,335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98.66%</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1,173,173,820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94.67%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49,531,515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49,531,515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1,222,705,335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98.66%</w:t>
            </w:r>
          </w:p>
        </w:tc>
      </w:tr>
      <w:tr>
        <w:trPr>
          <w:trHeight w:val="398"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t>2</w:t>
            </w:r>
            <w:r>
              <w:rPr>
                <w:rFonts w:ascii="宋体" w:hAnsi="宋体" w:cs="宋体" w:eastAsia="宋体" w:hint="default"/>
                <w:spacing w:val="-92"/>
                <w:w w:val="101"/>
                <w:sz w:val="18"/>
                <w:szCs w:val="18"/>
              </w:rPr>
              <w:t>、</w:t>
            </w:r>
            <w:r>
              <w:rPr>
                <w:rFonts w:ascii="宋体" w:hAnsi="宋体" w:cs="宋体" w:eastAsia="宋体" w:hint="default"/>
                <w:w w:val="101"/>
                <w:sz w:val="18"/>
                <w:szCs w:val="18"/>
              </w:rPr>
              <w:t>境</w:t>
            </w:r>
            <w:r>
              <w:rPr>
                <w:rFonts w:ascii="宋体" w:hAnsi="宋体" w:cs="宋体" w:eastAsia="宋体" w:hint="default"/>
                <w:spacing w:val="-5"/>
                <w:w w:val="101"/>
                <w:sz w:val="18"/>
                <w:szCs w:val="18"/>
              </w:rPr>
              <w:t>内</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的</w:t>
            </w:r>
            <w:r>
              <w:rPr>
                <w:rFonts w:ascii="宋体" w:hAnsi="宋体" w:cs="宋体" w:eastAsia="宋体" w:hint="default"/>
                <w:spacing w:val="-5"/>
                <w:w w:val="101"/>
                <w:sz w:val="18"/>
                <w:szCs w:val="18"/>
              </w:rPr>
              <w:t>外</w:t>
            </w:r>
            <w:r>
              <w:rPr>
                <w:rFonts w:ascii="宋体" w:hAnsi="宋体" w:cs="宋体" w:eastAsia="宋体" w:hint="default"/>
                <w:w w:val="101"/>
                <w:sz w:val="18"/>
                <w:szCs w:val="18"/>
              </w:rPr>
              <w:t>资股</w:t>
            </w:r>
            <w:r>
              <w:rPr>
                <w:rFonts w:ascii="宋体" w:hAnsi="宋体" w:cs="宋体" w:eastAsia="宋体" w:hint="default"/>
                <w:sz w:val="18"/>
                <w:szCs w:val="18"/>
              </w:rPr>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t>3</w:t>
            </w:r>
            <w:r>
              <w:rPr>
                <w:rFonts w:ascii="宋体" w:hAnsi="宋体" w:cs="宋体" w:eastAsia="宋体" w:hint="default"/>
                <w:spacing w:val="-92"/>
                <w:w w:val="101"/>
                <w:sz w:val="18"/>
                <w:szCs w:val="18"/>
              </w:rPr>
              <w:t>、</w:t>
            </w:r>
            <w:r>
              <w:rPr>
                <w:rFonts w:ascii="宋体" w:hAnsi="宋体" w:cs="宋体" w:eastAsia="宋体" w:hint="default"/>
                <w:w w:val="101"/>
                <w:sz w:val="18"/>
                <w:szCs w:val="18"/>
              </w:rPr>
              <w:t>境</w:t>
            </w:r>
            <w:r>
              <w:rPr>
                <w:rFonts w:ascii="宋体" w:hAnsi="宋体" w:cs="宋体" w:eastAsia="宋体" w:hint="default"/>
                <w:spacing w:val="-5"/>
                <w:w w:val="101"/>
                <w:sz w:val="18"/>
                <w:szCs w:val="18"/>
              </w:rPr>
              <w:t>外</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的</w:t>
            </w:r>
            <w:r>
              <w:rPr>
                <w:rFonts w:ascii="宋体" w:hAnsi="宋体" w:cs="宋体" w:eastAsia="宋体" w:hint="default"/>
                <w:spacing w:val="-5"/>
                <w:w w:val="101"/>
                <w:sz w:val="18"/>
                <w:szCs w:val="18"/>
              </w:rPr>
              <w:t>外</w:t>
            </w:r>
            <w:r>
              <w:rPr>
                <w:rFonts w:ascii="宋体" w:hAnsi="宋体" w:cs="宋体" w:eastAsia="宋体" w:hint="default"/>
                <w:w w:val="101"/>
                <w:sz w:val="18"/>
                <w:szCs w:val="18"/>
              </w:rPr>
              <w:t>资股</w:t>
            </w:r>
            <w:r>
              <w:rPr>
                <w:rFonts w:ascii="宋体" w:hAnsi="宋体" w:cs="宋体" w:eastAsia="宋体" w:hint="default"/>
                <w:sz w:val="18"/>
                <w:szCs w:val="18"/>
              </w:rPr>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1,239,281,806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1,239,281,806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1126"/>
        <w:jc w:val="left"/>
      </w:pPr>
      <w:r>
        <w:rPr>
          <w:spacing w:val="-3"/>
        </w:rPr>
        <w:t>股份变动的原因</w:t>
      </w:r>
    </w:p>
    <w:p>
      <w:pPr>
        <w:pStyle w:val="BodyText"/>
        <w:spacing w:line="319" w:lineRule="auto" w:before="115"/>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报告期内，股份变动的主要原因系高管锁定股每年解除</w:t>
      </w:r>
      <w:r>
        <w:rPr>
          <w:rFonts w:ascii="Times New Roman" w:hAnsi="Times New Roman" w:cs="Times New Roman" w:eastAsia="Times New Roman" w:hint="default"/>
          <w:spacing w:val="-4"/>
        </w:rPr>
        <w:t>25%</w:t>
      </w:r>
      <w:r>
        <w:rPr>
          <w:spacing w:val="-4"/>
        </w:rPr>
        <w:t>限售、非公开发行股票限售股解禁上市流通及部分董事、高管增</w:t>
      </w:r>
      <w:r>
        <w:rPr>
          <w:spacing w:val="72"/>
        </w:rPr>
        <w:t> </w:t>
      </w:r>
      <w:r>
        <w:rPr>
          <w:spacing w:val="72"/>
        </w:rPr>
      </w:r>
      <w:r>
        <w:rPr/>
        <w:t>持公司股票所致。</w:t>
      </w:r>
    </w:p>
    <w:p>
      <w:pPr>
        <w:pStyle w:val="BodyText"/>
        <w:spacing w:line="240" w:lineRule="auto" w:before="60"/>
        <w:ind w:right="1126"/>
        <w:jc w:val="left"/>
      </w:pPr>
      <w:r>
        <w:rPr>
          <w:spacing w:val="-3"/>
        </w:rPr>
        <w:t>股份变动的批准情况</w:t>
      </w:r>
    </w:p>
    <w:p>
      <w:pPr>
        <w:pStyle w:val="BodyText"/>
        <w:spacing w:line="343" w:lineRule="auto" w:before="115"/>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股份变动的过户情况</w:t>
      </w:r>
    </w:p>
    <w:p>
      <w:pPr>
        <w:pStyle w:val="BodyText"/>
        <w:spacing w:line="338" w:lineRule="auto" w:before="37"/>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240" w:lineRule="auto" w:before="45"/>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footerReference w:type="default" r:id="rId33"/>
          <w:pgSz w:w="11910" w:h="16840"/>
          <w:pgMar w:footer="1474" w:header="871" w:top="1060" w:bottom="1660" w:left="980" w:right="0"/>
          <w:pgNumType w:start="52"/>
        </w:sectPr>
      </w:pPr>
    </w:p>
    <w:p>
      <w:pPr>
        <w:spacing w:line="240" w:lineRule="auto" w:before="6"/>
        <w:rPr>
          <w:rFonts w:ascii="宋体" w:hAnsi="宋体" w:cs="宋体" w:eastAsia="宋体" w:hint="default"/>
          <w:sz w:val="26"/>
          <w:szCs w:val="26"/>
        </w:rPr>
      </w:pPr>
    </w:p>
    <w:p>
      <w:pPr>
        <w:pStyle w:val="BodyText"/>
        <w:spacing w:line="240" w:lineRule="auto" w:before="46"/>
        <w:ind w:right="1126"/>
        <w:jc w:val="left"/>
      </w:pPr>
      <w:r>
        <w:rPr>
          <w:spacing w:val="-3"/>
        </w:rPr>
        <w:t>采用集中竞价方式减持回购股份的实施进展情况</w:t>
      </w:r>
    </w:p>
    <w:p>
      <w:pPr>
        <w:pStyle w:val="BodyText"/>
        <w:spacing w:line="343" w:lineRule="auto" w:before="115"/>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38" w:lineRule="auto" w:before="38"/>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公司认为必要或证券监管机构要求披露的其他内容</w:t>
      </w: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2、限售股份变动情况" w:id="128"/>
      <w:bookmarkEnd w:id="12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56"/>
        <w:gridCol w:w="1397"/>
        <w:gridCol w:w="1153"/>
        <w:gridCol w:w="1368"/>
        <w:gridCol w:w="1364"/>
        <w:gridCol w:w="1369"/>
        <w:gridCol w:w="1369"/>
      </w:tblGrid>
      <w:tr>
        <w:trPr>
          <w:trHeight w:val="710"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9" w:right="27" w:hanging="361"/>
              <w:jc w:val="left"/>
              <w:rPr>
                <w:rFonts w:ascii="宋体" w:hAnsi="宋体" w:cs="宋体" w:eastAsia="宋体" w:hint="default"/>
                <w:sz w:val="18"/>
                <w:szCs w:val="18"/>
              </w:rPr>
            </w:pPr>
            <w:r>
              <w:rPr>
                <w:rFonts w:ascii="宋体" w:hAnsi="宋体" w:cs="宋体" w:eastAsia="宋体" w:hint="default"/>
                <w:spacing w:val="-2"/>
                <w:sz w:val="18"/>
                <w:szCs w:val="18"/>
              </w:rPr>
              <w:t>本期增加限售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先锋创业有限公司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25,020,000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25,020,000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增发限售股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新余爱乐投资管理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中心（有限合伙）</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增发限售股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唐进波</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增发限售股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10,771,823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10,771,823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71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5,258,250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1,273,275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3,984,975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71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刘红花</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457,913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457,913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71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周友盟</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689,925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689,925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71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杨治</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266,025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266,025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71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278,085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71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127,725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高管锁定股每年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403"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66,107,986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1,361,760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50,893,275</w:t>
            </w:r>
          </w:p>
        </w:tc>
        <w:tc>
          <w:tcPr>
            <w:tcW w:w="13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16,576,471</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26"/>
        <w:jc w:val="left"/>
        <w:rPr>
          <w:b w:val="0"/>
          <w:bCs w:val="0"/>
        </w:rPr>
      </w:pPr>
      <w:bookmarkStart w:name="二、证券发行与上市情况" w:id="129"/>
      <w:bookmarkEnd w:id="12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6"/>
        <w:jc w:val="left"/>
        <w:rPr>
          <w:b w:val="0"/>
          <w:bCs w:val="0"/>
        </w:rPr>
      </w:pPr>
      <w:bookmarkStart w:name="1、报告期内证券发行（不含优先股）情况" w:id="130"/>
      <w:bookmarkEnd w:id="13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2、公司股份总数及股东结构的变动、公司资产和负债结构的变动情况说明" w:id="131"/>
      <w:bookmarkEnd w:id="13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3、现存的内部职工股情况" w:id="132"/>
      <w:bookmarkEnd w:id="13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1126"/>
        <w:jc w:val="left"/>
        <w:rPr>
          <w:b w:val="0"/>
          <w:bCs w:val="0"/>
        </w:rPr>
      </w:pPr>
      <w:bookmarkStart w:name="三、股东和实际控制人情况" w:id="133"/>
      <w:bookmarkEnd w:id="133"/>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公司股东数量及持股情况" w:id="134"/>
      <w:bookmarkEnd w:id="13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226"/>
        <w:gridCol w:w="1269"/>
        <w:gridCol w:w="623"/>
        <w:gridCol w:w="266"/>
        <w:gridCol w:w="876"/>
        <w:gridCol w:w="341"/>
        <w:gridCol w:w="739"/>
        <w:gridCol w:w="435"/>
        <w:gridCol w:w="732"/>
        <w:gridCol w:w="488"/>
        <w:gridCol w:w="761"/>
        <w:gridCol w:w="413"/>
        <w:gridCol w:w="245"/>
        <w:gridCol w:w="960"/>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494"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53" w:right="0"/>
              <w:jc w:val="left"/>
              <w:rPr>
                <w:rFonts w:ascii="Times New Roman" w:hAnsi="Times New Roman" w:cs="Times New Roman" w:eastAsia="Times New Roman" w:hint="default"/>
                <w:sz w:val="18"/>
                <w:szCs w:val="18"/>
              </w:rPr>
            </w:pPr>
            <w:r>
              <w:rPr>
                <w:rFonts w:ascii="Times New Roman"/>
                <w:sz w:val="18"/>
              </w:rPr>
              <w:t>53,368</w:t>
            </w:r>
          </w:p>
        </w:tc>
        <w:tc>
          <w:tcPr>
            <w:tcW w:w="8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49,490</w:t>
            </w:r>
          </w:p>
        </w:tc>
        <w:tc>
          <w:tcPr>
            <w:tcW w:w="11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12" w:right="7"/>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数（如有）（参</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5" w:type="dxa"/>
            <w:gridSpan w:val="2"/>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71"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494" w:type="dxa"/>
            <w:gridSpan w:val="2"/>
            <w:vMerge/>
            <w:tcBorders>
              <w:left w:val="single" w:sz="10" w:space="0" w:color="D2D2D2"/>
              <w:right w:val="single" w:sz="10" w:space="0" w:color="D2D2D2"/>
            </w:tcBorders>
          </w:tcPr>
          <w:p>
            <w:pPr/>
          </w:p>
        </w:tc>
        <w:tc>
          <w:tcPr>
            <w:tcW w:w="8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7" w:right="135"/>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217" w:type="dxa"/>
            <w:gridSpan w:val="2"/>
            <w:vMerge/>
            <w:tcBorders>
              <w:left w:val="single" w:sz="10" w:space="0" w:color="D2D2D2"/>
              <w:right w:val="single" w:sz="10"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4" w:right="63"/>
              <w:jc w:val="both"/>
              <w:rPr>
                <w:rFonts w:ascii="宋体" w:hAnsi="宋体" w:cs="宋体" w:eastAsia="宋体" w:hint="default"/>
                <w:sz w:val="18"/>
                <w:szCs w:val="18"/>
              </w:rPr>
            </w:pPr>
            <w:r>
              <w:rPr>
                <w:rFonts w:ascii="宋体" w:hAnsi="宋体" w:cs="宋体" w:eastAsia="宋体" w:hint="default"/>
                <w:spacing w:val="-2"/>
                <w:sz w:val="18"/>
                <w:szCs w:val="18"/>
              </w:rPr>
              <w:t>报告期末表决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权恢复的优先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p>
            <w:pPr>
              <w:pStyle w:val="TableParagraph"/>
              <w:spacing w:line="321" w:lineRule="auto" w:before="20"/>
              <w:ind w:left="14" w:right="5"/>
              <w:jc w:val="both"/>
              <w:rPr>
                <w:rFonts w:ascii="宋体" w:hAnsi="宋体" w:cs="宋体" w:eastAsia="宋体" w:hint="default"/>
                <w:sz w:val="18"/>
                <w:szCs w:val="18"/>
              </w:rPr>
            </w:pPr>
            <w:r>
              <w:rPr>
                <w:rFonts w:ascii="宋体" w:hAnsi="宋体" w:cs="宋体" w:eastAsia="宋体" w:hint="default"/>
                <w:spacing w:val="-20"/>
                <w:w w:val="101"/>
                <w:sz w:val="18"/>
                <w:szCs w:val="18"/>
              </w:rPr>
              <w:t>（如有）（参见</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gridSpan w:val="2"/>
            <w:vMerge/>
            <w:tcBorders>
              <w:left w:val="single" w:sz="12" w:space="0" w:color="D2D2D2"/>
              <w:right w:val="single" w:sz="4" w:space="0" w:color="000000"/>
            </w:tcBorders>
          </w:tcPr>
          <w:p>
            <w:pPr/>
          </w:p>
        </w:tc>
      </w:tr>
      <w:tr>
        <w:trPr>
          <w:trHeight w:val="701"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494" w:type="dxa"/>
            <w:gridSpan w:val="2"/>
            <w:vMerge/>
            <w:tcBorders>
              <w:left w:val="single" w:sz="10" w:space="0" w:color="D2D2D2"/>
              <w:right w:val="single" w:sz="10" w:space="0" w:color="D2D2D2"/>
            </w:tcBorders>
          </w:tcPr>
          <w:p>
            <w:pPr/>
          </w:p>
        </w:tc>
        <w:tc>
          <w:tcPr>
            <w:tcW w:w="890" w:type="dxa"/>
            <w:gridSpan w:val="2"/>
            <w:vMerge/>
            <w:tcBorders>
              <w:left w:val="single" w:sz="4" w:space="0" w:color="000000"/>
              <w:right w:val="single" w:sz="4" w:space="0" w:color="000000"/>
            </w:tcBorders>
            <w:shd w:val="clear" w:color="auto" w:fill="D2D2D2"/>
          </w:tcPr>
          <w:p>
            <w:pPr/>
          </w:p>
        </w:tc>
        <w:tc>
          <w:tcPr>
            <w:tcW w:w="1217" w:type="dxa"/>
            <w:gridSpan w:val="2"/>
            <w:vMerge/>
            <w:tcBorders>
              <w:left w:val="single" w:sz="10" w:space="0" w:color="D2D2D2"/>
              <w:right w:val="single" w:sz="10"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gridSpan w:val="2"/>
            <w:vMerge/>
            <w:tcBorders>
              <w:left w:val="single" w:sz="12" w:space="0" w:color="D2D2D2"/>
              <w:right w:val="single" w:sz="4" w:space="0" w:color="000000"/>
            </w:tcBorders>
          </w:tcPr>
          <w:p>
            <w:pPr/>
          </w:p>
        </w:tc>
      </w:tr>
      <w:tr>
        <w:trPr>
          <w:trHeight w:val="470"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494" w:type="dxa"/>
            <w:gridSpan w:val="2"/>
            <w:vMerge/>
            <w:tcBorders>
              <w:left w:val="single" w:sz="10" w:space="0" w:color="D2D2D2"/>
              <w:right w:val="single" w:sz="10" w:space="0" w:color="D2D2D2"/>
            </w:tcBorders>
          </w:tcPr>
          <w:p>
            <w:pPr/>
          </w:p>
        </w:tc>
        <w:tc>
          <w:tcPr>
            <w:tcW w:w="890" w:type="dxa"/>
            <w:gridSpan w:val="2"/>
            <w:vMerge/>
            <w:tcBorders>
              <w:left w:val="single" w:sz="4" w:space="0" w:color="000000"/>
              <w:bottom w:val="nil" w:sz="6" w:space="0" w:color="auto"/>
              <w:right w:val="single" w:sz="4" w:space="0" w:color="000000"/>
            </w:tcBorders>
            <w:shd w:val="clear" w:color="auto" w:fill="D2D2D2"/>
          </w:tcPr>
          <w:p>
            <w:pPr/>
          </w:p>
        </w:tc>
        <w:tc>
          <w:tcPr>
            <w:tcW w:w="1217" w:type="dxa"/>
            <w:gridSpan w:val="2"/>
            <w:vMerge/>
            <w:tcBorders>
              <w:left w:val="single" w:sz="10" w:space="0" w:color="D2D2D2"/>
              <w:right w:val="single" w:sz="10"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gridSpan w:val="2"/>
            <w:vMerge/>
            <w:tcBorders>
              <w:left w:val="single" w:sz="12" w:space="0" w:color="D2D2D2"/>
              <w:right w:val="single" w:sz="4" w:space="0" w:color="000000"/>
            </w:tcBorders>
          </w:tcPr>
          <w:p>
            <w:pPr/>
          </w:p>
        </w:tc>
      </w:tr>
      <w:tr>
        <w:trPr>
          <w:trHeight w:val="16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494" w:type="dxa"/>
            <w:gridSpan w:val="2"/>
            <w:vMerge/>
            <w:tcBorders>
              <w:left w:val="single" w:sz="10" w:space="0" w:color="D2D2D2"/>
              <w:bottom w:val="single" w:sz="4" w:space="0" w:color="000000"/>
              <w:right w:val="single" w:sz="10" w:space="0" w:color="D2D2D2"/>
            </w:tcBorders>
          </w:tcPr>
          <w:p>
            <w:pPr/>
          </w:p>
        </w:tc>
        <w:tc>
          <w:tcPr>
            <w:tcW w:w="8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gridSpan w:val="2"/>
            <w:vMerge/>
            <w:tcBorders>
              <w:left w:val="single" w:sz="10" w:space="0" w:color="D2D2D2"/>
              <w:bottom w:val="single" w:sz="4" w:space="0" w:color="000000"/>
              <w:right w:val="single" w:sz="10" w:space="0" w:color="D2D2D2"/>
            </w:tcBorders>
          </w:tcPr>
          <w:p>
            <w:pPr/>
          </w:p>
        </w:tc>
        <w:tc>
          <w:tcPr>
            <w:tcW w:w="11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13"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05" w:type="dxa"/>
            <w:gridSpan w:val="2"/>
            <w:vMerge/>
            <w:tcBorders>
              <w:left w:val="single" w:sz="12" w:space="0" w:color="D2D2D2"/>
              <w:bottom w:val="single" w:sz="4" w:space="0" w:color="000000"/>
              <w:right w:val="single" w:sz="4" w:space="0" w:color="000000"/>
            </w:tcBorders>
          </w:tcPr>
          <w:p>
            <w:pPr/>
          </w:p>
        </w:tc>
      </w:tr>
      <w:tr>
        <w:trPr>
          <w:trHeight w:val="394" w:hRule="exact"/>
        </w:trPr>
        <w:tc>
          <w:tcPr>
            <w:tcW w:w="957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211" w:hRule="exact"/>
        </w:trPr>
        <w:tc>
          <w:tcPr>
            <w:tcW w:w="1421" w:type="dxa"/>
            <w:gridSpan w:val="2"/>
            <w:vMerge w:val="restart"/>
            <w:tcBorders>
              <w:top w:val="single" w:sz="4" w:space="0" w:color="000000"/>
              <w:left w:val="single" w:sz="4" w:space="0" w:color="000000"/>
              <w:right w:val="single" w:sz="4" w:space="0" w:color="000000"/>
            </w:tcBorders>
            <w:shd w:val="clear" w:color="auto" w:fill="D2D2D2"/>
          </w:tcPr>
          <w:p>
            <w:pPr/>
          </w:p>
        </w:tc>
        <w:tc>
          <w:tcPr>
            <w:tcW w:w="1269" w:type="dxa"/>
            <w:vMerge w:val="restart"/>
            <w:tcBorders>
              <w:top w:val="single" w:sz="4" w:space="0" w:color="000000"/>
              <w:left w:val="single" w:sz="4" w:space="0" w:color="000000"/>
              <w:right w:val="single" w:sz="4" w:space="0" w:color="000000"/>
            </w:tcBorders>
            <w:shd w:val="clear" w:color="auto" w:fill="D2D2D2"/>
          </w:tcPr>
          <w:p>
            <w:pPr/>
          </w:p>
        </w:tc>
        <w:tc>
          <w:tcPr>
            <w:tcW w:w="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7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73" w:hRule="exact"/>
        </w:trPr>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269" w:type="dxa"/>
            <w:vMerge/>
            <w:tcBorders>
              <w:left w:val="single" w:sz="4" w:space="0" w:color="000000"/>
              <w:bottom w:val="nil" w:sz="6" w:space="0" w:color="auto"/>
              <w:right w:val="single" w:sz="4" w:space="0" w:color="000000"/>
            </w:tcBorders>
            <w:shd w:val="clear" w:color="auto" w:fill="D2D2D2"/>
          </w:tcPr>
          <w:p>
            <w:pPr/>
          </w:p>
        </w:tc>
        <w:tc>
          <w:tcPr>
            <w:tcW w:w="62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4" w:right="32"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114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84" w:right="21" w:hanging="360"/>
              <w:jc w:val="left"/>
              <w:rPr>
                <w:rFonts w:ascii="宋体" w:hAnsi="宋体" w:cs="宋体" w:eastAsia="宋体" w:hint="default"/>
                <w:sz w:val="18"/>
                <w:szCs w:val="18"/>
              </w:rPr>
            </w:pPr>
            <w:r>
              <w:rPr>
                <w:rFonts w:ascii="宋体" w:hAnsi="宋体" w:cs="宋体" w:eastAsia="宋体" w:hint="default"/>
                <w:spacing w:val="-2"/>
                <w:sz w:val="18"/>
                <w:szCs w:val="18"/>
              </w:rPr>
              <w:t>报告期末持股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数量</w:t>
            </w:r>
          </w:p>
        </w:tc>
        <w:tc>
          <w:tcPr>
            <w:tcW w:w="10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86" w:right="79"/>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1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8" w:right="31"/>
              <w:jc w:val="left"/>
              <w:rPr>
                <w:rFonts w:ascii="宋体" w:hAnsi="宋体" w:cs="宋体" w:eastAsia="宋体" w:hint="default"/>
                <w:sz w:val="18"/>
                <w:szCs w:val="18"/>
              </w:rPr>
            </w:pPr>
            <w:r>
              <w:rPr>
                <w:rFonts w:ascii="宋体" w:hAnsi="宋体" w:cs="宋体" w:eastAsia="宋体" w:hint="default"/>
                <w:spacing w:val="-2"/>
                <w:sz w:val="18"/>
                <w:szCs w:val="18"/>
              </w:rPr>
              <w:t>持有有限售条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件的股份数量</w:t>
            </w:r>
          </w:p>
        </w:tc>
        <w:tc>
          <w:tcPr>
            <w:tcW w:w="124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持有无限售条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件的股份数量</w:t>
            </w:r>
          </w:p>
        </w:tc>
        <w:tc>
          <w:tcPr>
            <w:tcW w:w="1618" w:type="dxa"/>
            <w:gridSpan w:val="3"/>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4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34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26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23" w:type="dxa"/>
            <w:vMerge/>
            <w:tcBorders>
              <w:left w:val="single" w:sz="4" w:space="0" w:color="000000"/>
              <w:right w:val="single" w:sz="4" w:space="0" w:color="000000"/>
            </w:tcBorders>
            <w:shd w:val="clear" w:color="auto" w:fill="D2D2D2"/>
          </w:tcPr>
          <w:p>
            <w:pPr/>
          </w:p>
        </w:tc>
        <w:tc>
          <w:tcPr>
            <w:tcW w:w="1142" w:type="dxa"/>
            <w:gridSpan w:val="2"/>
            <w:vMerge/>
            <w:tcBorders>
              <w:left w:val="single" w:sz="4" w:space="0" w:color="000000"/>
              <w:right w:val="single" w:sz="4" w:space="0" w:color="000000"/>
            </w:tcBorders>
            <w:shd w:val="clear" w:color="auto" w:fill="D2D2D2"/>
          </w:tcPr>
          <w:p>
            <w:pPr/>
          </w:p>
        </w:tc>
        <w:tc>
          <w:tcPr>
            <w:tcW w:w="1080" w:type="dxa"/>
            <w:gridSpan w:val="2"/>
            <w:vMerge/>
            <w:tcBorders>
              <w:left w:val="single" w:sz="4" w:space="0" w:color="000000"/>
              <w:right w:val="single" w:sz="4" w:space="0" w:color="000000"/>
            </w:tcBorders>
            <w:shd w:val="clear" w:color="auto" w:fill="D2D2D2"/>
          </w:tcPr>
          <w:p>
            <w:pPr/>
          </w:p>
        </w:tc>
        <w:tc>
          <w:tcPr>
            <w:tcW w:w="1167" w:type="dxa"/>
            <w:gridSpan w:val="2"/>
            <w:vMerge/>
            <w:tcBorders>
              <w:left w:val="single" w:sz="4" w:space="0" w:color="000000"/>
              <w:right w:val="single" w:sz="4" w:space="0" w:color="000000"/>
            </w:tcBorders>
            <w:shd w:val="clear" w:color="auto" w:fill="D2D2D2"/>
          </w:tcPr>
          <w:p>
            <w:pPr/>
          </w:p>
        </w:tc>
        <w:tc>
          <w:tcPr>
            <w:tcW w:w="1249" w:type="dxa"/>
            <w:gridSpan w:val="2"/>
            <w:vMerge/>
            <w:tcBorders>
              <w:left w:val="single" w:sz="4" w:space="0" w:color="000000"/>
              <w:right w:val="single" w:sz="4" w:space="0" w:color="000000"/>
            </w:tcBorders>
            <w:shd w:val="clear" w:color="auto" w:fill="D2D2D2"/>
          </w:tcPr>
          <w:p>
            <w:pPr/>
          </w:p>
        </w:tc>
        <w:tc>
          <w:tcPr>
            <w:tcW w:w="6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35" w:right="46" w:hanging="178"/>
              <w:jc w:val="left"/>
              <w:rPr>
                <w:rFonts w:ascii="宋体" w:hAnsi="宋体" w:cs="宋体" w:eastAsia="宋体" w:hint="default"/>
                <w:sz w:val="18"/>
                <w:szCs w:val="18"/>
              </w:rPr>
            </w:pPr>
            <w:r>
              <w:rPr>
                <w:rFonts w:ascii="宋体" w:hAnsi="宋体" w:cs="宋体" w:eastAsia="宋体" w:hint="default"/>
                <w:sz w:val="18"/>
                <w:szCs w:val="18"/>
              </w:rPr>
              <w:t>股份状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态</w:t>
            </w: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269" w:type="dxa"/>
            <w:vMerge/>
            <w:tcBorders>
              <w:left w:val="single" w:sz="4" w:space="0" w:color="000000"/>
              <w:bottom w:val="nil" w:sz="6" w:space="0" w:color="auto"/>
              <w:right w:val="single" w:sz="4" w:space="0" w:color="000000"/>
            </w:tcBorders>
            <w:shd w:val="clear" w:color="auto" w:fill="D2D2D2"/>
          </w:tcPr>
          <w:p>
            <w:pPr/>
          </w:p>
        </w:tc>
        <w:tc>
          <w:tcPr>
            <w:tcW w:w="623" w:type="dxa"/>
            <w:vMerge/>
            <w:tcBorders>
              <w:left w:val="single" w:sz="4" w:space="0" w:color="000000"/>
              <w:right w:val="single" w:sz="4" w:space="0" w:color="000000"/>
            </w:tcBorders>
            <w:shd w:val="clear" w:color="auto" w:fill="D2D2D2"/>
          </w:tcPr>
          <w:p>
            <w:pPr/>
          </w:p>
        </w:tc>
        <w:tc>
          <w:tcPr>
            <w:tcW w:w="1142" w:type="dxa"/>
            <w:gridSpan w:val="2"/>
            <w:vMerge/>
            <w:tcBorders>
              <w:left w:val="single" w:sz="4" w:space="0" w:color="000000"/>
              <w:right w:val="single" w:sz="4" w:space="0" w:color="000000"/>
            </w:tcBorders>
            <w:shd w:val="clear" w:color="auto" w:fill="D2D2D2"/>
          </w:tcPr>
          <w:p>
            <w:pPr/>
          </w:p>
        </w:tc>
        <w:tc>
          <w:tcPr>
            <w:tcW w:w="1080" w:type="dxa"/>
            <w:gridSpan w:val="2"/>
            <w:vMerge/>
            <w:tcBorders>
              <w:left w:val="single" w:sz="4" w:space="0" w:color="000000"/>
              <w:right w:val="single" w:sz="4" w:space="0" w:color="000000"/>
            </w:tcBorders>
            <w:shd w:val="clear" w:color="auto" w:fill="D2D2D2"/>
          </w:tcPr>
          <w:p>
            <w:pPr/>
          </w:p>
        </w:tc>
        <w:tc>
          <w:tcPr>
            <w:tcW w:w="1167" w:type="dxa"/>
            <w:gridSpan w:val="2"/>
            <w:vMerge/>
            <w:tcBorders>
              <w:left w:val="single" w:sz="4" w:space="0" w:color="000000"/>
              <w:right w:val="single" w:sz="4" w:space="0" w:color="000000"/>
            </w:tcBorders>
            <w:shd w:val="clear" w:color="auto" w:fill="D2D2D2"/>
          </w:tcPr>
          <w:p>
            <w:pPr/>
          </w:p>
        </w:tc>
        <w:tc>
          <w:tcPr>
            <w:tcW w:w="1249" w:type="dxa"/>
            <w:gridSpan w:val="2"/>
            <w:vMerge/>
            <w:tcBorders>
              <w:left w:val="single" w:sz="4" w:space="0" w:color="000000"/>
              <w:right w:val="single" w:sz="4" w:space="0" w:color="000000"/>
            </w:tcBorders>
            <w:shd w:val="clear" w:color="auto" w:fill="D2D2D2"/>
          </w:tcPr>
          <w:p>
            <w:pPr/>
          </w:p>
        </w:tc>
        <w:tc>
          <w:tcPr>
            <w:tcW w:w="658" w:type="dxa"/>
            <w:gridSpan w:val="2"/>
            <w:vMerge/>
            <w:tcBorders>
              <w:left w:val="single" w:sz="4" w:space="0" w:color="000000"/>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0" w:hRule="exact"/>
        </w:trPr>
        <w:tc>
          <w:tcPr>
            <w:tcW w:w="1421" w:type="dxa"/>
            <w:gridSpan w:val="2"/>
            <w:vMerge w:val="restart"/>
            <w:tcBorders>
              <w:top w:val="nil" w:sz="6" w:space="0" w:color="auto"/>
              <w:left w:val="single" w:sz="4" w:space="0" w:color="000000"/>
              <w:right w:val="single" w:sz="4" w:space="0" w:color="000000"/>
            </w:tcBorders>
            <w:shd w:val="clear" w:color="auto" w:fill="D2D2D2"/>
          </w:tcPr>
          <w:p>
            <w:pPr/>
          </w:p>
        </w:tc>
        <w:tc>
          <w:tcPr>
            <w:tcW w:w="1269" w:type="dxa"/>
            <w:vMerge w:val="restart"/>
            <w:tcBorders>
              <w:top w:val="nil" w:sz="6" w:space="0" w:color="auto"/>
              <w:left w:val="single" w:sz="4" w:space="0" w:color="000000"/>
              <w:right w:val="single" w:sz="4" w:space="0" w:color="000000"/>
            </w:tcBorders>
            <w:shd w:val="clear" w:color="auto" w:fill="D2D2D2"/>
          </w:tcPr>
          <w:p>
            <w:pPr/>
          </w:p>
        </w:tc>
        <w:tc>
          <w:tcPr>
            <w:tcW w:w="623" w:type="dxa"/>
            <w:vMerge/>
            <w:tcBorders>
              <w:left w:val="single" w:sz="4" w:space="0" w:color="000000"/>
              <w:bottom w:val="nil" w:sz="6" w:space="0" w:color="auto"/>
              <w:right w:val="single" w:sz="4" w:space="0" w:color="000000"/>
            </w:tcBorders>
            <w:shd w:val="clear" w:color="auto" w:fill="D2D2D2"/>
          </w:tcPr>
          <w:p>
            <w:pPr/>
          </w:p>
        </w:tc>
        <w:tc>
          <w:tcPr>
            <w:tcW w:w="1142" w:type="dxa"/>
            <w:gridSpan w:val="2"/>
            <w:vMerge/>
            <w:tcBorders>
              <w:left w:val="single" w:sz="4" w:space="0" w:color="000000"/>
              <w:bottom w:val="nil" w:sz="6" w:space="0" w:color="auto"/>
              <w:right w:val="single" w:sz="4" w:space="0" w:color="000000"/>
            </w:tcBorders>
            <w:shd w:val="clear" w:color="auto" w:fill="D2D2D2"/>
          </w:tcPr>
          <w:p>
            <w:pPr/>
          </w:p>
        </w:tc>
        <w:tc>
          <w:tcPr>
            <w:tcW w:w="1080" w:type="dxa"/>
            <w:gridSpan w:val="2"/>
            <w:vMerge/>
            <w:tcBorders>
              <w:left w:val="single" w:sz="4" w:space="0" w:color="000000"/>
              <w:bottom w:val="nil" w:sz="6" w:space="0" w:color="auto"/>
              <w:right w:val="single" w:sz="4" w:space="0" w:color="000000"/>
            </w:tcBorders>
            <w:shd w:val="clear" w:color="auto" w:fill="D2D2D2"/>
          </w:tcPr>
          <w:p>
            <w:pPr/>
          </w:p>
        </w:tc>
        <w:tc>
          <w:tcPr>
            <w:tcW w:w="1167" w:type="dxa"/>
            <w:gridSpan w:val="2"/>
            <w:vMerge/>
            <w:tcBorders>
              <w:left w:val="single" w:sz="4" w:space="0" w:color="000000"/>
              <w:bottom w:val="nil" w:sz="6" w:space="0" w:color="auto"/>
              <w:right w:val="single" w:sz="4" w:space="0" w:color="000000"/>
            </w:tcBorders>
            <w:shd w:val="clear" w:color="auto" w:fill="D2D2D2"/>
          </w:tcPr>
          <w:p>
            <w:pPr/>
          </w:p>
        </w:tc>
        <w:tc>
          <w:tcPr>
            <w:tcW w:w="1249" w:type="dxa"/>
            <w:gridSpan w:val="2"/>
            <w:vMerge/>
            <w:tcBorders>
              <w:left w:val="single" w:sz="4" w:space="0" w:color="000000"/>
              <w:bottom w:val="nil" w:sz="6" w:space="0" w:color="auto"/>
              <w:right w:val="single" w:sz="4" w:space="0" w:color="000000"/>
            </w:tcBorders>
            <w:shd w:val="clear" w:color="auto" w:fill="D2D2D2"/>
          </w:tcPr>
          <w:p>
            <w:pPr/>
          </w:p>
        </w:tc>
        <w:tc>
          <w:tcPr>
            <w:tcW w:w="658" w:type="dxa"/>
            <w:gridSpan w:val="2"/>
            <w:vMerge/>
            <w:tcBorders>
              <w:left w:val="single" w:sz="4" w:space="0" w:color="000000"/>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421" w:type="dxa"/>
            <w:gridSpan w:val="2"/>
            <w:vMerge/>
            <w:tcBorders>
              <w:left w:val="single" w:sz="4" w:space="0" w:color="000000"/>
              <w:bottom w:val="single" w:sz="4" w:space="0" w:color="000000"/>
              <w:right w:val="single" w:sz="4" w:space="0" w:color="000000"/>
            </w:tcBorders>
            <w:shd w:val="clear" w:color="auto" w:fill="D2D2D2"/>
          </w:tcPr>
          <w:p>
            <w:pPr/>
          </w:p>
        </w:tc>
        <w:tc>
          <w:tcPr>
            <w:tcW w:w="1269" w:type="dxa"/>
            <w:vMerge/>
            <w:tcBorders>
              <w:left w:val="single" w:sz="4" w:space="0" w:color="000000"/>
              <w:bottom w:val="single" w:sz="4" w:space="0" w:color="000000"/>
              <w:right w:val="single" w:sz="4" w:space="0" w:color="000000"/>
            </w:tcBorders>
            <w:shd w:val="clear" w:color="auto" w:fill="D2D2D2"/>
          </w:tcPr>
          <w:p>
            <w:pPr/>
          </w:p>
        </w:tc>
        <w:tc>
          <w:tcPr>
            <w:tcW w:w="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8" w:type="dxa"/>
            <w:gridSpan w:val="2"/>
            <w:vMerge/>
            <w:tcBorders>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23"/>
              <w:jc w:val="left"/>
              <w:rPr>
                <w:rFonts w:ascii="宋体" w:hAnsi="宋体" w:cs="宋体" w:eastAsia="宋体" w:hint="default"/>
                <w:sz w:val="18"/>
                <w:szCs w:val="18"/>
              </w:rPr>
            </w:pPr>
            <w:r>
              <w:rPr>
                <w:rFonts w:ascii="宋体" w:hAnsi="宋体" w:cs="宋体" w:eastAsia="宋体" w:hint="default"/>
                <w:spacing w:val="-3"/>
                <w:sz w:val="18"/>
                <w:szCs w:val="18"/>
              </w:rPr>
              <w:t>深圳市神州通投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资集团有限公司</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48"/>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48.37%</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599,464,303</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-51,180,000</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599,464,303</w:t>
            </w:r>
          </w:p>
        </w:tc>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386,600,000</w:t>
            </w:r>
          </w:p>
        </w:tc>
      </w:tr>
      <w:tr>
        <w:trPr>
          <w:trHeight w:val="1027" w:hRule="exact"/>
        </w:trPr>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3"/>
                <w:sz w:val="18"/>
                <w:szCs w:val="18"/>
              </w:rPr>
              <w:t>赣江新区全球星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投资管理有限公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48"/>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5.65%</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70,000,000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-51,800,000</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70,000,000</w:t>
            </w:r>
          </w:p>
        </w:tc>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40,000,000</w:t>
            </w:r>
          </w:p>
        </w:tc>
      </w:tr>
      <w:tr>
        <w:trPr>
          <w:trHeight w:val="404" w:hRule="exact"/>
        </w:trPr>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向时煜</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5.08%</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63,000,000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63,000,000</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63,000,000</w:t>
            </w:r>
          </w:p>
        </w:tc>
        <w:tc>
          <w:tcPr>
            <w:tcW w:w="658"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新余全球星投资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8"/>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4.21%</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52,128,000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52,128,000</w:t>
            </w:r>
          </w:p>
        </w:tc>
        <w:tc>
          <w:tcPr>
            <w:tcW w:w="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51,664,000</w:t>
            </w:r>
          </w:p>
        </w:tc>
      </w:tr>
      <w:tr>
        <w:trPr>
          <w:trHeight w:val="716" w:hRule="exact"/>
        </w:trPr>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3"/>
              <w:jc w:val="left"/>
              <w:rPr>
                <w:rFonts w:ascii="宋体" w:hAnsi="宋体" w:cs="宋体" w:eastAsia="宋体" w:hint="default"/>
                <w:sz w:val="18"/>
                <w:szCs w:val="18"/>
              </w:rPr>
            </w:pPr>
            <w:r>
              <w:rPr>
                <w:rFonts w:ascii="宋体" w:hAnsi="宋体" w:cs="宋体" w:eastAsia="宋体" w:hint="default"/>
                <w:spacing w:val="-3"/>
                <w:sz w:val="18"/>
                <w:szCs w:val="18"/>
              </w:rPr>
              <w:t>国盛证券有限责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任公司</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48"/>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1.76%</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21,797,659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21,797,659</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21,797,659</w:t>
            </w:r>
          </w:p>
        </w:tc>
        <w:tc>
          <w:tcPr>
            <w:tcW w:w="658"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桂槟</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1.52%</w:t>
            </w:r>
          </w:p>
        </w:tc>
        <w:tc>
          <w:tcPr>
            <w:tcW w:w="11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18,800,000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18,800,000</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18,800,000</w:t>
            </w:r>
          </w:p>
        </w:tc>
        <w:tc>
          <w:tcPr>
            <w:tcW w:w="658"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1.110001pt;margin-top:199.125977pt;width:342.85pt;height:20.95pt;mso-position-horizontal-relative:page;mso-position-vertical-relative:page;z-index:-1180264" coordorigin="3822,3983" coordsize="6857,419">
            <v:group style="position:absolute;left:3834;top:3995;width:2;height:395" coordorigin="3834,3995" coordsize="2,395">
              <v:shape style="position:absolute;left:3834;top:3995;width:2;height:395" coordorigin="3834,3995" coordsize="0,395" path="m3834,3995l3834,4389e" filled="false" stroked="true" strokeweight="1.2pt" strokecolor="#ffffff">
                <v:path arrowok="t"/>
              </v:shape>
            </v:group>
            <v:group style="position:absolute;left:3846;top:3995;width:6833;height:395" coordorigin="3846,3995" coordsize="6833,395">
              <v:shape style="position:absolute;left:3846;top:3995;width:6833;height:395" coordorigin="3846,3995" coordsize="6833,395" path="m3846,4389l10679,4389,10679,3995,3846,3995,3846,4389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21"/>
        <w:gridCol w:w="1263"/>
        <w:gridCol w:w="629"/>
        <w:gridCol w:w="1142"/>
        <w:gridCol w:w="1080"/>
        <w:gridCol w:w="1167"/>
        <w:gridCol w:w="1249"/>
        <w:gridCol w:w="658"/>
        <w:gridCol w:w="960"/>
      </w:tblGrid>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香港中央结算有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16,285,784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2,442,343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16,285,784</w:t>
            </w:r>
          </w:p>
        </w:tc>
        <w:tc>
          <w:tcPr>
            <w:tcW w:w="6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14,362,431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10,771,823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3,590,608</w:t>
            </w:r>
          </w:p>
        </w:tc>
        <w:tc>
          <w:tcPr>
            <w:tcW w:w="6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3"/>
              <w:jc w:val="left"/>
              <w:rPr>
                <w:rFonts w:ascii="宋体" w:hAnsi="宋体" w:cs="宋体" w:eastAsia="宋体" w:hint="default"/>
                <w:sz w:val="18"/>
                <w:szCs w:val="18"/>
              </w:rPr>
            </w:pPr>
            <w:r>
              <w:rPr>
                <w:rFonts w:ascii="宋体" w:hAnsi="宋体" w:cs="宋体" w:eastAsia="宋体" w:hint="default"/>
                <w:spacing w:val="-3"/>
                <w:sz w:val="18"/>
                <w:szCs w:val="18"/>
              </w:rPr>
              <w:t>长安国际信托股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42"/>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12,510,000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12,510,000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唐进波</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0.80%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9,889,560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-9,600,000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9,889,560</w:t>
            </w:r>
          </w:p>
        </w:tc>
        <w:tc>
          <w:tcPr>
            <w:tcW w:w="6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6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34"/>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w w:val="101"/>
                <w:sz w:val="18"/>
                <w:szCs w:val="18"/>
              </w:rPr>
              <w:t>股成为前</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10 </w:t>
            </w:r>
            <w:r>
              <w:rPr>
                <w:rFonts w:ascii="宋体" w:hAnsi="宋体" w:cs="宋体" w:eastAsia="宋体" w:hint="default"/>
                <w:spacing w:val="-14"/>
                <w:w w:val="101"/>
                <w:sz w:val="18"/>
                <w:szCs w:val="18"/>
              </w:rPr>
              <w:t>名股东的情况（如有）</w:t>
            </w:r>
            <w:r>
              <w:rPr>
                <w:rFonts w:ascii="宋体" w:hAnsi="宋体" w:cs="宋体" w:eastAsia="宋体" w:hint="default"/>
                <w:sz w:val="18"/>
                <w:szCs w:val="18"/>
              </w:rPr>
            </w:r>
          </w:p>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29"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6"/>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1142" w:type="dxa"/>
            <w:tcBorders>
              <w:top w:val="single" w:sz="4" w:space="0" w:color="000000"/>
              <w:left w:val="nil" w:sz="6" w:space="0" w:color="auto"/>
              <w:bottom w:val="single" w:sz="4" w:space="0" w:color="000000"/>
              <w:right w:val="nil" w:sz="6" w:space="0" w:color="auto"/>
            </w:tcBorders>
          </w:tcPr>
          <w:p>
            <w:pPr/>
          </w:p>
        </w:tc>
        <w:tc>
          <w:tcPr>
            <w:tcW w:w="1080" w:type="dxa"/>
            <w:tcBorders>
              <w:top w:val="single" w:sz="4" w:space="0" w:color="000000"/>
              <w:left w:val="nil" w:sz="6" w:space="0" w:color="auto"/>
              <w:bottom w:val="single" w:sz="4" w:space="0" w:color="000000"/>
              <w:right w:val="nil" w:sz="6" w:space="0" w:color="auto"/>
            </w:tcBorders>
          </w:tcPr>
          <w:p>
            <w:pPr/>
          </w:p>
        </w:tc>
        <w:tc>
          <w:tcPr>
            <w:tcW w:w="1167" w:type="dxa"/>
            <w:tcBorders>
              <w:top w:val="single" w:sz="4" w:space="0" w:color="000000"/>
              <w:left w:val="nil" w:sz="6" w:space="0" w:color="auto"/>
              <w:bottom w:val="single" w:sz="4" w:space="0" w:color="000000"/>
              <w:right w:val="nil" w:sz="6" w:space="0" w:color="auto"/>
            </w:tcBorders>
          </w:tcPr>
          <w:p>
            <w:pPr/>
          </w:p>
        </w:tc>
        <w:tc>
          <w:tcPr>
            <w:tcW w:w="1249" w:type="dxa"/>
            <w:tcBorders>
              <w:top w:val="single" w:sz="4" w:space="0" w:color="000000"/>
              <w:left w:val="nil" w:sz="6" w:space="0" w:color="auto"/>
              <w:bottom w:val="single" w:sz="4" w:space="0" w:color="000000"/>
              <w:right w:val="nil" w:sz="6" w:space="0" w:color="auto"/>
            </w:tcBorders>
          </w:tcPr>
          <w:p>
            <w:pPr/>
          </w:p>
        </w:tc>
        <w:tc>
          <w:tcPr>
            <w:tcW w:w="658" w:type="dxa"/>
            <w:tcBorders>
              <w:top w:val="single" w:sz="4" w:space="0" w:color="000000"/>
              <w:left w:val="nil" w:sz="6" w:space="0" w:color="auto"/>
              <w:bottom w:val="single" w:sz="4" w:space="0" w:color="000000"/>
              <w:right w:val="nil" w:sz="6" w:space="0" w:color="auto"/>
            </w:tcBorders>
          </w:tcPr>
          <w:p>
            <w:pPr/>
          </w:p>
        </w:tc>
        <w:tc>
          <w:tcPr>
            <w:tcW w:w="960" w:type="dxa"/>
            <w:tcBorders>
              <w:top w:val="single" w:sz="4" w:space="0" w:color="000000"/>
              <w:left w:val="nil" w:sz="6" w:space="0" w:color="auto"/>
              <w:bottom w:val="single" w:sz="4" w:space="0" w:color="000000"/>
              <w:right w:val="single" w:sz="4" w:space="0" w:color="000000"/>
            </w:tcBorders>
          </w:tcPr>
          <w:p>
            <w:pPr/>
          </w:p>
        </w:tc>
      </w:tr>
      <w:tr>
        <w:trPr>
          <w:trHeight w:val="629" w:hRule="exact"/>
        </w:trPr>
        <w:tc>
          <w:tcPr>
            <w:tcW w:w="26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86" w:type="dxa"/>
            <w:gridSpan w:val="7"/>
            <w:vMerge w:val="restart"/>
            <w:tcBorders>
              <w:top w:val="single" w:sz="4" w:space="0" w:color="000000"/>
              <w:left w:val="single" w:sz="10" w:space="0" w:color="D2D2D2"/>
              <w:right w:val="single" w:sz="4" w:space="0" w:color="000000"/>
            </w:tcBorders>
          </w:tcPr>
          <w:p>
            <w:pPr>
              <w:pStyle w:val="TableParagraph"/>
              <w:spacing w:line="307" w:lineRule="auto" w:before="53"/>
              <w:ind w:left="16"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、黄绍武先生持有深圳市神州通投资集团有限公司 </w:t>
            </w:r>
            <w:r>
              <w:rPr>
                <w:rFonts w:ascii="Times New Roman" w:hAnsi="Times New Roman" w:cs="Times New Roman" w:eastAsia="Times New Roman" w:hint="default"/>
                <w:spacing w:val="-3"/>
                <w:sz w:val="18"/>
                <w:szCs w:val="18"/>
              </w:rPr>
              <w:t>66.37%</w:t>
            </w:r>
            <w:r>
              <w:rPr>
                <w:rFonts w:ascii="宋体" w:hAnsi="宋体" w:cs="宋体" w:eastAsia="宋体" w:hint="default"/>
                <w:spacing w:val="-3"/>
                <w:sz w:val="18"/>
                <w:szCs w:val="18"/>
              </w:rPr>
              <w:t>的股权，并持有赣江新区全</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球星投资管理有限公司 </w:t>
            </w:r>
            <w:r>
              <w:rPr>
                <w:rFonts w:ascii="Times New Roman" w:hAnsi="Times New Roman" w:cs="Times New Roman" w:eastAsia="Times New Roman" w:hint="default"/>
                <w:spacing w:val="-3"/>
                <w:sz w:val="18"/>
                <w:szCs w:val="18"/>
              </w:rPr>
              <w:t>66.37%</w:t>
            </w:r>
            <w:r>
              <w:rPr>
                <w:rFonts w:ascii="宋体" w:hAnsi="宋体" w:cs="宋体" w:eastAsia="宋体" w:hint="default"/>
                <w:spacing w:val="-3"/>
                <w:sz w:val="18"/>
                <w:szCs w:val="18"/>
              </w:rPr>
              <w:t>的股权，新余全球星投资管理有限公司为赣江新区全球</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星投资管理有限公司的全资子公司。黄绍武先生与深圳市神州通投资集团有限公司、赣</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江新区全球星投资管理有限公司、新余全球星投资管理有限公司构成关联股东的关系。</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、未知公司前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名股东中其他股东之间是否存在关联关系，也未知是否存在《上市</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公司收购管理办法》中规定的一致行动人的情况。</w:t>
            </w:r>
          </w:p>
        </w:tc>
      </w:tr>
      <w:tr>
        <w:trPr>
          <w:trHeight w:val="701" w:hRule="exact"/>
        </w:trPr>
        <w:tc>
          <w:tcPr>
            <w:tcW w:w="268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说明</w:t>
            </w:r>
          </w:p>
        </w:tc>
        <w:tc>
          <w:tcPr>
            <w:tcW w:w="6886" w:type="dxa"/>
            <w:gridSpan w:val="7"/>
            <w:vMerge/>
            <w:tcBorders>
              <w:left w:val="single" w:sz="10" w:space="0" w:color="D2D2D2"/>
              <w:right w:val="single" w:sz="4" w:space="0" w:color="000000"/>
            </w:tcBorders>
          </w:tcPr>
          <w:p>
            <w:pPr/>
          </w:p>
        </w:tc>
      </w:tr>
      <w:tr>
        <w:trPr>
          <w:trHeight w:val="631" w:hRule="exact"/>
        </w:trPr>
        <w:tc>
          <w:tcPr>
            <w:tcW w:w="26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86" w:type="dxa"/>
            <w:gridSpan w:val="7"/>
            <w:vMerge/>
            <w:tcBorders>
              <w:left w:val="single" w:sz="10" w:space="0" w:color="D2D2D2"/>
              <w:bottom w:val="single" w:sz="4" w:space="0" w:color="000000"/>
              <w:right w:val="single" w:sz="4" w:space="0" w:color="000000"/>
            </w:tcBorders>
          </w:tcPr>
          <w:p>
            <w:pP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365" w:hRule="exact"/>
        </w:trPr>
        <w:tc>
          <w:tcPr>
            <w:tcW w:w="26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26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2" w:hRule="exact"/>
        </w:trPr>
        <w:tc>
          <w:tcPr>
            <w:tcW w:w="26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26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277"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35" w:right="46" w:hanging="178"/>
              <w:jc w:val="left"/>
              <w:rPr>
                <w:rFonts w:ascii="宋体" w:hAnsi="宋体" w:cs="宋体" w:eastAsia="宋体" w:hint="default"/>
                <w:sz w:val="18"/>
                <w:szCs w:val="18"/>
              </w:rPr>
            </w:pPr>
            <w:r>
              <w:rPr>
                <w:rFonts w:ascii="宋体" w:hAnsi="宋体" w:cs="宋体" w:eastAsia="宋体" w:hint="default"/>
                <w:sz w:val="18"/>
                <w:szCs w:val="18"/>
              </w:rPr>
              <w:t>股份种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w:t>
            </w: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2684" w:type="dxa"/>
            <w:gridSpan w:val="2"/>
            <w:vMerge/>
            <w:tcBorders>
              <w:left w:val="single" w:sz="4" w:space="0" w:color="000000"/>
              <w:bottom w:val="nil" w:sz="6" w:space="0" w:color="auto"/>
              <w:right w:val="single" w:sz="4" w:space="0" w:color="000000"/>
            </w:tcBorders>
            <w:shd w:val="clear" w:color="auto" w:fill="D2D2D2"/>
          </w:tcPr>
          <w:p>
            <w:pPr/>
          </w:p>
        </w:tc>
        <w:tc>
          <w:tcPr>
            <w:tcW w:w="5268" w:type="dxa"/>
            <w:gridSpan w:val="5"/>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2684" w:type="dxa"/>
            <w:gridSpan w:val="2"/>
            <w:vMerge w:val="restart"/>
            <w:tcBorders>
              <w:top w:val="nil" w:sz="6" w:space="0" w:color="auto"/>
              <w:left w:val="single" w:sz="4" w:space="0" w:color="000000"/>
              <w:right w:val="single" w:sz="4" w:space="0" w:color="000000"/>
            </w:tcBorders>
            <w:shd w:val="clear" w:color="auto" w:fill="D2D2D2"/>
          </w:tcPr>
          <w:p>
            <w:pPr/>
          </w:p>
        </w:tc>
        <w:tc>
          <w:tcPr>
            <w:tcW w:w="5268" w:type="dxa"/>
            <w:gridSpan w:val="5"/>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2684" w:type="dxa"/>
            <w:gridSpan w:val="2"/>
            <w:vMerge/>
            <w:tcBorders>
              <w:left w:val="single" w:sz="4" w:space="0" w:color="000000"/>
              <w:bottom w:val="single" w:sz="4" w:space="0" w:color="000000"/>
              <w:right w:val="single" w:sz="4" w:space="0" w:color="000000"/>
            </w:tcBorders>
            <w:shd w:val="clear" w:color="auto" w:fill="D2D2D2"/>
          </w:tcPr>
          <w:p>
            <w:pPr/>
          </w:p>
        </w:tc>
        <w:tc>
          <w:tcPr>
            <w:tcW w:w="5268" w:type="dxa"/>
            <w:gridSpan w:val="5"/>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0"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599,464,303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599,464,303</w:t>
            </w:r>
          </w:p>
        </w:tc>
      </w:tr>
      <w:tr>
        <w:trPr>
          <w:trHeight w:val="716"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3"/>
              <w:jc w:val="left"/>
              <w:rPr>
                <w:rFonts w:ascii="宋体" w:hAnsi="宋体" w:cs="宋体" w:eastAsia="宋体" w:hint="default"/>
                <w:sz w:val="18"/>
                <w:szCs w:val="18"/>
              </w:rPr>
            </w:pPr>
            <w:r>
              <w:rPr>
                <w:rFonts w:ascii="宋体" w:hAnsi="宋体" w:cs="宋体" w:eastAsia="宋体" w:hint="default"/>
                <w:spacing w:val="-3"/>
                <w:sz w:val="18"/>
                <w:szCs w:val="18"/>
              </w:rPr>
              <w:t>赣江新区全球星投资管理有限公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司</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向时煜</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63,000,000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63,000,000</w:t>
            </w:r>
          </w:p>
        </w:tc>
      </w:tr>
      <w:tr>
        <w:trPr>
          <w:trHeight w:val="716"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新余全球星投资管理有限公司</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52,128,000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52,128,000</w:t>
            </w:r>
          </w:p>
        </w:tc>
      </w:tr>
      <w:tr>
        <w:trPr>
          <w:trHeight w:val="710"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国盛证券有限责任公司</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21,797,659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21,797,659</w:t>
            </w:r>
          </w:p>
        </w:tc>
      </w:tr>
      <w:tr>
        <w:trPr>
          <w:trHeight w:val="715"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桂槟</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18,800,000</w:t>
            </w:r>
          </w:p>
        </w:tc>
      </w:tr>
      <w:tr>
        <w:trPr>
          <w:trHeight w:val="716"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16,285,784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16,285,784</w:t>
            </w:r>
          </w:p>
        </w:tc>
      </w:tr>
      <w:tr>
        <w:trPr>
          <w:trHeight w:val="715"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长安国际信托股份有限公司</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12,510,000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12,510,000</w:t>
            </w:r>
          </w:p>
        </w:tc>
      </w:tr>
      <w:tr>
        <w:trPr>
          <w:trHeight w:val="716" w:hRule="exact"/>
        </w:trPr>
        <w:tc>
          <w:tcPr>
            <w:tcW w:w="2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唐进波</w:t>
            </w:r>
          </w:p>
        </w:tc>
        <w:tc>
          <w:tcPr>
            <w:tcW w:w="5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9,889,560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9,889,560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684"/>
        <w:gridCol w:w="5268"/>
        <w:gridCol w:w="658"/>
        <w:gridCol w:w="960"/>
      </w:tblGrid>
      <w:tr>
        <w:trPr>
          <w:trHeight w:val="715"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新余爱乐投资管理中心（有限合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伙）</w:t>
            </w:r>
          </w:p>
        </w:tc>
        <w:tc>
          <w:tcPr>
            <w:tcW w:w="5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5,400,000</w:t>
            </w:r>
          </w:p>
        </w:tc>
      </w:tr>
      <w:tr>
        <w:trPr>
          <w:trHeight w:val="2002" w:hRule="exact"/>
        </w:trPr>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4" w:lineRule="auto" w:before="63"/>
              <w:ind w:left="24" w:right="3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名股东之间关联关系或一致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行动的说明</w:t>
            </w:r>
          </w:p>
        </w:tc>
        <w:tc>
          <w:tcPr>
            <w:tcW w:w="6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、黄绍武先生持有深圳市神州通投资集团有限公司 </w:t>
            </w:r>
            <w:r>
              <w:rPr>
                <w:rFonts w:ascii="Times New Roman" w:hAnsi="Times New Roman" w:cs="Times New Roman" w:eastAsia="Times New Roman" w:hint="default"/>
                <w:spacing w:val="-3"/>
                <w:sz w:val="18"/>
                <w:szCs w:val="18"/>
              </w:rPr>
              <w:t>66.37%</w:t>
            </w:r>
            <w:r>
              <w:rPr>
                <w:rFonts w:ascii="宋体" w:hAnsi="宋体" w:cs="宋体" w:eastAsia="宋体" w:hint="default"/>
                <w:spacing w:val="-3"/>
                <w:sz w:val="18"/>
                <w:szCs w:val="18"/>
              </w:rPr>
              <w:t>的股权，并持有赣江新区全</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2"/>
                <w:w w:val="101"/>
                <w:sz w:val="18"/>
                <w:szCs w:val="18"/>
              </w:rPr>
              <w:t>球星投资管理有限公司</w:t>
            </w:r>
            <w:r>
              <w:rPr>
                <w:rFonts w:ascii="宋体" w:hAnsi="宋体" w:cs="宋体" w:eastAsia="宋体" w:hint="default"/>
                <w:spacing w:val="-42"/>
                <w:w w:val="101"/>
                <w:sz w:val="18"/>
                <w:szCs w:val="18"/>
              </w:rPr>
              <w:t> </w:t>
            </w:r>
            <w:r>
              <w:rPr>
                <w:rFonts w:ascii="Times New Roman" w:hAnsi="Times New Roman" w:cs="Times New Roman" w:eastAsia="Times New Roman" w:hint="default"/>
                <w:spacing w:val="-5"/>
                <w:w w:val="101"/>
                <w:sz w:val="18"/>
                <w:szCs w:val="18"/>
              </w:rPr>
              <w:t>66.37%</w:t>
            </w:r>
            <w:r>
              <w:rPr>
                <w:rFonts w:ascii="宋体" w:hAnsi="宋体" w:cs="宋体" w:eastAsia="宋体" w:hint="default"/>
                <w:spacing w:val="-5"/>
                <w:w w:val="101"/>
                <w:sz w:val="18"/>
                <w:szCs w:val="18"/>
              </w:rPr>
              <w:t>的股权，新余全球星投资管理有限公司为赣江新区全球星</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投资管理有限公司的全资子公司。深圳市神州通投资集团有限公司、赣江新区全球星投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资管理有限公司、新余全球星投资管理有限公司构成关联股东的关系。</w:t>
            </w:r>
          </w:p>
          <w:p>
            <w:pPr>
              <w:pStyle w:val="TableParagraph"/>
              <w:spacing w:line="304" w:lineRule="auto" w:before="59"/>
              <w:ind w:left="23" w:right="96"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、未知公司前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名股东中其他股东之间是否存在关联关系，也未知是否存在《上市</w:t>
            </w:r>
            <w:r>
              <w:rPr>
                <w:rFonts w:ascii="宋体" w:hAnsi="宋体" w:cs="宋体" w:eastAsia="宋体" w:hint="default"/>
                <w:w w:val="101"/>
                <w:sz w:val="18"/>
                <w:szCs w:val="18"/>
              </w:rPr>
              <w:t> </w:t>
            </w:r>
            <w:r>
              <w:rPr>
                <w:rFonts w:ascii="宋体" w:hAnsi="宋体" w:cs="宋体" w:eastAsia="宋体" w:hint="default"/>
                <w:spacing w:val="-3"/>
                <w:sz w:val="18"/>
                <w:szCs w:val="18"/>
              </w:rPr>
              <w:t>公司收购管理办法》中规定的一致行动人的情况。</w:t>
            </w:r>
          </w:p>
        </w:tc>
      </w:tr>
      <w:tr>
        <w:trPr>
          <w:trHeight w:val="1340" w:hRule="exact"/>
        </w:trPr>
        <w:tc>
          <w:tcPr>
            <w:tcW w:w="26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24" w:right="-4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名普通股股东参与融资融券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1"/>
                <w:w w:val="101"/>
                <w:sz w:val="18"/>
                <w:szCs w:val="18"/>
              </w:rPr>
              <w:t>业务情况说明（如有）（参见注</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0"/>
                <w:w w:val="101"/>
                <w:sz w:val="18"/>
                <w:szCs w:val="18"/>
              </w:rPr>
              <w:t>4</w:t>
            </w:r>
            <w:r>
              <w:rPr>
                <w:rFonts w:ascii="宋体" w:hAnsi="宋体" w:cs="宋体" w:eastAsia="宋体" w:hint="default"/>
                <w:spacing w:val="-20"/>
                <w:w w:val="101"/>
                <w:sz w:val="18"/>
                <w:szCs w:val="18"/>
              </w:rPr>
              <w:t>）</w:t>
            </w:r>
            <w:r>
              <w:rPr>
                <w:rFonts w:ascii="宋体" w:hAnsi="宋体" w:cs="宋体" w:eastAsia="宋体" w:hint="default"/>
                <w:sz w:val="18"/>
                <w:szCs w:val="18"/>
              </w:rPr>
            </w:r>
          </w:p>
        </w:tc>
        <w:tc>
          <w:tcPr>
            <w:tcW w:w="6886" w:type="dxa"/>
            <w:gridSpan w:val="3"/>
            <w:tcBorders>
              <w:top w:val="single" w:sz="4" w:space="0" w:color="000000"/>
              <w:left w:val="single" w:sz="13" w:space="0" w:color="FFFFFF"/>
              <w:bottom w:val="single" w:sz="4" w:space="0" w:color="000000"/>
              <w:right w:val="single" w:sz="4" w:space="0" w:color="000000"/>
            </w:tcBorders>
          </w:tcPr>
          <w:p>
            <w:pPr>
              <w:pStyle w:val="TableParagraph"/>
              <w:spacing w:line="240" w:lineRule="auto" w:before="54"/>
              <w:ind w:left="1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报告期内，股东深圳市神州通投资集团有限公司通过信用账户持有公司股票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54,000,000</w:t>
            </w:r>
          </w:p>
          <w:p>
            <w:pPr>
              <w:pStyle w:val="TableParagraph"/>
              <w:spacing w:line="240" w:lineRule="auto" w:before="58"/>
              <w:ind w:left="11" w:right="-29"/>
              <w:jc w:val="left"/>
              <w:rPr>
                <w:rFonts w:ascii="宋体" w:hAnsi="宋体" w:cs="宋体" w:eastAsia="宋体" w:hint="default"/>
                <w:sz w:val="18"/>
                <w:szCs w:val="18"/>
              </w:rPr>
            </w:pPr>
            <w:r>
              <w:rPr>
                <w:rFonts w:ascii="宋体" w:hAnsi="宋体" w:cs="宋体" w:eastAsia="宋体" w:hint="default"/>
                <w:spacing w:val="-3"/>
                <w:sz w:val="18"/>
                <w:szCs w:val="18"/>
              </w:rPr>
              <w:t>股，股东赣江新区全球星投资管理有限公司通过信用账户持有公司股票 </w:t>
            </w:r>
            <w:r>
              <w:rPr>
                <w:rFonts w:ascii="Times New Roman" w:hAnsi="Times New Roman" w:cs="Times New Roman" w:eastAsia="Times New Roman" w:hint="default"/>
                <w:sz w:val="18"/>
                <w:szCs w:val="18"/>
              </w:rPr>
              <w:t>30,000,000  </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3"/>
                <w:sz w:val="18"/>
                <w:szCs w:val="18"/>
              </w:rPr>
              <w:t>股东向时煜通过信用账户持有公司股票 </w:t>
            </w:r>
            <w:r>
              <w:rPr>
                <w:rFonts w:ascii="Times New Roman" w:hAnsi="Times New Roman" w:cs="Times New Roman" w:eastAsia="Times New Roman" w:hint="default"/>
                <w:sz w:val="18"/>
                <w:szCs w:val="18"/>
              </w:rPr>
              <w:t>63,000,000 </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股，股东唐进波通过信用账户持有公</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司股票 </w:t>
            </w:r>
            <w:r>
              <w:rPr>
                <w:rFonts w:ascii="Times New Roman" w:hAnsi="Times New Roman" w:cs="Times New Roman" w:eastAsia="Times New Roman" w:hint="default"/>
                <w:sz w:val="18"/>
                <w:szCs w:val="18"/>
              </w:rPr>
              <w:t>289,560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bl>
    <w:p>
      <w:pPr>
        <w:pStyle w:val="BodyText"/>
        <w:spacing w:line="240" w:lineRule="auto" w:before="53"/>
        <w:ind w:right="1126"/>
        <w:jc w:val="left"/>
      </w:pPr>
      <w:r>
        <w:rPr/>
        <w:pict>
          <v:group style="position:absolute;margin-left:192.309998pt;margin-top:-33.878284pt;width:341.65pt;height:15.6pt;mso-position-horizontal-relative:page;mso-position-vertical-relative:paragraph;z-index:-1180240" coordorigin="3846,-678" coordsize="6833,312">
            <v:shape style="position:absolute;left:3846;top:-678;width:6833;height:312" coordorigin="3846,-678" coordsize="6833,312" path="m3846,-366l10679,-366,10679,-678,3846,-678,3846,-366xe" filled="true" fillcolor="#ffffff" stroked="false">
              <v:path arrowok="t"/>
              <v:fill type="solid"/>
            </v:shape>
            <w10:wrap type="none"/>
          </v:group>
        </w:pict>
      </w: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2"/>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right="1126"/>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2、公司控股股东情况" w:id="135"/>
      <w:bookmarkEnd w:id="13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919"/>
        <w:jc w:val="left"/>
      </w:pPr>
      <w:r>
        <w:rPr>
          <w:spacing w:val="-3"/>
        </w:rPr>
        <w:t>控股股东性质：自然人控股</w:t>
      </w:r>
      <w:r>
        <w:rPr>
          <w:spacing w:val="-51"/>
        </w:rPr>
        <w:t> </w:t>
      </w:r>
      <w:r>
        <w:rPr>
          <w:spacing w:val="-51"/>
        </w:rPr>
      </w:r>
      <w:r>
        <w:rPr>
          <w:spacing w:val="-3"/>
        </w:rPr>
        <w:t>控股股东类型：法人</w:t>
      </w:r>
    </w:p>
    <w:tbl>
      <w:tblPr>
        <w:tblW w:w="0" w:type="auto"/>
        <w:jc w:val="left"/>
        <w:tblInd w:w="148" w:type="dxa"/>
        <w:tblLayout w:type="fixed"/>
        <w:tblCellMar>
          <w:top w:w="0" w:type="dxa"/>
          <w:left w:w="0" w:type="dxa"/>
          <w:bottom w:w="0" w:type="dxa"/>
          <w:right w:w="0" w:type="dxa"/>
        </w:tblCellMar>
        <w:tblLook w:val="01E0"/>
      </w:tblPr>
      <w:tblGrid>
        <w:gridCol w:w="1047"/>
        <w:gridCol w:w="1052"/>
        <w:gridCol w:w="1575"/>
        <w:gridCol w:w="1724"/>
        <w:gridCol w:w="4173"/>
      </w:tblGrid>
      <w:tr>
        <w:trPr>
          <w:trHeight w:val="710" w:hRule="exact"/>
        </w:trPr>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27" w:right="65" w:hanging="360"/>
              <w:jc w:val="left"/>
              <w:rPr>
                <w:rFonts w:ascii="宋体" w:hAnsi="宋体" w:cs="宋体" w:eastAsia="宋体" w:hint="default"/>
                <w:sz w:val="18"/>
                <w:szCs w:val="18"/>
              </w:rPr>
            </w:pPr>
            <w:r>
              <w:rPr>
                <w:rFonts w:ascii="宋体" w:hAnsi="宋体" w:cs="宋体" w:eastAsia="宋体" w:hint="default"/>
                <w:spacing w:val="-2"/>
                <w:sz w:val="18"/>
                <w:szCs w:val="18"/>
              </w:rPr>
              <w:t>控股股东名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1" w:right="43" w:hanging="29"/>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单位负责人</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4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2"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08"/>
              <w:jc w:val="both"/>
              <w:rPr>
                <w:rFonts w:ascii="宋体" w:hAnsi="宋体" w:cs="宋体" w:eastAsia="宋体" w:hint="default"/>
                <w:sz w:val="18"/>
                <w:szCs w:val="18"/>
              </w:rPr>
            </w:pPr>
            <w:r>
              <w:rPr>
                <w:rFonts w:ascii="宋体" w:hAnsi="宋体" w:cs="宋体" w:eastAsia="宋体" w:hint="default"/>
                <w:spacing w:val="-2"/>
                <w:sz w:val="18"/>
                <w:szCs w:val="18"/>
              </w:rPr>
              <w:t>深圳市神州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通投资集团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9144030072619721X8</w:t>
            </w:r>
          </w:p>
        </w:tc>
        <w:tc>
          <w:tcPr>
            <w:tcW w:w="41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
              <w:jc w:val="left"/>
              <w:rPr>
                <w:rFonts w:ascii="宋体" w:hAnsi="宋体" w:cs="宋体" w:eastAsia="宋体" w:hint="default"/>
                <w:sz w:val="18"/>
                <w:szCs w:val="18"/>
              </w:rPr>
            </w:pPr>
            <w:r>
              <w:rPr>
                <w:rFonts w:ascii="宋体" w:hAnsi="宋体" w:cs="宋体" w:eastAsia="宋体" w:hint="default"/>
                <w:spacing w:val="-7"/>
                <w:w w:val="101"/>
                <w:sz w:val="18"/>
                <w:szCs w:val="18"/>
              </w:rPr>
              <w:t>投资兴办实业（具体项目另行申报）；国内商业、物</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7"/>
                <w:w w:val="101"/>
                <w:sz w:val="18"/>
                <w:szCs w:val="18"/>
              </w:rPr>
              <w:t>资供销业（不含专营、专卖、专控商品）；计算机信</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4"/>
                <w:sz w:val="18"/>
                <w:szCs w:val="18"/>
              </w:rPr>
              <w:t>息技术咨询服务；计算机软件的开发；经济信息与企</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7"/>
                <w:w w:val="101"/>
                <w:sz w:val="18"/>
                <w:szCs w:val="18"/>
              </w:rPr>
              <w:t>业管理咨询（不含限制项目）；市场营销与企业形象</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3"/>
                <w:sz w:val="18"/>
                <w:szCs w:val="18"/>
              </w:rPr>
              <w:t>策划；投资咨询；资产管理；为企业提供管理服务。</w:t>
            </w:r>
          </w:p>
        </w:tc>
      </w:tr>
      <w:tr>
        <w:trPr>
          <w:trHeight w:val="1964" w:hRule="exact"/>
        </w:trPr>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8"/>
              <w:jc w:val="both"/>
              <w:rPr>
                <w:rFonts w:ascii="宋体" w:hAnsi="宋体" w:cs="宋体" w:eastAsia="宋体" w:hint="default"/>
                <w:sz w:val="18"/>
                <w:szCs w:val="18"/>
              </w:rPr>
            </w:pPr>
            <w:r>
              <w:rPr>
                <w:rFonts w:ascii="宋体" w:hAnsi="宋体" w:cs="宋体" w:eastAsia="宋体" w:hint="default"/>
                <w:spacing w:val="-2"/>
                <w:sz w:val="18"/>
                <w:szCs w:val="18"/>
              </w:rPr>
              <w:t>控股股东报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告期内控股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和参股的其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他境内外上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市公司的股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权情况</w:t>
            </w:r>
          </w:p>
        </w:tc>
        <w:tc>
          <w:tcPr>
            <w:tcW w:w="8523"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14" w:right="21"/>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深圳市神州通投资集团有限公司持有深圳太辰光通信股份有限公司（</w:t>
            </w:r>
            <w:r>
              <w:rPr>
                <w:rFonts w:ascii="Times New Roman" w:hAnsi="Times New Roman" w:cs="Times New Roman" w:eastAsia="Times New Roman" w:hint="default"/>
                <w:spacing w:val="-3"/>
                <w:sz w:val="18"/>
                <w:szCs w:val="18"/>
              </w:rPr>
              <w:t>300570</w:t>
            </w:r>
            <w:r>
              <w:rPr>
                <w:rFonts w:ascii="宋体" w:hAnsi="宋体" w:cs="宋体" w:eastAsia="宋体" w:hint="default"/>
                <w:spacing w:val="-3"/>
                <w:sz w:val="18"/>
                <w:szCs w:val="18"/>
              </w:rPr>
              <w:t>）普通股 </w:t>
            </w:r>
            <w:r>
              <w:rPr>
                <w:rFonts w:ascii="Times New Roman" w:hAnsi="Times New Roman" w:cs="Times New Roman" w:eastAsia="Times New Roman" w:hint="default"/>
                <w:sz w:val="18"/>
                <w:szCs w:val="18"/>
              </w:rPr>
              <w:t>32,588,320 </w:t>
            </w:r>
            <w:r>
              <w:rPr>
                <w:rFonts w:ascii="宋体" w:hAnsi="宋体" w:cs="宋体" w:eastAsia="宋体" w:hint="default"/>
                <w:sz w:val="18"/>
                <w:szCs w:val="18"/>
              </w:rPr>
              <w:t>股，占其总</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股本的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14.17%</w:t>
            </w:r>
            <w:r>
              <w:rPr>
                <w:rFonts w:ascii="宋体" w:hAnsi="宋体" w:cs="宋体" w:eastAsia="宋体" w:hint="default"/>
                <w:sz w:val="18"/>
                <w:szCs w:val="18"/>
              </w:rPr>
              <w:t>。</w:t>
            </w:r>
          </w:p>
        </w:tc>
      </w:tr>
    </w:tbl>
    <w:p>
      <w:pPr>
        <w:pStyle w:val="BodyText"/>
        <w:spacing w:line="240" w:lineRule="auto" w:before="70"/>
        <w:ind w:right="1126"/>
        <w:jc w:val="left"/>
      </w:pPr>
      <w:r>
        <w:rPr/>
        <w:t>控股股东报告期内变更</w:t>
      </w:r>
    </w:p>
    <w:p>
      <w:pPr>
        <w:pStyle w:val="BodyText"/>
        <w:spacing w:line="338" w:lineRule="auto" w:before="119"/>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8"/>
        <w:rPr>
          <w:rFonts w:ascii="宋体" w:hAnsi="宋体" w:cs="宋体" w:eastAsia="宋体" w:hint="default"/>
          <w:sz w:val="20"/>
          <w:szCs w:val="20"/>
        </w:rPr>
      </w:pPr>
    </w:p>
    <w:p>
      <w:pPr>
        <w:pStyle w:val="Heading3"/>
        <w:spacing w:line="240" w:lineRule="auto"/>
        <w:ind w:right="1126"/>
        <w:jc w:val="left"/>
        <w:rPr>
          <w:b w:val="0"/>
          <w:bCs w:val="0"/>
        </w:rPr>
      </w:pPr>
      <w:bookmarkStart w:name="3、公司实际控制人及其一致行动人" w:id="136"/>
      <w:bookmarkEnd w:id="13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18"/>
          <w:szCs w:val="18"/>
        </w:rPr>
      </w:pPr>
    </w:p>
    <w:p>
      <w:pPr>
        <w:pStyle w:val="BodyText"/>
        <w:spacing w:line="350" w:lineRule="atLeast"/>
        <w:ind w:right="6680"/>
        <w:jc w:val="left"/>
      </w:pPr>
      <w:r>
        <w:rPr>
          <w:spacing w:val="-3"/>
        </w:rPr>
        <w:t>实际控制人性质：境内自然人</w:t>
      </w:r>
      <w:r>
        <w:rPr>
          <w:spacing w:val="-50"/>
        </w:rPr>
        <w:t> </w:t>
      </w:r>
      <w:r>
        <w:rPr>
          <w:spacing w:val="-50"/>
        </w:rPr>
      </w:r>
      <w:r>
        <w:rPr>
          <w:spacing w:val="-3"/>
        </w:rPr>
        <w:t>实际控制人类型：自然人</w:t>
      </w:r>
    </w:p>
    <w:p>
      <w:pPr>
        <w:spacing w:after="0" w:line="350" w:lineRule="atLeast"/>
        <w:jc w:val="left"/>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
              <w:jc w:val="left"/>
              <w:rPr>
                <w:rFonts w:ascii="宋体" w:hAnsi="宋体" w:cs="宋体" w:eastAsia="宋体" w:hint="default"/>
                <w:sz w:val="18"/>
                <w:szCs w:val="18"/>
              </w:rPr>
            </w:pPr>
            <w:r>
              <w:rPr>
                <w:rFonts w:ascii="宋体" w:hAnsi="宋体" w:cs="宋体" w:eastAsia="宋体" w:hint="default"/>
                <w:spacing w:val="-5"/>
                <w:sz w:val="18"/>
                <w:szCs w:val="18"/>
              </w:rPr>
              <w:t>深圳市神州通投资集团有限公司董事长、赣江新区全球星投资管理有限公司董事长、本公司</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董事。</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通过直接持股和间接持股的方式控股上市公司深圳市爱施德股份有限公司。</w:t>
            </w:r>
          </w:p>
        </w:tc>
      </w:tr>
    </w:tbl>
    <w:p>
      <w:pPr>
        <w:pStyle w:val="BodyText"/>
        <w:spacing w:line="240" w:lineRule="auto" w:before="54"/>
        <w:ind w:right="1126"/>
        <w:jc w:val="left"/>
      </w:pPr>
      <w:r>
        <w:rPr>
          <w:spacing w:val="-3"/>
        </w:rPr>
        <w:t>实际控制人报告期内变更</w:t>
      </w:r>
    </w:p>
    <w:p>
      <w:pPr>
        <w:pStyle w:val="BodyText"/>
        <w:spacing w:line="348" w:lineRule="auto" w:before="119"/>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4"/>
        <w:rPr>
          <w:rFonts w:ascii="宋体" w:hAnsi="宋体" w:cs="宋体" w:eastAsia="宋体" w:hint="default"/>
          <w:sz w:val="15"/>
          <w:szCs w:val="15"/>
        </w:rPr>
      </w:pPr>
    </w:p>
    <w:p>
      <w:pPr>
        <w:spacing w:line="5280" w:lineRule="exact"/>
        <w:ind w:left="1358" w:right="0" w:firstLine="0"/>
        <w:rPr>
          <w:rFonts w:ascii="宋体" w:hAnsi="宋体" w:cs="宋体" w:eastAsia="宋体" w:hint="default"/>
          <w:sz w:val="20"/>
          <w:szCs w:val="20"/>
        </w:rPr>
      </w:pPr>
      <w:r>
        <w:rPr>
          <w:rFonts w:ascii="宋体" w:hAnsi="宋体" w:cs="宋体" w:eastAsia="宋体" w:hint="default"/>
          <w:position w:val="-105"/>
          <w:sz w:val="20"/>
          <w:szCs w:val="20"/>
        </w:rPr>
        <w:drawing>
          <wp:inline distT="0" distB="0" distL="0" distR="0">
            <wp:extent cx="4613682" cy="3352800"/>
            <wp:effectExtent l="0" t="0" r="0" b="0"/>
            <wp:docPr id="23" name="image20.jpeg" descr=""/>
            <wp:cNvGraphicFramePr>
              <a:graphicFrameLocks noChangeAspect="1"/>
            </wp:cNvGraphicFramePr>
            <a:graphic>
              <a:graphicData uri="http://schemas.openxmlformats.org/drawingml/2006/picture">
                <pic:pic>
                  <pic:nvPicPr>
                    <pic:cNvPr id="24" name="image20.jpeg"/>
                    <pic:cNvPicPr/>
                  </pic:nvPicPr>
                  <pic:blipFill>
                    <a:blip r:embed="rId34" cstate="print"/>
                    <a:stretch>
                      <a:fillRect/>
                    </a:stretch>
                  </pic:blipFill>
                  <pic:spPr>
                    <a:xfrm>
                      <a:off x="0" y="0"/>
                      <a:ext cx="4613682" cy="3352800"/>
                    </a:xfrm>
                    <a:prstGeom prst="rect">
                      <a:avLst/>
                    </a:prstGeom>
                  </pic:spPr>
                </pic:pic>
              </a:graphicData>
            </a:graphic>
          </wp:inline>
        </w:drawing>
      </w:r>
      <w:r>
        <w:rPr>
          <w:rFonts w:ascii="宋体" w:hAnsi="宋体" w:cs="宋体" w:eastAsia="宋体" w:hint="default"/>
          <w:position w:val="-105"/>
          <w:sz w:val="20"/>
          <w:szCs w:val="20"/>
        </w:rPr>
      </w:r>
    </w:p>
    <w:p>
      <w:pPr>
        <w:spacing w:line="240" w:lineRule="auto" w:before="10"/>
        <w:rPr>
          <w:rFonts w:ascii="宋体" w:hAnsi="宋体" w:cs="宋体" w:eastAsia="宋体" w:hint="default"/>
          <w:sz w:val="16"/>
          <w:szCs w:val="16"/>
        </w:rPr>
      </w:pPr>
    </w:p>
    <w:p>
      <w:pPr>
        <w:pStyle w:val="BodyText"/>
        <w:spacing w:line="240" w:lineRule="auto"/>
        <w:ind w:right="1126"/>
        <w:jc w:val="left"/>
      </w:pPr>
      <w:r>
        <w:rPr>
          <w:spacing w:val="-3"/>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4、其他持股在10%以上的法人股东" w:id="137"/>
      <w:bookmarkEnd w:id="137"/>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5、控股股东、实际控制人、重组方及其他承诺主体股份限制减持情况" w:id="138"/>
      <w:bookmarkEnd w:id="13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283" w:right="1126"/>
        <w:jc w:val="left"/>
        <w:rPr>
          <w:b w:val="0"/>
          <w:bCs w:val="0"/>
        </w:rPr>
      </w:pPr>
      <w:bookmarkStart w:name="第七节 优先股相关情况" w:id="139"/>
      <w:bookmarkEnd w:id="139"/>
      <w:r>
        <w:rPr>
          <w:b w:val="0"/>
          <w:bCs w:val="0"/>
        </w:rPr>
      </w:r>
      <w:bookmarkStart w:name="_bookmark6" w:id="140"/>
      <w:bookmarkEnd w:id="140"/>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645" w:right="1126"/>
        <w:jc w:val="left"/>
        <w:rPr>
          <w:b w:val="0"/>
          <w:bCs w:val="0"/>
        </w:rPr>
      </w:pPr>
      <w:bookmarkStart w:name="第八节 可转换公司债券相关情况" w:id="141"/>
      <w:bookmarkEnd w:id="141"/>
      <w:r>
        <w:rPr>
          <w:b w:val="0"/>
          <w:bCs w:val="0"/>
        </w:rPr>
      </w:r>
      <w:bookmarkStart w:name="_bookmark7" w:id="142"/>
      <w:bookmarkEnd w:id="142"/>
      <w:r>
        <w:rPr>
          <w:b w:val="0"/>
          <w:bCs w:val="0"/>
        </w:rPr>
      </w:r>
      <w:r>
        <w:rPr/>
        <w:t>第八节</w:t>
      </w:r>
      <w:r>
        <w:rPr>
          <w:spacing w:val="1"/>
        </w:rPr>
        <w:t> </w:t>
      </w:r>
      <w:r>
        <w:rPr/>
        <w:t>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680" w:right="1126"/>
        <w:jc w:val="left"/>
        <w:rPr>
          <w:b w:val="0"/>
          <w:bCs w:val="0"/>
        </w:rPr>
      </w:pPr>
      <w:bookmarkStart w:name="第九节 董事、监事、高级管理人员和员工情况" w:id="143"/>
      <w:bookmarkEnd w:id="143"/>
      <w:r>
        <w:rPr>
          <w:b w:val="0"/>
          <w:bCs w:val="0"/>
        </w:rPr>
      </w:r>
      <w:bookmarkStart w:name="_bookmark8" w:id="144"/>
      <w:bookmarkEnd w:id="144"/>
      <w:r>
        <w:rPr>
          <w:b w:val="0"/>
          <w:bCs w:val="0"/>
        </w:rPr>
      </w:r>
      <w:r>
        <w:rPr/>
        <w:t>第九节</w:t>
      </w:r>
      <w:r>
        <w:rPr>
          <w:spacing w:val="-2"/>
        </w:rPr>
        <w:t> </w:t>
      </w:r>
      <w:r>
        <w:rPr/>
        <w:t>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26"/>
        <w:jc w:val="left"/>
        <w:rPr>
          <w:b w:val="0"/>
          <w:bCs w:val="0"/>
        </w:rPr>
      </w:pPr>
      <w:bookmarkStart w:name="一、董事、监事和高级管理人员持股变动" w:id="145"/>
      <w:bookmarkEnd w:id="145"/>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10"/>
        <w:gridCol w:w="989"/>
        <w:gridCol w:w="428"/>
        <w:gridCol w:w="566"/>
        <w:gridCol w:w="427"/>
        <w:gridCol w:w="1133"/>
        <w:gridCol w:w="1133"/>
        <w:gridCol w:w="994"/>
        <w:gridCol w:w="850"/>
        <w:gridCol w:w="850"/>
        <w:gridCol w:w="696"/>
        <w:gridCol w:w="1018"/>
      </w:tblGrid>
      <w:tr>
        <w:trPr>
          <w:trHeight w:val="102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75" w:right="104" w:hanging="361"/>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75" w:right="103" w:hanging="361"/>
              <w:jc w:val="left"/>
              <w:rPr>
                <w:rFonts w:ascii="宋体" w:hAnsi="宋体" w:cs="宋体" w:eastAsia="宋体" w:hint="default"/>
                <w:sz w:val="18"/>
                <w:szCs w:val="18"/>
              </w:rPr>
            </w:pPr>
            <w:r>
              <w:rPr>
                <w:rFonts w:ascii="宋体" w:hAnsi="宋体" w:cs="宋体" w:eastAsia="宋体" w:hint="default"/>
                <w:spacing w:val="-2"/>
                <w:sz w:val="18"/>
                <w:szCs w:val="18"/>
              </w:rPr>
              <w:t>任期终止日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62" w:right="51"/>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5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4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71" w:right="70"/>
              <w:jc w:val="left"/>
              <w:rPr>
                <w:rFonts w:ascii="宋体" w:hAnsi="宋体" w:cs="宋体" w:eastAsia="宋体" w:hint="default"/>
                <w:sz w:val="18"/>
                <w:szCs w:val="18"/>
              </w:rPr>
            </w:pPr>
            <w:r>
              <w:rPr>
                <w:rFonts w:ascii="宋体" w:hAnsi="宋体" w:cs="宋体" w:eastAsia="宋体" w:hint="default"/>
                <w:sz w:val="18"/>
                <w:szCs w:val="18"/>
              </w:rPr>
              <w:t>其他增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减变动</w:t>
            </w:r>
          </w:p>
          <w:p>
            <w:pPr>
              <w:pStyle w:val="TableParagraph"/>
              <w:spacing w:line="240" w:lineRule="auto" w:before="27"/>
              <w:ind w:left="7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5,313,300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5,313,300</w:t>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周友盟</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23" w:right="51"/>
              <w:jc w:val="left"/>
              <w:rPr>
                <w:rFonts w:ascii="宋体" w:hAnsi="宋体" w:cs="宋体" w:eastAsia="宋体" w:hint="default"/>
                <w:sz w:val="18"/>
                <w:szCs w:val="18"/>
              </w:rPr>
            </w:pPr>
            <w:r>
              <w:rPr>
                <w:rFonts w:ascii="宋体" w:hAnsi="宋体" w:cs="宋体" w:eastAsia="宋体" w:hint="default"/>
                <w:spacing w:val="-2"/>
                <w:sz w:val="18"/>
                <w:szCs w:val="18"/>
              </w:rPr>
              <w:t>副董事长、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总裁</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919,900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919,900</w:t>
            </w:r>
          </w:p>
        </w:tc>
      </w:tr>
      <w:tr>
        <w:trPr>
          <w:trHeight w:val="7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14,362,431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14,362,431</w:t>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邓鹏</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朱维佳</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170,300</w:t>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73"/>
              <w:ind w:left="23" w:right="51"/>
              <w:jc w:val="left"/>
              <w:rPr>
                <w:rFonts w:ascii="宋体" w:hAnsi="宋体" w:cs="宋体" w:eastAsia="宋体" w:hint="default"/>
                <w:sz w:val="18"/>
                <w:szCs w:val="18"/>
              </w:rPr>
            </w:pPr>
            <w:r>
              <w:rPr>
                <w:rFonts w:ascii="宋体" w:hAnsi="宋体" w:cs="宋体" w:eastAsia="宋体" w:hint="default"/>
                <w:spacing w:val="-2"/>
                <w:sz w:val="18"/>
                <w:szCs w:val="18"/>
              </w:rPr>
              <w:t>副总裁、财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务负责人</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370,780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370,780</w:t>
            </w:r>
          </w:p>
        </w:tc>
      </w:tr>
      <w:tr>
        <w:trPr>
          <w:trHeight w:val="102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刘红花</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51"/>
              <w:jc w:val="both"/>
              <w:rPr>
                <w:rFonts w:ascii="宋体" w:hAnsi="宋体" w:cs="宋体" w:eastAsia="宋体" w:hint="default"/>
                <w:sz w:val="18"/>
                <w:szCs w:val="18"/>
              </w:rPr>
            </w:pPr>
            <w:r>
              <w:rPr>
                <w:rFonts w:ascii="宋体" w:hAnsi="宋体" w:cs="宋体" w:eastAsia="宋体" w:hint="default"/>
                <w:spacing w:val="-2"/>
                <w:sz w:val="18"/>
                <w:szCs w:val="18"/>
              </w:rPr>
              <w:t>副总裁、内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部审计部门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负责人</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610,551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610,551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10"/>
        <w:gridCol w:w="989"/>
        <w:gridCol w:w="428"/>
        <w:gridCol w:w="566"/>
        <w:gridCol w:w="427"/>
        <w:gridCol w:w="1133"/>
        <w:gridCol w:w="1133"/>
        <w:gridCol w:w="994"/>
        <w:gridCol w:w="850"/>
        <w:gridCol w:w="850"/>
        <w:gridCol w:w="696"/>
        <w:gridCol w:w="1018"/>
      </w:tblGrid>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杨治</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354,700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354,700</w:t>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吴海南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73"/>
              <w:ind w:left="23" w:right="51"/>
              <w:jc w:val="left"/>
              <w:rPr>
                <w:rFonts w:ascii="宋体" w:hAnsi="宋体" w:cs="宋体" w:eastAsia="宋体" w:hint="default"/>
                <w:sz w:val="18"/>
                <w:szCs w:val="18"/>
              </w:rPr>
            </w:pPr>
            <w:r>
              <w:rPr>
                <w:rFonts w:ascii="宋体" w:hAnsi="宋体" w:cs="宋体" w:eastAsia="宋体" w:hint="default"/>
                <w:spacing w:val="-2"/>
                <w:sz w:val="18"/>
                <w:szCs w:val="18"/>
              </w:rPr>
              <w:t>副总裁、董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事会秘书</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章卫东</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0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1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20,286,282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1,815,680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22,101,962</w:t>
            </w:r>
          </w:p>
        </w:tc>
      </w:tr>
    </w:tbl>
    <w:p>
      <w:pPr>
        <w:spacing w:line="240" w:lineRule="auto" w:before="9"/>
        <w:rPr>
          <w:rFonts w:ascii="宋体" w:hAnsi="宋体" w:cs="宋体" w:eastAsia="宋体" w:hint="default"/>
          <w:b/>
          <w:bCs/>
          <w:sz w:val="17"/>
          <w:szCs w:val="17"/>
        </w:rPr>
      </w:pPr>
    </w:p>
    <w:p>
      <w:pPr>
        <w:pStyle w:val="Heading2"/>
        <w:spacing w:line="240" w:lineRule="auto" w:before="26"/>
        <w:ind w:right="1126"/>
        <w:jc w:val="left"/>
        <w:rPr>
          <w:b w:val="0"/>
          <w:bCs w:val="0"/>
        </w:rPr>
      </w:pPr>
      <w:bookmarkStart w:name="二、公司董事、监事、高级管理人员变动情况" w:id="146"/>
      <w:bookmarkEnd w:id="146"/>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594"/>
        <w:gridCol w:w="1753"/>
        <w:gridCol w:w="2343"/>
        <w:gridCol w:w="2550"/>
      </w:tblGrid>
      <w:tr>
        <w:trPr>
          <w:trHeight w:val="398"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章卫东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9"/>
        <w:rPr>
          <w:rFonts w:ascii="宋体" w:hAnsi="宋体" w:cs="宋体" w:eastAsia="宋体" w:hint="default"/>
          <w:sz w:val="17"/>
          <w:szCs w:val="17"/>
        </w:rPr>
      </w:pPr>
    </w:p>
    <w:p>
      <w:pPr>
        <w:pStyle w:val="Heading2"/>
        <w:spacing w:line="240" w:lineRule="auto" w:before="26"/>
        <w:ind w:right="1126"/>
        <w:jc w:val="left"/>
        <w:rPr>
          <w:b w:val="0"/>
          <w:bCs w:val="0"/>
        </w:rPr>
      </w:pPr>
      <w:bookmarkStart w:name="三、任职情况" w:id="147"/>
      <w:bookmarkEnd w:id="147"/>
      <w:r>
        <w:rPr>
          <w:b w:val="0"/>
          <w:bCs w:val="0"/>
        </w:rPr>
      </w:r>
      <w:r>
        <w:rPr/>
        <w:t>三、任职情况</w:t>
      </w:r>
      <w:r>
        <w:rPr>
          <w:b w:val="0"/>
          <w:bCs w:val="0"/>
        </w:rPr>
      </w:r>
    </w:p>
    <w:p>
      <w:pPr>
        <w:spacing w:line="240" w:lineRule="auto" w:before="10"/>
        <w:rPr>
          <w:rFonts w:ascii="宋体" w:hAnsi="宋体" w:cs="宋体" w:eastAsia="宋体" w:hint="default"/>
          <w:b/>
          <w:bCs/>
          <w:sz w:val="30"/>
          <w:szCs w:val="30"/>
        </w:rPr>
      </w:pPr>
    </w:p>
    <w:p>
      <w:pPr>
        <w:pStyle w:val="Heading4"/>
        <w:spacing w:line="240" w:lineRule="auto"/>
        <w:ind w:right="1126"/>
        <w:jc w:val="left"/>
      </w:pPr>
      <w:r>
        <w:rPr/>
        <w:t>公司现任董事、监事、高级管理人员专业背景、主要工作经历以及目前在公司的主要职责</w:t>
      </w:r>
    </w:p>
    <w:p>
      <w:pPr>
        <w:spacing w:line="240" w:lineRule="auto" w:before="9"/>
        <w:rPr>
          <w:rFonts w:ascii="宋体" w:hAnsi="宋体" w:cs="宋体" w:eastAsia="宋体" w:hint="default"/>
          <w:sz w:val="26"/>
          <w:szCs w:val="26"/>
        </w:rPr>
      </w:pPr>
    </w:p>
    <w:p>
      <w:pPr>
        <w:pStyle w:val="Heading3"/>
        <w:spacing w:line="240" w:lineRule="auto"/>
        <w:ind w:left="575" w:right="1126"/>
        <w:jc w:val="left"/>
        <w:rPr>
          <w:b w:val="0"/>
          <w:bCs w:val="0"/>
        </w:rPr>
      </w:pPr>
      <w:r>
        <w:rPr>
          <w:rFonts w:ascii="Times New Roman" w:hAnsi="Times New Roman" w:cs="Times New Roman" w:eastAsia="Times New Roman" w:hint="default"/>
        </w:rPr>
        <w:t>1</w:t>
      </w:r>
      <w:r>
        <w:rPr/>
        <w:t>、非独立董事</w:t>
      </w:r>
      <w:r>
        <w:rPr>
          <w:b w:val="0"/>
          <w:bCs w:val="0"/>
        </w:rPr>
      </w:r>
    </w:p>
    <w:p>
      <w:pPr>
        <w:spacing w:line="240" w:lineRule="auto" w:before="11"/>
        <w:rPr>
          <w:rFonts w:ascii="宋体" w:hAnsi="宋体" w:cs="宋体" w:eastAsia="宋体" w:hint="default"/>
          <w:b/>
          <w:bCs/>
          <w:sz w:val="25"/>
          <w:szCs w:val="25"/>
        </w:rPr>
      </w:pPr>
    </w:p>
    <w:p>
      <w:pPr>
        <w:pStyle w:val="Heading4"/>
        <w:spacing w:line="408" w:lineRule="auto"/>
        <w:ind w:right="1125" w:firstLine="422"/>
        <w:jc w:val="both"/>
      </w:pPr>
      <w:r>
        <w:rPr>
          <w:rFonts w:ascii="宋体" w:hAnsi="宋体" w:cs="宋体" w:eastAsia="宋体" w:hint="default"/>
          <w:b/>
          <w:bCs/>
        </w:rPr>
        <w:t>黄文辉先生：</w:t>
      </w:r>
      <w:r>
        <w:rPr>
          <w:rFonts w:ascii="宋体" w:hAnsi="宋体" w:cs="宋体" w:eastAsia="宋体" w:hint="default"/>
          <w:b/>
          <w:bCs/>
          <w:spacing w:val="57"/>
        </w:rPr>
        <w:t> </w:t>
      </w:r>
      <w:r>
        <w:rPr/>
        <w:t>中国国籍，无境外永久居留权，工商管理硕士。公司主要创始人之一，曾任江西东方</w:t>
      </w:r>
      <w:r>
        <w:rPr>
          <w:w w:val="100"/>
        </w:rPr>
        <w:t> </w:t>
      </w:r>
      <w:r>
        <w:rPr>
          <w:spacing w:val="-2"/>
        </w:rPr>
        <w:t>明珠通信发展有限公司总经理；现任本公司董事长、控股股东深圳市神州通投资集团有限公司董事、深圳</w:t>
      </w:r>
      <w:r>
        <w:rPr>
          <w:spacing w:val="-33"/>
        </w:rPr>
        <w:t> </w:t>
      </w:r>
      <w:r>
        <w:rPr>
          <w:spacing w:val="-33"/>
        </w:rPr>
      </w:r>
      <w:r>
        <w:rPr/>
        <w:t>市览众实业有限公司董事长。</w:t>
      </w:r>
    </w:p>
    <w:p>
      <w:pPr>
        <w:spacing w:line="240" w:lineRule="auto" w:before="11"/>
        <w:rPr>
          <w:rFonts w:ascii="宋体" w:hAnsi="宋体" w:cs="宋体" w:eastAsia="宋体" w:hint="default"/>
          <w:sz w:val="15"/>
          <w:szCs w:val="15"/>
        </w:rPr>
      </w:pPr>
    </w:p>
    <w:p>
      <w:pPr>
        <w:pStyle w:val="Heading4"/>
        <w:spacing w:line="408" w:lineRule="auto"/>
        <w:ind w:right="1027" w:firstLine="422"/>
        <w:jc w:val="both"/>
      </w:pPr>
      <w:r>
        <w:rPr>
          <w:rFonts w:ascii="宋体" w:hAnsi="宋体" w:cs="宋体" w:eastAsia="宋体" w:hint="default"/>
          <w:b/>
          <w:bCs/>
          <w:spacing w:val="-2"/>
        </w:rPr>
        <w:t>周友盟女士：</w:t>
      </w:r>
      <w:r>
        <w:rPr>
          <w:spacing w:val="-2"/>
        </w:rPr>
        <w:t>中国国籍，无境外永久居留权，工学学士、工商管理硕士、管理学博士，全国五一劳动</w:t>
      </w:r>
      <w:r>
        <w:rPr>
          <w:w w:val="100"/>
        </w:rPr>
        <w:t> </w:t>
      </w:r>
      <w:r>
        <w:rPr/>
        <w:t>奖章获得者，国务院政府津贴获得者。曾任中国联通集团市场营销部总经理；现任公司副董事长、总裁。</w:t>
      </w:r>
    </w:p>
    <w:p>
      <w:pPr>
        <w:spacing w:line="240" w:lineRule="auto" w:before="11"/>
        <w:rPr>
          <w:rFonts w:ascii="宋体" w:hAnsi="宋体" w:cs="宋体" w:eastAsia="宋体" w:hint="default"/>
          <w:sz w:val="15"/>
          <w:szCs w:val="15"/>
        </w:rPr>
      </w:pPr>
    </w:p>
    <w:p>
      <w:pPr>
        <w:pStyle w:val="Heading4"/>
        <w:spacing w:line="408" w:lineRule="auto"/>
        <w:ind w:right="1125" w:firstLine="422"/>
        <w:jc w:val="both"/>
      </w:pPr>
      <w:r>
        <w:rPr>
          <w:rFonts w:ascii="宋体" w:hAnsi="宋体" w:cs="宋体" w:eastAsia="宋体" w:hint="default"/>
          <w:b/>
          <w:bCs/>
          <w:spacing w:val="-2"/>
        </w:rPr>
        <w:t>黄绍武先生：</w:t>
      </w:r>
      <w:r>
        <w:rPr>
          <w:spacing w:val="-2"/>
        </w:rPr>
        <w:t>中国国籍，无境外永久居留权，公司实际控制人及主要创始人之一，曾任江西东方明珠</w:t>
      </w:r>
      <w:r>
        <w:rPr>
          <w:w w:val="100"/>
        </w:rPr>
        <w:t> </w:t>
      </w:r>
      <w:r>
        <w:rPr>
          <w:spacing w:val="-2"/>
        </w:rPr>
        <w:t>通信发展有限公司董事长，现任本公司控股股东深圳市神州通投资集团有限公司董事长、本公司主要股东</w:t>
      </w:r>
      <w:r>
        <w:rPr>
          <w:spacing w:val="-33"/>
        </w:rPr>
        <w:t> </w:t>
      </w:r>
      <w:r>
        <w:rPr>
          <w:spacing w:val="-33"/>
        </w:rPr>
      </w:r>
      <w:r>
        <w:rPr/>
        <w:t>赣江新区全球星投资管理有限公司董事长兼总裁、本公司董事。</w:t>
      </w:r>
    </w:p>
    <w:p>
      <w:pPr>
        <w:spacing w:line="240" w:lineRule="auto" w:before="11"/>
        <w:rPr>
          <w:rFonts w:ascii="宋体" w:hAnsi="宋体" w:cs="宋体" w:eastAsia="宋体" w:hint="default"/>
          <w:sz w:val="15"/>
          <w:szCs w:val="15"/>
        </w:rPr>
      </w:pPr>
    </w:p>
    <w:p>
      <w:pPr>
        <w:pStyle w:val="Heading4"/>
        <w:spacing w:line="400" w:lineRule="auto"/>
        <w:ind w:right="1125" w:firstLine="422"/>
        <w:jc w:val="both"/>
      </w:pPr>
      <w:r>
        <w:rPr>
          <w:rFonts w:ascii="宋体" w:hAnsi="宋体" w:cs="宋体" w:eastAsia="宋体" w:hint="default"/>
          <w:b/>
          <w:bCs/>
          <w:spacing w:val="-2"/>
        </w:rPr>
        <w:t>喻子达先生：</w:t>
      </w:r>
      <w:r>
        <w:rPr>
          <w:spacing w:val="-2"/>
        </w:rPr>
        <w:t>中国国籍，无境外永久居留权，华中科技大学制冷专业学士、动力工程硕士，西安交通</w:t>
      </w:r>
      <w:r>
        <w:rPr>
          <w:w w:val="100"/>
        </w:rPr>
        <w:t> </w:t>
      </w:r>
      <w:r>
        <w:rPr>
          <w:spacing w:val="-11"/>
          <w:w w:val="100"/>
        </w:rPr>
        <w:t>大学管理学博士。教授级高级工程师。曾任海尔集团副总裁、高级副总裁、执行副总裁兼首席技术官（</w:t>
      </w:r>
      <w:r>
        <w:rPr>
          <w:rFonts w:ascii="Times New Roman" w:hAnsi="Times New Roman" w:cs="Times New Roman" w:eastAsia="Times New Roman" w:hint="default"/>
          <w:spacing w:val="-11"/>
          <w:w w:val="100"/>
        </w:rPr>
        <w:t>CTO</w:t>
      </w:r>
      <w:r>
        <w:rPr>
          <w:spacing w:val="-11"/>
          <w:w w:val="100"/>
        </w:rPr>
        <w:t>）</w:t>
      </w:r>
      <w:r>
        <w:rPr>
          <w:spacing w:val="-69"/>
          <w:w w:val="100"/>
        </w:rPr>
        <w:t> </w:t>
      </w:r>
      <w:r>
        <w:rPr>
          <w:spacing w:val="-2"/>
        </w:rPr>
        <w:t>兼数码及个人产品集团总裁等。中国国家级突出贡献中青年专家，享受国务院政府津贴，多次荣获国家科</w:t>
      </w:r>
      <w:r>
        <w:rPr>
          <w:spacing w:val="-33"/>
        </w:rPr>
        <w:t> </w:t>
      </w:r>
      <w:r>
        <w:rPr>
          <w:spacing w:val="-33"/>
        </w:rPr>
      </w:r>
      <w:r>
        <w:rPr>
          <w:spacing w:val="-7"/>
        </w:rPr>
        <w:t>技进步奖，并担任数字家电国家重点实验室主任。现任深圳市神州通投资集团有限公司总裁、本公司董事，</w:t>
      </w:r>
    </w:p>
    <w:p>
      <w:pPr>
        <w:spacing w:after="0" w:line="400" w:lineRule="auto"/>
        <w:jc w:val="both"/>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pStyle w:val="Heading4"/>
        <w:spacing w:line="240" w:lineRule="auto" w:before="177"/>
        <w:ind w:right="0"/>
        <w:jc w:val="both"/>
      </w:pPr>
      <w:r>
        <w:rPr/>
        <w:t>深圳市国家级领军人才。</w:t>
      </w:r>
    </w:p>
    <w:p>
      <w:pPr>
        <w:spacing w:line="610" w:lineRule="atLeast" w:before="30"/>
        <w:ind w:left="575" w:right="11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w:t>
      </w:r>
      <w:r>
        <w:rPr>
          <w:rFonts w:ascii="宋体" w:hAnsi="宋体" w:cs="宋体" w:eastAsia="宋体" w:hint="default"/>
          <w:b/>
          <w:bCs/>
          <w:spacing w:val="-104"/>
          <w:sz w:val="21"/>
          <w:szCs w:val="21"/>
        </w:rPr>
        <w:t> </w:t>
      </w:r>
      <w:r>
        <w:rPr>
          <w:rFonts w:ascii="宋体" w:hAnsi="宋体" w:cs="宋体" w:eastAsia="宋体" w:hint="default"/>
          <w:b/>
          <w:bCs/>
          <w:spacing w:val="-2"/>
          <w:sz w:val="21"/>
          <w:szCs w:val="21"/>
        </w:rPr>
        <w:t>吕廷杰先生：</w:t>
      </w:r>
      <w:r>
        <w:rPr>
          <w:rFonts w:ascii="宋体" w:hAnsi="宋体" w:cs="宋体" w:eastAsia="宋体" w:hint="default"/>
          <w:spacing w:val="-2"/>
          <w:sz w:val="21"/>
          <w:szCs w:val="21"/>
        </w:rPr>
        <w:t>中国国籍，无境外永久居留权，中共党员，北京邮电大学管理工程硕士，日本京都大学</w:t>
      </w:r>
    </w:p>
    <w:p>
      <w:pPr>
        <w:spacing w:line="240" w:lineRule="auto" w:before="8"/>
        <w:rPr>
          <w:rFonts w:ascii="宋体" w:hAnsi="宋体" w:cs="宋体" w:eastAsia="宋体" w:hint="default"/>
          <w:sz w:val="14"/>
          <w:szCs w:val="14"/>
        </w:rPr>
      </w:pPr>
    </w:p>
    <w:p>
      <w:pPr>
        <w:pStyle w:val="Heading4"/>
        <w:spacing w:line="408" w:lineRule="auto"/>
        <w:ind w:right="1124"/>
        <w:jc w:val="both"/>
      </w:pPr>
      <w:r>
        <w:rPr>
          <w:spacing w:val="-2"/>
        </w:rPr>
        <w:t>应用系统工程博士。现任北京邮电大学经济管理学院教授、博士生导师。北京邮电大学电子商务研究中心</w:t>
      </w:r>
      <w:r>
        <w:rPr>
          <w:spacing w:val="-33"/>
        </w:rPr>
        <w:t> </w:t>
      </w:r>
      <w:r>
        <w:rPr>
          <w:spacing w:val="-33"/>
        </w:rPr>
      </w:r>
      <w:r>
        <w:rPr>
          <w:spacing w:val="-2"/>
        </w:rPr>
        <w:t>主任。中国联合网络通信股份有限公司、大唐高鸿数据网络技术股份有限公司、京东方科技集团股份有限</w:t>
      </w:r>
      <w:r>
        <w:rPr>
          <w:spacing w:val="-33"/>
        </w:rPr>
        <w:t> </w:t>
      </w:r>
      <w:r>
        <w:rPr>
          <w:spacing w:val="-33"/>
        </w:rPr>
      </w:r>
      <w:r>
        <w:rPr/>
        <w:t>公司、中国卫星通信有限公司独立董事、本公司独立董事。</w:t>
      </w:r>
    </w:p>
    <w:p>
      <w:pPr>
        <w:spacing w:line="240" w:lineRule="auto" w:before="11"/>
        <w:rPr>
          <w:rFonts w:ascii="宋体" w:hAnsi="宋体" w:cs="宋体" w:eastAsia="宋体" w:hint="default"/>
          <w:sz w:val="15"/>
          <w:szCs w:val="15"/>
        </w:rPr>
      </w:pPr>
    </w:p>
    <w:p>
      <w:pPr>
        <w:pStyle w:val="Heading4"/>
        <w:spacing w:line="403" w:lineRule="auto"/>
        <w:ind w:right="1123" w:firstLine="422"/>
        <w:jc w:val="both"/>
      </w:pPr>
      <w:r>
        <w:rPr>
          <w:rFonts w:ascii="宋体" w:hAnsi="宋体" w:cs="宋体" w:eastAsia="宋体" w:hint="default"/>
          <w:b/>
          <w:bCs/>
          <w:spacing w:val="-2"/>
        </w:rPr>
        <w:t>邓鹏先生：</w:t>
      </w:r>
      <w:r>
        <w:rPr>
          <w:spacing w:val="-2"/>
        </w:rPr>
        <w:t>中国国籍，无境外永久居留权，湖南大学法律硕士，获</w:t>
      </w:r>
      <w:r>
        <w:rPr>
          <w:rFonts w:ascii="Times New Roman" w:hAnsi="Times New Roman" w:cs="Times New Roman" w:eastAsia="Times New Roman" w:hint="default"/>
          <w:spacing w:val="-2"/>
        </w:rPr>
        <w:t>2019</w:t>
      </w:r>
      <w:r>
        <w:rPr>
          <w:spacing w:val="-2"/>
        </w:rPr>
        <w:t>年湖南省优秀律师。邓鹏先生</w:t>
      </w:r>
      <w:r>
        <w:rPr>
          <w:w w:val="100"/>
        </w:rPr>
        <w:t> </w:t>
      </w:r>
      <w:r>
        <w:rPr>
          <w:spacing w:val="-2"/>
        </w:rPr>
        <w:t>曾在中国民主建国会湖南省委员会工作，曾任湖南省宁乡县对外经济贸易合作局副局长、湖南天地人律师</w:t>
      </w:r>
      <w:r>
        <w:rPr>
          <w:spacing w:val="-33"/>
        </w:rPr>
        <w:t> </w:t>
      </w:r>
      <w:r>
        <w:rPr>
          <w:spacing w:val="-33"/>
        </w:rPr>
      </w:r>
      <w:r>
        <w:rPr>
          <w:spacing w:val="-2"/>
        </w:rPr>
        <w:t>事务所律师、湖南湘和律师事务所管理合伙人、湖南湘达律师事务所高级合伙人。现任湖南湘达律师事务</w:t>
      </w:r>
      <w:r>
        <w:rPr>
          <w:spacing w:val="-33"/>
        </w:rPr>
        <w:t> </w:t>
      </w:r>
      <w:r>
        <w:rPr>
          <w:spacing w:val="-33"/>
        </w:rPr>
      </w:r>
      <w:r>
        <w:rPr>
          <w:spacing w:val="-2"/>
        </w:rPr>
        <w:t>所主任，武汉明德生物科技股份有限公司独立董事，圣元环保股份有限公司独立董事，湖南省律师协会金</w:t>
      </w:r>
      <w:r>
        <w:rPr>
          <w:spacing w:val="-33"/>
        </w:rPr>
        <w:t> </w:t>
      </w:r>
      <w:r>
        <w:rPr>
          <w:spacing w:val="-33"/>
        </w:rPr>
      </w:r>
      <w:r>
        <w:rPr/>
        <w:t>融证券保险委员会副主任，长沙市国有资产监督管理委员会法律咨询专家，本公司独立董事。</w:t>
      </w:r>
    </w:p>
    <w:p>
      <w:pPr>
        <w:spacing w:line="240" w:lineRule="auto" w:before="2"/>
        <w:rPr>
          <w:rFonts w:ascii="宋体" w:hAnsi="宋体" w:cs="宋体" w:eastAsia="宋体" w:hint="default"/>
          <w:sz w:val="16"/>
          <w:szCs w:val="16"/>
        </w:rPr>
      </w:pPr>
    </w:p>
    <w:p>
      <w:pPr>
        <w:pStyle w:val="Heading4"/>
        <w:spacing w:line="408" w:lineRule="auto"/>
        <w:ind w:right="1125" w:firstLine="422"/>
        <w:jc w:val="both"/>
      </w:pPr>
      <w:r>
        <w:rPr>
          <w:rFonts w:ascii="宋体" w:hAnsi="宋体" w:cs="宋体" w:eastAsia="宋体" w:hint="default"/>
          <w:b/>
          <w:bCs/>
          <w:spacing w:val="-2"/>
        </w:rPr>
        <w:t>张蕊女士：</w:t>
      </w:r>
      <w:r>
        <w:rPr>
          <w:spacing w:val="-2"/>
        </w:rPr>
        <w:t>中国国籍，无境外永久居留权，获江西财经学院经济学（会计学）硕士学位，中南财经政</w:t>
      </w:r>
      <w:r>
        <w:rPr>
          <w:w w:val="100"/>
        </w:rPr>
        <w:t> </w:t>
      </w:r>
      <w:r>
        <w:rPr>
          <w:spacing w:val="-2"/>
        </w:rPr>
        <w:t>法大学管理学（会计学）博士学位。国家教学名师、享受国务院“政府特殊津贴”；获江西省突出人才贡</w:t>
      </w:r>
      <w:r>
        <w:rPr>
          <w:spacing w:val="-36"/>
        </w:rPr>
        <w:t> </w:t>
      </w:r>
      <w:r>
        <w:rPr>
          <w:spacing w:val="-36"/>
        </w:rPr>
      </w:r>
      <w:r>
        <w:rPr/>
        <w:t>献奖、江西省先进工作者、入选“赣鄱英才</w:t>
      </w:r>
      <w:r>
        <w:rPr>
          <w:rFonts w:ascii="宋体" w:hAnsi="宋体" w:cs="宋体" w:eastAsia="宋体" w:hint="default"/>
        </w:rPr>
        <w:t>555</w:t>
      </w:r>
      <w:r>
        <w:rPr/>
        <w:t>工程”人才。现任江西财经大学会计学博士生导师，江西</w:t>
      </w:r>
      <w:r>
        <w:rPr>
          <w:spacing w:val="-30"/>
        </w:rPr>
        <w:t> </w:t>
      </w:r>
      <w:r>
        <w:rPr>
          <w:spacing w:val="-30"/>
        </w:rPr>
      </w:r>
      <w:r>
        <w:rPr>
          <w:spacing w:val="-2"/>
        </w:rPr>
        <w:t>财经大学会计学资深教授；江西银行股份有限公司、长虹华意压缩机股份有限公司和江西富祥药业股份有</w:t>
      </w:r>
      <w:r>
        <w:rPr>
          <w:spacing w:val="-33"/>
        </w:rPr>
        <w:t> </w:t>
      </w:r>
      <w:r>
        <w:rPr>
          <w:spacing w:val="-33"/>
        </w:rPr>
      </w:r>
      <w:r>
        <w:rPr/>
        <w:t>限公司独立董事、本公司独立董事。</w:t>
      </w:r>
    </w:p>
    <w:p>
      <w:pPr>
        <w:spacing w:line="240" w:lineRule="auto" w:before="6"/>
        <w:rPr>
          <w:rFonts w:ascii="宋体" w:hAnsi="宋体" w:cs="宋体" w:eastAsia="宋体" w:hint="default"/>
          <w:sz w:val="15"/>
          <w:szCs w:val="15"/>
        </w:rPr>
      </w:pPr>
    </w:p>
    <w:p>
      <w:pPr>
        <w:pStyle w:val="Heading3"/>
        <w:spacing w:line="240" w:lineRule="auto"/>
        <w:ind w:left="575" w:right="1126"/>
        <w:jc w:val="left"/>
        <w:rPr>
          <w:b w:val="0"/>
          <w:bCs w:val="0"/>
        </w:rPr>
      </w:pPr>
      <w:r>
        <w:rPr>
          <w:rFonts w:ascii="Times New Roman" w:hAnsi="Times New Roman" w:cs="Times New Roman" w:eastAsia="Times New Roman" w:hint="default"/>
        </w:rPr>
        <w:t>3</w:t>
      </w:r>
      <w:r>
        <w:rPr/>
        <w:t>、监事</w:t>
      </w:r>
      <w:r>
        <w:rPr>
          <w:b w:val="0"/>
          <w:bCs w:val="0"/>
        </w:rPr>
      </w:r>
    </w:p>
    <w:p>
      <w:pPr>
        <w:spacing w:line="240" w:lineRule="auto" w:before="11"/>
        <w:rPr>
          <w:rFonts w:ascii="宋体" w:hAnsi="宋体" w:cs="宋体" w:eastAsia="宋体" w:hint="default"/>
          <w:b/>
          <w:bCs/>
          <w:sz w:val="25"/>
          <w:szCs w:val="25"/>
        </w:rPr>
      </w:pPr>
    </w:p>
    <w:p>
      <w:pPr>
        <w:pStyle w:val="Heading4"/>
        <w:spacing w:line="391" w:lineRule="auto"/>
        <w:ind w:right="1120" w:firstLine="422"/>
        <w:jc w:val="both"/>
      </w:pPr>
      <w:r>
        <w:rPr>
          <w:rFonts w:ascii="宋体" w:hAnsi="宋体" w:cs="宋体" w:eastAsia="宋体" w:hint="default"/>
          <w:b/>
          <w:bCs/>
          <w:spacing w:val="-2"/>
        </w:rPr>
        <w:t>李菡女士</w:t>
      </w:r>
      <w:r>
        <w:rPr>
          <w:spacing w:val="-2"/>
        </w:rPr>
        <w:t>：中国国籍，无境外永久居留权，中南财经政法大学，法学硕士。曾任浙江省绍兴公安局副</w:t>
      </w:r>
      <w:r>
        <w:rPr>
          <w:w w:val="100"/>
        </w:rPr>
        <w:t> </w:t>
      </w:r>
      <w:r>
        <w:rPr/>
        <w:t>主任科员；广东深鹏律师事务所主任助理。</w:t>
      </w:r>
      <w:r>
        <w:rPr>
          <w:rFonts w:ascii="Times New Roman" w:hAnsi="Times New Roman" w:cs="Times New Roman" w:eastAsia="Times New Roman" w:hint="default"/>
        </w:rPr>
        <w:t>2012</w:t>
      </w:r>
      <w:r>
        <w:rPr/>
        <w:t>年加盟本公司，现任本公司法务经理。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w:t>
      </w:r>
      <w:r>
        <w:rPr>
          <w:spacing w:val="-29"/>
        </w:rPr>
        <w:t> </w:t>
      </w:r>
      <w:r>
        <w:rPr/>
        <w:t>公司监事会职工代表监事。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日，经第四届监事会第五次（临时）会议审议，被选举为公司第</w:t>
      </w:r>
      <w:r>
        <w:rPr>
          <w:spacing w:val="-30"/>
        </w:rPr>
        <w:t> </w:t>
      </w:r>
      <w:r>
        <w:rPr>
          <w:spacing w:val="-30"/>
        </w:rPr>
      </w:r>
      <w:r>
        <w:rPr>
          <w:spacing w:val="-2"/>
        </w:rPr>
        <w:t>四届监事会主席。</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日，经第五届监事会第一次（临时）会议审议，被选举为公司第五届监事</w:t>
      </w:r>
      <w:r>
        <w:rPr>
          <w:spacing w:val="-30"/>
        </w:rPr>
        <w:t> </w:t>
      </w:r>
      <w:r>
        <w:rPr>
          <w:spacing w:val="-30"/>
        </w:rPr>
      </w:r>
      <w:r>
        <w:rPr/>
        <w:t>会主席。</w:t>
      </w:r>
    </w:p>
    <w:p>
      <w:pPr>
        <w:spacing w:line="240" w:lineRule="auto" w:before="13"/>
        <w:rPr>
          <w:rFonts w:ascii="宋体" w:hAnsi="宋体" w:cs="宋体" w:eastAsia="宋体" w:hint="default"/>
          <w:sz w:val="16"/>
          <w:szCs w:val="16"/>
        </w:rPr>
      </w:pPr>
    </w:p>
    <w:p>
      <w:pPr>
        <w:pStyle w:val="Heading4"/>
        <w:spacing w:line="396" w:lineRule="auto"/>
        <w:ind w:right="1124" w:firstLine="422"/>
        <w:jc w:val="both"/>
      </w:pPr>
      <w:r>
        <w:rPr>
          <w:rFonts w:ascii="宋体" w:hAnsi="宋体" w:cs="宋体" w:eastAsia="宋体" w:hint="default"/>
          <w:b/>
          <w:bCs/>
          <w:spacing w:val="-2"/>
        </w:rPr>
        <w:t>朱维佳先生：</w:t>
      </w:r>
      <w:r>
        <w:rPr>
          <w:spacing w:val="-2"/>
        </w:rPr>
        <w:t>中国国籍，无境外永久居留权，东北财经大学，财务管理专业，本科学历。曾任中华工</w:t>
      </w:r>
      <w:r>
        <w:rPr>
          <w:w w:val="100"/>
        </w:rPr>
        <w:t> </w:t>
      </w:r>
      <w:r>
        <w:rPr>
          <w:spacing w:val="-2"/>
        </w:rPr>
        <w:t>商时报江苏记者站会计，</w:t>
      </w:r>
      <w:r>
        <w:rPr>
          <w:rFonts w:ascii="Times New Roman" w:hAnsi="Times New Roman" w:cs="Times New Roman" w:eastAsia="Times New Roman" w:hint="default"/>
          <w:spacing w:val="-2"/>
        </w:rPr>
        <w:t>2005</w:t>
      </w:r>
      <w:r>
        <w:rPr>
          <w:spacing w:val="-2"/>
        </w:rPr>
        <w:t>年加盟本公司，历任本公司审计项目主管、审计项目经理；现任本公司审计</w:t>
      </w:r>
      <w:r>
        <w:rPr>
          <w:spacing w:val="-28"/>
        </w:rPr>
        <w:t> </w:t>
      </w:r>
      <w:r>
        <w:rPr>
          <w:spacing w:val="-28"/>
        </w:rPr>
      </w:r>
      <w:r>
        <w:rPr/>
        <w:t>部总监助理。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月至今任公司监事会监事。</w:t>
      </w:r>
    </w:p>
    <w:p>
      <w:pPr>
        <w:pStyle w:val="Heading4"/>
        <w:spacing w:line="240" w:lineRule="auto" w:before="187"/>
        <w:ind w:left="575" w:right="0"/>
        <w:jc w:val="left"/>
      </w:pPr>
      <w:r>
        <w:rPr>
          <w:rFonts w:ascii="宋体" w:hAnsi="宋体" w:cs="宋体" w:eastAsia="宋体" w:hint="default"/>
          <w:b/>
          <w:bCs/>
        </w:rPr>
        <w:t>李琴女士：</w:t>
      </w:r>
      <w:r>
        <w:rPr/>
        <w:t>中国国籍，无境外永久居留权，江西财经大学，会计学专业，本科学历。曾任瑞华会计师</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81" w:lineRule="auto"/>
        <w:ind w:right="1126"/>
        <w:jc w:val="left"/>
      </w:pPr>
      <w:r>
        <w:rPr/>
        <w:t>事务所（特殊普通合伙）高级项目经理职务。现任本公司财务管理部财务经理职务。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月至今任公</w:t>
      </w:r>
      <w:r>
        <w:rPr>
          <w:spacing w:val="-28"/>
        </w:rPr>
        <w:t> </w:t>
      </w:r>
      <w:r>
        <w:rPr>
          <w:spacing w:val="-28"/>
        </w:rPr>
      </w:r>
      <w:r>
        <w:rPr/>
        <w:t>司监事会监事。</w:t>
      </w:r>
    </w:p>
    <w:p>
      <w:pPr>
        <w:spacing w:line="240" w:lineRule="auto" w:before="3"/>
        <w:rPr>
          <w:rFonts w:ascii="宋体" w:hAnsi="宋体" w:cs="宋体" w:eastAsia="宋体" w:hint="default"/>
          <w:sz w:val="17"/>
          <w:szCs w:val="17"/>
        </w:rPr>
      </w:pPr>
    </w:p>
    <w:p>
      <w:pPr>
        <w:spacing w:line="516" w:lineRule="auto" w:before="0"/>
        <w:ind w:left="575" w:right="46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、高级管理人员</w:t>
      </w:r>
      <w:r>
        <w:rPr>
          <w:rFonts w:ascii="宋体" w:hAnsi="宋体" w:cs="宋体" w:eastAsia="宋体" w:hint="default"/>
          <w:b/>
          <w:bCs/>
          <w:spacing w:val="-103"/>
          <w:sz w:val="21"/>
          <w:szCs w:val="21"/>
        </w:rPr>
        <w:t> </w:t>
      </w:r>
      <w:r>
        <w:rPr>
          <w:rFonts w:ascii="宋体" w:hAnsi="宋体" w:cs="宋体" w:eastAsia="宋体" w:hint="default"/>
          <w:b/>
          <w:bCs/>
          <w:spacing w:val="-1"/>
          <w:sz w:val="21"/>
          <w:szCs w:val="21"/>
        </w:rPr>
        <w:t>周友盟女士：</w:t>
      </w:r>
      <w:r>
        <w:rPr>
          <w:rFonts w:ascii="宋体" w:hAnsi="宋体" w:cs="宋体" w:eastAsia="宋体" w:hint="default"/>
          <w:spacing w:val="-1"/>
          <w:sz w:val="21"/>
          <w:szCs w:val="21"/>
        </w:rPr>
        <w:t>副董事长、总裁，见前述董事介绍。</w:t>
      </w:r>
    </w:p>
    <w:p>
      <w:pPr>
        <w:pStyle w:val="Heading4"/>
        <w:spacing w:line="408" w:lineRule="auto" w:before="112"/>
        <w:ind w:right="1005" w:firstLine="422"/>
        <w:jc w:val="left"/>
      </w:pPr>
      <w:r>
        <w:rPr>
          <w:rFonts w:ascii="宋体" w:hAnsi="宋体" w:cs="宋体" w:eastAsia="宋体" w:hint="default"/>
          <w:b/>
          <w:bCs/>
          <w:spacing w:val="-2"/>
        </w:rPr>
        <w:t>陈亮先生：</w:t>
      </w:r>
      <w:r>
        <w:rPr>
          <w:spacing w:val="-2"/>
        </w:rPr>
        <w:t>中国国籍，无境外永久居留权，斯特拉斯克莱德大学（英国）通信管理硕士、中山大学通</w:t>
      </w:r>
      <w:r>
        <w:rPr>
          <w:w w:val="100"/>
        </w:rPr>
        <w:t> </w:t>
      </w:r>
      <w:r>
        <w:rPr/>
        <w:t>信工程硕士。曾任职于中国联通，历任中国联通广东省分公司网络优化中心总经理、个人客户部总经理、</w:t>
      </w:r>
      <w:r>
        <w:rPr>
          <w:spacing w:val="-28"/>
        </w:rPr>
        <w:t> </w:t>
      </w:r>
      <w:r>
        <w:rPr>
          <w:spacing w:val="-28"/>
        </w:rPr>
      </w:r>
      <w:r>
        <w:rPr>
          <w:spacing w:val="-2"/>
        </w:rPr>
        <w:t>移动业务营销中心总经理、中国联通汕头市分公司总经理、中国联通吉林省分公司副总经理。现任公司副</w:t>
      </w:r>
      <w:r>
        <w:rPr>
          <w:spacing w:val="-33"/>
        </w:rPr>
        <w:t> </w:t>
      </w:r>
      <w:r>
        <w:rPr>
          <w:spacing w:val="-33"/>
        </w:rPr>
      </w:r>
      <w:r>
        <w:rPr/>
        <w:t>总裁。</w:t>
      </w:r>
    </w:p>
    <w:p>
      <w:pPr>
        <w:spacing w:line="240" w:lineRule="auto" w:before="11"/>
        <w:rPr>
          <w:rFonts w:ascii="宋体" w:hAnsi="宋体" w:cs="宋体" w:eastAsia="宋体" w:hint="default"/>
          <w:sz w:val="15"/>
          <w:szCs w:val="15"/>
        </w:rPr>
      </w:pPr>
    </w:p>
    <w:p>
      <w:pPr>
        <w:pStyle w:val="Heading4"/>
        <w:spacing w:line="403" w:lineRule="auto"/>
        <w:ind w:right="1125" w:firstLine="422"/>
        <w:jc w:val="both"/>
      </w:pPr>
      <w:r>
        <w:rPr>
          <w:rFonts w:ascii="宋体" w:hAnsi="宋体" w:cs="宋体" w:eastAsia="宋体" w:hint="default"/>
          <w:b/>
          <w:bCs/>
          <w:spacing w:val="-2"/>
        </w:rPr>
        <w:t>杨治先生：</w:t>
      </w:r>
      <w:r>
        <w:rPr>
          <w:spacing w:val="-2"/>
        </w:rPr>
        <w:t>中国国籍，无境外永久居留权，浙江大学学士，曾任本公司三星业务部总监，分销事业一</w:t>
      </w:r>
      <w:r>
        <w:rPr>
          <w:w w:val="100"/>
        </w:rPr>
        <w:t> </w:t>
      </w:r>
      <w:r>
        <w:rPr/>
        <w:t>部总经理，北京酷人通讯科技有限公司副总经理，分销联通事业部总经理，现任公司副总裁。</w:t>
      </w:r>
    </w:p>
    <w:p>
      <w:pPr>
        <w:spacing w:line="240" w:lineRule="auto" w:before="2"/>
        <w:rPr>
          <w:rFonts w:ascii="宋体" w:hAnsi="宋体" w:cs="宋体" w:eastAsia="宋体" w:hint="default"/>
          <w:sz w:val="16"/>
          <w:szCs w:val="16"/>
        </w:rPr>
      </w:pPr>
    </w:p>
    <w:p>
      <w:pPr>
        <w:pStyle w:val="Heading4"/>
        <w:spacing w:line="408" w:lineRule="auto"/>
        <w:ind w:right="1125" w:firstLine="422"/>
        <w:jc w:val="both"/>
      </w:pPr>
      <w:r>
        <w:rPr>
          <w:rFonts w:ascii="宋体" w:hAnsi="宋体" w:cs="宋体" w:eastAsia="宋体" w:hint="default"/>
          <w:b/>
          <w:bCs/>
          <w:spacing w:val="-2"/>
        </w:rPr>
        <w:t>刘红花女士：</w:t>
      </w:r>
      <w:r>
        <w:rPr>
          <w:spacing w:val="-2"/>
        </w:rPr>
        <w:t>中国国籍，无境外永久居留权，本科学历，注册会计师、注册评估师。曾任江西南昌钟</w:t>
      </w:r>
      <w:r>
        <w:rPr>
          <w:w w:val="100"/>
        </w:rPr>
        <w:t> </w:t>
      </w:r>
      <w:r>
        <w:rPr>
          <w:spacing w:val="-2"/>
        </w:rPr>
        <w:t>厂财务科长，江西南昌市红光机械厂财务科长，江西东方明珠通信实业有限公司财务部经理、本公司财务</w:t>
      </w:r>
      <w:r>
        <w:rPr>
          <w:spacing w:val="-33"/>
        </w:rPr>
        <w:t> </w:t>
      </w:r>
      <w:r>
        <w:rPr>
          <w:spacing w:val="-33"/>
        </w:rPr>
      </w:r>
      <w:r>
        <w:rPr/>
        <w:t>部经理、审计部经理，现任本公司副总裁、内部审计部门负责人。</w:t>
      </w:r>
    </w:p>
    <w:p>
      <w:pPr>
        <w:spacing w:line="240" w:lineRule="auto" w:before="11"/>
        <w:rPr>
          <w:rFonts w:ascii="宋体" w:hAnsi="宋体" w:cs="宋体" w:eastAsia="宋体" w:hint="default"/>
          <w:sz w:val="15"/>
          <w:szCs w:val="15"/>
        </w:rPr>
      </w:pPr>
    </w:p>
    <w:p>
      <w:pPr>
        <w:pStyle w:val="Heading4"/>
        <w:spacing w:line="384" w:lineRule="auto"/>
        <w:ind w:right="1122" w:firstLine="422"/>
        <w:jc w:val="both"/>
      </w:pPr>
      <w:r>
        <w:rPr>
          <w:rFonts w:ascii="宋体" w:hAnsi="宋体" w:cs="宋体" w:eastAsia="宋体" w:hint="default"/>
          <w:b/>
          <w:bCs/>
          <w:spacing w:val="-2"/>
        </w:rPr>
        <w:t>米泽东先生：</w:t>
      </w:r>
      <w:r>
        <w:rPr>
          <w:spacing w:val="-2"/>
        </w:rPr>
        <w:t>中国国籍，无境外永久居留权，中南民族大学货币银行学学士，中山大学</w:t>
      </w:r>
      <w:r>
        <w:rPr>
          <w:rFonts w:ascii="Times New Roman" w:hAnsi="Times New Roman" w:cs="Times New Roman" w:eastAsia="Times New Roman" w:hint="default"/>
          <w:spacing w:val="-2"/>
        </w:rPr>
        <w:t>EMBA</w:t>
      </w:r>
      <w:r>
        <w:rPr>
          <w:spacing w:val="-2"/>
        </w:rPr>
        <w:t>。曾在</w:t>
      </w:r>
      <w:r>
        <w:rPr>
          <w:w w:val="100"/>
        </w:rPr>
        <w:t> </w:t>
      </w:r>
      <w:r>
        <w:rPr>
          <w:spacing w:val="-2"/>
        </w:rPr>
        <w:t>广东清远大中塑胶制品有限公司、聚友实业（集团）有限公司任职；</w:t>
      </w:r>
      <w:r>
        <w:rPr>
          <w:rFonts w:ascii="Times New Roman" w:hAnsi="Times New Roman" w:cs="Times New Roman" w:eastAsia="Times New Roman" w:hint="default"/>
          <w:spacing w:val="-2"/>
        </w:rPr>
        <w:t>2007</w:t>
      </w:r>
      <w:r>
        <w:rPr>
          <w:spacing w:val="-2"/>
        </w:rPr>
        <w:t>年任公司财务中心总监，现任公</w:t>
      </w:r>
      <w:r>
        <w:rPr>
          <w:spacing w:val="-32"/>
        </w:rPr>
        <w:t> </w:t>
      </w:r>
      <w:r>
        <w:rPr>
          <w:spacing w:val="-32"/>
        </w:rPr>
      </w:r>
      <w:r>
        <w:rPr/>
        <w:t>司副总裁、财务负责人。</w:t>
      </w:r>
    </w:p>
    <w:p>
      <w:pPr>
        <w:spacing w:line="240" w:lineRule="auto" w:before="6"/>
        <w:rPr>
          <w:rFonts w:ascii="宋体" w:hAnsi="宋体" w:cs="宋体" w:eastAsia="宋体" w:hint="default"/>
          <w:sz w:val="17"/>
          <w:szCs w:val="17"/>
        </w:rPr>
      </w:pPr>
    </w:p>
    <w:p>
      <w:pPr>
        <w:pStyle w:val="Heading4"/>
        <w:spacing w:line="384" w:lineRule="auto"/>
        <w:ind w:right="1123" w:firstLine="422"/>
        <w:jc w:val="both"/>
      </w:pPr>
      <w:r>
        <w:rPr>
          <w:rFonts w:ascii="宋体" w:hAnsi="宋体" w:cs="宋体" w:eastAsia="宋体" w:hint="default"/>
          <w:b/>
          <w:bCs/>
          <w:spacing w:val="-5"/>
        </w:rPr>
        <w:t>吴海南先生：</w:t>
      </w:r>
      <w:r>
        <w:rPr>
          <w:spacing w:val="-5"/>
        </w:rPr>
        <w:t>中国国籍，无境外居留权，北京大学光华</w:t>
      </w:r>
      <w:r>
        <w:rPr>
          <w:rFonts w:ascii="Times New Roman" w:hAnsi="Times New Roman" w:cs="Times New Roman" w:eastAsia="Times New Roman" w:hint="default"/>
          <w:spacing w:val="-5"/>
        </w:rPr>
        <w:t>IMBA</w:t>
      </w:r>
      <w:r>
        <w:rPr>
          <w:spacing w:val="-5"/>
        </w:rPr>
        <w:t>，南开大学数学系本科。曾在宏源证券、</w:t>
      </w:r>
      <w:r>
        <w:rPr>
          <w:w w:val="100"/>
        </w:rPr>
        <w:t> </w:t>
      </w:r>
      <w:r>
        <w:rPr/>
        <w:t>北大方正信产集团、华为技术等公司担任投资总监等职位。现任公司副总裁兼董事会秘书。</w:t>
      </w:r>
    </w:p>
    <w:p>
      <w:pPr>
        <w:pStyle w:val="BodyText"/>
        <w:spacing w:line="240" w:lineRule="auto" w:before="177"/>
        <w:ind w:right="1126"/>
        <w:jc w:val="left"/>
      </w:pPr>
      <w:r>
        <w:rPr>
          <w:spacing w:val="-3"/>
        </w:rPr>
        <w:t>在股东单位任职情况</w:t>
      </w:r>
    </w:p>
    <w:p>
      <w:pPr>
        <w:pStyle w:val="BodyText"/>
        <w:spacing w:line="240" w:lineRule="auto" w:before="115"/>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897"/>
        <w:gridCol w:w="662"/>
        <w:gridCol w:w="1484"/>
      </w:tblGrid>
      <w:tr>
        <w:trPr>
          <w:trHeight w:val="710"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任期起始日期</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7" w:right="50"/>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404"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赣江新区全球星投资管理有限公司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37"/>
              <w:jc w:val="left"/>
              <w:rPr>
                <w:rFonts w:ascii="宋体" w:hAnsi="宋体" w:cs="宋体" w:eastAsia="宋体" w:hint="default"/>
                <w:sz w:val="18"/>
                <w:szCs w:val="18"/>
              </w:rPr>
            </w:pPr>
            <w:r>
              <w:rPr>
                <w:rFonts w:ascii="宋体" w:hAnsi="宋体" w:cs="宋体" w:eastAsia="宋体" w:hint="default"/>
                <w:spacing w:val="-2"/>
                <w:sz w:val="18"/>
                <w:szCs w:val="18"/>
              </w:rPr>
              <w:t>董事长兼总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赣江新区全球星投资管理有限公司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897"/>
        <w:gridCol w:w="662"/>
        <w:gridCol w:w="1484"/>
      </w:tblGrid>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赣江新区全球星投资管理有限公司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新余爱乐投资管理中心（有限合伙）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新余爱乐投资管理中心（有限合伙）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杨治</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新余爱乐投资管理中心（有限合伙）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66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27"/>
          <w:szCs w:val="27"/>
        </w:rPr>
      </w:pPr>
    </w:p>
    <w:p>
      <w:pPr>
        <w:pStyle w:val="BodyText"/>
        <w:spacing w:line="240" w:lineRule="auto" w:before="46"/>
        <w:ind w:right="1126"/>
        <w:jc w:val="left"/>
      </w:pPr>
      <w:r>
        <w:rPr>
          <w:spacing w:val="-3"/>
        </w:rPr>
        <w:t>在其他单位任职情况</w:t>
      </w:r>
    </w:p>
    <w:p>
      <w:pPr>
        <w:pStyle w:val="BodyText"/>
        <w:spacing w:line="240" w:lineRule="auto" w:before="115"/>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36"/>
        <w:gridCol w:w="3587"/>
        <w:gridCol w:w="1071"/>
        <w:gridCol w:w="1815"/>
        <w:gridCol w:w="725"/>
        <w:gridCol w:w="1349"/>
      </w:tblGrid>
      <w:tr>
        <w:trPr>
          <w:trHeight w:val="773" w:hRule="exact"/>
        </w:trPr>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83"/>
              <w:ind w:left="235" w:right="46" w:hanging="183"/>
              <w:jc w:val="left"/>
              <w:rPr>
                <w:rFonts w:ascii="宋体" w:hAnsi="宋体" w:cs="宋体" w:eastAsia="宋体" w:hint="default"/>
                <w:sz w:val="18"/>
                <w:szCs w:val="18"/>
              </w:rPr>
            </w:pPr>
            <w:r>
              <w:rPr>
                <w:rFonts w:ascii="宋体" w:hAnsi="宋体" w:cs="宋体" w:eastAsia="宋体" w:hint="default"/>
                <w:sz w:val="18"/>
                <w:szCs w:val="18"/>
              </w:rPr>
              <w:t>任职人员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姓名</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83"/>
              <w:ind w:left="81" w:right="75"/>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83"/>
              <w:ind w:left="86" w:right="84"/>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83"/>
              <w:ind w:left="129" w:right="3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深圳市览众实业有限公司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深圳市神州通产业投资发展有限公司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7"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江西神州通旅游投资发展有限公司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5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深圳市华鼎投资有限公司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68"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深圳市神州通产业投资发展有限公司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2"/>
              <w:ind w:left="24" w:right="132"/>
              <w:jc w:val="left"/>
              <w:rPr>
                <w:rFonts w:ascii="宋体" w:hAnsi="宋体" w:cs="宋体" w:eastAsia="宋体" w:hint="default"/>
                <w:sz w:val="18"/>
                <w:szCs w:val="18"/>
              </w:rPr>
            </w:pPr>
            <w:r>
              <w:rPr>
                <w:rFonts w:ascii="宋体" w:hAnsi="宋体" w:cs="宋体" w:eastAsia="宋体" w:hint="default"/>
                <w:spacing w:val="-2"/>
                <w:sz w:val="18"/>
                <w:szCs w:val="18"/>
              </w:rPr>
              <w:t>董事长兼总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裁</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9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深圳市华夏风投资有限公司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2"/>
              <w:ind w:left="24" w:right="-48"/>
              <w:jc w:val="left"/>
              <w:rPr>
                <w:rFonts w:ascii="宋体" w:hAnsi="宋体" w:cs="宋体" w:eastAsia="宋体" w:hint="default"/>
                <w:sz w:val="18"/>
                <w:szCs w:val="18"/>
              </w:rPr>
            </w:pPr>
            <w:r>
              <w:rPr>
                <w:rFonts w:ascii="宋体" w:hAnsi="宋体" w:cs="宋体" w:eastAsia="宋体" w:hint="default"/>
                <w:spacing w:val="-2"/>
                <w:sz w:val="18"/>
                <w:szCs w:val="18"/>
              </w:rPr>
              <w:t>执行（常务）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董事兼总经</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w w:val="101"/>
                <w:sz w:val="18"/>
                <w:szCs w:val="18"/>
              </w:rPr>
              <w:t>理</w:t>
            </w:r>
            <w:r>
              <w:rPr>
                <w:rFonts w:ascii="宋体" w:hAnsi="宋体" w:cs="宋体" w:eastAsia="宋体" w:hint="default"/>
                <w:sz w:val="18"/>
                <w:szCs w:val="18"/>
              </w:rPr>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50" w:lineRule="exact"/>
              <w:ind w:right="-51"/>
              <w:jc w:val="left"/>
              <w:rPr>
                <w:rFonts w:ascii="宋体" w:hAnsi="宋体" w:cs="宋体" w:eastAsia="宋体" w:hint="default"/>
                <w:sz w:val="20"/>
                <w:szCs w:val="20"/>
              </w:rPr>
            </w:pPr>
            <w:r>
              <w:rPr>
                <w:rFonts w:ascii="宋体" w:hAnsi="宋体" w:cs="宋体" w:eastAsia="宋体" w:hint="default"/>
                <w:position w:val="-6"/>
                <w:sz w:val="20"/>
                <w:szCs w:val="20"/>
              </w:rPr>
              <w:pict>
                <v:group style="width:90.3pt;height:17.55pt;mso-position-horizontal-relative:char;mso-position-vertical-relative:line" coordorigin="0,0" coordsize="1806,351">
                  <v:group style="position:absolute;left:0;top:0;width:1806;height:351" coordorigin="0,0" coordsize="1806,351">
                    <v:shape style="position:absolute;left:0;top:0;width:1806;height:351" coordorigin="0,0" coordsize="1806,351" path="m0,351l1806,351,1806,0,0,0,0,351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5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江西神州通旅游投资发展有限公司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7"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深圳太辰光通信股份有限公司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 w:right="0"/>
              <w:jc w:val="left"/>
              <w:rPr>
                <w:rFonts w:ascii="Times New Roman" w:hAnsi="Times New Roman" w:cs="Times New Roman" w:eastAsia="Times New Roman" w:hint="default"/>
                <w:sz w:val="18"/>
                <w:szCs w:val="18"/>
              </w:rPr>
            </w:pPr>
            <w:r>
              <w:rPr>
                <w:rFonts w:ascii="Times New Roman"/>
                <w:sz w:val="18"/>
              </w:rPr>
              <w:t>NNK Group</w:t>
            </w:r>
            <w:r>
              <w:rPr>
                <w:rFonts w:ascii="Times New Roman"/>
                <w:spacing w:val="16"/>
                <w:sz w:val="18"/>
              </w:rPr>
              <w:t> </w:t>
            </w:r>
            <w:r>
              <w:rPr>
                <w:rFonts w:ascii="Times New Roman"/>
                <w:spacing w:val="-3"/>
                <w:sz w:val="18"/>
              </w:rPr>
              <w:t>Limited</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深圳市年年卡网络科技有限公司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天天充科技（深圳）有限公司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9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深圳市德昱贸易有限公司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2"/>
              <w:ind w:left="24" w:right="-48"/>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3"/>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50" w:lineRule="exact"/>
              <w:ind w:right="-51"/>
              <w:jc w:val="left"/>
              <w:rPr>
                <w:rFonts w:ascii="宋体" w:hAnsi="宋体" w:cs="宋体" w:eastAsia="宋体" w:hint="default"/>
                <w:sz w:val="20"/>
                <w:szCs w:val="20"/>
              </w:rPr>
            </w:pPr>
            <w:r>
              <w:rPr>
                <w:rFonts w:ascii="宋体" w:hAnsi="宋体" w:cs="宋体" w:eastAsia="宋体" w:hint="default"/>
                <w:position w:val="-6"/>
                <w:sz w:val="20"/>
                <w:szCs w:val="20"/>
              </w:rPr>
              <w:pict>
                <v:group style="width:90.3pt;height:17.55pt;mso-position-horizontal-relative:char;mso-position-vertical-relative:line" coordorigin="0,0" coordsize="1806,351">
                  <v:group style="position:absolute;left:0;top:0;width:1806;height:351" coordorigin="0,0" coordsize="1806,351">
                    <v:shape style="position:absolute;left:0;top:0;width:1806;height:351" coordorigin="0,0" coordsize="1806,351" path="m0,351l1806,351,1806,0,0,0,0,351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5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深圳市聚华辉供应链服务股份有限公司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7"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新余薪运投资管理中心（有限合伙）</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喻子达</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共青城日昇投资合伙企业（有限合伙）</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刘红花</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江西神州通旅游投资发展有限公司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米泽东</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华贵人寿保险股份有限公司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7"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36"/>
        <w:gridCol w:w="3587"/>
        <w:gridCol w:w="1071"/>
        <w:gridCol w:w="1815"/>
        <w:gridCol w:w="725"/>
        <w:gridCol w:w="1349"/>
      </w:tblGrid>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大唐高鸿数据网络技术股份有限公司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京东方科技集团股份有限公司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7"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中国卫星通信有限公司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51"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邓鹏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湖南湘达律师事务所</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邓鹏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武汉明德生物科技股份有限公司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邓鹏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圣元环保股份有限公司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7"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江西银行股份有限公司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长虹华意压缩机股份有限公司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江西富祥药业股份有限公司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7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张蕊</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江西财经大学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2"/>
              <w:ind w:left="24" w:right="132"/>
              <w:jc w:val="left"/>
              <w:rPr>
                <w:rFonts w:ascii="宋体" w:hAnsi="宋体" w:cs="宋体" w:eastAsia="宋体" w:hint="default"/>
                <w:sz w:val="18"/>
                <w:szCs w:val="18"/>
              </w:rPr>
            </w:pPr>
            <w:r>
              <w:rPr>
                <w:rFonts w:ascii="宋体" w:hAnsi="宋体" w:cs="宋体" w:eastAsia="宋体" w:hint="default"/>
                <w:spacing w:val="-2"/>
                <w:sz w:val="18"/>
                <w:szCs w:val="18"/>
              </w:rPr>
              <w:t>会计学博士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生导师</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吴海南</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北京魔镜未来科技有限公司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吴海南</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店商互联（北京）科技发展有限公司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73"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吴海南</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深圳市爱保信息有限合伙企业（有限合伙）</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2"/>
              <w:ind w:left="24" w:right="132"/>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4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吴海南</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天浔企业管理（北京）有限公司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802"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吴海南</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湖北爱雪伦斯科技有限公司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24" w:right="132"/>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经理</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4"/>
        <w:ind w:right="1126"/>
        <w:jc w:val="left"/>
      </w:pPr>
      <w:r>
        <w:rPr>
          <w:spacing w:val="-3"/>
        </w:rPr>
        <w:t>公司现任及报告期内离任董事、监事和高级管理人员近三年证券监管机构处罚的情况</w:t>
      </w:r>
    </w:p>
    <w:p>
      <w:pPr>
        <w:pStyle w:val="BodyText"/>
        <w:spacing w:line="240" w:lineRule="auto" w:before="115"/>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26"/>
        <w:jc w:val="left"/>
        <w:rPr>
          <w:b w:val="0"/>
          <w:bCs w:val="0"/>
        </w:rPr>
      </w:pPr>
      <w:bookmarkStart w:name="四、董事、监事、高级管理人员报酬情况" w:id="148"/>
      <w:bookmarkEnd w:id="148"/>
      <w:r>
        <w:rPr>
          <w:b w:val="0"/>
          <w:bCs w:val="0"/>
        </w:rPr>
      </w:r>
      <w:r>
        <w:rPr/>
        <w:t>四、董事、监事、高级管理人员报酬情况</w:t>
      </w:r>
      <w:r>
        <w:rPr>
          <w:b w:val="0"/>
          <w:bCs w:val="0"/>
        </w:rPr>
      </w:r>
    </w:p>
    <w:p>
      <w:pPr>
        <w:spacing w:line="240" w:lineRule="auto" w:before="11"/>
        <w:rPr>
          <w:rFonts w:ascii="宋体" w:hAnsi="宋体" w:cs="宋体" w:eastAsia="宋体" w:hint="default"/>
          <w:b/>
          <w:bCs/>
          <w:sz w:val="30"/>
          <w:szCs w:val="30"/>
        </w:rPr>
      </w:pPr>
    </w:p>
    <w:p>
      <w:pPr>
        <w:pStyle w:val="Heading4"/>
        <w:spacing w:line="240" w:lineRule="auto"/>
        <w:ind w:right="1126"/>
        <w:jc w:val="left"/>
      </w:pPr>
      <w:r>
        <w:rPr/>
        <w:t>董事、监事、高级管理人员报酬的决策程序、确定依据、实际支付情况</w:t>
      </w:r>
    </w:p>
    <w:p>
      <w:pPr>
        <w:pStyle w:val="Heading4"/>
        <w:spacing w:line="610" w:lineRule="atLeast" w:before="30"/>
        <w:ind w:left="575" w:right="0"/>
        <w:jc w:val="left"/>
      </w:pPr>
      <w:r>
        <w:rPr>
          <w:rFonts w:ascii="Times New Roman" w:hAnsi="Times New Roman" w:cs="Times New Roman" w:eastAsia="Times New Roman" w:hint="default"/>
        </w:rPr>
        <w:t>1</w:t>
      </w:r>
      <w:r>
        <w:rPr/>
        <w:t>、决策依据</w:t>
      </w:r>
      <w:r>
        <w:rPr>
          <w:spacing w:val="-99"/>
        </w:rPr>
        <w:t> </w:t>
      </w:r>
      <w:r>
        <w:rPr/>
        <w:t>根据公司《章程》、《股东大会议事规则》、《董事、监事薪酬管理办法》等相关规定，公司董事、</w:t>
      </w:r>
    </w:p>
    <w:p>
      <w:pPr>
        <w:spacing w:line="240" w:lineRule="auto" w:before="13"/>
        <w:rPr>
          <w:rFonts w:ascii="宋体" w:hAnsi="宋体" w:cs="宋体" w:eastAsia="宋体" w:hint="default"/>
          <w:sz w:val="14"/>
          <w:szCs w:val="14"/>
        </w:rPr>
      </w:pPr>
    </w:p>
    <w:p>
      <w:pPr>
        <w:pStyle w:val="Heading4"/>
        <w:spacing w:line="403" w:lineRule="auto"/>
        <w:ind w:right="1126"/>
        <w:jc w:val="left"/>
      </w:pPr>
      <w:r>
        <w:rPr>
          <w:spacing w:val="-2"/>
        </w:rPr>
        <w:t>监事的报酬由公司股东大会决定，公司高级管理人员的报酬由公司董事会决定。薪酬与考核委员会研究和</w:t>
      </w:r>
      <w:r>
        <w:rPr>
          <w:spacing w:val="-33"/>
        </w:rPr>
        <w:t> </w:t>
      </w:r>
      <w:r>
        <w:rPr>
          <w:spacing w:val="-33"/>
        </w:rPr>
      </w:r>
      <w:r>
        <w:rPr/>
        <w:t>审查董事、高级管理人员的薪酬政策与方案。</w:t>
      </w:r>
    </w:p>
    <w:p>
      <w:pPr>
        <w:spacing w:line="240" w:lineRule="auto" w:before="10"/>
        <w:rPr>
          <w:rFonts w:ascii="宋体" w:hAnsi="宋体" w:cs="宋体" w:eastAsia="宋体" w:hint="default"/>
          <w:sz w:val="15"/>
          <w:szCs w:val="15"/>
        </w:rPr>
      </w:pPr>
    </w:p>
    <w:p>
      <w:pPr>
        <w:pStyle w:val="Heading4"/>
        <w:spacing w:line="240" w:lineRule="auto"/>
        <w:ind w:left="575" w:right="1126"/>
        <w:jc w:val="left"/>
      </w:pPr>
      <w:r>
        <w:rPr>
          <w:rFonts w:ascii="Times New Roman" w:hAnsi="Times New Roman" w:cs="Times New Roman" w:eastAsia="Times New Roman" w:hint="default"/>
        </w:rPr>
        <w:t>2</w:t>
      </w:r>
      <w:r>
        <w:rPr/>
        <w:t>、确定程序</w:t>
      </w:r>
    </w:p>
    <w:p>
      <w:pPr>
        <w:spacing w:line="240" w:lineRule="auto" w:before="7"/>
        <w:rPr>
          <w:rFonts w:ascii="宋体" w:hAnsi="宋体" w:cs="宋体" w:eastAsia="宋体" w:hint="default"/>
          <w:sz w:val="25"/>
          <w:szCs w:val="25"/>
        </w:rPr>
      </w:pPr>
    </w:p>
    <w:p>
      <w:pPr>
        <w:pStyle w:val="Heading4"/>
        <w:spacing w:line="240" w:lineRule="auto"/>
        <w:ind w:left="575" w:right="1126"/>
        <w:jc w:val="left"/>
      </w:pPr>
      <w:r>
        <w:rPr/>
        <w:t>（</w:t>
      </w:r>
      <w:r>
        <w:rPr>
          <w:rFonts w:ascii="Times New Roman" w:hAnsi="Times New Roman" w:cs="Times New Roman" w:eastAsia="Times New Roman" w:hint="default"/>
        </w:rPr>
        <w:t>1</w:t>
      </w:r>
      <w:r>
        <w:rPr/>
        <w:t>）公司根据《董事、监事薪酬管理办法》发放董事、监事津贴。</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384" w:lineRule="auto"/>
        <w:ind w:right="1123" w:firstLine="422"/>
        <w:jc w:val="both"/>
      </w:pPr>
      <w:r>
        <w:rPr>
          <w:spacing w:val="-2"/>
        </w:rPr>
        <w:t>（</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日召开的第五届董事会薪酬与考核委员会</w:t>
      </w:r>
      <w:r>
        <w:rPr>
          <w:rFonts w:ascii="Times New Roman" w:hAnsi="Times New Roman" w:cs="Times New Roman" w:eastAsia="Times New Roman" w:hint="default"/>
          <w:spacing w:val="-2"/>
        </w:rPr>
        <w:t>2020</w:t>
      </w:r>
      <w:r>
        <w:rPr>
          <w:spacing w:val="-2"/>
        </w:rPr>
        <w:t>年第一次会议审议通过了《关</w:t>
      </w:r>
      <w:r>
        <w:rPr>
          <w:w w:val="100"/>
        </w:rPr>
        <w:t> </w:t>
      </w:r>
      <w:r>
        <w:rPr>
          <w:spacing w:val="-2"/>
        </w:rPr>
        <w:t>于确认</w:t>
      </w:r>
      <w:r>
        <w:rPr>
          <w:rFonts w:ascii="Times New Roman" w:hAnsi="Times New Roman" w:cs="Times New Roman" w:eastAsia="Times New Roman" w:hint="default"/>
          <w:spacing w:val="-2"/>
        </w:rPr>
        <w:t>2019</w:t>
      </w:r>
      <w:r>
        <w:rPr>
          <w:spacing w:val="-2"/>
        </w:rPr>
        <w:t>年董事长和副董事长薪酬的议案》和《关于确认</w:t>
      </w:r>
      <w:r>
        <w:rPr>
          <w:rFonts w:ascii="Times New Roman" w:hAnsi="Times New Roman" w:cs="Times New Roman" w:eastAsia="Times New Roman" w:hint="default"/>
          <w:spacing w:val="-2"/>
        </w:rPr>
        <w:t>2019</w:t>
      </w:r>
      <w:r>
        <w:rPr>
          <w:spacing w:val="-2"/>
        </w:rPr>
        <w:t>年高级管理人员薪酬的议案》，以上议案</w:t>
      </w:r>
      <w:r>
        <w:rPr>
          <w:spacing w:val="-24"/>
        </w:rPr>
        <w:t> </w:t>
      </w:r>
      <w:r>
        <w:rPr>
          <w:spacing w:val="-24"/>
        </w:rPr>
      </w:r>
      <w:r>
        <w:rPr/>
        <w:t>已经公司第五届董事会第六次（定期）会议审议通过。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6"/>
        <w:ind w:right="1126"/>
        <w:jc w:val="left"/>
      </w:pPr>
      <w:r>
        <w:rPr>
          <w:spacing w:val="-3"/>
        </w:rPr>
        <w:t>公司报告期内董事、监事和高级管理人员报酬情况</w:t>
      </w:r>
    </w:p>
    <w:p>
      <w:pPr>
        <w:pStyle w:val="BodyText"/>
        <w:spacing w:line="240" w:lineRule="auto" w:before="115"/>
        <w:ind w:left="0" w:right="2120"/>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2463"/>
        <w:gridCol w:w="989"/>
        <w:gridCol w:w="1167"/>
        <w:gridCol w:w="1369"/>
        <w:gridCol w:w="1368"/>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350.85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周友盟</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副董事长、总裁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315.24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黄绍武</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喻子达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吕廷杰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邓鹏</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张蕊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2.45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李菡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34.5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朱维佳</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李琴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陈亮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195.44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米泽东</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副总裁、财务负责人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149.63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刘红花</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副总裁、内部审计部门负责人</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149.75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杨治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190.85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吴海南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副总裁、董事会秘书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53.12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章卫东</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9.58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1,572.16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26"/>
        <w:jc w:val="left"/>
      </w:pPr>
      <w:r>
        <w:rPr>
          <w:spacing w:val="-3"/>
        </w:rPr>
        <w:t>公司董事、高级管理人员报告期内被授予的股权激励情况</w:t>
      </w:r>
    </w:p>
    <w:p>
      <w:pPr>
        <w:pStyle w:val="BodyText"/>
        <w:spacing w:line="240" w:lineRule="auto" w:before="119"/>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1126"/>
        <w:jc w:val="left"/>
        <w:rPr>
          <w:b w:val="0"/>
          <w:bCs w:val="0"/>
        </w:rPr>
      </w:pPr>
      <w:bookmarkStart w:name="五、公司员工情况" w:id="149"/>
      <w:bookmarkEnd w:id="149"/>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员工数量、专业构成及教育程度" w:id="150"/>
      <w:bookmarkEnd w:id="15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987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0"/>
        <w:gridCol w:w="4790"/>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2,228</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2,327</w:t>
            </w:r>
          </w:p>
        </w:tc>
      </w:tr>
      <w:tr>
        <w:trPr>
          <w:trHeight w:val="406"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1,733</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87</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164</w:t>
            </w:r>
          </w:p>
        </w:tc>
      </w:tr>
      <w:tr>
        <w:trPr>
          <w:trHeight w:val="39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164</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2,228</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804</w:t>
            </w:r>
          </w:p>
        </w:tc>
      </w:tr>
      <w:tr>
        <w:trPr>
          <w:trHeight w:val="398"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1,098</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289</w:t>
            </w:r>
          </w:p>
        </w:tc>
      </w:tr>
      <w:tr>
        <w:trPr>
          <w:trHeight w:val="40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2,228</w:t>
            </w:r>
          </w:p>
        </w:tc>
      </w:tr>
    </w:tbl>
    <w:p>
      <w:pPr>
        <w:spacing w:line="240" w:lineRule="auto" w:before="1"/>
        <w:rPr>
          <w:rFonts w:ascii="宋体" w:hAnsi="宋体" w:cs="宋体" w:eastAsia="宋体" w:hint="default"/>
          <w:b/>
          <w:bCs/>
          <w:sz w:val="14"/>
          <w:szCs w:val="14"/>
        </w:rPr>
      </w:pPr>
    </w:p>
    <w:p>
      <w:pPr>
        <w:pStyle w:val="Heading3"/>
        <w:spacing w:line="240" w:lineRule="auto" w:before="36"/>
        <w:ind w:right="1126"/>
        <w:jc w:val="left"/>
        <w:rPr>
          <w:b w:val="0"/>
          <w:bCs w:val="0"/>
        </w:rPr>
      </w:pPr>
      <w:bookmarkStart w:name="2、薪酬政策" w:id="151"/>
      <w:bookmarkEnd w:id="15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1"/>
        <w:rPr>
          <w:rFonts w:ascii="宋体" w:hAnsi="宋体" w:cs="宋体" w:eastAsia="宋体" w:hint="default"/>
          <w:b/>
          <w:bCs/>
          <w:sz w:val="25"/>
          <w:szCs w:val="25"/>
        </w:rPr>
      </w:pPr>
    </w:p>
    <w:p>
      <w:pPr>
        <w:pStyle w:val="Heading4"/>
        <w:spacing w:line="408" w:lineRule="auto"/>
        <w:ind w:right="1125" w:firstLine="422"/>
        <w:jc w:val="both"/>
      </w:pPr>
      <w:r>
        <w:rPr>
          <w:spacing w:val="-2"/>
        </w:rPr>
        <w:t>公司员工薪酬由薪资、考核奖金、激励奖金三部分构成。其中，薪资实行月薪制，根据岗位承担责任</w:t>
      </w:r>
      <w:r>
        <w:rPr>
          <w:w w:val="100"/>
        </w:rPr>
        <w:t> </w:t>
      </w:r>
      <w:r>
        <w:rPr>
          <w:spacing w:val="-2"/>
        </w:rPr>
        <w:t>的大小和任职条件的高低，结合任职人员的能力和综合条件，参照同行业薪酬标准，以月度为周期根据考</w:t>
      </w:r>
      <w:r>
        <w:rPr>
          <w:spacing w:val="-33"/>
        </w:rPr>
        <w:t> </w:t>
      </w:r>
      <w:r>
        <w:rPr>
          <w:spacing w:val="-33"/>
        </w:rPr>
      </w:r>
      <w:r>
        <w:rPr>
          <w:spacing w:val="-2"/>
        </w:rPr>
        <w:t>勤核算计发；考核奖金根据不同情况实行月度制、季度制、半年制及年度制，根据员工的绩效考核结果计</w:t>
      </w:r>
      <w:r>
        <w:rPr>
          <w:spacing w:val="-33"/>
        </w:rPr>
        <w:t> </w:t>
      </w:r>
      <w:r>
        <w:rPr>
          <w:spacing w:val="-33"/>
        </w:rPr>
      </w:r>
      <w:r>
        <w:rPr/>
        <w:t>发；激励奖金实行年度制，根据公司年度经营业绩情况进行计提。</w:t>
      </w:r>
    </w:p>
    <w:p>
      <w:pPr>
        <w:spacing w:line="240" w:lineRule="auto" w:before="6"/>
        <w:rPr>
          <w:rFonts w:ascii="宋体" w:hAnsi="宋体" w:cs="宋体" w:eastAsia="宋体" w:hint="default"/>
          <w:sz w:val="15"/>
          <w:szCs w:val="15"/>
        </w:rPr>
      </w:pPr>
    </w:p>
    <w:p>
      <w:pPr>
        <w:pStyle w:val="Heading3"/>
        <w:spacing w:line="240" w:lineRule="auto"/>
        <w:ind w:right="1126"/>
        <w:jc w:val="left"/>
        <w:rPr>
          <w:b w:val="0"/>
          <w:bCs w:val="0"/>
        </w:rPr>
      </w:pPr>
      <w:bookmarkStart w:name="3、培训计划" w:id="152"/>
      <w:bookmarkEnd w:id="15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575" w:right="0"/>
        <w:jc w:val="left"/>
      </w:pPr>
      <w:r>
        <w:rPr/>
        <w:t>公司对新员工安排入职系统培训；定期组织员工进行培训，培训内容涵盖文化、管理、财务、审计、</w:t>
      </w:r>
    </w:p>
    <w:p>
      <w:pPr>
        <w:spacing w:line="240" w:lineRule="auto" w:before="8"/>
        <w:rPr>
          <w:rFonts w:ascii="宋体" w:hAnsi="宋体" w:cs="宋体" w:eastAsia="宋体" w:hint="default"/>
          <w:sz w:val="14"/>
          <w:szCs w:val="14"/>
        </w:rPr>
      </w:pPr>
    </w:p>
    <w:p>
      <w:pPr>
        <w:pStyle w:val="Heading4"/>
        <w:spacing w:line="240" w:lineRule="auto"/>
        <w:ind w:right="1126"/>
        <w:jc w:val="left"/>
      </w:pPr>
      <w:r>
        <w:rPr>
          <w:rFonts w:ascii="Times New Roman" w:hAnsi="Times New Roman" w:cs="Times New Roman" w:eastAsia="Times New Roman" w:hint="default"/>
        </w:rPr>
        <w:t>IT</w:t>
      </w:r>
      <w:r>
        <w:rPr/>
        <w:t>、业务等。开发线上学习平台，为员工提供移动终端学习通道。</w:t>
      </w:r>
    </w:p>
    <w:p>
      <w:pPr>
        <w:spacing w:line="240" w:lineRule="auto" w:before="7"/>
        <w:rPr>
          <w:rFonts w:ascii="宋体" w:hAnsi="宋体" w:cs="宋体" w:eastAsia="宋体" w:hint="default"/>
          <w:sz w:val="25"/>
          <w:szCs w:val="25"/>
        </w:rPr>
      </w:pPr>
    </w:p>
    <w:p>
      <w:pPr>
        <w:pStyle w:val="Heading3"/>
        <w:spacing w:line="240" w:lineRule="auto"/>
        <w:ind w:right="1126"/>
        <w:jc w:val="left"/>
        <w:rPr>
          <w:b w:val="0"/>
          <w:bCs w:val="0"/>
        </w:rPr>
      </w:pPr>
      <w:bookmarkStart w:name="4、劳务外包情况" w:id="153"/>
      <w:bookmarkEnd w:id="15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39" w:right="1112"/>
        <w:jc w:val="center"/>
        <w:rPr>
          <w:b w:val="0"/>
          <w:bCs w:val="0"/>
        </w:rPr>
      </w:pPr>
      <w:bookmarkStart w:name="第十节 公司治理" w:id="154"/>
      <w:bookmarkEnd w:id="154"/>
      <w:r>
        <w:rPr>
          <w:b w:val="0"/>
          <w:bCs w:val="0"/>
        </w:rPr>
      </w:r>
      <w:bookmarkStart w:name="_bookmark9" w:id="155"/>
      <w:bookmarkEnd w:id="155"/>
      <w:r>
        <w:rPr>
          <w:b w:val="0"/>
          <w:bCs w:val="0"/>
        </w:rPr>
      </w:r>
      <w:r>
        <w:rPr/>
        <w:t>第十节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26"/>
        <w:jc w:val="left"/>
        <w:rPr>
          <w:b w:val="0"/>
          <w:bCs w:val="0"/>
        </w:rPr>
      </w:pPr>
      <w:bookmarkStart w:name="一、公司治理的基本状况" w:id="156"/>
      <w:bookmarkEnd w:id="156"/>
      <w:r>
        <w:rPr>
          <w:b w:val="0"/>
          <w:bCs w:val="0"/>
        </w:rPr>
      </w:r>
      <w:r>
        <w:rPr/>
        <w:t>一、公司治理的基本状况</w:t>
      </w:r>
      <w:r>
        <w:rPr>
          <w:b w:val="0"/>
          <w:bCs w:val="0"/>
        </w:rPr>
      </w:r>
    </w:p>
    <w:p>
      <w:pPr>
        <w:spacing w:line="240" w:lineRule="auto" w:before="7"/>
        <w:rPr>
          <w:rFonts w:ascii="宋体" w:hAnsi="宋体" w:cs="宋体" w:eastAsia="宋体" w:hint="default"/>
          <w:b/>
          <w:bCs/>
          <w:sz w:val="31"/>
          <w:szCs w:val="31"/>
        </w:rPr>
      </w:pPr>
    </w:p>
    <w:p>
      <w:pPr>
        <w:pStyle w:val="Heading4"/>
        <w:spacing w:line="408" w:lineRule="auto"/>
        <w:ind w:right="1126" w:firstLine="422"/>
        <w:jc w:val="both"/>
      </w:pPr>
      <w:r>
        <w:rPr>
          <w:spacing w:val="-2"/>
        </w:rPr>
        <w:t>报告期内，公司严格按照《公司法》、《证券法》、《上市公司治理准则》、《深圳证券交易所股票</w:t>
      </w:r>
      <w:r>
        <w:rPr>
          <w:w w:val="100"/>
        </w:rPr>
        <w:t> </w:t>
      </w:r>
      <w:r>
        <w:rPr>
          <w:spacing w:val="-2"/>
        </w:rPr>
        <w:t>上市规则》和《深圳证券交易所上市公司规范运作指引》等相关法律、法规的规定，不断完善公司法人治</w:t>
      </w:r>
      <w:r>
        <w:rPr>
          <w:spacing w:val="-38"/>
        </w:rPr>
        <w:t> </w:t>
      </w:r>
      <w:r>
        <w:rPr>
          <w:spacing w:val="-38"/>
        </w:rPr>
      </w:r>
      <w:r>
        <w:rPr/>
        <w:t>理结构，提高公司治理水平，健全内部控制体系，规范公司运作。</w:t>
      </w:r>
    </w:p>
    <w:p>
      <w:pPr>
        <w:spacing w:line="240" w:lineRule="auto" w:before="11"/>
        <w:rPr>
          <w:rFonts w:ascii="宋体" w:hAnsi="宋体" w:cs="宋体" w:eastAsia="宋体" w:hint="default"/>
          <w:sz w:val="15"/>
          <w:szCs w:val="15"/>
        </w:rPr>
      </w:pPr>
    </w:p>
    <w:p>
      <w:pPr>
        <w:pStyle w:val="Heading4"/>
        <w:spacing w:line="408" w:lineRule="auto"/>
        <w:ind w:right="1122" w:firstLine="422"/>
        <w:jc w:val="both"/>
      </w:pPr>
      <w:r>
        <w:rPr>
          <w:spacing w:val="-7"/>
        </w:rPr>
        <w:t>报告期内，公司按照《上市公司股东大会规则》、《公司章程》等规定的要求，规范三会召集、召开、</w:t>
      </w:r>
      <w:r>
        <w:rPr>
          <w:w w:val="100"/>
        </w:rPr>
        <w:t> </w:t>
      </w:r>
      <w:r>
        <w:rPr>
          <w:spacing w:val="-2"/>
        </w:rPr>
        <w:t>表决程序，董事、监事依法行使职权，能够勤勉、尽责地履行权利、义务和责任，维护公司及股东的合法</w:t>
      </w:r>
      <w:r>
        <w:rPr>
          <w:spacing w:val="-33"/>
        </w:rPr>
        <w:t> </w:t>
      </w:r>
      <w:r>
        <w:rPr>
          <w:spacing w:val="-33"/>
        </w:rPr>
      </w:r>
      <w:r>
        <w:rPr>
          <w:spacing w:val="-2"/>
        </w:rPr>
        <w:t>权益。公司按照相关信息披露制度要求，真实、准确、完整、及时地履行信息披露义务，确保公司所有股</w:t>
      </w:r>
      <w:r>
        <w:rPr>
          <w:spacing w:val="-30"/>
        </w:rPr>
        <w:t> </w:t>
      </w:r>
      <w:r>
        <w:rPr>
          <w:spacing w:val="-30"/>
        </w:rPr>
      </w:r>
      <w:r>
        <w:rPr/>
        <w:t>东能够以平等的机会获得信息。</w:t>
      </w:r>
    </w:p>
    <w:p>
      <w:pPr>
        <w:spacing w:line="240" w:lineRule="auto" w:before="11"/>
        <w:rPr>
          <w:rFonts w:ascii="宋体" w:hAnsi="宋体" w:cs="宋体" w:eastAsia="宋体" w:hint="default"/>
          <w:sz w:val="15"/>
          <w:szCs w:val="15"/>
        </w:rPr>
      </w:pPr>
    </w:p>
    <w:p>
      <w:pPr>
        <w:pStyle w:val="Heading4"/>
        <w:spacing w:line="408" w:lineRule="auto"/>
        <w:ind w:right="1125" w:firstLine="422"/>
        <w:jc w:val="both"/>
      </w:pPr>
      <w:r>
        <w:rPr>
          <w:spacing w:val="-2"/>
        </w:rPr>
        <w:t>截至报告期末，公司不存在向大股东、实际控制人提供未公开信息等治理非规范情况。公司治理的实</w:t>
      </w:r>
      <w:r>
        <w:rPr>
          <w:w w:val="100"/>
        </w:rPr>
        <w:t> </w:t>
      </w:r>
      <w:r>
        <w:rPr>
          <w:spacing w:val="-2"/>
        </w:rPr>
        <w:t>际状况符合中国证监会发布的有关上市公司治理的规范性文件要求，未收到被监管部门采取行政监管措施</w:t>
      </w:r>
      <w:r>
        <w:rPr>
          <w:spacing w:val="-33"/>
        </w:rPr>
        <w:t> </w:t>
      </w:r>
      <w:r>
        <w:rPr>
          <w:spacing w:val="-33"/>
        </w:rPr>
      </w:r>
      <w:r>
        <w:rPr/>
        <w:t>的有关文件。</w:t>
      </w:r>
    </w:p>
    <w:p>
      <w:pPr>
        <w:spacing w:line="240" w:lineRule="auto" w:before="6"/>
        <w:rPr>
          <w:rFonts w:ascii="宋体" w:hAnsi="宋体" w:cs="宋体" w:eastAsia="宋体" w:hint="default"/>
          <w:sz w:val="15"/>
          <w:szCs w:val="15"/>
        </w:rPr>
      </w:pPr>
    </w:p>
    <w:p>
      <w:pPr>
        <w:pStyle w:val="Heading3"/>
        <w:spacing w:line="240" w:lineRule="auto"/>
        <w:ind w:left="575" w:right="1126"/>
        <w:jc w:val="left"/>
        <w:rPr>
          <w:b w:val="0"/>
          <w:bCs w:val="0"/>
        </w:rPr>
      </w:pPr>
      <w:r>
        <w:rPr>
          <w:rFonts w:ascii="Times New Roman" w:hAnsi="Times New Roman" w:cs="Times New Roman" w:eastAsia="Times New Roman" w:hint="default"/>
        </w:rPr>
        <w:t>1</w:t>
      </w:r>
      <w:r>
        <w:rPr/>
        <w:t>、股东和股东大会</w:t>
      </w:r>
      <w:r>
        <w:rPr>
          <w:b w:val="0"/>
          <w:bCs w:val="0"/>
        </w:rPr>
      </w:r>
    </w:p>
    <w:p>
      <w:pPr>
        <w:spacing w:line="240" w:lineRule="auto" w:before="11"/>
        <w:rPr>
          <w:rFonts w:ascii="宋体" w:hAnsi="宋体" w:cs="宋体" w:eastAsia="宋体" w:hint="default"/>
          <w:b/>
          <w:bCs/>
          <w:sz w:val="25"/>
          <w:szCs w:val="25"/>
        </w:rPr>
      </w:pPr>
    </w:p>
    <w:p>
      <w:pPr>
        <w:pStyle w:val="Heading4"/>
        <w:spacing w:line="405" w:lineRule="auto"/>
        <w:ind w:right="1126" w:firstLine="422"/>
        <w:jc w:val="both"/>
      </w:pPr>
      <w:r>
        <w:rPr>
          <w:spacing w:val="-2"/>
        </w:rPr>
        <w:t>公司严格按照《公司法》、《公司章程》和《股东大会议事规则》的规定和要求，规范股东大会的召</w:t>
      </w:r>
      <w:r>
        <w:rPr>
          <w:w w:val="100"/>
        </w:rPr>
        <w:t> </w:t>
      </w:r>
      <w:r>
        <w:rPr/>
        <w:t>集、召开、表决程序，平等对待所有股东，确保股东特别是中小股东享有平等地位和合法权益。</w:t>
      </w:r>
    </w:p>
    <w:p>
      <w:pPr>
        <w:spacing w:line="240" w:lineRule="auto" w:before="8"/>
        <w:rPr>
          <w:rFonts w:ascii="宋体" w:hAnsi="宋体" w:cs="宋体" w:eastAsia="宋体" w:hint="default"/>
          <w:sz w:val="15"/>
          <w:szCs w:val="15"/>
        </w:rPr>
      </w:pPr>
    </w:p>
    <w:p>
      <w:pPr>
        <w:pStyle w:val="Heading3"/>
        <w:spacing w:line="240" w:lineRule="auto"/>
        <w:ind w:left="575" w:right="112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、董事和董事会</w:t>
      </w:r>
      <w:r>
        <w:rPr>
          <w:b w:val="0"/>
          <w:bCs w:val="0"/>
        </w:rPr>
      </w:r>
    </w:p>
    <w:p>
      <w:pPr>
        <w:spacing w:line="240" w:lineRule="auto" w:before="12"/>
        <w:rPr>
          <w:rFonts w:ascii="宋体" w:hAnsi="宋体" w:cs="宋体" w:eastAsia="宋体" w:hint="default"/>
          <w:b/>
          <w:bCs/>
          <w:sz w:val="25"/>
          <w:szCs w:val="25"/>
        </w:rPr>
      </w:pPr>
    </w:p>
    <w:p>
      <w:pPr>
        <w:pStyle w:val="Heading4"/>
        <w:spacing w:line="403" w:lineRule="auto"/>
        <w:ind w:right="0" w:firstLine="422"/>
        <w:jc w:val="left"/>
      </w:pPr>
      <w:r>
        <w:rPr>
          <w:spacing w:val="-2"/>
        </w:rPr>
        <w:t>公司董事的选聘程序公开、公平、公正；截止本报告披露日公司有董事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w:t>
      </w:r>
      <w:r>
        <w:rPr>
          <w:w w:val="100"/>
        </w:rPr>
        <w:t> </w:t>
      </w:r>
      <w:r>
        <w:rPr>
          <w:spacing w:val="-2"/>
        </w:rPr>
        <w:t>会的人数及人员构成符合法律法规的要求。董事会能够严格按照《公司法》、《公司章程》和《董事会议</w:t>
      </w:r>
      <w:r>
        <w:rPr>
          <w:spacing w:val="-38"/>
        </w:rPr>
        <w:t> </w:t>
      </w:r>
      <w:r>
        <w:rPr>
          <w:spacing w:val="-38"/>
        </w:rPr>
      </w:r>
      <w:r>
        <w:rPr/>
        <w:t>事规则》等法律法规和制度的要求开展工作。公司董事诚信、勤勉地履行职责，出席董事会和股东大会，</w:t>
      </w:r>
      <w:r>
        <w:rPr>
          <w:spacing w:val="-30"/>
        </w:rPr>
        <w:t> </w:t>
      </w:r>
      <w:r>
        <w:rPr>
          <w:spacing w:val="-30"/>
        </w:rPr>
      </w:r>
      <w:r>
        <w:rPr>
          <w:spacing w:val="-2"/>
        </w:rPr>
        <w:t>积极参加由深圳证监局及深圳证券交易所组织的相关培训，熟悉有关法律法规，并能够不受影响地独立履</w:t>
      </w:r>
      <w:r>
        <w:rPr>
          <w:spacing w:val="-33"/>
        </w:rPr>
        <w:t> </w:t>
      </w:r>
      <w:r>
        <w:rPr>
          <w:spacing w:val="-33"/>
        </w:rPr>
      </w:r>
      <w:r>
        <w:rPr>
          <w:spacing w:val="-2"/>
        </w:rPr>
        <w:t>行职责。公司董事会下设战略委员会、提名委员会、审计委员会、薪酬与考核委员会四个专门委员会，为</w:t>
      </w:r>
      <w:r>
        <w:rPr>
          <w:spacing w:val="-38"/>
        </w:rPr>
        <w:t> </w:t>
      </w:r>
      <w:r>
        <w:rPr>
          <w:spacing w:val="-38"/>
        </w:rPr>
      </w:r>
      <w:r>
        <w:rPr/>
        <w:t>董事会的决策提供专业的意见和参考。</w:t>
      </w:r>
    </w:p>
    <w:p>
      <w:pPr>
        <w:spacing w:line="240" w:lineRule="auto" w:before="10"/>
        <w:rPr>
          <w:rFonts w:ascii="宋体" w:hAnsi="宋体" w:cs="宋体" w:eastAsia="宋体" w:hint="default"/>
          <w:sz w:val="15"/>
          <w:szCs w:val="15"/>
        </w:rPr>
      </w:pPr>
    </w:p>
    <w:p>
      <w:pPr>
        <w:pStyle w:val="Heading3"/>
        <w:spacing w:line="240" w:lineRule="auto"/>
        <w:ind w:left="575" w:right="1126"/>
        <w:jc w:val="left"/>
        <w:rPr>
          <w:b w:val="0"/>
          <w:bCs w:val="0"/>
        </w:rPr>
      </w:pPr>
      <w:r>
        <w:rPr>
          <w:rFonts w:ascii="Times New Roman" w:hAnsi="Times New Roman" w:cs="Times New Roman" w:eastAsia="Times New Roman" w:hint="default"/>
        </w:rPr>
        <w:t>3</w:t>
      </w:r>
      <w:r>
        <w:rPr/>
        <w:t>、</w:t>
      </w:r>
      <w:r>
        <w:rPr>
          <w:spacing w:val="-16"/>
        </w:rPr>
        <w:t> </w:t>
      </w:r>
      <w:r>
        <w:rPr/>
        <w:t>监事和监事会</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575" w:right="1126"/>
        <w:jc w:val="left"/>
      </w:pPr>
      <w:r>
        <w:rPr/>
        <w:t>公司严格按照《公司法》、《公司章程》的规定选举产生股东代表监事</w:t>
      </w:r>
      <w:r>
        <w:rPr>
          <w:rFonts w:ascii="Times New Roman" w:hAnsi="Times New Roman" w:cs="Times New Roman" w:eastAsia="Times New Roman" w:hint="default"/>
        </w:rPr>
        <w:t>2</w:t>
      </w:r>
      <w:r>
        <w:rPr/>
        <w:t>名，通过职工代表大会选举</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pStyle w:val="Heading4"/>
        <w:spacing w:line="240" w:lineRule="auto" w:before="182"/>
        <w:ind w:right="0"/>
        <w:jc w:val="both"/>
      </w:pPr>
      <w:r>
        <w:rPr/>
        <w:t>了职工代表监事</w:t>
      </w:r>
      <w:r>
        <w:rPr>
          <w:rFonts w:ascii="Times New Roman" w:hAnsi="Times New Roman" w:cs="Times New Roman" w:eastAsia="Times New Roman" w:hint="default"/>
        </w:rPr>
        <w:t>1</w:t>
      </w:r>
      <w:r>
        <w:rPr/>
        <w:t>名，监事会的人数及构成符合法律、法规的要求；公司各位监事严格按照《公司法》、</w:t>
      </w:r>
    </w:p>
    <w:p>
      <w:pPr>
        <w:pStyle w:val="Heading4"/>
        <w:spacing w:line="408" w:lineRule="auto" w:before="175"/>
        <w:ind w:right="1131"/>
        <w:jc w:val="both"/>
      </w:pPr>
      <w:r>
        <w:rPr>
          <w:spacing w:val="-2"/>
        </w:rPr>
        <w:t>《公司章程》和《监事会议事规则》的有关规定认真履行职责，监事会对公司财务状况、重大事项以及公</w:t>
      </w:r>
      <w:r>
        <w:rPr>
          <w:spacing w:val="-38"/>
        </w:rPr>
        <w:t> </w:t>
      </w:r>
      <w:r>
        <w:rPr>
          <w:spacing w:val="-38"/>
        </w:rPr>
      </w:r>
      <w:r>
        <w:rPr/>
        <w:t>司董事及高级管理人员履行职责的合法、合规性进行监督，维护公司及股东的合法权益。</w:t>
      </w:r>
    </w:p>
    <w:p>
      <w:pPr>
        <w:spacing w:line="240" w:lineRule="auto" w:before="6"/>
        <w:rPr>
          <w:rFonts w:ascii="宋体" w:hAnsi="宋体" w:cs="宋体" w:eastAsia="宋体" w:hint="default"/>
          <w:sz w:val="15"/>
          <w:szCs w:val="15"/>
        </w:rPr>
      </w:pPr>
    </w:p>
    <w:p>
      <w:pPr>
        <w:pStyle w:val="Heading3"/>
        <w:spacing w:line="240" w:lineRule="auto"/>
        <w:ind w:left="575" w:right="1126"/>
        <w:jc w:val="left"/>
        <w:rPr>
          <w:b w:val="0"/>
          <w:bCs w:val="0"/>
        </w:rPr>
      </w:pPr>
      <w:r>
        <w:rPr>
          <w:rFonts w:ascii="Times New Roman" w:hAnsi="Times New Roman" w:cs="Times New Roman" w:eastAsia="Times New Roman" w:hint="default"/>
        </w:rPr>
        <w:t>4</w:t>
      </w:r>
      <w:r>
        <w:rPr/>
        <w:t>、高级管理人员与公司激励约束机制</w:t>
      </w:r>
      <w:r>
        <w:rPr>
          <w:b w:val="0"/>
          <w:bCs w:val="0"/>
        </w:rPr>
      </w:r>
    </w:p>
    <w:p>
      <w:pPr>
        <w:spacing w:line="240" w:lineRule="auto" w:before="11"/>
        <w:rPr>
          <w:rFonts w:ascii="宋体" w:hAnsi="宋体" w:cs="宋体" w:eastAsia="宋体" w:hint="default"/>
          <w:b/>
          <w:bCs/>
          <w:sz w:val="25"/>
          <w:szCs w:val="25"/>
        </w:rPr>
      </w:pPr>
    </w:p>
    <w:p>
      <w:pPr>
        <w:pStyle w:val="Heading4"/>
        <w:spacing w:line="405" w:lineRule="auto"/>
        <w:ind w:right="1125" w:firstLine="422"/>
        <w:jc w:val="both"/>
      </w:pPr>
      <w:r>
        <w:rPr>
          <w:spacing w:val="-2"/>
        </w:rPr>
        <w:t>公司建立了公正透明的高级管理人员的绩效评价标准和程序，建立了高级管理人员的薪酬与公司绩效</w:t>
      </w:r>
      <w:r>
        <w:rPr>
          <w:w w:val="100"/>
        </w:rPr>
        <w:t> </w:t>
      </w:r>
      <w:r>
        <w:rPr>
          <w:spacing w:val="-2"/>
        </w:rPr>
        <w:t>相联系的激励机制，与公司高级管理人员签订岗位目标责任书，并以量化的考核指标定期对高级管理人员</w:t>
      </w:r>
      <w:r>
        <w:rPr>
          <w:spacing w:val="-33"/>
        </w:rPr>
        <w:t> </w:t>
      </w:r>
      <w:r>
        <w:rPr>
          <w:spacing w:val="-33"/>
        </w:rPr>
      </w:r>
      <w:r>
        <w:rPr>
          <w:spacing w:val="-2"/>
        </w:rPr>
        <w:t>进行业绩考核，保持了高级管理人员的稳定性。公司高级管理人员的任免履行了法定的程序，严格按照有</w:t>
      </w:r>
      <w:r>
        <w:rPr>
          <w:spacing w:val="-33"/>
        </w:rPr>
        <w:t> </w:t>
      </w:r>
      <w:r>
        <w:rPr>
          <w:spacing w:val="-33"/>
        </w:rPr>
      </w:r>
      <w:r>
        <w:rPr/>
        <w:t>关法律法规和《公司章程》的规定进行。</w:t>
      </w:r>
    </w:p>
    <w:p>
      <w:pPr>
        <w:spacing w:line="240" w:lineRule="auto" w:before="9"/>
        <w:rPr>
          <w:rFonts w:ascii="宋体" w:hAnsi="宋体" w:cs="宋体" w:eastAsia="宋体" w:hint="default"/>
          <w:sz w:val="15"/>
          <w:szCs w:val="15"/>
        </w:rPr>
      </w:pPr>
    </w:p>
    <w:p>
      <w:pPr>
        <w:pStyle w:val="Heading3"/>
        <w:spacing w:line="240" w:lineRule="auto"/>
        <w:ind w:left="575" w:right="1126"/>
        <w:jc w:val="left"/>
        <w:rPr>
          <w:b w:val="0"/>
          <w:bCs w:val="0"/>
        </w:rPr>
      </w:pPr>
      <w:r>
        <w:rPr>
          <w:rFonts w:ascii="Times New Roman" w:hAnsi="Times New Roman" w:cs="Times New Roman" w:eastAsia="Times New Roman" w:hint="default"/>
        </w:rPr>
        <w:t>5</w:t>
      </w:r>
      <w:r>
        <w:rPr/>
        <w:t>、</w:t>
      </w:r>
      <w:r>
        <w:rPr>
          <w:spacing w:val="-14"/>
        </w:rPr>
        <w:t> </w:t>
      </w:r>
      <w:r>
        <w:rPr/>
        <w:t>控股股东及其关联方与公司</w:t>
      </w:r>
      <w:r>
        <w:rPr>
          <w:b w:val="0"/>
          <w:bCs w:val="0"/>
        </w:rPr>
      </w:r>
    </w:p>
    <w:p>
      <w:pPr>
        <w:spacing w:line="240" w:lineRule="auto" w:before="11"/>
        <w:rPr>
          <w:rFonts w:ascii="宋体" w:hAnsi="宋体" w:cs="宋体" w:eastAsia="宋体" w:hint="default"/>
          <w:b/>
          <w:bCs/>
          <w:sz w:val="25"/>
          <w:szCs w:val="25"/>
        </w:rPr>
      </w:pPr>
    </w:p>
    <w:p>
      <w:pPr>
        <w:pStyle w:val="Heading4"/>
        <w:spacing w:line="405" w:lineRule="auto"/>
        <w:ind w:right="1125" w:firstLine="422"/>
        <w:jc w:val="both"/>
      </w:pPr>
      <w:r>
        <w:rPr>
          <w:spacing w:val="-2"/>
        </w:rPr>
        <w:t>公司拥有完整的业务体系和面向市场独立经营的能力，在业务、资产、人员、财务、机构上独立于控</w:t>
      </w:r>
      <w:r>
        <w:rPr>
          <w:w w:val="100"/>
        </w:rPr>
        <w:t> </w:t>
      </w:r>
      <w:r>
        <w:rPr>
          <w:spacing w:val="-2"/>
        </w:rPr>
        <w:t>股股东，公司董事会、监事会和股东大会独立运作。公司控股股东没有超越公司股东大会直接或间接干预</w:t>
      </w:r>
      <w:r>
        <w:rPr>
          <w:spacing w:val="-33"/>
        </w:rPr>
        <w:t> </w:t>
      </w:r>
      <w:r>
        <w:rPr>
          <w:spacing w:val="-33"/>
        </w:rPr>
      </w:r>
      <w:r>
        <w:rPr/>
        <w:t>公司的决策和经营活动的行为，不存在占用公司资金的情况。</w:t>
      </w:r>
    </w:p>
    <w:p>
      <w:pPr>
        <w:spacing w:line="240" w:lineRule="auto" w:before="8"/>
        <w:rPr>
          <w:rFonts w:ascii="宋体" w:hAnsi="宋体" w:cs="宋体" w:eastAsia="宋体" w:hint="default"/>
          <w:sz w:val="15"/>
          <w:szCs w:val="15"/>
        </w:rPr>
      </w:pPr>
    </w:p>
    <w:p>
      <w:pPr>
        <w:pStyle w:val="Heading3"/>
        <w:spacing w:line="240" w:lineRule="auto"/>
        <w:ind w:left="575" w:right="1126"/>
        <w:jc w:val="left"/>
        <w:rPr>
          <w:b w:val="0"/>
          <w:bCs w:val="0"/>
        </w:rPr>
      </w:pPr>
      <w:r>
        <w:rPr>
          <w:rFonts w:ascii="Times New Roman" w:hAnsi="Times New Roman" w:cs="Times New Roman" w:eastAsia="Times New Roman" w:hint="default"/>
        </w:rPr>
        <w:t>6</w:t>
      </w:r>
      <w:r>
        <w:rPr/>
        <w:t>、利益相关者、环境保护与社会责任</w:t>
      </w:r>
      <w:r>
        <w:rPr>
          <w:b w:val="0"/>
          <w:bCs w:val="0"/>
        </w:rPr>
      </w:r>
    </w:p>
    <w:p>
      <w:pPr>
        <w:spacing w:line="240" w:lineRule="auto" w:before="11"/>
        <w:rPr>
          <w:rFonts w:ascii="宋体" w:hAnsi="宋体" w:cs="宋体" w:eastAsia="宋体" w:hint="default"/>
          <w:b/>
          <w:bCs/>
          <w:sz w:val="25"/>
          <w:szCs w:val="25"/>
        </w:rPr>
      </w:pPr>
    </w:p>
    <w:p>
      <w:pPr>
        <w:pStyle w:val="Heading4"/>
        <w:spacing w:line="408" w:lineRule="auto"/>
        <w:ind w:right="1005" w:firstLine="422"/>
        <w:jc w:val="left"/>
      </w:pPr>
      <w:r>
        <w:rPr>
          <w:spacing w:val="-4"/>
        </w:rPr>
        <w:t>公司能够充分尊重和维护相关利益者的合法权益，加强与相关利益者合作，加强与各方的沟通和交流，</w:t>
      </w:r>
      <w:r>
        <w:rPr>
          <w:w w:val="100"/>
        </w:rPr>
        <w:t> </w:t>
      </w:r>
      <w:r>
        <w:rPr/>
        <w:t>在创造利润最大化的同时，实现社会、股东、员工等各方利益的协调平衡，以推动公司持续、稳定、健康</w:t>
      </w:r>
      <w:r>
        <w:rPr>
          <w:w w:val="100"/>
        </w:rPr>
        <w:t> </w:t>
      </w:r>
      <w:r>
        <w:rPr/>
        <w:t>地发展。</w:t>
      </w:r>
    </w:p>
    <w:p>
      <w:pPr>
        <w:spacing w:line="240" w:lineRule="auto" w:before="6"/>
        <w:rPr>
          <w:rFonts w:ascii="宋体" w:hAnsi="宋体" w:cs="宋体" w:eastAsia="宋体" w:hint="default"/>
          <w:sz w:val="15"/>
          <w:szCs w:val="15"/>
        </w:rPr>
      </w:pPr>
    </w:p>
    <w:p>
      <w:pPr>
        <w:pStyle w:val="Heading3"/>
        <w:spacing w:line="240" w:lineRule="auto"/>
        <w:ind w:left="575" w:right="1126"/>
        <w:jc w:val="left"/>
        <w:rPr>
          <w:b w:val="0"/>
          <w:bCs w:val="0"/>
        </w:rPr>
      </w:pPr>
      <w:r>
        <w:rPr>
          <w:rFonts w:ascii="Times New Roman" w:hAnsi="Times New Roman" w:cs="Times New Roman" w:eastAsia="Times New Roman" w:hint="default"/>
        </w:rPr>
        <w:t>7</w:t>
      </w:r>
      <w:r>
        <w:rPr/>
        <w:t>、</w:t>
      </w:r>
      <w:r>
        <w:rPr>
          <w:spacing w:val="-15"/>
        </w:rPr>
        <w:t> </w:t>
      </w:r>
      <w:r>
        <w:rPr/>
        <w:t>关于信息披露与透明度</w:t>
      </w:r>
      <w:r>
        <w:rPr>
          <w:b w:val="0"/>
          <w:bCs w:val="0"/>
        </w:rPr>
      </w:r>
    </w:p>
    <w:p>
      <w:pPr>
        <w:spacing w:line="240" w:lineRule="auto" w:before="12"/>
        <w:rPr>
          <w:rFonts w:ascii="宋体" w:hAnsi="宋体" w:cs="宋体" w:eastAsia="宋体" w:hint="default"/>
          <w:b/>
          <w:bCs/>
          <w:sz w:val="25"/>
          <w:szCs w:val="25"/>
        </w:rPr>
      </w:pPr>
    </w:p>
    <w:p>
      <w:pPr>
        <w:pStyle w:val="Heading4"/>
        <w:spacing w:line="408" w:lineRule="auto"/>
        <w:ind w:right="0" w:firstLine="422"/>
        <w:jc w:val="left"/>
      </w:pPr>
      <w:r>
        <w:rPr>
          <w:spacing w:val="-2"/>
        </w:rPr>
        <w:t>公司严格按照《信息披露事务管理制度》、《投资者关系管理制度》和《重大信息内部报告制度》的</w:t>
      </w:r>
      <w:r>
        <w:rPr>
          <w:w w:val="100"/>
        </w:rPr>
        <w:t> </w:t>
      </w:r>
      <w:r>
        <w:rPr/>
        <w:t>相关规定，确定了信息披露的基本原则、信息披露义务人和职责、信息披露的内容、信息的提供与收集、</w:t>
      </w:r>
      <w:r>
        <w:rPr>
          <w:spacing w:val="-30"/>
        </w:rPr>
        <w:t> </w:t>
      </w:r>
      <w:r>
        <w:rPr>
          <w:spacing w:val="-30"/>
        </w:rPr>
      </w:r>
      <w:r>
        <w:rPr>
          <w:spacing w:val="6"/>
        </w:rPr>
        <w:t>信息披露的程序、信息披露方式及保密措施。公司指定《中国证券报》、《证券时报》和巨潮资讯网</w:t>
      </w:r>
    </w:p>
    <w:p>
      <w:pPr>
        <w:pStyle w:val="Heading4"/>
        <w:spacing w:line="396" w:lineRule="auto" w:before="48"/>
        <w:ind w:right="1125"/>
        <w:jc w:val="both"/>
      </w:pPr>
      <w:r>
        <w:rPr>
          <w:spacing w:val="-3"/>
        </w:rPr>
        <w:t>（</w:t>
      </w:r>
      <w:hyperlink r:id="rId29">
        <w:r>
          <w:rPr>
            <w:rFonts w:ascii="Times New Roman" w:hAnsi="Times New Roman" w:cs="Times New Roman" w:eastAsia="Times New Roman" w:hint="default"/>
            <w:spacing w:val="-3"/>
          </w:rPr>
          <w:t>www.cninfo.com.cn</w:t>
        </w:r>
      </w:hyperlink>
      <w:r>
        <w:rPr>
          <w:spacing w:val="-3"/>
        </w:rPr>
        <w:t>）为公司信息披露的媒体。公司指定董事会秘书负责信息披露工作、接待投资者的来</w:t>
      </w:r>
      <w:r>
        <w:rPr>
          <w:spacing w:val="5"/>
        </w:rPr>
        <w:t> </w:t>
      </w:r>
      <w:r>
        <w:rPr>
          <w:spacing w:val="5"/>
        </w:rPr>
      </w:r>
      <w:r>
        <w:rPr>
          <w:spacing w:val="-2"/>
        </w:rPr>
        <w:t>访和咨询，公平对待所有投资者，真实、准确、完整、及时地进行信息披露，提高公司透明度，保障全体</w:t>
      </w:r>
      <w:r>
        <w:rPr>
          <w:spacing w:val="-38"/>
        </w:rPr>
        <w:t> </w:t>
      </w:r>
      <w:r>
        <w:rPr>
          <w:spacing w:val="-38"/>
        </w:rPr>
      </w:r>
      <w:r>
        <w:rPr/>
        <w:t>股东的合法权益。</w:t>
      </w:r>
    </w:p>
    <w:p>
      <w:pPr>
        <w:spacing w:line="240" w:lineRule="auto" w:before="3"/>
        <w:rPr>
          <w:rFonts w:ascii="宋体" w:hAnsi="宋体" w:cs="宋体" w:eastAsia="宋体" w:hint="default"/>
          <w:sz w:val="16"/>
          <w:szCs w:val="16"/>
        </w:rPr>
      </w:pPr>
    </w:p>
    <w:p>
      <w:pPr>
        <w:pStyle w:val="Heading3"/>
        <w:spacing w:line="240" w:lineRule="auto"/>
        <w:ind w:left="575" w:right="1126"/>
        <w:jc w:val="left"/>
        <w:rPr>
          <w:b w:val="0"/>
          <w:bCs w:val="0"/>
        </w:rPr>
      </w:pPr>
      <w:r>
        <w:rPr>
          <w:rFonts w:ascii="Times New Roman" w:hAnsi="Times New Roman" w:cs="Times New Roman" w:eastAsia="Times New Roman" w:hint="default"/>
        </w:rPr>
        <w:t>8</w:t>
      </w:r>
      <w:r>
        <w:rPr/>
        <w:t>、制度修订</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575" w:right="0"/>
        <w:jc w:val="left"/>
      </w:pPr>
      <w:r>
        <w:rPr/>
        <w:t>报告期内，公司通过修订《内部审计制度》、《募集资金管理制度》、《内幕信息知情人登记制度》</w:t>
      </w:r>
    </w:p>
    <w:p>
      <w:pPr>
        <w:spacing w:after="0" w:line="240" w:lineRule="auto"/>
        <w:jc w:val="left"/>
        <w:sectPr>
          <w:footerReference w:type="default" r:id="rId35"/>
          <w:pgSz w:w="11910" w:h="16840"/>
          <w:pgMar w:footer="1902" w:header="871" w:top="1060" w:bottom="2100" w:left="980" w:right="0"/>
          <w:pgNumType w:start="69"/>
        </w:sectPr>
      </w:pPr>
    </w:p>
    <w:p>
      <w:pPr>
        <w:spacing w:line="240" w:lineRule="auto" w:before="0"/>
        <w:rPr>
          <w:rFonts w:ascii="宋体" w:hAnsi="宋体" w:cs="宋体" w:eastAsia="宋体" w:hint="default"/>
          <w:sz w:val="20"/>
          <w:szCs w:val="20"/>
        </w:rPr>
      </w:pPr>
    </w:p>
    <w:p>
      <w:pPr>
        <w:pStyle w:val="Heading4"/>
        <w:spacing w:line="240" w:lineRule="auto" w:before="177"/>
        <w:ind w:right="1126"/>
        <w:jc w:val="left"/>
      </w:pPr>
      <w:r>
        <w:rPr/>
        <w:t>部审计等方面，为公司的规范运作与健康发展提供了良好制度保障。</w:t>
      </w:r>
    </w:p>
    <w:p>
      <w:pPr>
        <w:spacing w:line="240" w:lineRule="auto" w:before="2"/>
        <w:rPr>
          <w:rFonts w:ascii="宋体" w:hAnsi="宋体" w:cs="宋体" w:eastAsia="宋体" w:hint="default"/>
          <w:sz w:val="23"/>
          <w:szCs w:val="23"/>
        </w:rPr>
      </w:pPr>
    </w:p>
    <w:p>
      <w:pPr>
        <w:pStyle w:val="BodyText"/>
        <w:spacing w:line="240" w:lineRule="auto"/>
        <w:ind w:right="1126"/>
        <w:jc w:val="left"/>
      </w:pPr>
      <w:r>
        <w:rPr>
          <w:spacing w:val="-3"/>
        </w:rPr>
        <w:t>公司治理的实际状况与中国证监会发布的有关上市公司治理的规范性文件是否存在重大差异</w:t>
      </w:r>
    </w:p>
    <w:p>
      <w:pPr>
        <w:pStyle w:val="BodyText"/>
        <w:spacing w:line="343" w:lineRule="auto" w:before="115"/>
        <w:ind w:right="331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1126"/>
        <w:jc w:val="left"/>
        <w:rPr>
          <w:b w:val="0"/>
          <w:bCs w:val="0"/>
        </w:rPr>
      </w:pPr>
      <w:bookmarkStart w:name="二、公司相对于控股股东在业务、人员、资产、机构、财务等方面的独立情况" w:id="157"/>
      <w:bookmarkEnd w:id="157"/>
      <w:r>
        <w:rPr>
          <w:b w:val="0"/>
          <w:bCs w:val="0"/>
        </w:rPr>
      </w:r>
      <w:r>
        <w:rPr/>
        <w:t>二、公司相对于控股股东在业务、人员、资产、机构、财务等方面的独立情况</w:t>
      </w:r>
      <w:r>
        <w:rPr>
          <w:b w:val="0"/>
          <w:bCs w:val="0"/>
        </w:rPr>
      </w:r>
    </w:p>
    <w:p>
      <w:pPr>
        <w:pStyle w:val="Heading4"/>
        <w:spacing w:line="630" w:lineRule="atLeast" w:before="52"/>
        <w:ind w:left="575" w:right="1126"/>
        <w:jc w:val="left"/>
      </w:pPr>
      <w:r>
        <w:rPr/>
        <w:t>公司拥有独立的业务和经营自主能力，在业务、人员、资产、机构、财务等方面独立于控股股东。</w:t>
      </w:r>
      <w:r>
        <w:rPr>
          <w:w w:val="100"/>
        </w:rPr>
        <w:t> </w:t>
      </w:r>
      <w:r>
        <w:rPr>
          <w:spacing w:val="-2"/>
        </w:rPr>
        <w:t>公司在业务、人员、资产、机构、财务上完全独立于控股股东，具有独立的业务、运营体系及经营能</w:t>
      </w:r>
    </w:p>
    <w:p>
      <w:pPr>
        <w:spacing w:line="240" w:lineRule="auto" w:before="8"/>
        <w:rPr>
          <w:rFonts w:ascii="宋体" w:hAnsi="宋体" w:cs="宋体" w:eastAsia="宋体" w:hint="default"/>
          <w:sz w:val="14"/>
          <w:szCs w:val="14"/>
        </w:rPr>
      </w:pPr>
    </w:p>
    <w:p>
      <w:pPr>
        <w:pStyle w:val="Heading4"/>
        <w:spacing w:line="405" w:lineRule="auto"/>
        <w:ind w:right="1126"/>
        <w:jc w:val="left"/>
      </w:pPr>
      <w:r>
        <w:rPr>
          <w:spacing w:val="-2"/>
        </w:rPr>
        <w:t>力。公司控股股东能严格规范自己的行为，不会越权直接或间接干预公司的决策和经营活动，也不存在占</w:t>
      </w:r>
      <w:r>
        <w:rPr>
          <w:spacing w:val="-33"/>
        </w:rPr>
        <w:t> </w:t>
      </w:r>
      <w:r>
        <w:rPr>
          <w:spacing w:val="-33"/>
        </w:rPr>
      </w:r>
      <w:r>
        <w:rPr/>
        <w:t>用公司资产的情况。</w:t>
      </w:r>
    </w:p>
    <w:p>
      <w:pPr>
        <w:spacing w:line="240" w:lineRule="auto" w:before="0"/>
        <w:rPr>
          <w:rFonts w:ascii="宋体" w:hAnsi="宋体" w:cs="宋体" w:eastAsia="宋体" w:hint="default"/>
          <w:sz w:val="16"/>
          <w:szCs w:val="16"/>
        </w:rPr>
      </w:pPr>
    </w:p>
    <w:p>
      <w:pPr>
        <w:pStyle w:val="Heading4"/>
        <w:spacing w:line="405" w:lineRule="auto"/>
        <w:ind w:right="1123" w:firstLine="422"/>
        <w:jc w:val="both"/>
      </w:pPr>
      <w:r>
        <w:rPr>
          <w:spacing w:val="-2"/>
        </w:rPr>
        <w:t>报告期内，公司严格按照《公司法》和《公司章程》的有关规定规范运作，逐步健全了公司的法人治</w:t>
      </w:r>
      <w:r>
        <w:rPr>
          <w:w w:val="100"/>
        </w:rPr>
        <w:t> </w:t>
      </w:r>
      <w:r>
        <w:rPr>
          <w:spacing w:val="-2"/>
        </w:rPr>
        <w:t>理结构，在业务、资产、人员、机构、财务等方面做到了与控股股东分开，具有独立完整的业务及自主经</w:t>
      </w:r>
      <w:r>
        <w:rPr>
          <w:spacing w:val="-38"/>
        </w:rPr>
        <w:t> </w:t>
      </w:r>
      <w:r>
        <w:rPr>
          <w:spacing w:val="-38"/>
        </w:rPr>
      </w:r>
      <w:r>
        <w:rPr/>
        <w:t>营能力，具体如下：</w:t>
      </w:r>
    </w:p>
    <w:p>
      <w:pPr>
        <w:spacing w:line="240" w:lineRule="auto" w:before="8"/>
        <w:rPr>
          <w:rFonts w:ascii="宋体" w:hAnsi="宋体" w:cs="宋体" w:eastAsia="宋体" w:hint="default"/>
          <w:sz w:val="15"/>
          <w:szCs w:val="15"/>
        </w:rPr>
      </w:pPr>
    </w:p>
    <w:p>
      <w:pPr>
        <w:pStyle w:val="Heading3"/>
        <w:spacing w:line="240" w:lineRule="auto"/>
        <w:ind w:left="575" w:right="1126"/>
        <w:jc w:val="left"/>
        <w:rPr>
          <w:b w:val="0"/>
          <w:bCs w:val="0"/>
        </w:rPr>
      </w:pPr>
      <w:r>
        <w:rPr>
          <w:rFonts w:ascii="宋体" w:hAnsi="宋体" w:cs="宋体" w:eastAsia="宋体" w:hint="default"/>
        </w:rPr>
        <w:t>1</w:t>
      </w:r>
      <w:r>
        <w:rPr/>
        <w:t>、业务独立方面</w:t>
      </w:r>
      <w:r>
        <w:rPr>
          <w:b w:val="0"/>
          <w:bCs w:val="0"/>
        </w:rPr>
      </w:r>
    </w:p>
    <w:p>
      <w:pPr>
        <w:spacing w:line="240" w:lineRule="auto" w:before="1"/>
        <w:rPr>
          <w:rFonts w:ascii="宋体" w:hAnsi="宋体" w:cs="宋体" w:eastAsia="宋体" w:hint="default"/>
          <w:b/>
          <w:bCs/>
          <w:sz w:val="27"/>
          <w:szCs w:val="27"/>
        </w:rPr>
      </w:pPr>
    </w:p>
    <w:p>
      <w:pPr>
        <w:pStyle w:val="Heading4"/>
        <w:spacing w:line="403" w:lineRule="auto"/>
        <w:ind w:right="1126" w:firstLine="422"/>
        <w:jc w:val="left"/>
      </w:pPr>
      <w:r>
        <w:rPr>
          <w:spacing w:val="-2"/>
        </w:rPr>
        <w:t>公司主要从事智能终端供应链服务，具有完全独立的业务运作系统，主营业务收入和业务利润完全不</w:t>
      </w:r>
      <w:r>
        <w:rPr>
          <w:w w:val="100"/>
        </w:rPr>
        <w:t> </w:t>
      </w:r>
      <w:r>
        <w:rPr/>
        <w:t>依赖于控股股东及其他关联方。</w:t>
      </w:r>
    </w:p>
    <w:p>
      <w:pPr>
        <w:spacing w:line="240" w:lineRule="auto" w:before="11"/>
        <w:rPr>
          <w:rFonts w:ascii="宋体" w:hAnsi="宋体" w:cs="宋体" w:eastAsia="宋体" w:hint="default"/>
          <w:sz w:val="15"/>
          <w:szCs w:val="15"/>
        </w:rPr>
      </w:pPr>
    </w:p>
    <w:p>
      <w:pPr>
        <w:pStyle w:val="Heading3"/>
        <w:spacing w:line="240" w:lineRule="auto"/>
        <w:ind w:left="575" w:right="1126"/>
        <w:jc w:val="left"/>
        <w:rPr>
          <w:b w:val="0"/>
          <w:bCs w:val="0"/>
        </w:rPr>
      </w:pPr>
      <w:r>
        <w:rPr>
          <w:rFonts w:ascii="宋体" w:hAnsi="宋体" w:cs="宋体" w:eastAsia="宋体" w:hint="default"/>
        </w:rPr>
        <w:t>2</w:t>
      </w:r>
      <w:r>
        <w:rPr/>
        <w:t>、资产完整方面</w:t>
      </w:r>
      <w:r>
        <w:rPr>
          <w:b w:val="0"/>
          <w:bCs w:val="0"/>
        </w:rPr>
      </w:r>
    </w:p>
    <w:p>
      <w:pPr>
        <w:spacing w:line="240" w:lineRule="auto" w:before="1"/>
        <w:rPr>
          <w:rFonts w:ascii="宋体" w:hAnsi="宋体" w:cs="宋体" w:eastAsia="宋体" w:hint="default"/>
          <w:b/>
          <w:bCs/>
          <w:sz w:val="27"/>
          <w:szCs w:val="27"/>
        </w:rPr>
      </w:pPr>
    </w:p>
    <w:p>
      <w:pPr>
        <w:pStyle w:val="Heading4"/>
        <w:spacing w:line="408" w:lineRule="auto"/>
        <w:ind w:right="0" w:firstLine="422"/>
        <w:jc w:val="left"/>
      </w:pPr>
      <w:r>
        <w:rPr/>
        <w:t>公司由深圳市爱施德实业有限公司整体变更设立，变更时未进行任何业务和资产的剥离，深圳市爱施</w:t>
      </w:r>
      <w:r>
        <w:rPr>
          <w:w w:val="100"/>
        </w:rPr>
        <w:t> </w:t>
      </w:r>
      <w:r>
        <w:rPr/>
        <w:t>德实业有限公司的业务、资产、机构及相关债权、债务均已整体进入本公司。公司拥有完整的销售系统、</w:t>
      </w:r>
      <w:r>
        <w:rPr>
          <w:spacing w:val="-30"/>
        </w:rPr>
        <w:t> </w:t>
      </w:r>
      <w:r>
        <w:rPr>
          <w:spacing w:val="-30"/>
        </w:rPr>
      </w:r>
      <w:r>
        <w:rPr>
          <w:spacing w:val="-4"/>
        </w:rPr>
        <w:t>支持系统和配套设施；对经营相关资产均合法拥有所有权或使用权；具有独立的产品采购和产品销售系统。</w:t>
      </w:r>
      <w:r>
        <w:rPr>
          <w:spacing w:val="-42"/>
        </w:rPr>
        <w:t> </w:t>
      </w:r>
      <w:r>
        <w:rPr>
          <w:spacing w:val="-42"/>
        </w:rPr>
      </w:r>
      <w:r>
        <w:rPr/>
        <w:t>公司与股东之间的资产产权界定清晰，生产经营场所独立，不存在依靠股东的经营场所进行经营的情况。</w:t>
      </w:r>
      <w:r>
        <w:rPr>
          <w:spacing w:val="-30"/>
        </w:rPr>
        <w:t> </w:t>
      </w:r>
      <w:r>
        <w:rPr>
          <w:spacing w:val="-30"/>
        </w:rPr>
      </w:r>
      <w:r>
        <w:rPr/>
        <w:t>报告期内，公司没有以资产为各股东的债务提供担保，公司对所有资产拥有完全的控制权、支配权。</w:t>
      </w:r>
    </w:p>
    <w:p>
      <w:pPr>
        <w:spacing w:line="240" w:lineRule="auto" w:before="6"/>
        <w:rPr>
          <w:rFonts w:ascii="宋体" w:hAnsi="宋体" w:cs="宋体" w:eastAsia="宋体" w:hint="default"/>
          <w:sz w:val="15"/>
          <w:szCs w:val="15"/>
        </w:rPr>
      </w:pPr>
    </w:p>
    <w:p>
      <w:pPr>
        <w:pStyle w:val="Heading3"/>
        <w:spacing w:line="240" w:lineRule="auto"/>
        <w:ind w:left="575" w:right="1126"/>
        <w:jc w:val="left"/>
        <w:rPr>
          <w:b w:val="0"/>
          <w:bCs w:val="0"/>
        </w:rPr>
      </w:pPr>
      <w:r>
        <w:rPr>
          <w:rFonts w:ascii="宋体" w:hAnsi="宋体" w:cs="宋体" w:eastAsia="宋体" w:hint="default"/>
        </w:rPr>
        <w:t>3</w:t>
      </w:r>
      <w:r>
        <w:rPr/>
        <w:t>、人员独立方面</w:t>
      </w:r>
      <w:r>
        <w:rPr>
          <w:b w:val="0"/>
          <w:bCs w:val="0"/>
        </w:rPr>
      </w:r>
    </w:p>
    <w:p>
      <w:pPr>
        <w:spacing w:line="240" w:lineRule="auto" w:before="1"/>
        <w:rPr>
          <w:rFonts w:ascii="宋体" w:hAnsi="宋体" w:cs="宋体" w:eastAsia="宋体" w:hint="default"/>
          <w:b/>
          <w:bCs/>
          <w:sz w:val="27"/>
          <w:szCs w:val="27"/>
        </w:rPr>
      </w:pPr>
    </w:p>
    <w:p>
      <w:pPr>
        <w:pStyle w:val="Heading4"/>
        <w:spacing w:line="410" w:lineRule="auto"/>
        <w:ind w:right="1122" w:firstLine="422"/>
        <w:jc w:val="both"/>
      </w:pPr>
      <w:r>
        <w:rPr>
          <w:spacing w:val="-2"/>
        </w:rPr>
        <w:t>公司董事、监事及高级管理人员均依合法程序选举或聘任，不存在主要股东超越公司董事会和股东大</w:t>
      </w:r>
      <w:r>
        <w:rPr>
          <w:w w:val="100"/>
        </w:rPr>
        <w:t> </w:t>
      </w:r>
      <w:r>
        <w:rPr>
          <w:spacing w:val="-2"/>
        </w:rPr>
        <w:t>会做出人事任免决定的情况。公司董事长、总裁、副总裁、财务负责人、董事会秘书等高级管理人员均专</w:t>
      </w:r>
      <w:r>
        <w:rPr>
          <w:spacing w:val="-38"/>
        </w:rPr>
        <w:t> </w:t>
      </w:r>
      <w:r>
        <w:rPr>
          <w:spacing w:val="-38"/>
        </w:rPr>
      </w:r>
      <w:r>
        <w:rPr>
          <w:spacing w:val="-2"/>
        </w:rPr>
        <w:t>职在本公司工作并领取报酬，未在股东单位及其下属企业担任除董事、监事之外的其他行政职务，亦未在</w:t>
      </w:r>
      <w:r>
        <w:rPr>
          <w:spacing w:val="-31"/>
        </w:rPr>
        <w:t> </w:t>
      </w:r>
      <w:r>
        <w:rPr>
          <w:spacing w:val="-31"/>
        </w:rPr>
      </w:r>
      <w:r>
        <w:rPr>
          <w:spacing w:val="-2"/>
        </w:rPr>
        <w:t>与公司业务相同或相近的其他企业任职。公司已建立了独立的人事档案、人事聘用和任免制度以及独立的</w:t>
      </w:r>
    </w:p>
    <w:p>
      <w:pPr>
        <w:spacing w:after="0" w:line="410" w:lineRule="auto"/>
        <w:jc w:val="both"/>
        <w:sectPr>
          <w:footerReference w:type="default" r:id="rId36"/>
          <w:pgSz w:w="11910" w:h="16840"/>
          <w:pgMar w:footer="1474" w:header="871" w:top="1060" w:bottom="1660" w:left="980" w:right="0"/>
          <w:pgNumType w:start="7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403" w:lineRule="auto"/>
        <w:ind w:right="1126"/>
        <w:jc w:val="left"/>
      </w:pPr>
      <w:r>
        <w:rPr>
          <w:spacing w:val="-2"/>
        </w:rPr>
        <w:t>工资薪酬管理制度，并与全体员工签订了劳动合同，由公司人力资源部门独立负责公司员工的聘任、考核</w:t>
      </w:r>
      <w:r>
        <w:rPr>
          <w:spacing w:val="-33"/>
        </w:rPr>
        <w:t> </w:t>
      </w:r>
      <w:r>
        <w:rPr>
          <w:spacing w:val="-33"/>
        </w:rPr>
      </w:r>
      <w:r>
        <w:rPr/>
        <w:t>和奖惩；公司在员工的社会保障、工资薪酬等方面均与股东单位分账独立。</w:t>
      </w:r>
    </w:p>
    <w:p>
      <w:pPr>
        <w:spacing w:line="240" w:lineRule="auto" w:before="11"/>
        <w:rPr>
          <w:rFonts w:ascii="宋体" w:hAnsi="宋体" w:cs="宋体" w:eastAsia="宋体" w:hint="default"/>
          <w:sz w:val="15"/>
          <w:szCs w:val="15"/>
        </w:rPr>
      </w:pPr>
    </w:p>
    <w:p>
      <w:pPr>
        <w:pStyle w:val="Heading3"/>
        <w:spacing w:line="240" w:lineRule="auto"/>
        <w:ind w:left="575" w:right="1126"/>
        <w:jc w:val="left"/>
        <w:rPr>
          <w:b w:val="0"/>
          <w:bCs w:val="0"/>
        </w:rPr>
      </w:pPr>
      <w:r>
        <w:rPr>
          <w:rFonts w:ascii="宋体" w:hAnsi="宋体" w:cs="宋体" w:eastAsia="宋体" w:hint="default"/>
        </w:rPr>
        <w:t>4</w:t>
      </w:r>
      <w:r>
        <w:rPr/>
        <w:t>、财务独立方面</w:t>
      </w:r>
      <w:r>
        <w:rPr>
          <w:b w:val="0"/>
          <w:bCs w:val="0"/>
        </w:rPr>
      </w:r>
    </w:p>
    <w:p>
      <w:pPr>
        <w:spacing w:line="240" w:lineRule="auto" w:before="1"/>
        <w:rPr>
          <w:rFonts w:ascii="宋体" w:hAnsi="宋体" w:cs="宋体" w:eastAsia="宋体" w:hint="default"/>
          <w:b/>
          <w:bCs/>
          <w:sz w:val="27"/>
          <w:szCs w:val="27"/>
        </w:rPr>
      </w:pPr>
    </w:p>
    <w:p>
      <w:pPr>
        <w:pStyle w:val="Heading4"/>
        <w:spacing w:line="408" w:lineRule="auto"/>
        <w:ind w:right="1125" w:firstLine="422"/>
        <w:jc w:val="both"/>
      </w:pPr>
      <w:r>
        <w:rPr>
          <w:spacing w:val="-2"/>
        </w:rPr>
        <w:t>公司已按照《企业会计准则》的要求建立了一套独立、完整、规范的财务会计核算体系和财务管理制</w:t>
      </w:r>
      <w:r>
        <w:rPr>
          <w:w w:val="100"/>
        </w:rPr>
        <w:t> </w:t>
      </w:r>
      <w:r>
        <w:rPr>
          <w:spacing w:val="-2"/>
        </w:rPr>
        <w:t>度，并建立了相应的内部控制制度，独立做出财务决策。公司设立了独立的财务部门，配备了专职财务人</w:t>
      </w:r>
      <w:r>
        <w:rPr>
          <w:spacing w:val="-33"/>
        </w:rPr>
        <w:t> </w:t>
      </w:r>
      <w:r>
        <w:rPr>
          <w:spacing w:val="-33"/>
        </w:rPr>
      </w:r>
      <w:r>
        <w:rPr/>
        <w:t>员；公司在银行单独开立账户，拥有独立的银行账号；公司作为独立的纳税人，依法独立纳税。</w:t>
      </w:r>
    </w:p>
    <w:p>
      <w:pPr>
        <w:spacing w:line="240" w:lineRule="auto" w:before="6"/>
        <w:rPr>
          <w:rFonts w:ascii="宋体" w:hAnsi="宋体" w:cs="宋体" w:eastAsia="宋体" w:hint="default"/>
          <w:sz w:val="15"/>
          <w:szCs w:val="15"/>
        </w:rPr>
      </w:pPr>
    </w:p>
    <w:p>
      <w:pPr>
        <w:pStyle w:val="Heading3"/>
        <w:spacing w:line="240" w:lineRule="auto"/>
        <w:ind w:left="575" w:right="1126"/>
        <w:jc w:val="left"/>
        <w:rPr>
          <w:b w:val="0"/>
          <w:bCs w:val="0"/>
        </w:rPr>
      </w:pPr>
      <w:r>
        <w:rPr>
          <w:rFonts w:ascii="宋体" w:hAnsi="宋体" w:cs="宋体" w:eastAsia="宋体" w:hint="default"/>
        </w:rPr>
        <w:t>5</w:t>
      </w:r>
      <w:r>
        <w:rPr/>
        <w:t>、机构独立方面</w:t>
      </w:r>
      <w:r>
        <w:rPr>
          <w:b w:val="0"/>
          <w:bCs w:val="0"/>
        </w:rPr>
      </w:r>
    </w:p>
    <w:p>
      <w:pPr>
        <w:spacing w:line="240" w:lineRule="auto" w:before="1"/>
        <w:rPr>
          <w:rFonts w:ascii="宋体" w:hAnsi="宋体" w:cs="宋体" w:eastAsia="宋体" w:hint="default"/>
          <w:b/>
          <w:bCs/>
          <w:sz w:val="27"/>
          <w:szCs w:val="27"/>
        </w:rPr>
      </w:pPr>
    </w:p>
    <w:p>
      <w:pPr>
        <w:pStyle w:val="Heading4"/>
        <w:spacing w:line="408" w:lineRule="auto"/>
        <w:ind w:right="1126" w:firstLine="422"/>
        <w:jc w:val="both"/>
      </w:pPr>
      <w:r>
        <w:rPr>
          <w:spacing w:val="-2"/>
        </w:rPr>
        <w:t>公司设有股东大会、董事会、监事会以及公司各级管理部门等机构，独立行使经营管理职权。公司建</w:t>
      </w:r>
      <w:r>
        <w:rPr>
          <w:w w:val="100"/>
        </w:rPr>
        <w:t> </w:t>
      </w:r>
      <w:r>
        <w:rPr>
          <w:spacing w:val="-7"/>
        </w:rPr>
        <w:t>立了完善的组织结构，拥有完整的采购、销售系统及支持部门，各部门已构成了一个有机整体。报告期内，</w:t>
      </w:r>
      <w:r>
        <w:rPr>
          <w:spacing w:val="-12"/>
        </w:rPr>
        <w:t> </w:t>
      </w:r>
      <w:r>
        <w:rPr>
          <w:spacing w:val="-12"/>
        </w:rPr>
      </w:r>
      <w:r>
        <w:rPr/>
        <w:t>公司与股东不存在机构混同的情形，未发生股东干预本公司正常经营活动的现象。</w:t>
      </w:r>
    </w:p>
    <w:p>
      <w:pPr>
        <w:spacing w:line="240" w:lineRule="auto" w:before="4"/>
        <w:rPr>
          <w:rFonts w:ascii="宋体" w:hAnsi="宋体" w:cs="宋体" w:eastAsia="宋体" w:hint="default"/>
          <w:sz w:val="18"/>
          <w:szCs w:val="18"/>
        </w:rPr>
      </w:pPr>
    </w:p>
    <w:p>
      <w:pPr>
        <w:pStyle w:val="Heading2"/>
        <w:spacing w:line="240" w:lineRule="auto"/>
        <w:ind w:right="1126"/>
        <w:jc w:val="left"/>
        <w:rPr>
          <w:b w:val="0"/>
          <w:bCs w:val="0"/>
        </w:rPr>
      </w:pPr>
      <w:bookmarkStart w:name="三、同业竞争情况" w:id="158"/>
      <w:bookmarkEnd w:id="158"/>
      <w:r>
        <w:rPr>
          <w:b w:val="0"/>
          <w:bCs w:val="0"/>
        </w:rPr>
      </w:r>
      <w:r>
        <w:rPr/>
        <w:t>三、同业竞争情况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1126"/>
        <w:jc w:val="left"/>
        <w:rPr>
          <w:b w:val="0"/>
          <w:bCs w:val="0"/>
        </w:rPr>
      </w:pPr>
      <w:bookmarkStart w:name="四、报告期内召开的年度股东大会和临时股东大会的有关情况" w:id="159"/>
      <w:bookmarkEnd w:id="159"/>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本报告期股东大会情况" w:id="160"/>
      <w:bookmarkEnd w:id="16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40" w:lineRule="auto" w:before="46"/>
        <w:ind w:left="0" w:right="1146"/>
        <w:jc w:val="right"/>
      </w:pPr>
      <w:r>
        <w:rPr/>
        <w:pict>
          <v:shape style="position:absolute;margin-left:56.424pt;margin-top:-52.228271pt;width:479.25pt;height:174.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8"/>
                    <w:gridCol w:w="1157"/>
                    <w:gridCol w:w="1513"/>
                    <w:gridCol w:w="1666"/>
                    <w:gridCol w:w="1623"/>
                    <w:gridCol w:w="1752"/>
                  </w:tblGrid>
                  <w:tr>
                    <w:trPr>
                      <w:trHeight w:val="403"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年年度股东大会</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68.76%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both"/>
                          <w:rPr>
                            <w:rFonts w:ascii="Times New Roman" w:hAnsi="Times New Roman" w:cs="Times New Roman" w:eastAsia="Times New Roman" w:hint="default"/>
                            <w:sz w:val="18"/>
                            <w:szCs w:val="18"/>
                          </w:rPr>
                        </w:pPr>
                        <w:r>
                          <w:rPr>
                            <w:rFonts w:ascii="宋体" w:hAnsi="宋体" w:cs="宋体" w:eastAsia="宋体" w:hint="default"/>
                            <w:spacing w:val="-21"/>
                            <w:w w:val="101"/>
                            <w:sz w:val="18"/>
                            <w:szCs w:val="18"/>
                          </w:rPr>
                          <w:t>《中国证券报》、《证</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券时报》和巨潮资讯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网（</w:t>
                        </w:r>
                        <w:hyperlink r:id="rId37">
                          <w:r>
                            <w:rPr>
                              <w:rFonts w:ascii="Times New Roman" w:hAnsi="Times New Roman" w:cs="Times New Roman" w:eastAsia="Times New Roman" w:hint="default"/>
                              <w:spacing w:val="-3"/>
                              <w:sz w:val="18"/>
                              <w:szCs w:val="18"/>
                            </w:rPr>
                            <w:t>www.cninfo.com</w:t>
                          </w:r>
                        </w:hyperlink>
                      </w:p>
                    </w:tc>
                  </w:tr>
                  <w:tr>
                    <w:trPr>
                      <w:trHeight w:val="102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4" w:lineRule="auto"/>
                          <w:ind w:left="24"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年第一次临时股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东大会</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56.41%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4"/>
                          <w:jc w:val="both"/>
                          <w:rPr>
                            <w:rFonts w:ascii="Times New Roman" w:hAnsi="Times New Roman" w:cs="Times New Roman" w:eastAsia="Times New Roman" w:hint="default"/>
                            <w:sz w:val="18"/>
                            <w:szCs w:val="18"/>
                          </w:rPr>
                        </w:pPr>
                        <w:r>
                          <w:rPr>
                            <w:rFonts w:ascii="宋体" w:hAnsi="宋体" w:cs="宋体" w:eastAsia="宋体" w:hint="default"/>
                            <w:spacing w:val="-21"/>
                            <w:w w:val="101"/>
                            <w:sz w:val="18"/>
                            <w:szCs w:val="18"/>
                          </w:rPr>
                          <w:t>《中国证券报》、《证</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券时报》和巨潮资讯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网（</w:t>
                        </w:r>
                        <w:hyperlink r:id="rId37">
                          <w:r>
                            <w:rPr>
                              <w:rFonts w:ascii="Times New Roman" w:hAnsi="Times New Roman" w:cs="Times New Roman" w:eastAsia="Times New Roman" w:hint="default"/>
                              <w:spacing w:val="-3"/>
                              <w:sz w:val="18"/>
                              <w:szCs w:val="18"/>
                            </w:rPr>
                            <w:t>www.cninfo.com</w:t>
                          </w:r>
                        </w:hyperlink>
                      </w:p>
                    </w:tc>
                  </w:tr>
                  <w:tr>
                    <w:trPr>
                      <w:trHeight w:val="102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年第二次临时股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东大会</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54.52%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4"/>
                          <w:jc w:val="both"/>
                          <w:rPr>
                            <w:rFonts w:ascii="Times New Roman" w:hAnsi="Times New Roman" w:cs="Times New Roman" w:eastAsia="Times New Roman" w:hint="default"/>
                            <w:sz w:val="18"/>
                            <w:szCs w:val="18"/>
                          </w:rPr>
                        </w:pPr>
                        <w:r>
                          <w:rPr>
                            <w:rFonts w:ascii="宋体" w:hAnsi="宋体" w:cs="宋体" w:eastAsia="宋体" w:hint="default"/>
                            <w:spacing w:val="-21"/>
                            <w:w w:val="101"/>
                            <w:sz w:val="18"/>
                            <w:szCs w:val="18"/>
                          </w:rPr>
                          <w:t>《中国证券报》、《证</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券时报》和巨潮资讯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网（</w:t>
                        </w:r>
                        <w:hyperlink r:id="rId37">
                          <w:r>
                            <w:rPr>
                              <w:rFonts w:ascii="Times New Roman" w:hAnsi="Times New Roman" w:cs="Times New Roman" w:eastAsia="Times New Roman" w:hint="default"/>
                              <w:spacing w:val="-3"/>
                              <w:sz w:val="18"/>
                              <w:szCs w:val="18"/>
                            </w:rPr>
                            <w:t>www.cninfo.com</w:t>
                          </w:r>
                        </w:hyperlink>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6"/>
        <w:ind w:left="0" w:right="1146"/>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6"/>
        <w:ind w:left="0" w:right="1146"/>
        <w:jc w:val="right"/>
      </w:pPr>
      <w:r>
        <w:rPr>
          <w:w w:val="101"/>
        </w:rPr>
        <w:t>）</w:t>
      </w:r>
      <w:r>
        <w:rPr/>
      </w:r>
    </w:p>
    <w:p>
      <w:pPr>
        <w:spacing w:line="240" w:lineRule="auto" w:before="7"/>
        <w:rPr>
          <w:rFonts w:ascii="宋体" w:hAnsi="宋体" w:cs="宋体" w:eastAsia="宋体" w:hint="default"/>
          <w:sz w:val="27"/>
          <w:szCs w:val="27"/>
        </w:rPr>
      </w:pPr>
    </w:p>
    <w:p>
      <w:pPr>
        <w:pStyle w:val="Heading3"/>
        <w:spacing w:line="240" w:lineRule="auto" w:before="36"/>
        <w:ind w:right="1126"/>
        <w:jc w:val="left"/>
        <w:rPr>
          <w:b w:val="0"/>
          <w:bCs w:val="0"/>
        </w:rPr>
      </w:pPr>
      <w:bookmarkStart w:name="2、表决权恢复的优先股股东请求召开临时股东大会" w:id="161"/>
      <w:bookmarkEnd w:id="16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060" w:bottom="16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1126"/>
        <w:jc w:val="left"/>
        <w:rPr>
          <w:b w:val="0"/>
          <w:bCs w:val="0"/>
        </w:rPr>
      </w:pPr>
      <w:bookmarkStart w:name="五、报告期内独立董事履行职责的情况" w:id="162"/>
      <w:bookmarkEnd w:id="162"/>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独立董事出席董事会及股东大会的情况" w:id="163"/>
      <w:bookmarkEnd w:id="16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吕廷杰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邓鹏</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张蕊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章卫东</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240" w:lineRule="auto" w:before="54"/>
        <w:ind w:right="0"/>
        <w:jc w:val="both"/>
      </w:pPr>
      <w:r>
        <w:rPr>
          <w:spacing w:val="-3"/>
        </w:rPr>
        <w:t>连续两次未亲自出席董事会的说明：</w:t>
      </w:r>
    </w:p>
    <w:p>
      <w:pPr>
        <w:pStyle w:val="BodyText"/>
        <w:spacing w:line="309" w:lineRule="auto" w:before="115"/>
        <w:ind w:right="1122" w:firstLine="360"/>
        <w:jc w:val="both"/>
      </w:pPr>
      <w:r>
        <w:rPr/>
        <w:t>公司于</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spacing w:val="-4"/>
        </w:rPr>
        <w:t>日召开的第四届董事会第二十八次（定期）会议、</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0"/>
        </w:rPr>
        <w:t> </w:t>
      </w:r>
      <w:r>
        <w:rPr>
          <w:rFonts w:ascii="Times New Roman" w:hAnsi="Times New Roman" w:cs="Times New Roman" w:eastAsia="Times New Roman" w:hint="default"/>
        </w:rPr>
        <w:t>26</w:t>
      </w:r>
      <w:r>
        <w:rPr>
          <w:rFonts w:ascii="Times New Roman" w:hAnsi="Times New Roman" w:cs="Times New Roman" w:eastAsia="Times New Roman" w:hint="default"/>
          <w:spacing w:val="10"/>
        </w:rPr>
        <w:t> </w:t>
      </w:r>
      <w:r>
        <w:rPr>
          <w:spacing w:val="-3"/>
        </w:rPr>
        <w:t>日召开的第四届董事会第二十</w:t>
      </w:r>
      <w:r>
        <w:rPr>
          <w:w w:val="101"/>
        </w:rPr>
        <w:t> </w:t>
      </w:r>
      <w:r>
        <w:rPr>
          <w:spacing w:val="-4"/>
        </w:rPr>
        <w:t>九次（临时）会议期间，独立董事吕廷杰因工作原因，两次董事会会议不能亲自出席参加，但董事会会议的表决已授权其他</w:t>
      </w:r>
      <w:r>
        <w:rPr>
          <w:spacing w:val="40"/>
        </w:rPr>
        <w:t> </w:t>
      </w:r>
      <w:r>
        <w:rPr>
          <w:spacing w:val="40"/>
        </w:rPr>
      </w:r>
      <w:r>
        <w:rPr>
          <w:spacing w:val="-7"/>
          <w:w w:val="101"/>
        </w:rPr>
        <w:t>独立董事代为表决（受托人按吕廷杰书面授权委托书的授权内容履行表决）。公司于</w:t>
      </w:r>
      <w:r>
        <w:rPr>
          <w:spacing w:val="-47"/>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3"/>
          <w:w w:val="101"/>
        </w:rPr>
        <w:t> </w:t>
      </w:r>
      <w:r>
        <w:rPr>
          <w:w w:val="101"/>
        </w:rPr>
        <w:t>年</w:t>
      </w:r>
      <w:r>
        <w:rPr>
          <w:spacing w:val="-48"/>
          <w:w w:val="101"/>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3"/>
          <w:w w:val="101"/>
        </w:rPr>
        <w:t> </w:t>
      </w:r>
      <w:r>
        <w:rPr>
          <w:w w:val="101"/>
        </w:rPr>
        <w:t>月</w:t>
      </w:r>
      <w:r>
        <w:rPr>
          <w:spacing w:val="-48"/>
          <w:w w:val="101"/>
        </w:rPr>
        <w:t> </w:t>
      </w:r>
      <w:r>
        <w:rPr>
          <w:rFonts w:ascii="Times New Roman" w:hAnsi="Times New Roman" w:cs="Times New Roman" w:eastAsia="Times New Roman" w:hint="default"/>
          <w:w w:val="101"/>
        </w:rPr>
        <w:t>24</w:t>
      </w:r>
      <w:r>
        <w:rPr>
          <w:rFonts w:ascii="Times New Roman" w:hAnsi="Times New Roman" w:cs="Times New Roman" w:eastAsia="Times New Roman" w:hint="default"/>
          <w:spacing w:val="-8"/>
          <w:w w:val="101"/>
        </w:rPr>
        <w:t> </w:t>
      </w:r>
      <w:r>
        <w:rPr>
          <w:spacing w:val="-2"/>
          <w:w w:val="101"/>
        </w:rPr>
        <w:t>日召开的第五届董事会</w:t>
      </w:r>
      <w:r>
        <w:rPr>
          <w:spacing w:val="-2"/>
        </w:rPr>
      </w:r>
    </w:p>
    <w:p>
      <w:pPr>
        <w:pStyle w:val="BodyText"/>
        <w:spacing w:line="312" w:lineRule="auto" w:before="5"/>
        <w:ind w:right="1124"/>
        <w:jc w:val="both"/>
      </w:pPr>
      <w:r>
        <w:rPr/>
        <w:t>第二次（临时）会议、</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13 </w:t>
      </w:r>
      <w:r>
        <w:rPr>
          <w:spacing w:val="-3"/>
        </w:rPr>
        <w:t>日召开的第五届董事会第三次（临时）会议期间，独立董事吕廷杰因工作原因，两</w:t>
      </w:r>
      <w:r>
        <w:rPr>
          <w:spacing w:val="-73"/>
        </w:rPr>
        <w:t> </w:t>
      </w:r>
      <w:r>
        <w:rPr>
          <w:spacing w:val="-73"/>
        </w:rPr>
      </w:r>
      <w:r>
        <w:rPr>
          <w:spacing w:val="-4"/>
        </w:rPr>
        <w:t>次董事会会议不能亲自出席参加，但董事会会议的表决已授权其他独立董事代为表决（受托人按吕廷杰书面授权委托书的授</w:t>
      </w:r>
      <w:r>
        <w:rPr>
          <w:spacing w:val="43"/>
        </w:rPr>
        <w:t> </w:t>
      </w:r>
      <w:r>
        <w:rPr>
          <w:spacing w:val="43"/>
        </w:rPr>
      </w:r>
      <w:r>
        <w:rPr>
          <w:spacing w:val="-12"/>
          <w:w w:val="101"/>
        </w:rPr>
        <w:t>权内容履行表决）。</w:t>
      </w:r>
      <w:r>
        <w:rPr>
          <w:spacing w:val="-12"/>
        </w:rPr>
      </w: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bookmarkStart w:name="2、独立董事对公司有关事项提出异议的情况" w:id="164"/>
      <w:bookmarkEnd w:id="16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spacing w:val="-3"/>
        </w:rPr>
        <w:t>独立董事对公司有关事项是否提出异议</w:t>
      </w:r>
    </w:p>
    <w:p>
      <w:pPr>
        <w:pStyle w:val="BodyText"/>
        <w:spacing w:line="343" w:lineRule="auto" w:before="115"/>
        <w:ind w:right="66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5"/>
        <w:rPr>
          <w:rFonts w:ascii="宋体" w:hAnsi="宋体" w:cs="宋体" w:eastAsia="宋体" w:hint="default"/>
          <w:sz w:val="20"/>
          <w:szCs w:val="20"/>
        </w:rPr>
      </w:pPr>
    </w:p>
    <w:p>
      <w:pPr>
        <w:pStyle w:val="Heading3"/>
        <w:spacing w:line="240" w:lineRule="auto"/>
        <w:ind w:right="0"/>
        <w:jc w:val="both"/>
        <w:rPr>
          <w:b w:val="0"/>
          <w:bCs w:val="0"/>
        </w:rPr>
      </w:pPr>
      <w:bookmarkStart w:name="3、独立董事履行职责的其他说明" w:id="165"/>
      <w:bookmarkEnd w:id="16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spacing w:val="-3"/>
        </w:rPr>
        <w:t>独立董事对公司有关建议是否被采纳</w:t>
      </w:r>
    </w:p>
    <w:p>
      <w:pPr>
        <w:pStyle w:val="BodyText"/>
        <w:spacing w:line="343" w:lineRule="auto" w:before="115"/>
        <w:ind w:right="66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Heading4"/>
        <w:spacing w:line="408" w:lineRule="auto" w:before="89"/>
        <w:ind w:right="1125" w:firstLine="422"/>
        <w:jc w:val="both"/>
      </w:pPr>
      <w:r>
        <w:rPr>
          <w:spacing w:val="-2"/>
        </w:rPr>
        <w:t>独立董事通过认真审阅公司董事会及专门委员会的各项议案，及时了解和沟通，发表独立意见，行使</w:t>
      </w:r>
      <w:r>
        <w:rPr>
          <w:w w:val="100"/>
        </w:rPr>
        <w:t> </w:t>
      </w:r>
      <w:r>
        <w:rPr>
          <w:spacing w:val="-2"/>
        </w:rPr>
        <w:t>其职权；通过发表事前意见和独立意见等方式，对公司关联交易、利润分配、对外担保、聘请审计机构等</w:t>
      </w:r>
      <w:r>
        <w:rPr>
          <w:spacing w:val="-38"/>
        </w:rPr>
        <w:t> </w:t>
      </w:r>
      <w:r>
        <w:rPr>
          <w:spacing w:val="-38"/>
        </w:rPr>
      </w:r>
      <w:r>
        <w:rPr>
          <w:spacing w:val="-2"/>
        </w:rPr>
        <w:t>其他需要独立董事发表意见的事项发表专业意见；独立董事关注公司运作的规范性，现场了解公司的经营</w:t>
      </w:r>
      <w:r>
        <w:rPr>
          <w:spacing w:val="-33"/>
        </w:rPr>
        <w:t> </w:t>
      </w:r>
      <w:r>
        <w:rPr>
          <w:spacing w:val="-33"/>
        </w:rPr>
      </w:r>
      <w:r>
        <w:rPr/>
        <w:t>情况，</w:t>
      </w:r>
      <w:r>
        <w:rPr>
          <w:spacing w:val="-17"/>
        </w:rPr>
        <w:t> </w:t>
      </w:r>
      <w:r>
        <w:rPr/>
        <w:t>积极履行作为独立董事义务与职责。</w:t>
      </w:r>
    </w:p>
    <w:p>
      <w:pPr>
        <w:pStyle w:val="Heading4"/>
        <w:spacing w:line="408" w:lineRule="auto" w:before="48"/>
        <w:ind w:right="1120" w:firstLine="422"/>
        <w:jc w:val="both"/>
      </w:pPr>
      <w:r>
        <w:rPr>
          <w:spacing w:val="-2"/>
        </w:rPr>
        <w:t>独立董事独立地发表了专业性的意见，对公司财务报表、经营活动和投资决策进行了有效监督，有助</w:t>
      </w:r>
      <w:r>
        <w:rPr>
          <w:w w:val="100"/>
        </w:rPr>
        <w:t> </w:t>
      </w:r>
      <w:r>
        <w:rPr/>
        <w:t>于完善公司内部控制机制，提高公司管理水平，维护公司和全体股东的合法权益。</w:t>
      </w:r>
    </w:p>
    <w:p>
      <w:pPr>
        <w:spacing w:after="0" w:line="408" w:lineRule="auto"/>
        <w:jc w:val="both"/>
        <w:sectPr>
          <w:pgSz w:w="11910" w:h="16840"/>
          <w:pgMar w:header="871" w:footer="1474" w:top="1060" w:bottom="16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26"/>
        <w:jc w:val="left"/>
        <w:rPr>
          <w:b w:val="0"/>
          <w:bCs w:val="0"/>
        </w:rPr>
      </w:pPr>
      <w:bookmarkStart w:name="六、董事会下设专门委员会在报告期内履行职责情况" w:id="166"/>
      <w:bookmarkEnd w:id="166"/>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Heading4"/>
        <w:spacing w:line="516" w:lineRule="auto"/>
        <w:ind w:left="714" w:right="2204"/>
        <w:jc w:val="left"/>
      </w:pPr>
      <w:r>
        <w:rPr>
          <w:rFonts w:ascii="Times New Roman" w:hAnsi="Times New Roman" w:cs="Times New Roman" w:eastAsia="Times New Roman" w:hint="default"/>
          <w:b/>
          <w:bCs/>
        </w:rPr>
        <w:t>1</w:t>
      </w:r>
      <w:r>
        <w:rPr>
          <w:rFonts w:ascii="宋体" w:hAnsi="宋体" w:cs="宋体" w:eastAsia="宋体" w:hint="default"/>
          <w:b/>
          <w:bCs/>
        </w:rPr>
        <w:t>、审计委员会</w:t>
      </w:r>
      <w:r>
        <w:rPr>
          <w:rFonts w:ascii="宋体" w:hAnsi="宋体" w:cs="宋体" w:eastAsia="宋体" w:hint="default"/>
          <w:b/>
          <w:bCs/>
          <w:spacing w:val="-103"/>
        </w:rPr>
        <w:t> </w:t>
      </w:r>
      <w:r>
        <w:rPr>
          <w:spacing w:val="-2"/>
        </w:rPr>
        <w:t>董事会审计委员会主要负责公司内、外部审计的沟通、监督和核查工作。</w:t>
      </w:r>
    </w:p>
    <w:p>
      <w:pPr>
        <w:pStyle w:val="Heading4"/>
        <w:spacing w:line="384" w:lineRule="auto" w:before="112"/>
        <w:ind w:right="1123" w:firstLine="561"/>
        <w:jc w:val="both"/>
      </w:pPr>
      <w:r>
        <w:rPr/>
        <w:t>报告期内，审计委员会召开会议</w:t>
      </w:r>
      <w:r>
        <w:rPr>
          <w:rFonts w:ascii="Times New Roman" w:hAnsi="Times New Roman" w:cs="Times New Roman" w:eastAsia="Times New Roman" w:hint="default"/>
        </w:rPr>
        <w:t>7</w:t>
      </w:r>
      <w:r>
        <w:rPr/>
        <w:t>次，审议了公司定期报告、</w:t>
      </w:r>
      <w:r>
        <w:rPr>
          <w:spacing w:val="30"/>
        </w:rPr>
        <w:t> </w:t>
      </w:r>
      <w:r>
        <w:rPr>
          <w:rFonts w:ascii="Times New Roman" w:hAnsi="Times New Roman" w:cs="Times New Roman" w:eastAsia="Times New Roman" w:hint="default"/>
        </w:rPr>
        <w:t>2018</w:t>
      </w:r>
      <w:r>
        <w:rPr/>
        <w:t>年度计提资产减值准备、核销应</w:t>
      </w:r>
      <w:r>
        <w:rPr>
          <w:w w:val="100"/>
        </w:rPr>
        <w:t> </w:t>
      </w:r>
      <w:r>
        <w:rPr>
          <w:spacing w:val="-2"/>
        </w:rPr>
        <w:t>收账款、</w:t>
      </w:r>
      <w:r>
        <w:rPr>
          <w:rFonts w:ascii="Times New Roman" w:hAnsi="Times New Roman" w:cs="Times New Roman" w:eastAsia="Times New Roman" w:hint="default"/>
          <w:spacing w:val="-2"/>
        </w:rPr>
        <w:t>2019</w:t>
      </w:r>
      <w:r>
        <w:rPr>
          <w:spacing w:val="-2"/>
        </w:rPr>
        <w:t>年追加申请银行综合授信额度、</w:t>
      </w:r>
      <w:r>
        <w:rPr>
          <w:rFonts w:ascii="Times New Roman" w:hAnsi="Times New Roman" w:cs="Times New Roman" w:eastAsia="Times New Roman" w:hint="default"/>
          <w:spacing w:val="-2"/>
        </w:rPr>
        <w:t>2019</w:t>
      </w:r>
      <w:r>
        <w:rPr>
          <w:spacing w:val="-2"/>
        </w:rPr>
        <w:t>年各项对外担保事项、公司符合发行公司债券条件及发</w:t>
      </w:r>
      <w:r>
        <w:rPr>
          <w:spacing w:val="-24"/>
        </w:rPr>
        <w:t> </w:t>
      </w:r>
      <w:r>
        <w:rPr>
          <w:spacing w:val="-24"/>
        </w:rPr>
      </w:r>
      <w:r>
        <w:rPr>
          <w:spacing w:val="-6"/>
        </w:rPr>
        <w:t>行公司债券方案、募集资金存放和使用管理、会计政策变更、提名公司内部审计部门负责人、选聘公司</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年度审计机构等事项，不存在异议事项。</w:t>
      </w:r>
    </w:p>
    <w:p>
      <w:pPr>
        <w:spacing w:line="240" w:lineRule="auto" w:before="1"/>
        <w:rPr>
          <w:rFonts w:ascii="宋体" w:hAnsi="宋体" w:cs="宋体" w:eastAsia="宋体" w:hint="default"/>
          <w:sz w:val="17"/>
          <w:szCs w:val="17"/>
        </w:rPr>
      </w:pPr>
    </w:p>
    <w:p>
      <w:pPr>
        <w:pStyle w:val="Heading3"/>
        <w:spacing w:line="240" w:lineRule="auto"/>
        <w:ind w:left="714" w:right="1126"/>
        <w:jc w:val="left"/>
        <w:rPr>
          <w:b w:val="0"/>
          <w:bCs w:val="0"/>
        </w:rPr>
      </w:pPr>
      <w:r>
        <w:rPr>
          <w:rFonts w:ascii="Times New Roman" w:hAnsi="Times New Roman" w:cs="Times New Roman" w:eastAsia="Times New Roman" w:hint="default"/>
        </w:rPr>
        <w:t>2</w:t>
      </w:r>
      <w:r>
        <w:rPr/>
        <w:t>、薪酬与考核委员会</w:t>
      </w:r>
      <w:r>
        <w:rPr>
          <w:b w:val="0"/>
          <w:bCs w:val="0"/>
        </w:rPr>
      </w:r>
    </w:p>
    <w:p>
      <w:pPr>
        <w:spacing w:line="240" w:lineRule="auto" w:before="12"/>
        <w:rPr>
          <w:rFonts w:ascii="宋体" w:hAnsi="宋体" w:cs="宋体" w:eastAsia="宋体" w:hint="default"/>
          <w:b/>
          <w:bCs/>
          <w:sz w:val="25"/>
          <w:szCs w:val="25"/>
        </w:rPr>
      </w:pPr>
    </w:p>
    <w:p>
      <w:pPr>
        <w:pStyle w:val="Heading4"/>
        <w:spacing w:line="405" w:lineRule="auto"/>
        <w:ind w:right="1126" w:firstLine="561"/>
        <w:jc w:val="left"/>
      </w:pPr>
      <w:r>
        <w:rPr/>
        <w:t>薪酬与考核委员会主要负责制定公司董事及高级管理人员的考核标准并进行考核；负责制定、审查</w:t>
      </w:r>
      <w:r>
        <w:rPr>
          <w:w w:val="100"/>
        </w:rPr>
        <w:t> </w:t>
      </w:r>
      <w:r>
        <w:rPr/>
        <w:t>公司董事及高级管理人员的薪酬政策与方案。</w:t>
      </w:r>
    </w:p>
    <w:p>
      <w:pPr>
        <w:spacing w:line="240" w:lineRule="auto" w:before="13"/>
        <w:rPr>
          <w:rFonts w:ascii="宋体" w:hAnsi="宋体" w:cs="宋体" w:eastAsia="宋体" w:hint="default"/>
          <w:sz w:val="15"/>
          <w:szCs w:val="15"/>
        </w:rPr>
      </w:pPr>
    </w:p>
    <w:p>
      <w:pPr>
        <w:pStyle w:val="Heading4"/>
        <w:spacing w:line="381" w:lineRule="auto"/>
        <w:ind w:right="1126" w:firstLine="561"/>
        <w:jc w:val="left"/>
      </w:pPr>
      <w:r>
        <w:rPr>
          <w:spacing w:val="-3"/>
        </w:rPr>
        <w:t>报告期内，薪酬与考核委员会召开会议</w:t>
      </w:r>
      <w:r>
        <w:rPr>
          <w:rFonts w:ascii="Times New Roman" w:hAnsi="Times New Roman" w:cs="Times New Roman" w:eastAsia="Times New Roman" w:hint="default"/>
          <w:spacing w:val="-3"/>
        </w:rPr>
        <w:t>1</w:t>
      </w:r>
      <w:r>
        <w:rPr>
          <w:spacing w:val="-3"/>
        </w:rPr>
        <w:t>次，审议了确认</w:t>
      </w:r>
      <w:r>
        <w:rPr>
          <w:rFonts w:ascii="Times New Roman" w:hAnsi="Times New Roman" w:cs="Times New Roman" w:eastAsia="Times New Roman" w:hint="default"/>
          <w:spacing w:val="-3"/>
        </w:rPr>
        <w:t>2018</w:t>
      </w:r>
      <w:r>
        <w:rPr>
          <w:spacing w:val="-3"/>
        </w:rPr>
        <w:t>年董事长和副董事长、高级管理人员薪</w:t>
      </w:r>
      <w:r>
        <w:rPr>
          <w:w w:val="100"/>
        </w:rPr>
        <w:t> </w:t>
      </w:r>
      <w:r>
        <w:rPr/>
        <w:t>酬的事项，不存在异议事项。</w:t>
      </w:r>
    </w:p>
    <w:p>
      <w:pPr>
        <w:spacing w:line="240" w:lineRule="auto" w:before="3"/>
        <w:rPr>
          <w:rFonts w:ascii="宋体" w:hAnsi="宋体" w:cs="宋体" w:eastAsia="宋体" w:hint="default"/>
          <w:sz w:val="17"/>
          <w:szCs w:val="17"/>
        </w:rPr>
      </w:pPr>
    </w:p>
    <w:p>
      <w:pPr>
        <w:pStyle w:val="Heading3"/>
        <w:spacing w:line="240" w:lineRule="auto"/>
        <w:ind w:left="714" w:right="1126"/>
        <w:jc w:val="left"/>
        <w:rPr>
          <w:b w:val="0"/>
          <w:bCs w:val="0"/>
        </w:rPr>
      </w:pPr>
      <w:r>
        <w:rPr>
          <w:rFonts w:ascii="Times New Roman" w:hAnsi="Times New Roman" w:cs="Times New Roman" w:eastAsia="Times New Roman" w:hint="default"/>
        </w:rPr>
        <w:t>3</w:t>
      </w:r>
      <w:r>
        <w:rPr/>
        <w:t>、提名委员会</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714" w:right="1126"/>
        <w:jc w:val="left"/>
      </w:pPr>
      <w:r>
        <w:rPr/>
        <w:t>董事会提名委员会主要负责对公司董事和高级管理人员的人选、选择标准和程序进行选择并提出建</w:t>
      </w:r>
    </w:p>
    <w:p>
      <w:pPr>
        <w:spacing w:line="240" w:lineRule="auto" w:before="8"/>
        <w:rPr>
          <w:rFonts w:ascii="宋体" w:hAnsi="宋体" w:cs="宋体" w:eastAsia="宋体" w:hint="default"/>
          <w:sz w:val="14"/>
          <w:szCs w:val="14"/>
        </w:rPr>
      </w:pPr>
    </w:p>
    <w:p>
      <w:pPr>
        <w:pStyle w:val="Heading4"/>
        <w:spacing w:line="240" w:lineRule="auto"/>
        <w:ind w:right="1126"/>
        <w:jc w:val="left"/>
      </w:pPr>
      <w:r>
        <w:rPr/>
        <w:t>议。</w:t>
      </w:r>
    </w:p>
    <w:p>
      <w:pPr>
        <w:spacing w:line="240" w:lineRule="auto" w:before="1"/>
        <w:rPr>
          <w:rFonts w:ascii="宋体" w:hAnsi="宋体" w:cs="宋体" w:eastAsia="宋体" w:hint="default"/>
          <w:sz w:val="27"/>
          <w:szCs w:val="27"/>
        </w:rPr>
      </w:pPr>
    </w:p>
    <w:p>
      <w:pPr>
        <w:pStyle w:val="Heading4"/>
        <w:spacing w:line="396" w:lineRule="auto"/>
        <w:ind w:right="1124" w:firstLine="561"/>
        <w:jc w:val="both"/>
      </w:pPr>
      <w:r>
        <w:rPr>
          <w:spacing w:val="-3"/>
        </w:rPr>
        <w:t>报告期内，提名委员会召开会议</w:t>
      </w:r>
      <w:r>
        <w:rPr>
          <w:rFonts w:ascii="Times New Roman" w:hAnsi="Times New Roman" w:cs="Times New Roman" w:eastAsia="Times New Roman" w:hint="default"/>
          <w:spacing w:val="-3"/>
        </w:rPr>
        <w:t>3</w:t>
      </w:r>
      <w:r>
        <w:rPr>
          <w:spacing w:val="-3"/>
        </w:rPr>
        <w:t>次，分别对公司第五届董事会独立董事候选人和非独立董事候选人</w:t>
      </w:r>
      <w:r>
        <w:rPr>
          <w:w w:val="100"/>
        </w:rPr>
        <w:t> </w:t>
      </w:r>
      <w:r>
        <w:rPr>
          <w:spacing w:val="-2"/>
        </w:rPr>
        <w:t>进行了资格审查及提名；提名了公司第五届董事会董事长、副董事长，以及公司总裁、副总裁、董事会秘</w:t>
      </w:r>
      <w:r>
        <w:rPr>
          <w:spacing w:val="-35"/>
        </w:rPr>
        <w:t> </w:t>
      </w:r>
      <w:r>
        <w:rPr>
          <w:spacing w:val="-35"/>
        </w:rPr>
      </w:r>
      <w:r>
        <w:rPr/>
        <w:t>书和财务负责人，不存在异议事项。</w:t>
      </w:r>
    </w:p>
    <w:p>
      <w:pPr>
        <w:spacing w:line="240" w:lineRule="auto" w:before="3"/>
        <w:rPr>
          <w:rFonts w:ascii="宋体" w:hAnsi="宋体" w:cs="宋体" w:eastAsia="宋体" w:hint="default"/>
          <w:sz w:val="16"/>
          <w:szCs w:val="16"/>
        </w:rPr>
      </w:pPr>
    </w:p>
    <w:p>
      <w:pPr>
        <w:pStyle w:val="Heading3"/>
        <w:spacing w:line="240" w:lineRule="auto"/>
        <w:ind w:left="714" w:right="1126"/>
        <w:jc w:val="left"/>
        <w:rPr>
          <w:b w:val="0"/>
          <w:bCs w:val="0"/>
        </w:rPr>
      </w:pPr>
      <w:r>
        <w:rPr>
          <w:rFonts w:ascii="Times New Roman" w:hAnsi="Times New Roman" w:cs="Times New Roman" w:eastAsia="Times New Roman" w:hint="default"/>
        </w:rPr>
        <w:t>4</w:t>
      </w:r>
      <w:r>
        <w:rPr/>
        <w:t>、战略委员会</w:t>
      </w:r>
      <w:r>
        <w:rPr>
          <w:b w:val="0"/>
          <w:bCs w:val="0"/>
        </w:rPr>
      </w:r>
    </w:p>
    <w:p>
      <w:pPr>
        <w:spacing w:line="240" w:lineRule="auto" w:before="11"/>
        <w:rPr>
          <w:rFonts w:ascii="宋体" w:hAnsi="宋体" w:cs="宋体" w:eastAsia="宋体" w:hint="default"/>
          <w:b/>
          <w:bCs/>
          <w:sz w:val="25"/>
          <w:szCs w:val="25"/>
        </w:rPr>
      </w:pPr>
    </w:p>
    <w:p>
      <w:pPr>
        <w:pStyle w:val="Heading4"/>
        <w:spacing w:line="403" w:lineRule="auto"/>
        <w:ind w:right="1126" w:firstLine="561"/>
        <w:jc w:val="left"/>
      </w:pPr>
      <w:r>
        <w:rPr/>
        <w:t>战略委员会是公司董事会授权的项目投资决策机构，主要负责对公司长期发展战略进行研究并提出</w:t>
      </w:r>
      <w:r>
        <w:rPr>
          <w:w w:val="100"/>
        </w:rPr>
        <w:t> </w:t>
      </w:r>
      <w:r>
        <w:rPr/>
        <w:t>建议，并对公司董事会授权范围内的拟投资项目及投资方案等进行决策。</w:t>
      </w:r>
    </w:p>
    <w:p>
      <w:pPr>
        <w:spacing w:line="240" w:lineRule="auto" w:before="10"/>
        <w:rPr>
          <w:rFonts w:ascii="宋体" w:hAnsi="宋体" w:cs="宋体" w:eastAsia="宋体" w:hint="default"/>
          <w:sz w:val="15"/>
          <w:szCs w:val="15"/>
        </w:rPr>
      </w:pPr>
    </w:p>
    <w:p>
      <w:pPr>
        <w:pStyle w:val="Heading4"/>
        <w:spacing w:line="240" w:lineRule="auto"/>
        <w:ind w:left="714" w:right="1126"/>
        <w:jc w:val="left"/>
      </w:pPr>
      <w:r>
        <w:rPr/>
        <w:t>报告期内公司未召开战略委员会。</w:t>
      </w:r>
    </w:p>
    <w:p>
      <w:pPr>
        <w:spacing w:line="240" w:lineRule="auto" w:before="10"/>
        <w:rPr>
          <w:rFonts w:ascii="宋体" w:hAnsi="宋体" w:cs="宋体" w:eastAsia="宋体" w:hint="default"/>
          <w:sz w:val="24"/>
          <w:szCs w:val="24"/>
        </w:rPr>
      </w:pPr>
    </w:p>
    <w:p>
      <w:pPr>
        <w:pStyle w:val="Heading2"/>
        <w:spacing w:line="240" w:lineRule="auto"/>
        <w:ind w:right="1126"/>
        <w:jc w:val="left"/>
        <w:rPr>
          <w:b w:val="0"/>
          <w:bCs w:val="0"/>
        </w:rPr>
      </w:pPr>
      <w:r>
        <w:rPr/>
        <w:t>七、监事会工作情况</w:t>
      </w:r>
      <w:r>
        <w:rPr>
          <w:b w:val="0"/>
          <w:bCs w:val="0"/>
        </w:rPr>
      </w:r>
    </w:p>
    <w:p>
      <w:pPr>
        <w:spacing w:line="240" w:lineRule="auto" w:before="2"/>
        <w:rPr>
          <w:rFonts w:ascii="宋体" w:hAnsi="宋体" w:cs="宋体" w:eastAsia="宋体" w:hint="default"/>
          <w:b/>
          <w:bCs/>
          <w:sz w:val="22"/>
          <w:szCs w:val="22"/>
        </w:rPr>
      </w:pPr>
    </w:p>
    <w:p>
      <w:pPr>
        <w:pStyle w:val="BodyText"/>
        <w:spacing w:line="240" w:lineRule="auto"/>
        <w:ind w:right="1126"/>
        <w:jc w:val="left"/>
      </w:pPr>
      <w:r>
        <w:rPr>
          <w:spacing w:val="-3"/>
        </w:rPr>
        <w:t>监事会在报告期内的监督活动中发现公司是否存在风险</w:t>
      </w:r>
    </w:p>
    <w:p>
      <w:pPr>
        <w:pStyle w:val="BodyText"/>
        <w:spacing w:line="240" w:lineRule="auto" w:before="119"/>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1" w:footer="1474" w:top="1060" w:bottom="16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1126"/>
        <w:jc w:val="left"/>
      </w:pPr>
      <w:r>
        <w:rPr>
          <w:spacing w:val="-3"/>
        </w:rPr>
        <w:t>监事会对报告期内的监督事项无异议。</w:t>
      </w:r>
    </w:p>
    <w:p>
      <w:pPr>
        <w:spacing w:line="240" w:lineRule="auto" w:before="13"/>
        <w:rPr>
          <w:rFonts w:ascii="宋体" w:hAnsi="宋体" w:cs="宋体" w:eastAsia="宋体" w:hint="default"/>
          <w:sz w:val="23"/>
          <w:szCs w:val="23"/>
        </w:rPr>
      </w:pPr>
    </w:p>
    <w:p>
      <w:pPr>
        <w:spacing w:line="559" w:lineRule="auto" w:before="0"/>
        <w:ind w:left="153" w:right="1126" w:firstLine="0"/>
        <w:jc w:val="left"/>
        <w:rPr>
          <w:rFonts w:ascii="宋体" w:hAnsi="宋体" w:cs="宋体" w:eastAsia="宋体" w:hint="default"/>
          <w:sz w:val="24"/>
          <w:szCs w:val="24"/>
        </w:rPr>
      </w:pPr>
      <w:bookmarkStart w:name="八、高级管理人员的考评及激励情况" w:id="167"/>
      <w:bookmarkEnd w:id="167"/>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pacing w:val="-2"/>
          <w:sz w:val="21"/>
          <w:szCs w:val="21"/>
        </w:rPr>
        <w:t>公司对高级管理人员制订绩效考核指标书，并进行绩效考核，考核结果关联高级管理人员的变动收入。</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公司制定激励奖金计提方案，根据公司当年的实际经营情况对高级管理人员进行年度激励。</w:t>
      </w:r>
      <w:r>
        <w:rPr>
          <w:rFonts w:ascii="宋体" w:hAnsi="宋体" w:cs="宋体" w:eastAsia="宋体" w:hint="default"/>
          <w:spacing w:val="-102"/>
          <w:sz w:val="21"/>
          <w:szCs w:val="21"/>
        </w:rPr>
        <w:t> </w:t>
      </w:r>
      <w:r>
        <w:rPr>
          <w:rFonts w:ascii="宋体" w:hAnsi="宋体" w:cs="宋体" w:eastAsia="宋体" w:hint="default"/>
          <w:spacing w:val="-102"/>
          <w:sz w:val="21"/>
          <w:szCs w:val="21"/>
        </w:rPr>
      </w:r>
      <w:bookmarkStart w:name="九、内部控制评价报告" w:id="168"/>
      <w:bookmarkEnd w:id="168"/>
      <w:r>
        <w:rPr>
          <w:rFonts w:ascii="宋体" w:hAnsi="宋体" w:cs="宋体" w:eastAsia="宋体" w:hint="default"/>
          <w:spacing w:val="-102"/>
          <w:sz w:val="21"/>
          <w:szCs w:val="21"/>
        </w:rPr>
      </w:r>
      <w:r>
        <w:rPr>
          <w:rFonts w:ascii="宋体" w:hAnsi="宋体" w:cs="宋体" w:eastAsia="宋体" w:hint="default"/>
          <w:b/>
          <w:bCs/>
          <w:sz w:val="24"/>
          <w:szCs w:val="24"/>
        </w:rPr>
        <w:t>九、内部控制评价报告</w:t>
      </w:r>
      <w:r>
        <w:rPr>
          <w:rFonts w:ascii="宋体" w:hAnsi="宋体" w:cs="宋体" w:eastAsia="宋体" w:hint="default"/>
          <w:sz w:val="24"/>
          <w:szCs w:val="24"/>
        </w:rPr>
      </w:r>
    </w:p>
    <w:p>
      <w:pPr>
        <w:pStyle w:val="Heading3"/>
        <w:spacing w:line="240" w:lineRule="auto" w:before="11"/>
        <w:ind w:right="1126"/>
        <w:jc w:val="left"/>
        <w:rPr>
          <w:b w:val="0"/>
          <w:bCs w:val="0"/>
        </w:rPr>
      </w:pPr>
      <w:bookmarkStart w:name="1、报告期内发现的内部控制重大缺陷的具体情况" w:id="169"/>
      <w:bookmarkEnd w:id="16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5"/>
          <w:szCs w:val="25"/>
        </w:rPr>
      </w:pPr>
    </w:p>
    <w:p>
      <w:pPr>
        <w:pStyle w:val="Heading3"/>
        <w:spacing w:line="240" w:lineRule="auto"/>
        <w:ind w:right="1126"/>
        <w:jc w:val="left"/>
        <w:rPr>
          <w:b w:val="0"/>
          <w:bCs w:val="0"/>
        </w:rPr>
      </w:pPr>
      <w:bookmarkStart w:name="2、内控自我评价报告" w:id="170"/>
      <w:bookmarkEnd w:id="17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BodyText"/>
        <w:spacing w:line="240" w:lineRule="auto" w:before="46"/>
        <w:ind w:left="0" w:right="1151"/>
        <w:jc w:val="right"/>
      </w:pPr>
      <w:r>
        <w:rPr/>
        <w:pict>
          <v:shape style="position:absolute;margin-left:56.424pt;margin-top:-191.708282pt;width:479.25pt;height:390.8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8"/>
                    <w:gridCol w:w="3735"/>
                    <w:gridCol w:w="3037"/>
                  </w:tblGrid>
                  <w:tr>
                    <w:trPr>
                      <w:trHeight w:val="403"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7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7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pacing w:val="-3"/>
                            <w:sz w:val="18"/>
                            <w:szCs w:val="18"/>
                          </w:rPr>
                          <w:t>详见刊登于巨潮资讯网（</w:t>
                        </w:r>
                        <w:hyperlink r:id="rId29">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w:t>
                        </w:r>
                        <w:r>
                          <w:rPr>
                            <w:rFonts w:ascii="Times New Roman" w:hAnsi="Times New Roman" w:cs="Times New Roman" w:eastAsia="Times New Roman" w:hint="default"/>
                            <w:spacing w:val="-3"/>
                            <w:sz w:val="18"/>
                            <w:szCs w:val="18"/>
                          </w:rPr>
                          <w:t>2019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年度内部控制自我评价报告》</w:t>
                        </w:r>
                      </w:p>
                    </w:tc>
                  </w:tr>
                  <w:tr>
                    <w:trPr>
                      <w:trHeight w:val="711"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5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合并财务报表资产总额的比例</w:t>
                        </w:r>
                      </w:p>
                    </w:tc>
                    <w:tc>
                      <w:tcPr>
                        <w:tcW w:w="67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5"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合并财务报表营业收入的比例</w:t>
                        </w:r>
                      </w:p>
                    </w:tc>
                    <w:tc>
                      <w:tcPr>
                        <w:tcW w:w="677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4"/>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2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5" w:type="dxa"/>
                        <w:vMerge w:val="restart"/>
                        <w:tcBorders>
                          <w:top w:val="single" w:sz="4" w:space="0" w:color="000000"/>
                          <w:left w:val="single" w:sz="10" w:space="0" w:color="D2D2D2"/>
                          <w:right w:val="single" w:sz="10" w:space="0" w:color="FFFFFF"/>
                        </w:tcBorders>
                      </w:tcPr>
                      <w:p>
                        <w:pPr>
                          <w:pStyle w:val="TableParagraph"/>
                          <w:spacing w:line="304" w:lineRule="auto" w:before="53"/>
                          <w:ind w:left="22" w:right="22"/>
                          <w:jc w:val="left"/>
                          <w:rPr>
                            <w:rFonts w:ascii="宋体" w:hAnsi="宋体" w:cs="宋体" w:eastAsia="宋体" w:hint="default"/>
                            <w:sz w:val="18"/>
                            <w:szCs w:val="18"/>
                          </w:rPr>
                        </w:pP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、财务报告重大缺陷的迹象包括：（</w:t>
                        </w: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）公司董</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7"/>
                            <w:w w:val="101"/>
                            <w:sz w:val="18"/>
                            <w:szCs w:val="18"/>
                          </w:rPr>
                          <w:t>事、监事或高管人员的舞弊行为；（</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）发现当</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期财务报表的重大错报，而管理层未能在内控</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7"/>
                            <w:w w:val="101"/>
                            <w:sz w:val="18"/>
                            <w:szCs w:val="18"/>
                          </w:rPr>
                          <w:t>运行过程中发现；（</w:t>
                        </w:r>
                        <w:r>
                          <w:rPr>
                            <w:rFonts w:ascii="Times New Roman" w:hAnsi="Times New Roman" w:cs="Times New Roman" w:eastAsia="Times New Roman" w:hint="default"/>
                            <w:spacing w:val="-7"/>
                            <w:w w:val="101"/>
                            <w:sz w:val="18"/>
                            <w:szCs w:val="18"/>
                          </w:rPr>
                          <w:t>3</w:t>
                        </w:r>
                        <w:r>
                          <w:rPr>
                            <w:rFonts w:ascii="宋体" w:hAnsi="宋体" w:cs="宋体" w:eastAsia="宋体" w:hint="default"/>
                            <w:spacing w:val="-7"/>
                            <w:w w:val="101"/>
                            <w:sz w:val="18"/>
                            <w:szCs w:val="18"/>
                          </w:rPr>
                          <w:t>）内部控制评价的结果，</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7"/>
                            <w:w w:val="101"/>
                            <w:sz w:val="18"/>
                            <w:szCs w:val="18"/>
                          </w:rPr>
                          <w:t>重大缺陷未得到整改；（</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）审计委员会和内部</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4"/>
                            <w:sz w:val="18"/>
                            <w:szCs w:val="18"/>
                          </w:rPr>
                          <w:t>审计机构对内部控制的监督无效。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、财务报告</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7"/>
                            <w:w w:val="101"/>
                            <w:sz w:val="18"/>
                            <w:szCs w:val="18"/>
                          </w:rPr>
                          <w:t>重要缺陷的迹象包括：（</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）未依照公认会计准</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7"/>
                            <w:w w:val="101"/>
                            <w:sz w:val="18"/>
                            <w:szCs w:val="18"/>
                          </w:rPr>
                          <w:t>则选择和应用会计政策；（</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）未建立反舞弊程</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7"/>
                            <w:w w:val="101"/>
                            <w:sz w:val="18"/>
                            <w:szCs w:val="18"/>
                          </w:rPr>
                          <w:t>序和控制措施；（</w:t>
                        </w:r>
                        <w:r>
                          <w:rPr>
                            <w:rFonts w:ascii="Times New Roman" w:hAnsi="Times New Roman" w:cs="Times New Roman" w:eastAsia="Times New Roman" w:hint="default"/>
                            <w:spacing w:val="-7"/>
                            <w:w w:val="101"/>
                            <w:sz w:val="18"/>
                            <w:szCs w:val="18"/>
                          </w:rPr>
                          <w:t>3</w:t>
                        </w:r>
                        <w:r>
                          <w:rPr>
                            <w:rFonts w:ascii="宋体" w:hAnsi="宋体" w:cs="宋体" w:eastAsia="宋体" w:hint="default"/>
                            <w:spacing w:val="-7"/>
                            <w:w w:val="101"/>
                            <w:sz w:val="18"/>
                            <w:szCs w:val="18"/>
                          </w:rPr>
                          <w:t>）对于非常规或特殊交易的</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账务处理没有建立相应的控制机制或没有实施</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7"/>
                            <w:w w:val="101"/>
                            <w:sz w:val="18"/>
                            <w:szCs w:val="18"/>
                          </w:rPr>
                          <w:t>且没有相应的补偿性控制；（</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）对于期末财务</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报告过程的控制存在一项或多项缺陷且不能合</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4"/>
                            <w:sz w:val="18"/>
                            <w:szCs w:val="18"/>
                          </w:rPr>
                          <w:t>理保证编制的财务报表达到真实、准确的目标</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、一般缺陷是指除上述重大缺陷、重要缺陷之</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外的其他控制缺陷。</w:t>
                        </w:r>
                      </w:p>
                    </w:tc>
                    <w:tc>
                      <w:tcPr>
                        <w:tcW w:w="3037"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4" w:right="12"/>
                          <w:jc w:val="left"/>
                          <w:rPr>
                            <w:rFonts w:ascii="宋体" w:hAnsi="宋体" w:cs="宋体" w:eastAsia="宋体" w:hint="default"/>
                            <w:sz w:val="18"/>
                            <w:szCs w:val="18"/>
                          </w:rPr>
                        </w:pPr>
                        <w:r>
                          <w:rPr>
                            <w:rFonts w:ascii="宋体" w:hAnsi="宋体" w:cs="宋体" w:eastAsia="宋体" w:hint="default"/>
                            <w:spacing w:val="-3"/>
                            <w:sz w:val="18"/>
                            <w:szCs w:val="18"/>
                          </w:rPr>
                          <w:t>出现以下情形的，可认定为重大缺陷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其他情形按影响程度分别确定为重要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缺陷或一般缺陷：</w:t>
                        </w:r>
                        <w:r>
                          <w:rPr>
                            <w:rFonts w:ascii="宋体" w:hAnsi="宋体" w:cs="宋体" w:eastAsia="宋体" w:hint="default"/>
                            <w:spacing w:val="-15"/>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、缺乏民主决策程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序、决策程序不科学，出现重大失误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给公司造成重大财产损失；</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、严重违</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反国家法律法规；</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、缺乏重要的业务</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管理制度或制度运行系统性失效；</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5"/>
                            <w:sz w:val="18"/>
                            <w:szCs w:val="18"/>
                          </w:rPr>
                          <w:t> </w:t>
                        </w:r>
                        <w:r>
                          <w:rPr>
                            <w:rFonts w:ascii="宋体" w:hAnsi="宋体" w:cs="宋体" w:eastAsia="宋体" w:hint="default"/>
                            <w:spacing w:val="-3"/>
                            <w:sz w:val="18"/>
                            <w:szCs w:val="18"/>
                          </w:rPr>
                          <w:t>公司的重大或重要内控缺陷不能得到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及时整改；</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、公司持续或大量出现重</w:t>
                        </w:r>
                      </w:p>
                      <w:p>
                        <w:pPr>
                          <w:pStyle w:val="TableParagraph"/>
                          <w:spacing w:line="195" w:lineRule="exact" w:before="10"/>
                          <w:ind w:left="4" w:right="0"/>
                          <w:jc w:val="left"/>
                          <w:rPr>
                            <w:rFonts w:ascii="宋体" w:hAnsi="宋体" w:cs="宋体" w:eastAsia="宋体" w:hint="default"/>
                            <w:sz w:val="18"/>
                            <w:szCs w:val="18"/>
                          </w:rPr>
                        </w:pPr>
                        <w:r>
                          <w:rPr>
                            <w:rFonts w:ascii="宋体" w:hAnsi="宋体" w:cs="宋体" w:eastAsia="宋体" w:hint="default"/>
                            <w:sz w:val="18"/>
                            <w:szCs w:val="18"/>
                          </w:rPr>
                          <w:t>要内控缺陷。</w:t>
                        </w:r>
                      </w:p>
                      <w:p>
                        <w:pPr>
                          <w:pStyle w:val="TableParagraph"/>
                          <w:spacing w:line="195" w:lineRule="exact"/>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89" w:hRule="exact"/>
                    </w:trPr>
                    <w:tc>
                      <w:tcPr>
                        <w:tcW w:w="2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735" w:type="dxa"/>
                        <w:vMerge/>
                        <w:tcBorders>
                          <w:left w:val="single" w:sz="10" w:space="0" w:color="D2D2D2"/>
                          <w:right w:val="single" w:sz="10" w:space="0" w:color="FFFFFF"/>
                        </w:tcBorders>
                      </w:tcPr>
                      <w:p>
                        <w:pPr/>
                      </w:p>
                    </w:tc>
                    <w:tc>
                      <w:tcPr>
                        <w:tcW w:w="3037" w:type="dxa"/>
                        <w:vMerge/>
                        <w:tcBorders>
                          <w:left w:val="single" w:sz="10" w:space="0" w:color="FFFFFF"/>
                          <w:right w:val="single" w:sz="4" w:space="0" w:color="000000"/>
                        </w:tcBorders>
                      </w:tcPr>
                      <w:p>
                        <w:pPr/>
                      </w:p>
                    </w:tc>
                  </w:tr>
                  <w:tr>
                    <w:trPr>
                      <w:trHeight w:val="2190" w:hRule="exact"/>
                    </w:trPr>
                    <w:tc>
                      <w:tcPr>
                        <w:tcW w:w="2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3735" w:type="dxa"/>
                        <w:vMerge/>
                        <w:tcBorders>
                          <w:left w:val="single" w:sz="10" w:space="0" w:color="D2D2D2"/>
                          <w:bottom w:val="single" w:sz="4" w:space="0" w:color="000000"/>
                          <w:right w:val="single" w:sz="10" w:space="0" w:color="FFFFFF"/>
                        </w:tcBorders>
                      </w:tcPr>
                      <w:p>
                        <w:pPr/>
                      </w:p>
                    </w:tc>
                    <w:tc>
                      <w:tcPr>
                        <w:tcW w:w="3037" w:type="dxa"/>
                        <w:vMerge/>
                        <w:tcBorders>
                          <w:left w:val="single" w:sz="10" w:space="0" w:color="FFFFFF"/>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46"/>
        <w:ind w:left="0" w:right="1151"/>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1133" w:lineRule="exact"/>
        <w:ind w:left="6678"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152.25pt;height:56.7pt;mso-position-horizontal-relative:char;mso-position-vertical-relative:line" coordorigin="0,0" coordsize="3045,1134">
            <v:group style="position:absolute;left:0;top:355;width:3045;height:779" coordorigin="0,355" coordsize="3045,779">
              <v:shape style="position:absolute;left:0;top:355;width:3045;height:779" coordorigin="0,355" coordsize="3045,779" path="m0,1133l3044,1133,3044,355,0,355,0,1133xe" filled="true" fillcolor="#ffffff" stroked="false">
                <v:path arrowok="t"/>
                <v:fill type="solid"/>
              </v:shape>
            </v:group>
            <v:group style="position:absolute;left:24;top:0;width:2997;height:356" coordorigin="24,0" coordsize="2997,356">
              <v:shape style="position:absolute;left:24;top:0;width:2997;height:356" coordorigin="24,0" coordsize="2997,356" path="m24,355l3020,355,3020,0,24,0,24,355xe" filled="true" fillcolor="#ffffff" stroked="false">
                <v:path arrowok="t"/>
                <v:fill type="solid"/>
              </v:shape>
            </v:group>
          </v:group>
        </w:pict>
      </w:r>
      <w:r>
        <w:rPr>
          <w:rFonts w:ascii="宋体" w:hAnsi="宋体" w:cs="宋体" w:eastAsia="宋体" w:hint="default"/>
          <w:position w:val="-22"/>
          <w:sz w:val="20"/>
          <w:szCs w:val="20"/>
        </w:rPr>
      </w:r>
    </w:p>
    <w:p>
      <w:pPr>
        <w:spacing w:after="0" w:line="1133" w:lineRule="exact"/>
        <w:rPr>
          <w:rFonts w:ascii="宋体" w:hAnsi="宋体" w:cs="宋体" w:eastAsia="宋体" w:hint="default"/>
          <w:sz w:val="20"/>
          <w:szCs w:val="20"/>
        </w:rPr>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6"/>
        <w:ind w:left="0" w:right="1146"/>
        <w:jc w:val="right"/>
      </w:pPr>
      <w:r>
        <w:rPr/>
        <w:pict>
          <v:shape style="position:absolute;margin-left:56.424pt;margin-top:-31.828272pt;width:479.25pt;height:147.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3717"/>
                    <w:gridCol w:w="3049"/>
                  </w:tblGrid>
                  <w:tr>
                    <w:trPr>
                      <w:trHeight w:val="1340"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3" w:right="69"/>
                          <w:jc w:val="left"/>
                          <w:rPr>
                            <w:rFonts w:ascii="宋体" w:hAnsi="宋体" w:cs="宋体" w:eastAsia="宋体" w:hint="default"/>
                            <w:sz w:val="18"/>
                            <w:szCs w:val="18"/>
                          </w:rPr>
                        </w:pPr>
                        <w:r>
                          <w:rPr>
                            <w:rFonts w:ascii="宋体" w:hAnsi="宋体" w:cs="宋体" w:eastAsia="宋体" w:hint="default"/>
                            <w:spacing w:val="-3"/>
                            <w:sz w:val="18"/>
                            <w:szCs w:val="18"/>
                          </w:rPr>
                          <w:t>重大缺陷：财务报表的错报金额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利润总额的</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；重要缺陷：利润总额的</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利润总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；一般缺陷：错报</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利润总额的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6"/>
                          <w:jc w:val="left"/>
                          <w:rPr>
                            <w:rFonts w:ascii="宋体" w:hAnsi="宋体" w:cs="宋体" w:eastAsia="宋体" w:hint="default"/>
                            <w:sz w:val="18"/>
                            <w:szCs w:val="18"/>
                          </w:rPr>
                        </w:pPr>
                        <w:r>
                          <w:rPr>
                            <w:rFonts w:ascii="宋体" w:hAnsi="宋体" w:cs="宋体" w:eastAsia="宋体" w:hint="default"/>
                            <w:spacing w:val="-3"/>
                            <w:sz w:val="18"/>
                            <w:szCs w:val="18"/>
                          </w:rPr>
                          <w:t>重大缺陷：财务报表的错报金额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w:t>
                        </w:r>
                        <w:r>
                          <w:rPr>
                            <w:rFonts w:ascii="宋体" w:hAnsi="宋体" w:cs="宋体" w:eastAsia="宋体" w:hint="default"/>
                            <w:spacing w:val="-45"/>
                            <w:sz w:val="18"/>
                            <w:szCs w:val="18"/>
                          </w:rPr>
                          <w:t> </w:t>
                        </w:r>
                        <w:r>
                          <w:rPr>
                            <w:rFonts w:ascii="宋体" w:hAnsi="宋体" w:cs="宋体" w:eastAsia="宋体" w:hint="default"/>
                            <w:sz w:val="18"/>
                            <w:szCs w:val="18"/>
                          </w:rPr>
                          <w:t>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；重要缺陷：利润总额的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r>
                  <w:tr>
                    <w:trPr>
                      <w:trHeight w:val="398"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3"/>
        <w:ind w:right="1126"/>
        <w:jc w:val="left"/>
        <w:rPr>
          <w:b w:val="0"/>
          <w:bCs w:val="0"/>
        </w:rPr>
      </w:pPr>
      <w:bookmarkStart w:name="十、内部控制审计报告或鉴证报告" w:id="171"/>
      <w:bookmarkEnd w:id="171"/>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26"/>
        <w:jc w:val="left"/>
      </w:pP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6"/>
        <w:ind w:left="0" w:right="1127"/>
        <w:jc w:val="right"/>
      </w:pPr>
      <w:r>
        <w:rPr/>
        <w:pict>
          <v:shape style="position:absolute;margin-left:56.424pt;margin-top:-36.535248pt;width:479.25pt;height:17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5"/>
                    <w:gridCol w:w="6905"/>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p>
                    </w:tc>
                  </w:tr>
                  <w:tr>
                    <w:trPr>
                      <w:trHeight w:val="1027"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18"/>
                          <w:jc w:val="left"/>
                          <w:rPr>
                            <w:rFonts w:ascii="宋体" w:hAnsi="宋体" w:cs="宋体" w:eastAsia="宋体" w:hint="default"/>
                            <w:sz w:val="18"/>
                            <w:szCs w:val="18"/>
                          </w:rPr>
                        </w:pPr>
                        <w:r>
                          <w:rPr>
                            <w:rFonts w:ascii="宋体" w:hAnsi="宋体" w:cs="宋体" w:eastAsia="宋体" w:hint="default"/>
                            <w:spacing w:val="-8"/>
                            <w:w w:val="101"/>
                            <w:sz w:val="18"/>
                            <w:szCs w:val="18"/>
                          </w:rPr>
                          <w:t>亚太（集团）会计师事务所（特殊普通合伙</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阅读了由本公司编写并后附的《关于内部控制有关事项的说明》，并出具了《内</w:t>
                        </w:r>
                        <w:r>
                          <w:rPr>
                            <w:rFonts w:ascii="宋体" w:hAnsi="宋体" w:cs="宋体" w:eastAsia="宋体" w:hint="default"/>
                            <w:spacing w:val="-55"/>
                            <w:w w:val="101"/>
                            <w:sz w:val="18"/>
                            <w:szCs w:val="18"/>
                          </w:rPr>
                          <w:t> </w:t>
                        </w:r>
                        <w:r>
                          <w:rPr>
                            <w:rFonts w:ascii="宋体" w:hAnsi="宋体" w:cs="宋体" w:eastAsia="宋体" w:hint="default"/>
                            <w:spacing w:val="-55"/>
                            <w:w w:val="101"/>
                            <w:sz w:val="18"/>
                            <w:szCs w:val="18"/>
                          </w:rPr>
                        </w:r>
                        <w:r>
                          <w:rPr>
                            <w:rFonts w:ascii="宋体" w:hAnsi="宋体" w:cs="宋体" w:eastAsia="宋体" w:hint="default"/>
                            <w:spacing w:val="-16"/>
                            <w:w w:val="101"/>
                            <w:sz w:val="18"/>
                            <w:szCs w:val="18"/>
                          </w:rPr>
                          <w:t>部控制鉴证报告》（</w:t>
                        </w:r>
                        <w:r>
                          <w:rPr>
                            <w:rFonts w:ascii="宋体" w:hAnsi="宋体" w:cs="宋体" w:eastAsia="宋体" w:hint="default"/>
                            <w:spacing w:val="-8"/>
                            <w:w w:val="101"/>
                            <w:sz w:val="18"/>
                            <w:szCs w:val="18"/>
                          </w:rPr>
                          <w:t> </w:t>
                        </w:r>
                        <w:r>
                          <w:rPr>
                            <w:rFonts w:ascii="宋体" w:hAnsi="宋体" w:cs="宋体" w:eastAsia="宋体" w:hint="default"/>
                            <w:w w:val="101"/>
                            <w:sz w:val="18"/>
                            <w:szCs w:val="18"/>
                          </w:rPr>
                          <w:t>亚会</w:t>
                        </w:r>
                        <w:r>
                          <w:rPr>
                            <w:rFonts w:ascii="宋体" w:hAnsi="宋体" w:cs="宋体" w:eastAsia="宋体" w:hint="default"/>
                            <w:spacing w:val="-50"/>
                            <w:w w:val="101"/>
                            <w:sz w:val="18"/>
                            <w:szCs w:val="18"/>
                          </w:rPr>
                          <w:t> </w:t>
                        </w:r>
                        <w:r>
                          <w:rPr>
                            <w:rFonts w:ascii="Times New Roman" w:hAnsi="Times New Roman" w:cs="Times New Roman" w:eastAsia="Times New Roman" w:hint="default"/>
                            <w:w w:val="101"/>
                            <w:sz w:val="18"/>
                            <w:szCs w:val="18"/>
                          </w:rPr>
                          <w:t>A</w:t>
                        </w:r>
                        <w:r>
                          <w:rPr>
                            <w:rFonts w:ascii="Times New Roman" w:hAnsi="Times New Roman" w:cs="Times New Roman" w:eastAsia="Times New Roman" w:hint="default"/>
                            <w:spacing w:val="-11"/>
                            <w:w w:val="101"/>
                            <w:sz w:val="18"/>
                            <w:szCs w:val="18"/>
                          </w:rPr>
                          <w:t> </w:t>
                        </w:r>
                        <w:r>
                          <w:rPr>
                            <w:rFonts w:ascii="宋体" w:hAnsi="宋体" w:cs="宋体" w:eastAsia="宋体" w:hint="default"/>
                            <w:spacing w:val="-7"/>
                            <w:w w:val="101"/>
                            <w:sz w:val="18"/>
                            <w:szCs w:val="18"/>
                          </w:rPr>
                          <w:t>专审字（</w:t>
                        </w:r>
                        <w:r>
                          <w:rPr>
                            <w:rFonts w:ascii="Times New Roman" w:hAnsi="Times New Roman" w:cs="Times New Roman" w:eastAsia="Times New Roman" w:hint="default"/>
                            <w:spacing w:val="-7"/>
                            <w:w w:val="101"/>
                            <w:sz w:val="18"/>
                            <w:szCs w:val="18"/>
                          </w:rPr>
                          <w:t>2020</w:t>
                        </w:r>
                        <w:r>
                          <w:rPr>
                            <w:rFonts w:ascii="宋体" w:hAnsi="宋体" w:cs="宋体" w:eastAsia="宋体" w:hint="default"/>
                            <w:spacing w:val="-7"/>
                            <w:w w:val="101"/>
                            <w:sz w:val="18"/>
                            <w:szCs w:val="18"/>
                          </w:rPr>
                          <w:t>）</w:t>
                        </w:r>
                        <w:r>
                          <w:rPr>
                            <w:rFonts w:ascii="Times New Roman" w:hAnsi="Times New Roman" w:cs="Times New Roman" w:eastAsia="Times New Roman" w:hint="default"/>
                            <w:spacing w:val="-7"/>
                            <w:w w:val="101"/>
                            <w:sz w:val="18"/>
                            <w:szCs w:val="18"/>
                          </w:rPr>
                          <w:t>0090</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2"/>
                            <w:w w:val="101"/>
                            <w:sz w:val="18"/>
                            <w:szCs w:val="18"/>
                          </w:rPr>
                          <w:t>号），称：我们认为爱施德公司按照《内部会计控制规范</w:t>
                        </w:r>
                        <w:r>
                          <w:rPr>
                            <w:rFonts w:ascii="Times New Roman" w:hAnsi="Times New Roman" w:cs="Times New Roman" w:eastAsia="Times New Roman" w:hint="default"/>
                            <w:spacing w:val="-12"/>
                            <w:w w:val="101"/>
                            <w:sz w:val="18"/>
                            <w:szCs w:val="18"/>
                          </w:rPr>
                          <w:t>-</w:t>
                        </w:r>
                        <w:r>
                          <w:rPr>
                            <w:rFonts w:ascii="宋体" w:hAnsi="宋体" w:cs="宋体" w:eastAsia="宋体" w:hint="default"/>
                            <w:spacing w:val="-12"/>
                            <w:w w:val="101"/>
                            <w:sz w:val="18"/>
                            <w:szCs w:val="18"/>
                          </w:rPr>
                          <w:t>基本规范（试行）</w:t>
                        </w:r>
                        <w:r>
                          <w:rPr>
                            <w:rFonts w:ascii="宋体" w:hAnsi="宋体" w:cs="宋体" w:eastAsia="宋体" w:hint="default"/>
                            <w:spacing w:val="-92"/>
                            <w:w w:val="101"/>
                            <w:sz w:val="18"/>
                            <w:szCs w:val="18"/>
                          </w:rPr>
                          <w:t> </w:t>
                        </w:r>
                        <w:r>
                          <w:rPr>
                            <w:rFonts w:ascii="宋体" w:hAnsi="宋体" w:cs="宋体" w:eastAsia="宋体" w:hint="default"/>
                            <w:sz w:val="18"/>
                            <w:szCs w:val="18"/>
                          </w:rPr>
                          <w:t>和相关规定于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日在所有重大方面保持了与财务报表相关的有效的内部控制。</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99"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29">
                          <w:r>
                            <w:rPr>
                              <w:rFonts w:ascii="Times New Roman" w:hAnsi="Times New Roman" w:cs="Times New Roman" w:eastAsia="Times New Roman" w:hint="default"/>
                              <w:spacing w:val="-3"/>
                              <w:sz w:val="18"/>
                              <w:szCs w:val="18"/>
                            </w:rPr>
                            <w:t>www.cninfo.com.cn</w:t>
                          </w:r>
                        </w:hyperlink>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46"/>
        <w:ind w:right="1126"/>
        <w:jc w:val="left"/>
      </w:pPr>
      <w:r>
        <w:rPr>
          <w:spacing w:val="-3"/>
        </w:rPr>
        <w:t>会计师事务所是否出具非标准意见的内部控制鉴证报告</w:t>
      </w:r>
    </w:p>
    <w:p>
      <w:pPr>
        <w:pStyle w:val="BodyText"/>
        <w:spacing w:line="343" w:lineRule="auto" w:before="115"/>
        <w:ind w:right="464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会计师事务所出具的内部控制鉴证报告与董事会的自我评价报告意见是否一致</w:t>
      </w:r>
    </w:p>
    <w:p>
      <w:pPr>
        <w:pStyle w:val="BodyText"/>
        <w:spacing w:line="240" w:lineRule="auto" w:before="37"/>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967" w:right="1126"/>
        <w:jc w:val="left"/>
        <w:rPr>
          <w:b w:val="0"/>
          <w:bCs w:val="0"/>
        </w:rPr>
      </w:pPr>
      <w:bookmarkStart w:name="第十一节 公司债券相关情况" w:id="172"/>
      <w:bookmarkEnd w:id="172"/>
      <w:r>
        <w:rPr>
          <w:b w:val="0"/>
          <w:bCs w:val="0"/>
        </w:rPr>
      </w:r>
      <w:bookmarkStart w:name="_bookmark10" w:id="173"/>
      <w:bookmarkEnd w:id="173"/>
      <w:r>
        <w:rPr>
          <w:b w:val="0"/>
          <w:bCs w:val="0"/>
        </w:rPr>
      </w:r>
      <w:r>
        <w:rPr/>
        <w:t>第十一节</w:t>
      </w:r>
      <w:r>
        <w:rPr>
          <w:spacing w:val="1"/>
        </w:rPr>
        <w:t> </w:t>
      </w:r>
      <w:r>
        <w:rPr/>
        <w:t>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204"/>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606" w:right="1126"/>
        <w:jc w:val="left"/>
        <w:rPr>
          <w:b w:val="0"/>
          <w:bCs w:val="0"/>
        </w:rPr>
      </w:pPr>
      <w:bookmarkStart w:name="第十二节 财务报告" w:id="174"/>
      <w:bookmarkEnd w:id="174"/>
      <w:r>
        <w:rPr>
          <w:b w:val="0"/>
          <w:bCs w:val="0"/>
        </w:rPr>
      </w:r>
      <w:bookmarkStart w:name="_bookmark11" w:id="175"/>
      <w:bookmarkEnd w:id="175"/>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26"/>
        <w:jc w:val="left"/>
        <w:rPr>
          <w:b w:val="0"/>
          <w:bCs w:val="0"/>
        </w:rPr>
      </w:pPr>
      <w:bookmarkStart w:name="一、审计报告" w:id="176"/>
      <w:bookmarkEnd w:id="176"/>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亚太（集团）会计师事务所（特殊普通合伙）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亚会</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0706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周英、林丹妮</w:t>
            </w:r>
          </w:p>
        </w:tc>
      </w:tr>
    </w:tbl>
    <w:p>
      <w:pPr>
        <w:spacing w:line="240" w:lineRule="auto" w:before="3"/>
        <w:rPr>
          <w:rFonts w:ascii="宋体" w:hAnsi="宋体" w:cs="宋体" w:eastAsia="宋体" w:hint="default"/>
          <w:b/>
          <w:bCs/>
          <w:sz w:val="7"/>
          <w:szCs w:val="7"/>
        </w:rPr>
      </w:pPr>
    </w:p>
    <w:p>
      <w:pPr>
        <w:spacing w:before="2"/>
        <w:ind w:left="138" w:right="1112" w:firstLine="0"/>
        <w:jc w:val="center"/>
        <w:rPr>
          <w:rFonts w:ascii="宋体" w:hAnsi="宋体" w:cs="宋体" w:eastAsia="宋体" w:hint="default"/>
          <w:sz w:val="32"/>
          <w:szCs w:val="32"/>
        </w:rPr>
      </w:pPr>
      <w:r>
        <w:rPr>
          <w:rFonts w:ascii="宋体" w:hAnsi="宋体" w:cs="宋体" w:eastAsia="宋体" w:hint="default"/>
          <w:b/>
          <w:bCs/>
          <w:sz w:val="32"/>
          <w:szCs w:val="32"/>
        </w:rPr>
        <w:t>审计报告正文</w:t>
      </w:r>
      <w:r>
        <w:rPr>
          <w:rFonts w:ascii="宋体" w:hAnsi="宋体" w:cs="宋体" w:eastAsia="宋体" w:hint="default"/>
          <w:sz w:val="32"/>
          <w:szCs w:val="32"/>
        </w:rPr>
      </w:r>
    </w:p>
    <w:p>
      <w:pPr>
        <w:pStyle w:val="Heading3"/>
        <w:spacing w:line="314" w:lineRule="auto" w:before="175"/>
        <w:ind w:left="575" w:right="7168" w:hanging="423"/>
        <w:jc w:val="left"/>
        <w:rPr>
          <w:b w:val="0"/>
          <w:bCs w:val="0"/>
        </w:rPr>
      </w:pPr>
      <w:r>
        <w:rPr/>
        <w:t>深圳市爱施德股份有限公司全体股东：</w:t>
      </w:r>
      <w:r>
        <w:rPr>
          <w:spacing w:val="-100"/>
        </w:rPr>
        <w:t> </w:t>
      </w:r>
      <w:r>
        <w:rPr/>
        <w:t>一、审计意见</w:t>
      </w:r>
      <w:r>
        <w:rPr>
          <w:b w:val="0"/>
          <w:bCs w:val="0"/>
        </w:rPr>
      </w:r>
    </w:p>
    <w:p>
      <w:pPr>
        <w:pStyle w:val="BodyText"/>
        <w:spacing w:line="300" w:lineRule="auto" w:before="21"/>
        <w:ind w:right="1126" w:firstLine="422"/>
        <w:jc w:val="left"/>
      </w:pPr>
      <w:r>
        <w:rPr>
          <w:spacing w:val="-2"/>
        </w:rPr>
        <w:t>我们审计了深圳市爱施德股份有限公司（以下简称爱施德公司）的财务报表，包括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w:t>
      </w:r>
      <w:r>
        <w:rPr>
          <w:w w:val="101"/>
        </w:rPr>
        <w:t> </w:t>
      </w:r>
      <w:r>
        <w:rPr>
          <w:spacing w:val="-3"/>
        </w:rPr>
        <w:t>负债表，</w:t>
      </w:r>
      <w:r>
        <w:rPr>
          <w:rFonts w:ascii="Times New Roman" w:hAnsi="Times New Roman" w:cs="Times New Roman" w:eastAsia="Times New Roman" w:hint="default"/>
          <w:spacing w:val="-3"/>
        </w:rPr>
        <w:t>2019</w:t>
      </w:r>
      <w:r>
        <w:rPr>
          <w:spacing w:val="-3"/>
        </w:rPr>
        <w:t>年度的合并及公司利润表、合并及公司现金流量表、合并及公司股东权益变动表以及相关财务报表附注。</w:t>
      </w:r>
    </w:p>
    <w:p>
      <w:pPr>
        <w:pStyle w:val="BodyText"/>
        <w:spacing w:line="300" w:lineRule="auto" w:before="13"/>
        <w:ind w:right="1126" w:firstLine="422"/>
        <w:jc w:val="left"/>
      </w:pPr>
      <w:r>
        <w:rPr>
          <w:spacing w:val="-2"/>
        </w:rPr>
        <w:t>我们认为，后附的财务报表在所有重大方面按照企业会计准则的规定编制，公允反映了爱施德公司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r>
        <w:rPr>
          <w:spacing w:val="-5"/>
          <w:w w:val="101"/>
        </w:rPr>
        <w:t> </w:t>
      </w:r>
      <w:r>
        <w:rPr>
          <w:spacing w:val="-3"/>
        </w:rPr>
        <w:t>并及公司的财务状况以及</w:t>
      </w:r>
      <w:r>
        <w:rPr>
          <w:rFonts w:ascii="Times New Roman" w:hAnsi="Times New Roman" w:cs="Times New Roman" w:eastAsia="Times New Roman" w:hint="default"/>
          <w:spacing w:val="-3"/>
        </w:rPr>
        <w:t>2019</w:t>
      </w:r>
      <w:r>
        <w:rPr>
          <w:spacing w:val="-3"/>
        </w:rPr>
        <w:t>年度合并及公司的经营成果和现金流量。</w:t>
      </w:r>
    </w:p>
    <w:p>
      <w:pPr>
        <w:pStyle w:val="Heading3"/>
        <w:spacing w:line="240" w:lineRule="auto" w:before="35"/>
        <w:ind w:left="575" w:right="1126"/>
        <w:jc w:val="left"/>
        <w:rPr>
          <w:b w:val="0"/>
          <w:bCs w:val="0"/>
        </w:rPr>
      </w:pPr>
      <w:r>
        <w:rPr/>
        <w:t>二、形成审计意见的基础</w:t>
      </w:r>
      <w:r>
        <w:rPr>
          <w:b w:val="0"/>
          <w:bCs w:val="0"/>
        </w:rPr>
      </w:r>
    </w:p>
    <w:p>
      <w:pPr>
        <w:pStyle w:val="BodyText"/>
        <w:spacing w:line="309" w:lineRule="auto" w:before="86"/>
        <w:ind w:right="1122" w:firstLine="422"/>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w:t>
      </w:r>
      <w:r>
        <w:rPr>
          <w:w w:val="101"/>
        </w:rPr>
        <w:t> </w:t>
      </w:r>
      <w:r>
        <w:rPr>
          <w:spacing w:val="-4"/>
        </w:rPr>
        <w:t>步阐述了我们在这些准则下的责任。按照中国注册会计师职业道德守则，我们独立于爱施德公司，并履行了职业道德方面的</w:t>
      </w:r>
      <w:r>
        <w:rPr>
          <w:spacing w:val="43"/>
        </w:rPr>
        <w:t> </w:t>
      </w:r>
      <w:r>
        <w:rPr>
          <w:spacing w:val="43"/>
        </w:rPr>
      </w:r>
      <w:r>
        <w:rPr>
          <w:spacing w:val="-3"/>
        </w:rPr>
        <w:t>其他责任。我们相信，我们获取的审计证据是充分、适当的，为发表审计意见提供了基础。</w:t>
      </w:r>
    </w:p>
    <w:p>
      <w:pPr>
        <w:pStyle w:val="Heading3"/>
        <w:spacing w:line="240" w:lineRule="auto" w:before="47"/>
        <w:ind w:left="575" w:right="1126"/>
        <w:jc w:val="left"/>
        <w:rPr>
          <w:b w:val="0"/>
          <w:bCs w:val="0"/>
        </w:rPr>
      </w:pPr>
      <w:r>
        <w:rPr/>
        <w:t>三、关键审计事项</w:t>
      </w:r>
      <w:r>
        <w:rPr>
          <w:b w:val="0"/>
          <w:bCs w:val="0"/>
        </w:rPr>
      </w:r>
    </w:p>
    <w:p>
      <w:pPr>
        <w:pStyle w:val="BodyText"/>
        <w:spacing w:line="316" w:lineRule="auto" w:before="86"/>
        <w:ind w:right="1124" w:firstLine="422"/>
        <w:jc w:val="both"/>
      </w:pPr>
      <w:r>
        <w:rPr>
          <w:spacing w:val="-2"/>
        </w:rPr>
        <w:t>关键审计事项是根据我们的职业判断，认为对本期财务报表审计最为重要的事项。这些事项的应对以对财务报表整体</w:t>
      </w:r>
      <w:r>
        <w:rPr>
          <w:w w:val="101"/>
        </w:rPr>
        <w:t> </w:t>
      </w:r>
      <w:r>
        <w:rPr>
          <w:spacing w:val="-4"/>
        </w:rPr>
        <w:t>进行审计并形成审计意见为背景，我们不对这些事项单独发表意见。我们确定下列事项是需要在审计报告中沟通的关键审计</w:t>
      </w:r>
      <w:r>
        <w:rPr>
          <w:spacing w:val="44"/>
        </w:rPr>
        <w:t> </w:t>
      </w:r>
      <w:r>
        <w:rPr>
          <w:spacing w:val="44"/>
        </w:rPr>
      </w:r>
      <w:r>
        <w:rPr/>
        <w:t>事项。</w:t>
      </w:r>
    </w:p>
    <w:p>
      <w:pPr>
        <w:pStyle w:val="BodyText"/>
        <w:spacing w:line="240" w:lineRule="auto" w:before="19"/>
        <w:ind w:left="575" w:right="1126"/>
        <w:jc w:val="left"/>
      </w:pPr>
      <w:r>
        <w:rPr>
          <w:spacing w:val="-3"/>
        </w:rPr>
        <w:t>（一）分销业务收入确认：</w:t>
      </w:r>
    </w:p>
    <w:p>
      <w:pPr>
        <w:pStyle w:val="BodyText"/>
        <w:spacing w:line="240" w:lineRule="auto" w:before="76"/>
        <w:ind w:left="575" w:right="1126"/>
        <w:jc w:val="left"/>
      </w:pPr>
      <w:r>
        <w:rPr>
          <w:rFonts w:ascii="Times New Roman" w:hAnsi="Times New Roman" w:cs="Times New Roman" w:eastAsia="Times New Roman" w:hint="default"/>
        </w:rPr>
        <w:t>1</w:t>
      </w:r>
      <w:r>
        <w:rPr/>
        <w:t>、事项描述</w:t>
      </w:r>
    </w:p>
    <w:p>
      <w:pPr>
        <w:pStyle w:val="BodyText"/>
        <w:spacing w:line="240" w:lineRule="auto" w:before="63"/>
        <w:ind w:left="575" w:right="0"/>
        <w:jc w:val="left"/>
      </w:pPr>
      <w:r>
        <w:rPr>
          <w:spacing w:val="-4"/>
        </w:rPr>
        <w:t>相关信息披露详见财务报告附注</w:t>
      </w:r>
      <w:r>
        <w:rPr>
          <w:rFonts w:ascii="Times New Roman" w:hAnsi="Times New Roman" w:cs="Times New Roman" w:eastAsia="Times New Roman" w:hint="default"/>
          <w:spacing w:val="-4"/>
        </w:rPr>
        <w:t>“</w:t>
      </w:r>
      <w:r>
        <w:rPr>
          <w:spacing w:val="-4"/>
        </w:rPr>
        <w:t>五、重要会计政策和会计估计</w:t>
      </w:r>
      <w:r>
        <w:rPr>
          <w:rFonts w:ascii="Times New Roman" w:hAnsi="Times New Roman" w:cs="Times New Roman" w:eastAsia="Times New Roman" w:hint="default"/>
          <w:spacing w:val="-4"/>
        </w:rPr>
        <w:t>”25    </w:t>
      </w:r>
      <w:r>
        <w:rPr>
          <w:spacing w:val="-5"/>
        </w:rPr>
        <w:t>及</w:t>
      </w:r>
      <w:r>
        <w:rPr>
          <w:rFonts w:ascii="Times New Roman" w:hAnsi="Times New Roman" w:cs="Times New Roman" w:eastAsia="Times New Roman" w:hint="default"/>
          <w:spacing w:val="-5"/>
        </w:rPr>
        <w:t>“</w:t>
      </w:r>
      <w:r>
        <w:rPr>
          <w:spacing w:val="-5"/>
        </w:rPr>
        <w:t>七、合并财务报表主要项目注释</w:t>
      </w:r>
      <w:r>
        <w:rPr>
          <w:rFonts w:ascii="Times New Roman" w:hAnsi="Times New Roman" w:cs="Times New Roman" w:eastAsia="Times New Roman" w:hint="default"/>
          <w:spacing w:val="-5"/>
        </w:rPr>
        <w:t>”37  </w:t>
      </w:r>
      <w:r>
        <w:rPr>
          <w:rFonts w:ascii="Times New Roman" w:hAnsi="Times New Roman" w:cs="Times New Roman" w:eastAsia="Times New Roman" w:hint="default"/>
          <w:spacing w:val="4"/>
        </w:rPr>
        <w:t> </w:t>
      </w:r>
      <w:r>
        <w:rPr/>
        <w:t>爱施德公司</w:t>
      </w:r>
    </w:p>
    <w:p>
      <w:pPr>
        <w:pStyle w:val="BodyText"/>
        <w:spacing w:line="240" w:lineRule="auto" w:before="63"/>
        <w:ind w:right="0"/>
        <w:jc w:val="left"/>
      </w:pPr>
      <w:r>
        <w:rPr>
          <w:rFonts w:ascii="Times New Roman" w:hAnsi="Times New Roman" w:cs="Times New Roman" w:eastAsia="Times New Roman" w:hint="default"/>
        </w:rPr>
        <w:t>2019      </w:t>
      </w:r>
      <w:r>
        <w:rPr>
          <w:rFonts w:ascii="Times New Roman" w:hAnsi="Times New Roman" w:cs="Times New Roman" w:eastAsia="Times New Roman" w:hint="default"/>
          <w:spacing w:val="26"/>
        </w:rPr>
        <w:t> </w:t>
      </w:r>
      <w:r>
        <w:rPr/>
        <w:t>年度营业总收入为</w:t>
      </w:r>
      <w:r>
        <w:rPr>
          <w:rFonts w:ascii="Times New Roman" w:hAnsi="Times New Roman" w:cs="Times New Roman" w:eastAsia="Times New Roman" w:hint="default"/>
        </w:rPr>
        <w:t>5,596,932.26</w:t>
      </w:r>
      <w:r>
        <w:rPr/>
        <w:t>万元，其中智能终端产品分销业务收入为</w:t>
      </w:r>
      <w:r>
        <w:rPr>
          <w:rFonts w:ascii="Times New Roman" w:hAnsi="Times New Roman" w:cs="Times New Roman" w:eastAsia="Times New Roman" w:hint="default"/>
        </w:rPr>
        <w:t>4,129,356.57</w:t>
      </w:r>
      <w:r>
        <w:rPr/>
        <w:t>万元，占营业总收入的比例为</w:t>
      </w:r>
    </w:p>
    <w:p>
      <w:pPr>
        <w:pStyle w:val="BodyText"/>
        <w:spacing w:line="240" w:lineRule="auto" w:before="63"/>
        <w:ind w:right="1126"/>
        <w:jc w:val="left"/>
      </w:pPr>
      <w:r>
        <w:rPr>
          <w:rFonts w:ascii="Times New Roman" w:hAnsi="Times New Roman" w:cs="Times New Roman" w:eastAsia="Times New Roman" w:hint="default"/>
        </w:rPr>
        <w:t>73.78%</w:t>
      </w:r>
      <w:r>
        <w:rPr/>
        <w:t>。</w:t>
      </w:r>
    </w:p>
    <w:p>
      <w:pPr>
        <w:pStyle w:val="BodyText"/>
        <w:spacing w:line="319" w:lineRule="auto" w:before="63"/>
        <w:ind w:right="1126" w:firstLine="422"/>
        <w:jc w:val="left"/>
      </w:pPr>
      <w:r>
        <w:rPr>
          <w:spacing w:val="-2"/>
        </w:rPr>
        <w:t>由于分销业务销售量大，交易频繁，较高依赖信息系统，但不排除其数据的收集和处理过程存在人工干预，其收入对</w:t>
      </w:r>
      <w:r>
        <w:rPr>
          <w:w w:val="101"/>
        </w:rPr>
        <w:t> </w:t>
      </w:r>
      <w:r>
        <w:rPr>
          <w:spacing w:val="-3"/>
        </w:rPr>
        <w:t>财务报表影响重大，存在舞弊风险，故我们将分销业务收入的真实性确定为关键审计事项。</w:t>
      </w:r>
    </w:p>
    <w:p>
      <w:pPr>
        <w:pStyle w:val="BodyText"/>
        <w:spacing w:line="300" w:lineRule="auto" w:before="17"/>
        <w:ind w:left="575" w:right="5660"/>
        <w:jc w:val="left"/>
      </w:pPr>
      <w:r>
        <w:rPr>
          <w:rFonts w:ascii="Times New Roman" w:hAnsi="Times New Roman" w:cs="Times New Roman" w:eastAsia="Times New Roman" w:hint="default"/>
        </w:rPr>
        <w:t>2</w:t>
      </w:r>
      <w:r>
        <w:rPr/>
        <w:t>、审计应对</w:t>
      </w:r>
      <w:r>
        <w:rPr>
          <w:spacing w:val="-87"/>
        </w:rPr>
        <w:t> </w:t>
      </w:r>
      <w:r>
        <w:rPr>
          <w:spacing w:val="-87"/>
        </w:rPr>
      </w:r>
      <w:r>
        <w:rPr>
          <w:spacing w:val="-3"/>
        </w:rPr>
        <w:t>针对分销业务收入确认，我们执行的审计程序主要包括：</w:t>
      </w:r>
    </w:p>
    <w:p>
      <w:pPr>
        <w:pStyle w:val="BodyText"/>
        <w:spacing w:line="240" w:lineRule="auto" w:before="31"/>
        <w:ind w:left="575" w:right="1126"/>
        <w:jc w:val="left"/>
      </w:pPr>
      <w:r>
        <w:rPr>
          <w:spacing w:val="-3"/>
        </w:rPr>
        <w:t>（</w:t>
      </w:r>
      <w:r>
        <w:rPr>
          <w:rFonts w:ascii="Times New Roman" w:hAnsi="Times New Roman" w:cs="Times New Roman" w:eastAsia="Times New Roman" w:hint="default"/>
          <w:spacing w:val="-3"/>
        </w:rPr>
        <w:t>1</w:t>
      </w:r>
      <w:r>
        <w:rPr>
          <w:spacing w:val="-3"/>
        </w:rPr>
        <w:t>）了解、评估并测试有关收入循环的关键内部控制的设计和执行的有效性；</w:t>
      </w:r>
    </w:p>
    <w:p>
      <w:pPr>
        <w:pStyle w:val="BodyText"/>
        <w:spacing w:line="240" w:lineRule="auto" w:before="63"/>
        <w:ind w:left="575" w:right="1126"/>
        <w:jc w:val="left"/>
      </w:pPr>
      <w:r>
        <w:rPr>
          <w:spacing w:val="-3"/>
        </w:rPr>
        <w:t>（</w:t>
      </w:r>
      <w:r>
        <w:rPr>
          <w:rFonts w:ascii="Times New Roman" w:hAnsi="Times New Roman" w:cs="Times New Roman" w:eastAsia="Times New Roman" w:hint="default"/>
          <w:spacing w:val="-3"/>
        </w:rPr>
        <w:t>2</w:t>
      </w:r>
      <w:r>
        <w:rPr>
          <w:spacing w:val="-3"/>
        </w:rPr>
        <w:t>）获取</w:t>
      </w:r>
      <w:r>
        <w:rPr>
          <w:rFonts w:ascii="Times New Roman" w:hAnsi="Times New Roman" w:cs="Times New Roman" w:eastAsia="Times New Roman" w:hint="default"/>
          <w:spacing w:val="-3"/>
        </w:rPr>
        <w:t>IT</w:t>
      </w:r>
      <w:r>
        <w:rPr>
          <w:spacing w:val="-3"/>
        </w:rPr>
        <w:t>审计报告，并与</w:t>
      </w:r>
      <w:r>
        <w:rPr>
          <w:rFonts w:ascii="Times New Roman" w:hAnsi="Times New Roman" w:cs="Times New Roman" w:eastAsia="Times New Roman" w:hint="default"/>
          <w:spacing w:val="-3"/>
        </w:rPr>
        <w:t>IT</w:t>
      </w:r>
      <w:r>
        <w:rPr>
          <w:spacing w:val="-3"/>
        </w:rPr>
        <w:t>专家沟通，评估信息系统规范性、有效性，以及收入确认对信息系统的可依赖性；</w:t>
      </w:r>
    </w:p>
    <w:p>
      <w:pPr>
        <w:pStyle w:val="BodyText"/>
        <w:spacing w:line="300" w:lineRule="auto" w:before="63"/>
        <w:ind w:right="1126" w:firstLine="422"/>
        <w:jc w:val="left"/>
      </w:pPr>
      <w:r>
        <w:rPr>
          <w:spacing w:val="-4"/>
        </w:rPr>
        <w:t>（</w:t>
      </w:r>
      <w:r>
        <w:rPr>
          <w:rFonts w:ascii="Times New Roman" w:hAnsi="Times New Roman" w:cs="Times New Roman" w:eastAsia="Times New Roman" w:hint="default"/>
          <w:spacing w:val="-4"/>
        </w:rPr>
        <w:t>3</w:t>
      </w:r>
      <w:r>
        <w:rPr>
          <w:spacing w:val="-4"/>
        </w:rPr>
        <w:t>）通过审阅销售合同、销售支持性文件及对管理层进行访谈，评价公司的收入确认政策是否符合企业会计准则的相</w:t>
      </w:r>
      <w:r>
        <w:rPr>
          <w:w w:val="101"/>
        </w:rPr>
        <w:t> </w:t>
      </w:r>
      <w:r>
        <w:rPr/>
        <w:t>关规定；</w:t>
      </w:r>
    </w:p>
    <w:p>
      <w:pPr>
        <w:pStyle w:val="BodyText"/>
        <w:spacing w:line="240" w:lineRule="auto" w:before="31"/>
        <w:ind w:left="575" w:right="1126"/>
        <w:jc w:val="left"/>
      </w:pPr>
      <w:r>
        <w:rPr>
          <w:spacing w:val="-3"/>
        </w:rPr>
        <w:t>（</w:t>
      </w:r>
      <w:r>
        <w:rPr>
          <w:rFonts w:ascii="Times New Roman" w:hAnsi="Times New Roman" w:cs="Times New Roman" w:eastAsia="Times New Roman" w:hint="default"/>
          <w:spacing w:val="-3"/>
        </w:rPr>
        <w:t>4</w:t>
      </w:r>
      <w:r>
        <w:rPr>
          <w:spacing w:val="-3"/>
        </w:rPr>
        <w:t>）对销售收入按客户、产品、月份等进行分析性复核，检查是否存在明显异常的情况；</w:t>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75" w:right="1126"/>
        <w:jc w:val="left"/>
      </w:pPr>
      <w:r>
        <w:rPr>
          <w:spacing w:val="-3"/>
        </w:rPr>
        <w:t>（</w:t>
      </w:r>
      <w:r>
        <w:rPr>
          <w:rFonts w:ascii="Times New Roman" w:hAnsi="Times New Roman" w:cs="Times New Roman" w:eastAsia="Times New Roman" w:hint="default"/>
          <w:spacing w:val="-3"/>
        </w:rPr>
        <w:t>5</w:t>
      </w:r>
      <w:r>
        <w:rPr>
          <w:spacing w:val="-3"/>
        </w:rPr>
        <w:t>）对销售收入进行抽样测试，检查销售合同、销售订单、物流签收单等支持性证据；</w:t>
      </w:r>
    </w:p>
    <w:p>
      <w:pPr>
        <w:pStyle w:val="BodyText"/>
        <w:spacing w:line="240" w:lineRule="auto" w:before="63"/>
        <w:ind w:left="575" w:right="1126"/>
        <w:jc w:val="left"/>
      </w:pPr>
      <w:r>
        <w:rPr>
          <w:spacing w:val="-3"/>
        </w:rPr>
        <w:t>（</w:t>
      </w:r>
      <w:r>
        <w:rPr>
          <w:rFonts w:ascii="Times New Roman" w:hAnsi="Times New Roman" w:cs="Times New Roman" w:eastAsia="Times New Roman" w:hint="default"/>
          <w:spacing w:val="-3"/>
        </w:rPr>
        <w:t>6</w:t>
      </w:r>
      <w:r>
        <w:rPr>
          <w:spacing w:val="-3"/>
        </w:rPr>
        <w:t>）根据交易记录和款项余额选取样本，对销售收入、应收账款余额执行函证程序；</w:t>
      </w:r>
    </w:p>
    <w:p>
      <w:pPr>
        <w:pStyle w:val="BodyText"/>
        <w:spacing w:line="240" w:lineRule="auto" w:before="63"/>
        <w:ind w:left="575" w:right="1126"/>
        <w:jc w:val="left"/>
      </w:pPr>
      <w:r>
        <w:rPr>
          <w:spacing w:val="-3"/>
        </w:rPr>
        <w:t>（</w:t>
      </w:r>
      <w:r>
        <w:rPr>
          <w:rFonts w:ascii="Times New Roman" w:hAnsi="Times New Roman" w:cs="Times New Roman" w:eastAsia="Times New Roman" w:hint="default"/>
          <w:spacing w:val="-3"/>
        </w:rPr>
        <w:t>7</w:t>
      </w:r>
      <w:r>
        <w:rPr>
          <w:spacing w:val="-3"/>
        </w:rPr>
        <w:t>）结合年末存货盘点情况，检查是否存在已经开具发货单确认收入但存货尚未发出的情况；</w:t>
      </w:r>
    </w:p>
    <w:p>
      <w:pPr>
        <w:pStyle w:val="BodyText"/>
        <w:spacing w:line="240" w:lineRule="auto" w:before="63"/>
        <w:ind w:left="575" w:right="1126"/>
        <w:jc w:val="left"/>
      </w:pPr>
      <w:r>
        <w:rPr>
          <w:spacing w:val="-3"/>
        </w:rPr>
        <w:t>（</w:t>
      </w:r>
      <w:r>
        <w:rPr>
          <w:rFonts w:ascii="Times New Roman" w:hAnsi="Times New Roman" w:cs="Times New Roman" w:eastAsia="Times New Roman" w:hint="default"/>
          <w:spacing w:val="-3"/>
        </w:rPr>
        <w:t>8</w:t>
      </w:r>
      <w:r>
        <w:rPr>
          <w:spacing w:val="-3"/>
        </w:rPr>
        <w:t>）获取期后退货记录进行检查，确认是否存在影响收入确认的重大异常退货情况；</w:t>
      </w:r>
    </w:p>
    <w:p>
      <w:pPr>
        <w:pStyle w:val="BodyText"/>
        <w:spacing w:line="300" w:lineRule="auto" w:before="63"/>
        <w:ind w:right="1126" w:firstLine="422"/>
        <w:jc w:val="left"/>
      </w:pPr>
      <w:r>
        <w:rPr>
          <w:spacing w:val="-4"/>
        </w:rPr>
        <w:t>（</w:t>
      </w:r>
      <w:r>
        <w:rPr>
          <w:rFonts w:ascii="Times New Roman" w:hAnsi="Times New Roman" w:cs="Times New Roman" w:eastAsia="Times New Roman" w:hint="default"/>
          <w:spacing w:val="-4"/>
        </w:rPr>
        <w:t>9</w:t>
      </w:r>
      <w:r>
        <w:rPr>
          <w:spacing w:val="-4"/>
        </w:rPr>
        <w:t>）抽样检查销售合同中关于销售折扣折让的约定，复核销售折扣折让的计算并检查销售折扣折让是否计入了正确的</w:t>
      </w:r>
      <w:r>
        <w:rPr>
          <w:w w:val="101"/>
        </w:rPr>
        <w:t> </w:t>
      </w:r>
      <w:r>
        <w:rPr/>
        <w:t>会计期间；</w:t>
      </w:r>
    </w:p>
    <w:p>
      <w:pPr>
        <w:pStyle w:val="BodyText"/>
        <w:spacing w:line="300" w:lineRule="auto" w:before="31"/>
        <w:ind w:right="1126" w:firstLine="422"/>
        <w:jc w:val="left"/>
      </w:pPr>
      <w:r>
        <w:rPr>
          <w:spacing w:val="-2"/>
        </w:rPr>
        <w:t>（</w:t>
      </w:r>
      <w:r>
        <w:rPr>
          <w:rFonts w:ascii="Times New Roman" w:hAnsi="Times New Roman" w:cs="Times New Roman" w:eastAsia="Times New Roman" w:hint="default"/>
          <w:spacing w:val="-2"/>
        </w:rPr>
        <w:t>10</w:t>
      </w:r>
      <w:r>
        <w:rPr>
          <w:spacing w:val="-2"/>
        </w:rPr>
        <w:t>）针对资产负债表日前后确认的销售收入执行截止性测试，核对各项支持性文件，检查销售收入是否记录于恰当</w:t>
      </w:r>
      <w:r>
        <w:rPr>
          <w:w w:val="101"/>
        </w:rPr>
        <w:t> </w:t>
      </w:r>
      <w:r>
        <w:rPr/>
        <w:t>的会计期间。</w:t>
      </w:r>
    </w:p>
    <w:p>
      <w:pPr>
        <w:pStyle w:val="BodyText"/>
        <w:spacing w:line="240" w:lineRule="auto" w:before="31"/>
        <w:ind w:left="575" w:right="1126"/>
        <w:jc w:val="left"/>
      </w:pPr>
      <w:r>
        <w:rPr>
          <w:spacing w:val="-3"/>
        </w:rPr>
        <w:t>（二）存货跌价准备的计提：</w:t>
      </w:r>
    </w:p>
    <w:p>
      <w:pPr>
        <w:pStyle w:val="BodyText"/>
        <w:spacing w:line="240" w:lineRule="auto" w:before="77"/>
        <w:ind w:left="575" w:right="1126"/>
        <w:jc w:val="left"/>
      </w:pPr>
      <w:r>
        <w:rPr>
          <w:rFonts w:ascii="Times New Roman" w:hAnsi="Times New Roman" w:cs="Times New Roman" w:eastAsia="Times New Roman" w:hint="default"/>
        </w:rPr>
        <w:t>1</w:t>
      </w:r>
      <w:r>
        <w:rPr/>
        <w:t>、事项描述</w:t>
      </w:r>
    </w:p>
    <w:p>
      <w:pPr>
        <w:pStyle w:val="BodyText"/>
        <w:spacing w:line="300" w:lineRule="auto" w:before="63"/>
        <w:ind w:right="1122" w:firstLine="422"/>
        <w:jc w:val="both"/>
      </w:pPr>
      <w:r>
        <w:rPr>
          <w:spacing w:val="-3"/>
        </w:rPr>
        <w:t>相关信息披露参见财务报告附注</w:t>
      </w:r>
      <w:r>
        <w:rPr>
          <w:rFonts w:ascii="Times New Roman" w:hAnsi="Times New Roman" w:cs="Times New Roman" w:eastAsia="Times New Roman" w:hint="default"/>
          <w:spacing w:val="-3"/>
        </w:rPr>
        <w:t>“</w:t>
      </w:r>
      <w:r>
        <w:rPr>
          <w:spacing w:val="-3"/>
        </w:rPr>
        <w:t>五、重要会计政策和会计估计</w:t>
      </w:r>
      <w:r>
        <w:rPr>
          <w:rFonts w:ascii="Times New Roman" w:hAnsi="Times New Roman" w:cs="Times New Roman" w:eastAsia="Times New Roman" w:hint="default"/>
          <w:spacing w:val="-3"/>
        </w:rPr>
        <w:t>” </w:t>
      </w:r>
      <w:r>
        <w:rPr>
          <w:rFonts w:ascii="Times New Roman" w:hAnsi="Times New Roman" w:cs="Times New Roman" w:eastAsia="Times New Roman" w:hint="default"/>
        </w:rPr>
        <w:t>12 </w:t>
      </w:r>
      <w:r>
        <w:rPr>
          <w:spacing w:val="-3"/>
        </w:rPr>
        <w:t>及</w:t>
      </w:r>
      <w:r>
        <w:rPr>
          <w:rFonts w:ascii="Times New Roman" w:hAnsi="Times New Roman" w:cs="Times New Roman" w:eastAsia="Times New Roman" w:hint="default"/>
          <w:spacing w:val="-3"/>
        </w:rPr>
        <w:t>“</w:t>
      </w:r>
      <w:r>
        <w:rPr>
          <w:spacing w:val="-3"/>
        </w:rPr>
        <w:t>七、合并财务报表主要项目注释</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2"/>
        </w:rPr>
        <w:t> </w:t>
      </w:r>
      <w:r>
        <w:rPr>
          <w:rFonts w:ascii="Times New Roman" w:hAnsi="Times New Roman" w:cs="Times New Roman" w:eastAsia="Times New Roman" w:hint="default"/>
        </w:rPr>
        <w:t>7</w:t>
      </w:r>
      <w:r>
        <w:rPr/>
        <w:t>。爱施德公</w:t>
      </w:r>
      <w:r>
        <w:rPr>
          <w:w w:val="101"/>
        </w:rPr>
        <w:t> </w:t>
      </w:r>
      <w:r>
        <w:rPr/>
        <w:t>司 </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3"/>
        </w:rPr>
        <w:t>日存货账面余额为</w:t>
      </w:r>
      <w:r>
        <w:rPr>
          <w:rFonts w:ascii="Times New Roman" w:hAnsi="Times New Roman" w:cs="Times New Roman" w:eastAsia="Times New Roman" w:hint="default"/>
          <w:spacing w:val="-3"/>
        </w:rPr>
        <w:t>244,720.89</w:t>
      </w:r>
      <w:r>
        <w:rPr>
          <w:spacing w:val="-3"/>
        </w:rPr>
        <w:t>万元，跌价准备余额为</w:t>
      </w:r>
      <w:r>
        <w:rPr>
          <w:rFonts w:ascii="Times New Roman" w:hAnsi="Times New Roman" w:cs="Times New Roman" w:eastAsia="Times New Roman" w:hint="default"/>
          <w:spacing w:val="-3"/>
        </w:rPr>
        <w:t>11,311.93 </w:t>
      </w:r>
      <w:r>
        <w:rPr>
          <w:spacing w:val="-3"/>
        </w:rPr>
        <w:t>万元，账面价值为</w:t>
      </w:r>
      <w:r>
        <w:rPr>
          <w:rFonts w:ascii="Times New Roman" w:hAnsi="Times New Roman" w:cs="Times New Roman" w:eastAsia="Times New Roman" w:hint="default"/>
          <w:spacing w:val="-3"/>
        </w:rPr>
        <w:t>233,408.96 </w:t>
      </w:r>
      <w:r>
        <w:rPr>
          <w:spacing w:val="-5"/>
        </w:rPr>
        <w:t>万元，占财</w:t>
      </w:r>
      <w:r>
        <w:rPr>
          <w:spacing w:val="-70"/>
        </w:rPr>
        <w:t> </w:t>
      </w:r>
      <w:r>
        <w:rPr>
          <w:spacing w:val="-70"/>
        </w:rPr>
      </w:r>
      <w:r>
        <w:rPr/>
        <w:t>务报表合并资产总额的</w:t>
      </w:r>
      <w:r>
        <w:rPr>
          <w:spacing w:val="-17"/>
        </w:rPr>
        <w:t> </w:t>
      </w:r>
      <w:r>
        <w:rPr>
          <w:rFonts w:ascii="Times New Roman" w:hAnsi="Times New Roman" w:cs="Times New Roman" w:eastAsia="Times New Roman" w:hint="default"/>
        </w:rPr>
        <w:t>22.83%</w:t>
      </w:r>
      <w:r>
        <w:rPr/>
        <w:t>。</w:t>
      </w:r>
    </w:p>
    <w:p>
      <w:pPr>
        <w:pStyle w:val="BodyText"/>
        <w:spacing w:line="319" w:lineRule="auto" w:before="13"/>
        <w:ind w:right="1126" w:firstLine="422"/>
        <w:jc w:val="left"/>
      </w:pPr>
      <w:r>
        <w:rPr>
          <w:spacing w:val="-2"/>
        </w:rPr>
        <w:t>由于存货金额重大，且存货跌价准备的计提涉及重大会计估计和判断，故我们将存货跌价准备的计提确定为关键审计</w:t>
      </w:r>
      <w:r>
        <w:rPr>
          <w:w w:val="101"/>
        </w:rPr>
        <w:t> </w:t>
      </w:r>
      <w:r>
        <w:rPr/>
        <w:t>事项。</w:t>
      </w:r>
    </w:p>
    <w:p>
      <w:pPr>
        <w:pStyle w:val="BodyText"/>
        <w:spacing w:line="300" w:lineRule="auto" w:before="17"/>
        <w:ind w:left="575" w:right="5660"/>
        <w:jc w:val="left"/>
      </w:pPr>
      <w:r>
        <w:rPr>
          <w:rFonts w:ascii="Times New Roman" w:hAnsi="Times New Roman" w:cs="Times New Roman" w:eastAsia="Times New Roman" w:hint="default"/>
        </w:rPr>
        <w:t>2</w:t>
      </w:r>
      <w:r>
        <w:rPr/>
        <w:t>、审计应对</w:t>
      </w:r>
      <w:r>
        <w:rPr>
          <w:spacing w:val="-87"/>
        </w:rPr>
        <w:t> </w:t>
      </w:r>
      <w:r>
        <w:rPr>
          <w:spacing w:val="-87"/>
        </w:rPr>
      </w:r>
      <w:r>
        <w:rPr>
          <w:spacing w:val="-3"/>
        </w:rPr>
        <w:t>针对存货跌价准备的计提，我们执行的审计程序主要包括：</w:t>
      </w:r>
    </w:p>
    <w:p>
      <w:pPr>
        <w:pStyle w:val="BodyText"/>
        <w:spacing w:line="240" w:lineRule="auto" w:before="31"/>
        <w:ind w:left="575" w:right="1126"/>
        <w:jc w:val="left"/>
      </w:pPr>
      <w:r>
        <w:rPr>
          <w:spacing w:val="-3"/>
        </w:rPr>
        <w:t>（</w:t>
      </w:r>
      <w:r>
        <w:rPr>
          <w:rFonts w:ascii="Times New Roman" w:hAnsi="Times New Roman" w:cs="Times New Roman" w:eastAsia="Times New Roman" w:hint="default"/>
          <w:spacing w:val="-3"/>
        </w:rPr>
        <w:t>1</w:t>
      </w:r>
      <w:r>
        <w:rPr>
          <w:spacing w:val="-3"/>
        </w:rPr>
        <w:t>）评价、测试与存货跌价准备计提相关的关键内部控制的设计和执行的有效性；</w:t>
      </w:r>
    </w:p>
    <w:p>
      <w:pPr>
        <w:pStyle w:val="BodyText"/>
        <w:spacing w:line="300" w:lineRule="auto" w:before="63"/>
        <w:ind w:right="1126" w:firstLine="422"/>
        <w:jc w:val="left"/>
      </w:pPr>
      <w:r>
        <w:rPr>
          <w:spacing w:val="-4"/>
        </w:rPr>
        <w:t>（</w:t>
      </w:r>
      <w:r>
        <w:rPr>
          <w:rFonts w:ascii="Times New Roman" w:hAnsi="Times New Roman" w:cs="Times New Roman" w:eastAsia="Times New Roman" w:hint="default"/>
          <w:spacing w:val="-4"/>
        </w:rPr>
        <w:t>2</w:t>
      </w:r>
      <w:r>
        <w:rPr>
          <w:spacing w:val="-4"/>
        </w:rPr>
        <w:t>）结合存货监盘程序，检查存货的数量及状况，关注存在减值迹象的存货（如库龄较长和存在质量问题的存货）是</w:t>
      </w:r>
      <w:r>
        <w:rPr>
          <w:w w:val="101"/>
        </w:rPr>
        <w:t> </w:t>
      </w:r>
      <w:r>
        <w:rPr/>
        <w:t>否均被识别；</w:t>
      </w:r>
    </w:p>
    <w:p>
      <w:pPr>
        <w:pStyle w:val="BodyText"/>
        <w:spacing w:line="240" w:lineRule="auto" w:before="31"/>
        <w:ind w:left="575" w:right="1126"/>
        <w:jc w:val="left"/>
      </w:pPr>
      <w:r>
        <w:rPr>
          <w:spacing w:val="-3"/>
        </w:rPr>
        <w:t>（</w:t>
      </w:r>
      <w:r>
        <w:rPr>
          <w:rFonts w:ascii="Times New Roman" w:hAnsi="Times New Roman" w:cs="Times New Roman" w:eastAsia="Times New Roman" w:hint="default"/>
          <w:spacing w:val="-3"/>
        </w:rPr>
        <w:t>3</w:t>
      </w:r>
      <w:r>
        <w:rPr>
          <w:spacing w:val="-3"/>
        </w:rPr>
        <w:t>）通过检查原始凭证，以及存货进销存记录，对存货货龄的划分进行测试；</w:t>
      </w:r>
    </w:p>
    <w:p>
      <w:pPr>
        <w:pStyle w:val="BodyText"/>
        <w:spacing w:line="300" w:lineRule="auto" w:before="63"/>
        <w:ind w:right="1126" w:firstLine="422"/>
        <w:jc w:val="left"/>
      </w:pPr>
      <w:r>
        <w:rPr>
          <w:spacing w:val="-4"/>
        </w:rPr>
        <w:t>（</w:t>
      </w:r>
      <w:r>
        <w:rPr>
          <w:rFonts w:ascii="Times New Roman" w:hAnsi="Times New Roman" w:cs="Times New Roman" w:eastAsia="Times New Roman" w:hint="default"/>
          <w:spacing w:val="-4"/>
        </w:rPr>
        <w:t>4</w:t>
      </w:r>
      <w:r>
        <w:rPr>
          <w:spacing w:val="-4"/>
        </w:rPr>
        <w:t>）获取并检查存货跌价准备计提明细表，评估管理层在存货跌价准备测试中使用的相关假设及参数设置，包括预计</w:t>
      </w:r>
      <w:r>
        <w:rPr>
          <w:w w:val="101"/>
        </w:rPr>
        <w:t> </w:t>
      </w:r>
      <w:r>
        <w:rPr>
          <w:spacing w:val="-3"/>
        </w:rPr>
        <w:t>售价、销售费用和相关税费等，并执行重新计算程序；</w:t>
      </w:r>
    </w:p>
    <w:p>
      <w:pPr>
        <w:pStyle w:val="BodyText"/>
        <w:spacing w:line="240" w:lineRule="auto" w:before="31"/>
        <w:ind w:left="575" w:right="1126"/>
        <w:jc w:val="left"/>
      </w:pPr>
      <w:r>
        <w:rPr>
          <w:spacing w:val="-3"/>
        </w:rPr>
        <w:t>（</w:t>
      </w:r>
      <w:r>
        <w:rPr>
          <w:rFonts w:ascii="Times New Roman" w:hAnsi="Times New Roman" w:cs="Times New Roman" w:eastAsia="Times New Roman" w:hint="default"/>
          <w:spacing w:val="-3"/>
        </w:rPr>
        <w:t>5</w:t>
      </w:r>
      <w:r>
        <w:rPr>
          <w:spacing w:val="-3"/>
        </w:rPr>
        <w:t>）检查资产负债表日后存货的销售情况，评估存货跌价准备计提的合理性。</w:t>
      </w:r>
    </w:p>
    <w:p>
      <w:pPr>
        <w:pStyle w:val="BodyText"/>
        <w:spacing w:line="240" w:lineRule="auto" w:before="63"/>
        <w:ind w:left="575" w:right="1126"/>
        <w:jc w:val="left"/>
      </w:pPr>
      <w:r>
        <w:rPr>
          <w:spacing w:val="-3"/>
        </w:rPr>
        <w:t>（三）应收账款坏账准备：</w:t>
      </w:r>
    </w:p>
    <w:p>
      <w:pPr>
        <w:pStyle w:val="BodyText"/>
        <w:spacing w:line="240" w:lineRule="auto" w:before="77"/>
        <w:ind w:left="575" w:right="1126"/>
        <w:jc w:val="left"/>
      </w:pPr>
      <w:r>
        <w:rPr>
          <w:rFonts w:ascii="Times New Roman" w:hAnsi="Times New Roman" w:cs="Times New Roman" w:eastAsia="Times New Roman" w:hint="default"/>
        </w:rPr>
        <w:t>1</w:t>
      </w:r>
      <w:r>
        <w:rPr/>
        <w:t>、事项描述</w:t>
      </w:r>
    </w:p>
    <w:p>
      <w:pPr>
        <w:pStyle w:val="BodyText"/>
        <w:spacing w:line="240" w:lineRule="auto" w:before="63"/>
        <w:ind w:left="575" w:right="0"/>
        <w:jc w:val="left"/>
        <w:rPr>
          <w:rFonts w:ascii="Times New Roman" w:hAnsi="Times New Roman" w:cs="Times New Roman" w:eastAsia="Times New Roman" w:hint="default"/>
        </w:rPr>
      </w:pPr>
      <w:r>
        <w:rPr>
          <w:spacing w:val="-3"/>
        </w:rPr>
        <w:t>相关信息披露参见财务报表附注</w:t>
      </w:r>
      <w:r>
        <w:rPr>
          <w:rFonts w:ascii="Times New Roman" w:hAnsi="Times New Roman" w:cs="Times New Roman" w:eastAsia="Times New Roman" w:hint="default"/>
          <w:spacing w:val="-3"/>
        </w:rPr>
        <w:t>“</w:t>
      </w:r>
      <w:r>
        <w:rPr>
          <w:spacing w:val="-3"/>
        </w:rPr>
        <w:t>五、重要会计政策和会计估计</w:t>
      </w:r>
      <w:r>
        <w:rPr>
          <w:rFonts w:ascii="Times New Roman" w:hAnsi="Times New Roman" w:cs="Times New Roman" w:eastAsia="Times New Roman" w:hint="default"/>
          <w:spacing w:val="-3"/>
        </w:rPr>
        <w:t>” </w:t>
      </w:r>
      <w:r>
        <w:rPr>
          <w:rFonts w:ascii="Times New Roman" w:hAnsi="Times New Roman" w:cs="Times New Roman" w:eastAsia="Times New Roman" w:hint="default"/>
        </w:rPr>
        <w:t>11   </w:t>
      </w:r>
      <w:r>
        <w:rPr>
          <w:spacing w:val="-3"/>
        </w:rPr>
        <w:t>及</w:t>
      </w:r>
      <w:r>
        <w:rPr>
          <w:rFonts w:ascii="Times New Roman" w:hAnsi="Times New Roman" w:cs="Times New Roman" w:eastAsia="Times New Roman" w:hint="default"/>
          <w:spacing w:val="-3"/>
        </w:rPr>
        <w:t>“</w:t>
      </w:r>
      <w:r>
        <w:rPr>
          <w:spacing w:val="-3"/>
        </w:rPr>
        <w:t>七、合并财务报表主要项目注释</w:t>
      </w:r>
      <w:r>
        <w:rPr>
          <w:rFonts w:ascii="Times New Roman" w:hAnsi="Times New Roman" w:cs="Times New Roman" w:eastAsia="Times New Roman" w:hint="default"/>
          <w:spacing w:val="-3"/>
        </w:rPr>
        <w:t>”4</w:t>
      </w:r>
      <w:r>
        <w:rPr>
          <w:spacing w:val="-3"/>
        </w:rPr>
        <w:t>。截至</w:t>
      </w:r>
      <w:r>
        <w:rPr>
          <w:spacing w:val="45"/>
        </w:rPr>
        <w:t> </w:t>
      </w:r>
      <w:r>
        <w:rPr>
          <w:rFonts w:ascii="Times New Roman" w:hAnsi="Times New Roman" w:cs="Times New Roman" w:eastAsia="Times New Roman" w:hint="default"/>
        </w:rPr>
        <w:t>2019</w:t>
      </w:r>
    </w:p>
    <w:p>
      <w:pPr>
        <w:pStyle w:val="BodyText"/>
        <w:spacing w:line="300" w:lineRule="auto" w:before="63"/>
        <w:ind w:right="1126"/>
        <w:jc w:val="left"/>
      </w:pPr>
      <w:r>
        <w:rPr/>
        <w:t>年</w:t>
      </w:r>
      <w:r>
        <w:rPr>
          <w:spacing w:val="17"/>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10"/>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spacing w:val="-4"/>
        </w:rPr>
        <w:t>日止，爱施德公司的应收账款账面余额为</w:t>
      </w:r>
      <w:r>
        <w:rPr>
          <w:rFonts w:ascii="Times New Roman" w:hAnsi="Times New Roman" w:cs="Times New Roman" w:eastAsia="Times New Roman" w:hint="default"/>
          <w:spacing w:val="-4"/>
        </w:rPr>
        <w:t>156,488.06</w:t>
      </w:r>
      <w:r>
        <w:rPr>
          <w:spacing w:val="-4"/>
        </w:rPr>
        <w:t>万元，坏账准备</w:t>
      </w:r>
      <w:r>
        <w:rPr>
          <w:rFonts w:ascii="Times New Roman" w:hAnsi="Times New Roman" w:cs="Times New Roman" w:eastAsia="Times New Roman" w:hint="default"/>
          <w:spacing w:val="-4"/>
        </w:rPr>
        <w:t>6,496.53</w:t>
      </w:r>
      <w:r>
        <w:rPr>
          <w:spacing w:val="-4"/>
        </w:rPr>
        <w:t>万元，账面价值为</w:t>
      </w:r>
      <w:r>
        <w:rPr>
          <w:rFonts w:ascii="Times New Roman" w:hAnsi="Times New Roman" w:cs="Times New Roman" w:eastAsia="Times New Roman" w:hint="default"/>
          <w:spacing w:val="-4"/>
        </w:rPr>
        <w:t>149,991.53</w:t>
      </w:r>
      <w:r>
        <w:rPr>
          <w:spacing w:val="-4"/>
        </w:rPr>
        <w:t>万元，</w:t>
      </w:r>
      <w:r>
        <w:rPr>
          <w:spacing w:val="-79"/>
        </w:rPr>
        <w:t> </w:t>
      </w:r>
      <w:r>
        <w:rPr>
          <w:spacing w:val="-79"/>
        </w:rPr>
      </w:r>
      <w:r>
        <w:rPr/>
        <w:t>占财务报表合并资产总额的</w:t>
      </w:r>
      <w:r>
        <w:rPr>
          <w:rFonts w:ascii="Times New Roman" w:hAnsi="Times New Roman" w:cs="Times New Roman" w:eastAsia="Times New Roman" w:hint="default"/>
        </w:rPr>
        <w:t>14.67%</w:t>
      </w:r>
      <w:r>
        <w:rPr/>
        <w:t>。</w:t>
      </w:r>
    </w:p>
    <w:p>
      <w:pPr>
        <w:pStyle w:val="BodyText"/>
        <w:spacing w:line="319" w:lineRule="auto" w:before="13"/>
        <w:ind w:right="1126" w:firstLine="422"/>
        <w:jc w:val="left"/>
      </w:pPr>
      <w:r>
        <w:rPr>
          <w:spacing w:val="-2"/>
        </w:rPr>
        <w:t>由于上述应收账款金额对爱施德公司合并财务报表而言是重大的，而且对上述应收账款余额可收回性的评估涉及重大</w:t>
      </w:r>
      <w:r>
        <w:rPr>
          <w:w w:val="101"/>
        </w:rPr>
        <w:t> </w:t>
      </w:r>
      <w:r>
        <w:rPr>
          <w:spacing w:val="-3"/>
        </w:rPr>
        <w:t>判断。因此，我们将应收账款坏账准备作为关键审计事项。</w:t>
      </w:r>
    </w:p>
    <w:p>
      <w:pPr>
        <w:pStyle w:val="BodyText"/>
        <w:spacing w:line="300" w:lineRule="auto" w:before="17"/>
        <w:ind w:left="575" w:right="5660"/>
        <w:jc w:val="left"/>
      </w:pPr>
      <w:r>
        <w:rPr>
          <w:rFonts w:ascii="Times New Roman" w:hAnsi="Times New Roman" w:cs="Times New Roman" w:eastAsia="Times New Roman" w:hint="default"/>
        </w:rPr>
        <w:t>2</w:t>
      </w:r>
      <w:r>
        <w:rPr/>
        <w:t>、审计应对</w:t>
      </w:r>
      <w:r>
        <w:rPr>
          <w:spacing w:val="-87"/>
        </w:rPr>
        <w:t> </w:t>
      </w:r>
      <w:r>
        <w:rPr>
          <w:spacing w:val="-87"/>
        </w:rPr>
      </w:r>
      <w:r>
        <w:rPr>
          <w:spacing w:val="-3"/>
        </w:rPr>
        <w:t>针对应收账款坏账准备，我们执行的审计程序主要包括：</w:t>
      </w:r>
    </w:p>
    <w:p>
      <w:pPr>
        <w:pStyle w:val="BodyText"/>
        <w:spacing w:line="300" w:lineRule="auto" w:before="31"/>
        <w:ind w:right="1126" w:firstLine="422"/>
        <w:jc w:val="left"/>
      </w:pPr>
      <w:r>
        <w:rPr>
          <w:spacing w:val="-4"/>
        </w:rPr>
        <w:t>（</w:t>
      </w:r>
      <w:r>
        <w:rPr>
          <w:rFonts w:ascii="Times New Roman" w:hAnsi="Times New Roman" w:cs="Times New Roman" w:eastAsia="Times New Roman" w:hint="default"/>
          <w:spacing w:val="-4"/>
        </w:rPr>
        <w:t>1</w:t>
      </w:r>
      <w:r>
        <w:rPr>
          <w:spacing w:val="-4"/>
        </w:rPr>
        <w:t>）评价、测试管理层评估和确定应收账款减值的内部控制，包括有关识别减值客观证据、确定坏账准备计提方法和</w:t>
      </w:r>
      <w:r>
        <w:rPr>
          <w:w w:val="101"/>
        </w:rPr>
        <w:t> </w:t>
      </w:r>
      <w:r>
        <w:rPr>
          <w:spacing w:val="-3"/>
        </w:rPr>
        <w:t>计算坏账准备金额的控制；</w:t>
      </w:r>
    </w:p>
    <w:p>
      <w:pPr>
        <w:pStyle w:val="BodyText"/>
        <w:spacing w:line="240" w:lineRule="auto" w:before="31"/>
        <w:ind w:left="575" w:right="1126"/>
        <w:jc w:val="left"/>
      </w:pPr>
      <w:r>
        <w:rPr>
          <w:spacing w:val="-3"/>
        </w:rPr>
        <w:t>（</w:t>
      </w:r>
      <w:r>
        <w:rPr>
          <w:rFonts w:ascii="Times New Roman" w:hAnsi="Times New Roman" w:cs="Times New Roman" w:eastAsia="Times New Roman" w:hint="default"/>
          <w:spacing w:val="-3"/>
        </w:rPr>
        <w:t>2</w:t>
      </w:r>
      <w:r>
        <w:rPr>
          <w:spacing w:val="-3"/>
        </w:rPr>
        <w:t>）选取样本对管理层所编制的应收账款的账龄准确性进行测试；</w:t>
      </w:r>
    </w:p>
    <w:p>
      <w:pPr>
        <w:pStyle w:val="BodyText"/>
        <w:spacing w:line="240" w:lineRule="auto" w:before="63"/>
        <w:ind w:left="575" w:right="1126"/>
        <w:jc w:val="left"/>
      </w:pPr>
      <w:r>
        <w:rPr>
          <w:spacing w:val="-3"/>
        </w:rPr>
        <w:t>（</w:t>
      </w:r>
      <w:r>
        <w:rPr>
          <w:rFonts w:ascii="Times New Roman" w:hAnsi="Times New Roman" w:cs="Times New Roman" w:eastAsia="Times New Roman" w:hint="default"/>
          <w:spacing w:val="-3"/>
        </w:rPr>
        <w:t>3</w:t>
      </w:r>
      <w:r>
        <w:rPr>
          <w:spacing w:val="-3"/>
        </w:rPr>
        <w:t>）复核管理层有关应收账款坏账准备计提会计政策的合理性及一致性；</w:t>
      </w:r>
    </w:p>
    <w:p>
      <w:pPr>
        <w:pStyle w:val="BodyText"/>
        <w:spacing w:line="300" w:lineRule="auto" w:before="63"/>
        <w:ind w:right="1126" w:firstLine="422"/>
        <w:jc w:val="left"/>
      </w:pPr>
      <w:r>
        <w:rPr>
          <w:spacing w:val="-2"/>
        </w:rPr>
        <w:t>（</w:t>
      </w:r>
      <w:r>
        <w:rPr>
          <w:rFonts w:ascii="Times New Roman" w:hAnsi="Times New Roman" w:cs="Times New Roman" w:eastAsia="Times New Roman" w:hint="default"/>
          <w:spacing w:val="-2"/>
        </w:rPr>
        <w:t>4</w:t>
      </w:r>
      <w:r>
        <w:rPr>
          <w:spacing w:val="-2"/>
        </w:rPr>
        <w:t>）获取管理层对大额应收账款可回收性评估的资料，选取金额重大或高风险的应收账款，通过对客户背景的调查、</w:t>
      </w:r>
      <w:r>
        <w:rPr>
          <w:w w:val="101"/>
        </w:rPr>
        <w:t> </w:t>
      </w:r>
      <w:r>
        <w:rPr>
          <w:spacing w:val="-3"/>
        </w:rPr>
        <w:t>了解客户的经营现状，查阅历史交易和还款情况等程序中获得的证据来评估管理层判断的合理性；</w:t>
      </w:r>
    </w:p>
    <w:p>
      <w:pPr>
        <w:pStyle w:val="BodyText"/>
        <w:spacing w:line="300" w:lineRule="auto" w:before="31"/>
        <w:ind w:right="1126" w:firstLine="422"/>
        <w:jc w:val="left"/>
      </w:pPr>
      <w:r>
        <w:rPr>
          <w:spacing w:val="-4"/>
        </w:rPr>
        <w:t>（</w:t>
      </w:r>
      <w:r>
        <w:rPr>
          <w:rFonts w:ascii="Times New Roman" w:hAnsi="Times New Roman" w:cs="Times New Roman" w:eastAsia="Times New Roman" w:hint="default"/>
          <w:spacing w:val="-4"/>
        </w:rPr>
        <w:t>5</w:t>
      </w:r>
      <w:r>
        <w:rPr>
          <w:spacing w:val="-4"/>
        </w:rPr>
        <w:t>）结合信用风险特征、账龄分析以及应收账款期后回款情况测试，评价、测试管理层对应收账款坏账准备计提的准</w:t>
      </w:r>
      <w:r>
        <w:rPr>
          <w:w w:val="101"/>
        </w:rPr>
        <w:t> </w:t>
      </w:r>
      <w:r>
        <w:rPr/>
        <w:t>确性。</w:t>
      </w:r>
    </w:p>
    <w:p>
      <w:pPr>
        <w:pStyle w:val="Heading3"/>
        <w:spacing w:line="240" w:lineRule="auto" w:before="54"/>
        <w:ind w:left="575" w:right="1126"/>
        <w:jc w:val="left"/>
        <w:rPr>
          <w:b w:val="0"/>
          <w:bCs w:val="0"/>
        </w:rPr>
      </w:pPr>
      <w:r>
        <w:rPr/>
        <w:t>四、其他信息</w:t>
      </w:r>
      <w:r>
        <w:rPr>
          <w:b w:val="0"/>
          <w:bCs w:val="0"/>
        </w:rPr>
      </w:r>
    </w:p>
    <w:p>
      <w:pPr>
        <w:pStyle w:val="BodyText"/>
        <w:spacing w:line="240" w:lineRule="auto" w:before="86"/>
        <w:ind w:left="575" w:right="1126"/>
        <w:jc w:val="left"/>
      </w:pPr>
      <w:r>
        <w:rPr/>
        <w:t>爱施德公司管理层对其他信息负责。其他信息包括</w:t>
      </w:r>
      <w:r>
        <w:rPr>
          <w:rFonts w:ascii="Times New Roman" w:hAnsi="Times New Roman" w:cs="Times New Roman" w:eastAsia="Times New Roman" w:hint="default"/>
        </w:rPr>
        <w:t>2019</w:t>
      </w:r>
      <w:r>
        <w:rPr/>
        <w:t>年年度报告中涵盖的信息，但不包括财务报表和我们的审计报</w:t>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293" w:right="0"/>
        <w:jc w:val="left"/>
      </w:pPr>
      <w:r>
        <w:rPr/>
        <w:t>告。</w:t>
      </w:r>
    </w:p>
    <w:p>
      <w:pPr>
        <w:pStyle w:val="BodyText"/>
        <w:spacing w:line="316" w:lineRule="auto" w:before="76"/>
        <w:ind w:left="715" w:right="0"/>
        <w:jc w:val="left"/>
      </w:pPr>
      <w:r>
        <w:rPr>
          <w:spacing w:val="-3"/>
        </w:rPr>
        <w:t>我们对财务报表发表的审计意见不涵盖其他信息，我们也不对其他信息发表任何形式的鉴证结论。</w:t>
      </w:r>
      <w:r>
        <w:rPr>
          <w:spacing w:val="37"/>
        </w:rPr>
        <w:t> </w:t>
      </w:r>
      <w:r>
        <w:rPr>
          <w:spacing w:val="37"/>
        </w:rPr>
      </w:r>
      <w:r>
        <w:rPr>
          <w:spacing w:val="-2"/>
        </w:rPr>
        <w:t>结合我们对财务报表的审计，我们的责任是阅读其他信息，在此过程中，考虑其他信息是否与财务报表或我们在审计</w:t>
      </w:r>
    </w:p>
    <w:p>
      <w:pPr>
        <w:pStyle w:val="BodyText"/>
        <w:spacing w:line="316" w:lineRule="auto" w:before="19"/>
        <w:ind w:left="715" w:right="0" w:hanging="423"/>
        <w:jc w:val="left"/>
      </w:pPr>
      <w:r>
        <w:rPr>
          <w:spacing w:val="-3"/>
        </w:rPr>
        <w:t>过程中了解到的情况存在重大不一致或者似乎存在重大错报。</w:t>
      </w:r>
      <w:r>
        <w:rPr>
          <w:spacing w:val="-10"/>
        </w:rPr>
        <w:t> </w:t>
      </w:r>
      <w:r>
        <w:rPr>
          <w:spacing w:val="-10"/>
        </w:rPr>
      </w:r>
      <w:r>
        <w:rPr>
          <w:spacing w:val="-2"/>
        </w:rPr>
        <w:t>基于我们已执行的工作，如果我们确定其他信息存在重大错报，我们应当报告该事实。在这方面，我们无任何事项需</w:t>
      </w:r>
    </w:p>
    <w:p>
      <w:pPr>
        <w:pStyle w:val="BodyText"/>
        <w:spacing w:line="240" w:lineRule="auto" w:before="19"/>
        <w:ind w:left="293" w:right="0"/>
        <w:jc w:val="left"/>
      </w:pPr>
      <w:r>
        <w:rPr/>
        <w:t>要报告。</w:t>
      </w:r>
    </w:p>
    <w:p>
      <w:pPr>
        <w:pStyle w:val="Heading3"/>
        <w:spacing w:line="240" w:lineRule="auto" w:before="99"/>
        <w:ind w:left="715" w:right="0"/>
        <w:jc w:val="left"/>
        <w:rPr>
          <w:b w:val="0"/>
          <w:bCs w:val="0"/>
        </w:rPr>
      </w:pPr>
      <w:r>
        <w:rPr/>
        <w:t>五、管理层和治理层对财务报表的责任</w:t>
      </w:r>
      <w:r>
        <w:rPr>
          <w:b w:val="0"/>
          <w:bCs w:val="0"/>
        </w:rPr>
      </w:r>
    </w:p>
    <w:p>
      <w:pPr>
        <w:pStyle w:val="BodyText"/>
        <w:spacing w:line="319" w:lineRule="auto" w:before="86"/>
        <w:ind w:left="293" w:right="1122" w:firstLine="436"/>
        <w:jc w:val="both"/>
      </w:pPr>
      <w:r>
        <w:rPr>
          <w:spacing w:val="-2"/>
        </w:rPr>
        <w:t>爱施德公司管理层（以下简称管理层）负责按照企业会计准则的规定编制财务报表，使其实现公允反映，并设计、执</w:t>
      </w:r>
      <w:r>
        <w:rPr>
          <w:w w:val="101"/>
        </w:rPr>
        <w:t> </w:t>
      </w:r>
      <w:r>
        <w:rPr>
          <w:spacing w:val="-3"/>
        </w:rPr>
        <w:t>行和维护必要的内部控制，以使财务报表不存在由于舞弊或错误导致的重大错报。</w:t>
      </w:r>
    </w:p>
    <w:p>
      <w:pPr>
        <w:pStyle w:val="BodyText"/>
        <w:spacing w:line="316" w:lineRule="auto" w:before="17"/>
        <w:ind w:left="293" w:right="1124" w:firstLine="422"/>
        <w:jc w:val="both"/>
      </w:pPr>
      <w:r>
        <w:rPr>
          <w:spacing w:val="-2"/>
        </w:rPr>
        <w:t>在编制财务报表时，管理层负责评估爱施德公司的持续经营能力，披露与持续经营相关的事项（如适用），并运用持</w:t>
      </w:r>
      <w:r>
        <w:rPr>
          <w:w w:val="101"/>
        </w:rPr>
        <w:t> </w:t>
      </w:r>
      <w:r>
        <w:rPr>
          <w:spacing w:val="-3"/>
        </w:rPr>
        <w:t>续经营假设，除非管理层计划清算爱施德公司、停止营运或别无其他现实的选择。</w:t>
      </w:r>
    </w:p>
    <w:p>
      <w:pPr>
        <w:pStyle w:val="BodyText"/>
        <w:spacing w:line="240" w:lineRule="auto" w:before="19"/>
        <w:ind w:left="715" w:right="0"/>
        <w:jc w:val="left"/>
      </w:pPr>
      <w:r>
        <w:rPr>
          <w:spacing w:val="-3"/>
        </w:rPr>
        <w:t>治理层负责监督爱施德公司的财务报告过程。</w:t>
      </w:r>
    </w:p>
    <w:p>
      <w:pPr>
        <w:pStyle w:val="Heading3"/>
        <w:spacing w:line="240" w:lineRule="auto" w:before="99"/>
        <w:ind w:left="715" w:right="0"/>
        <w:jc w:val="left"/>
        <w:rPr>
          <w:b w:val="0"/>
          <w:bCs w:val="0"/>
        </w:rPr>
      </w:pPr>
      <w:r>
        <w:rPr/>
        <w:t>六、注册会计师对财务报表审计的责任</w:t>
      </w:r>
      <w:r>
        <w:rPr>
          <w:b w:val="0"/>
          <w:bCs w:val="0"/>
        </w:rPr>
      </w:r>
    </w:p>
    <w:p>
      <w:pPr>
        <w:pStyle w:val="BodyText"/>
        <w:spacing w:line="319" w:lineRule="auto" w:before="86"/>
        <w:ind w:left="293" w:right="1122" w:firstLine="422"/>
        <w:jc w:val="both"/>
      </w:pPr>
      <w:r>
        <w:rPr>
          <w:spacing w:val="-2"/>
        </w:rPr>
        <w:t>我们的目标是对财务报表整体是否不存在由于舞弊或错误导致的重大错报获取合理保证，并出具包含审计意见的审计</w:t>
      </w:r>
      <w:r>
        <w:rPr>
          <w:w w:val="101"/>
        </w:rPr>
        <w:t> </w:t>
      </w:r>
      <w:r>
        <w:rPr>
          <w:spacing w:val="-4"/>
        </w:rPr>
        <w:t>报告。合理保证是高水平的保证，但并不能保证按照审计准则执行的审计在某一重大错报存在时总能发现。错报可能由于舞</w:t>
      </w:r>
      <w:r>
        <w:rPr>
          <w:spacing w:val="44"/>
        </w:rPr>
        <w:t> </w:t>
      </w:r>
      <w:r>
        <w:rPr>
          <w:spacing w:val="44"/>
        </w:rPr>
      </w:r>
      <w:r>
        <w:rPr>
          <w:spacing w:val="-4"/>
        </w:rPr>
        <w:t>弊或错误所导致，如果合理预期错报单独或汇总起来可能影响财务报表使用者依据财务报表作出的经济决策，则通常认为错</w:t>
      </w:r>
      <w:r>
        <w:rPr>
          <w:spacing w:val="43"/>
        </w:rPr>
        <w:t> </w:t>
      </w:r>
      <w:r>
        <w:rPr>
          <w:spacing w:val="43"/>
        </w:rPr>
      </w:r>
      <w:r>
        <w:rPr/>
        <w:t>报是重大的。</w:t>
      </w:r>
    </w:p>
    <w:p>
      <w:pPr>
        <w:pStyle w:val="BodyText"/>
        <w:spacing w:line="240" w:lineRule="auto" w:before="17"/>
        <w:ind w:left="715" w:right="0"/>
        <w:jc w:val="left"/>
      </w:pPr>
      <w:r>
        <w:rPr>
          <w:spacing w:val="-3"/>
        </w:rPr>
        <w:t>在按照审计准则执行审计的过程中，我们运用了职业判断，并保持了职业怀疑。同时，我们也执行以下工作：</w:t>
      </w:r>
    </w:p>
    <w:p>
      <w:pPr>
        <w:pStyle w:val="BodyText"/>
        <w:spacing w:line="319" w:lineRule="auto" w:before="76"/>
        <w:ind w:left="293" w:right="0" w:firstLine="422"/>
        <w:jc w:val="left"/>
      </w:pPr>
      <w:r>
        <w:rPr>
          <w:spacing w:val="-6"/>
        </w:rPr>
        <w:t>（一）识别和评估由于舞弊或错误导致的财务报表重大错报风险，设计和实施审计程序以应对这些风险，并获取充分、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76"/>
        </w:rPr>
        <w:t> </w:t>
      </w:r>
      <w:r>
        <w:rPr>
          <w:spacing w:val="76"/>
        </w:rPr>
      </w:r>
      <w:r>
        <w:rPr>
          <w:spacing w:val="-3"/>
        </w:rPr>
        <w:t>未能发现由于舞弊导致的重大错报的风险高于未能发现由于错误导致的重大错报的风险。</w:t>
      </w:r>
    </w:p>
    <w:p>
      <w:pPr>
        <w:pStyle w:val="BodyText"/>
        <w:spacing w:line="240" w:lineRule="auto" w:before="17"/>
        <w:ind w:left="715" w:right="0"/>
        <w:jc w:val="left"/>
      </w:pPr>
      <w:r>
        <w:rPr>
          <w:spacing w:val="-3"/>
        </w:rPr>
        <w:t>（二）了解与审计相关的内部控制，以设计恰当的审计程序，但目的并非对内部控制的有效性发表意见。</w:t>
      </w:r>
    </w:p>
    <w:p>
      <w:pPr>
        <w:pStyle w:val="BodyText"/>
        <w:spacing w:line="240" w:lineRule="auto" w:before="76"/>
        <w:ind w:left="715" w:right="0"/>
        <w:jc w:val="left"/>
      </w:pPr>
      <w:r>
        <w:rPr>
          <w:spacing w:val="-3"/>
        </w:rPr>
        <w:t>（三）评价管理层选用会计政策的恰当性和作出会计估计及相关披露的合理性。</w:t>
      </w:r>
    </w:p>
    <w:p>
      <w:pPr>
        <w:pStyle w:val="BodyText"/>
        <w:spacing w:line="319" w:lineRule="auto" w:before="76"/>
        <w:ind w:left="293" w:right="1124" w:firstLine="422"/>
        <w:jc w:val="both"/>
      </w:pPr>
      <w:r>
        <w:rPr>
          <w:spacing w:val="-2"/>
        </w:rPr>
        <w:t>（四）对管理层使用持续经营假设的恰当性得出结论。同时，根据获取的审计证据，就可能导致对爱施德公司持续经</w:t>
      </w:r>
      <w:r>
        <w:rPr>
          <w:w w:val="101"/>
        </w:rPr>
        <w:t> </w:t>
      </w:r>
      <w:r>
        <w:rPr>
          <w:spacing w:val="-4"/>
        </w:rPr>
        <w:t>营能力产生重大疑虑的事项或情况是否存在重大不确定性得出结论。如果我们得出结论认为存在重大不确定性，审计准则要</w:t>
      </w:r>
      <w:r>
        <w:rPr>
          <w:spacing w:val="39"/>
        </w:rPr>
        <w:t> </w:t>
      </w:r>
      <w:r>
        <w:rPr>
          <w:spacing w:val="39"/>
        </w:rPr>
      </w:r>
      <w:r>
        <w:rPr>
          <w:spacing w:val="-4"/>
        </w:rPr>
        <w:t>求我们在审计报告中提请报表使用者注意财务报表中的相关披露；如果披露不充分，我们应当发表非无保留意见。我们的结</w:t>
      </w:r>
      <w:r>
        <w:rPr>
          <w:spacing w:val="38"/>
        </w:rPr>
        <w:t> </w:t>
      </w:r>
      <w:r>
        <w:rPr>
          <w:spacing w:val="38"/>
        </w:rPr>
      </w:r>
      <w:r>
        <w:rPr>
          <w:spacing w:val="-3"/>
        </w:rPr>
        <w:t>论基于截至审计报告日可获得的信息。然而，未来的事项或情况可能导致爱施德公司不能持续经营。</w:t>
      </w:r>
    </w:p>
    <w:p>
      <w:pPr>
        <w:pStyle w:val="BodyText"/>
        <w:spacing w:line="240" w:lineRule="auto" w:before="17"/>
        <w:ind w:left="715" w:right="0"/>
        <w:jc w:val="left"/>
      </w:pPr>
      <w:r>
        <w:rPr>
          <w:spacing w:val="-3"/>
        </w:rPr>
        <w:t>（五）评价财务报表的总体列报、结构和内容，并评价财务报表是否公允反映相关交易和事项。</w:t>
      </w:r>
    </w:p>
    <w:p>
      <w:pPr>
        <w:pStyle w:val="BodyText"/>
        <w:spacing w:line="316" w:lineRule="auto" w:before="76"/>
        <w:ind w:left="293" w:right="1123" w:firstLine="422"/>
        <w:jc w:val="both"/>
      </w:pPr>
      <w:r>
        <w:rPr>
          <w:spacing w:val="-2"/>
        </w:rPr>
        <w:t>（六）就爱施德公司中实体或业务活动的财务信息获取充分、适当的审计证据，以对财务报表发表意见。我们负责指</w:t>
      </w:r>
      <w:r>
        <w:rPr>
          <w:w w:val="101"/>
        </w:rPr>
        <w:t> </w:t>
      </w:r>
      <w:r>
        <w:rPr>
          <w:spacing w:val="-3"/>
        </w:rPr>
        <w:t>导、监督和执行集团审计。我们对审计意见承担全部责任。</w:t>
      </w:r>
    </w:p>
    <w:p>
      <w:pPr>
        <w:pStyle w:val="BodyText"/>
        <w:spacing w:line="316" w:lineRule="auto" w:before="19"/>
        <w:ind w:left="293" w:right="1124" w:firstLine="422"/>
        <w:jc w:val="both"/>
      </w:pPr>
      <w:r>
        <w:rPr>
          <w:spacing w:val="-2"/>
        </w:rPr>
        <w:t>我们与治理层就计划的审计范围、时间安排和重大审计发现等事项进行沟通，包括沟通我们在审计中识别出的值得关</w:t>
      </w:r>
      <w:r>
        <w:rPr>
          <w:w w:val="101"/>
        </w:rPr>
        <w:t> </w:t>
      </w:r>
      <w:r>
        <w:rPr>
          <w:spacing w:val="-3"/>
        </w:rPr>
        <w:t>注的内部控制缺陷。</w:t>
      </w:r>
    </w:p>
    <w:p>
      <w:pPr>
        <w:pStyle w:val="BodyText"/>
        <w:spacing w:line="316" w:lineRule="auto" w:before="19"/>
        <w:ind w:left="293" w:right="1124" w:firstLine="422"/>
        <w:jc w:val="both"/>
      </w:pPr>
      <w:r>
        <w:rPr>
          <w:spacing w:val="-2"/>
        </w:rPr>
        <w:t>我们还就已遵守与独立性相关的职业道德要求向治理层提供声明，并与治理层沟通可能被合理认为影响我们独立性的</w:t>
      </w:r>
      <w:r>
        <w:rPr>
          <w:w w:val="101"/>
        </w:rPr>
        <w:t> </w:t>
      </w:r>
      <w:r>
        <w:rPr>
          <w:spacing w:val="-3"/>
        </w:rPr>
        <w:t>所有关系和其他事项，以及相关的防范措施。</w:t>
      </w:r>
    </w:p>
    <w:p>
      <w:pPr>
        <w:pStyle w:val="BodyText"/>
        <w:spacing w:line="319" w:lineRule="auto" w:before="19"/>
        <w:ind w:left="293" w:right="1124" w:firstLine="422"/>
        <w:jc w:val="both"/>
      </w:pPr>
      <w:r>
        <w:rPr>
          <w:spacing w:val="-2"/>
        </w:rPr>
        <w:t>从与治理层沟通过的事项中，我们确定哪些事项对本期财务报表审计最为重要，因而构成关键审计事项。我们在审计</w:t>
      </w:r>
      <w:r>
        <w:rPr>
          <w:w w:val="101"/>
        </w:rPr>
        <w:t> </w:t>
      </w:r>
      <w:r>
        <w:rPr>
          <w:spacing w:val="-4"/>
        </w:rPr>
        <w:t>报告中描述这些事项，除非法律法规禁止公开披露这些事项，或在极少数情形下，如果合理预期在审计报告中沟通某事项造</w:t>
      </w:r>
      <w:r>
        <w:rPr>
          <w:spacing w:val="42"/>
        </w:rPr>
        <w:t> </w:t>
      </w:r>
      <w:r>
        <w:rPr>
          <w:spacing w:val="42"/>
        </w:rPr>
      </w:r>
      <w:r>
        <w:rPr>
          <w:spacing w:val="-3"/>
        </w:rPr>
        <w:t>成的负面后果超过在公众利益方面产生的益处，我们确定不应在审计报告中沟通该事项。</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4998"/>
        <w:gridCol w:w="3213"/>
      </w:tblGrid>
      <w:tr>
        <w:trPr>
          <w:trHeight w:val="735" w:hRule="exact"/>
        </w:trPr>
        <w:tc>
          <w:tcPr>
            <w:tcW w:w="4998" w:type="dxa"/>
            <w:tcBorders>
              <w:top w:val="nil" w:sz="6" w:space="0" w:color="auto"/>
              <w:left w:val="nil" w:sz="6" w:space="0" w:color="auto"/>
              <w:bottom w:val="nil" w:sz="6" w:space="0" w:color="auto"/>
              <w:right w:val="nil" w:sz="6" w:space="0" w:color="auto"/>
            </w:tcBorders>
          </w:tcPr>
          <w:p>
            <w:pPr>
              <w:pStyle w:val="TableParagraph"/>
              <w:spacing w:line="201" w:lineRule="exact"/>
              <w:ind w:left="200" w:right="0"/>
              <w:jc w:val="left"/>
              <w:rPr>
                <w:rFonts w:ascii="宋体" w:hAnsi="宋体" w:cs="宋体" w:eastAsia="宋体" w:hint="default"/>
                <w:sz w:val="20"/>
                <w:szCs w:val="20"/>
              </w:rPr>
            </w:pPr>
            <w:r>
              <w:rPr>
                <w:rFonts w:ascii="宋体" w:hAnsi="宋体" w:cs="宋体" w:eastAsia="宋体" w:hint="default"/>
                <w:sz w:val="20"/>
                <w:szCs w:val="20"/>
              </w:rPr>
              <w:t>亚太（集团）会计师事务所（特殊普通合伙）</w:t>
            </w:r>
          </w:p>
        </w:tc>
        <w:tc>
          <w:tcPr>
            <w:tcW w:w="3213" w:type="dxa"/>
            <w:tcBorders>
              <w:top w:val="nil" w:sz="6" w:space="0" w:color="auto"/>
              <w:left w:val="nil" w:sz="6" w:space="0" w:color="auto"/>
              <w:bottom w:val="nil" w:sz="6" w:space="0" w:color="auto"/>
              <w:right w:val="nil" w:sz="6" w:space="0" w:color="auto"/>
            </w:tcBorders>
          </w:tcPr>
          <w:p>
            <w:pPr>
              <w:pStyle w:val="TableParagraph"/>
              <w:spacing w:line="201" w:lineRule="exact"/>
              <w:ind w:left="795" w:right="0"/>
              <w:jc w:val="left"/>
              <w:rPr>
                <w:rFonts w:ascii="宋体" w:hAnsi="宋体" w:cs="宋体" w:eastAsia="宋体" w:hint="default"/>
                <w:sz w:val="20"/>
                <w:szCs w:val="20"/>
              </w:rPr>
            </w:pPr>
            <w:r>
              <w:rPr>
                <w:rFonts w:ascii="宋体" w:hAnsi="宋体" w:cs="宋体" w:eastAsia="宋体" w:hint="default"/>
                <w:sz w:val="20"/>
                <w:szCs w:val="20"/>
              </w:rPr>
              <w:t>中国注册会计师：周英</w:t>
            </w:r>
          </w:p>
          <w:p>
            <w:pPr>
              <w:pStyle w:val="TableParagraph"/>
              <w:spacing w:line="240" w:lineRule="auto" w:before="50"/>
              <w:ind w:left="795" w:right="0"/>
              <w:jc w:val="left"/>
              <w:rPr>
                <w:rFonts w:ascii="宋体" w:hAnsi="宋体" w:cs="宋体" w:eastAsia="宋体" w:hint="default"/>
                <w:sz w:val="20"/>
                <w:szCs w:val="20"/>
              </w:rPr>
            </w:pPr>
            <w:r>
              <w:rPr>
                <w:rFonts w:ascii="宋体" w:hAnsi="宋体" w:cs="宋体" w:eastAsia="宋体" w:hint="default"/>
                <w:sz w:val="20"/>
                <w:szCs w:val="20"/>
              </w:rPr>
              <w:t>（项目合伙人）</w:t>
            </w:r>
          </w:p>
        </w:tc>
      </w:tr>
      <w:tr>
        <w:trPr>
          <w:trHeight w:val="649" w:hRule="exact"/>
        </w:trPr>
        <w:tc>
          <w:tcPr>
            <w:tcW w:w="4998"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664" w:right="0"/>
              <w:jc w:val="center"/>
              <w:rPr>
                <w:rFonts w:ascii="宋体" w:hAnsi="宋体" w:cs="宋体" w:eastAsia="宋体" w:hint="default"/>
                <w:sz w:val="20"/>
                <w:szCs w:val="20"/>
              </w:rPr>
            </w:pPr>
            <w:r>
              <w:rPr>
                <w:rFonts w:ascii="宋体" w:hAnsi="宋体" w:cs="宋体" w:eastAsia="宋体" w:hint="default"/>
                <w:sz w:val="20"/>
                <w:szCs w:val="20"/>
              </w:rPr>
              <w:t>中国</w:t>
            </w:r>
            <w:r>
              <w:rPr>
                <w:rFonts w:ascii="Times New Roman" w:hAnsi="Times New Roman" w:cs="Times New Roman" w:eastAsia="Times New Roman" w:hint="default"/>
                <w:sz w:val="20"/>
                <w:szCs w:val="20"/>
              </w:rPr>
              <w:t>·</w:t>
            </w:r>
            <w:r>
              <w:rPr>
                <w:rFonts w:ascii="宋体" w:hAnsi="宋体" w:cs="宋体" w:eastAsia="宋体" w:hint="default"/>
                <w:sz w:val="20"/>
                <w:szCs w:val="20"/>
              </w:rPr>
              <w:t>北京</w:t>
            </w: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8"/>
              <w:jc w:val="right"/>
              <w:rPr>
                <w:rFonts w:ascii="宋体" w:hAnsi="宋体" w:cs="宋体" w:eastAsia="宋体" w:hint="default"/>
                <w:sz w:val="20"/>
                <w:szCs w:val="20"/>
              </w:rPr>
            </w:pPr>
            <w:r>
              <w:rPr>
                <w:rFonts w:ascii="宋体" w:hAnsi="宋体" w:cs="宋体" w:eastAsia="宋体" w:hint="default"/>
                <w:spacing w:val="-2"/>
                <w:sz w:val="20"/>
                <w:szCs w:val="20"/>
              </w:rPr>
              <w:t>中国注册会计师：林丹妮</w:t>
            </w:r>
          </w:p>
        </w:tc>
      </w:tr>
      <w:tr>
        <w:trPr>
          <w:trHeight w:val="417" w:hRule="exact"/>
        </w:trPr>
        <w:tc>
          <w:tcPr>
            <w:tcW w:w="4998" w:type="dxa"/>
            <w:tcBorders>
              <w:top w:val="nil" w:sz="6" w:space="0" w:color="auto"/>
              <w:left w:val="nil" w:sz="6" w:space="0" w:color="auto"/>
              <w:bottom w:val="nil" w:sz="6" w:space="0" w:color="auto"/>
              <w:right w:val="nil" w:sz="6" w:space="0" w:color="auto"/>
            </w:tcBorders>
          </w:tcPr>
          <w:p>
            <w:pPr/>
          </w:p>
        </w:tc>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98"/>
              <w:jc w:val="right"/>
              <w:rPr>
                <w:rFonts w:ascii="宋体" w:hAnsi="宋体" w:cs="宋体" w:eastAsia="宋体" w:hint="default"/>
                <w:sz w:val="20"/>
                <w:szCs w:val="20"/>
              </w:rPr>
            </w:pPr>
            <w:r>
              <w:rPr>
                <w:rFonts w:ascii="宋体" w:hAnsi="宋体" w:cs="宋体" w:eastAsia="宋体" w:hint="default"/>
                <w:spacing w:val="-2"/>
                <w:sz w:val="20"/>
                <w:szCs w:val="20"/>
              </w:rPr>
              <w:t>二〇二〇年四月十七日</w:t>
            </w:r>
          </w:p>
        </w:tc>
      </w:tr>
    </w:tbl>
    <w:p>
      <w:pPr>
        <w:spacing w:after="0" w:line="240" w:lineRule="auto"/>
        <w:jc w:val="right"/>
        <w:rPr>
          <w:rFonts w:ascii="宋体" w:hAnsi="宋体" w:cs="宋体" w:eastAsia="宋体" w:hint="default"/>
          <w:sz w:val="20"/>
          <w:szCs w:val="20"/>
        </w:rPr>
        <w:sectPr>
          <w:pgSz w:w="11910" w:h="16840"/>
          <w:pgMar w:header="871" w:footer="1474" w:top="1060" w:bottom="1660" w:left="840" w:right="0"/>
        </w:sectPr>
      </w:pPr>
    </w:p>
    <w:p>
      <w:pPr>
        <w:spacing w:line="240" w:lineRule="auto" w:before="10"/>
        <w:rPr>
          <w:rFonts w:ascii="宋体" w:hAnsi="宋体" w:cs="宋体" w:eastAsia="宋体" w:hint="default"/>
          <w:sz w:val="23"/>
          <w:szCs w:val="23"/>
        </w:rPr>
      </w:pPr>
    </w:p>
    <w:p>
      <w:pPr>
        <w:pStyle w:val="Heading2"/>
        <w:spacing w:line="240" w:lineRule="auto" w:before="26"/>
        <w:ind w:right="1126"/>
        <w:jc w:val="left"/>
        <w:rPr>
          <w:b w:val="0"/>
          <w:bCs w:val="0"/>
        </w:rPr>
      </w:pPr>
      <w:bookmarkStart w:name="二、财务报表" w:id="177"/>
      <w:bookmarkEnd w:id="177"/>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1126"/>
        <w:jc w:val="left"/>
      </w:pPr>
      <w:r>
        <w:rPr>
          <w:spacing w:val="-3"/>
        </w:rPr>
        <w:t>财务附注中报表的单位为：元</w:t>
      </w:r>
    </w:p>
    <w:p>
      <w:pPr>
        <w:pStyle w:val="BodyText"/>
        <w:spacing w:line="240" w:lineRule="auto" w:before="115"/>
        <w:ind w:right="1126"/>
        <w:jc w:val="left"/>
      </w:pPr>
      <w:r>
        <w:rPr/>
        <w:t>期末为</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日，期初为</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日，上年年末为</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101"/>
        <w:ind w:right="1126"/>
        <w:jc w:val="left"/>
      </w:pPr>
      <w:r>
        <w:rPr/>
        <w:t>本期为</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年度，上期为</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1、合并资产负债表" w:id="178"/>
      <w:bookmarkEnd w:id="17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26"/>
        <w:jc w:val="left"/>
      </w:pPr>
      <w:r>
        <w:rPr>
          <w:spacing w:val="-3"/>
        </w:rPr>
        <w:t>编制单位：深圳市爱施德股份有限公司</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3,438,760,012.39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3,237,345,929.00</w:t>
            </w:r>
          </w:p>
        </w:tc>
      </w:tr>
      <w:tr>
        <w:trPr>
          <w:trHeight w:val="398"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125,224,475.73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217,968,239.73</w:t>
            </w:r>
          </w:p>
        </w:tc>
      </w:tr>
      <w:tr>
        <w:trPr>
          <w:trHeight w:val="399"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369,650,000.00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309,101,965.50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1,499,915,342.81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1,584,363,693.49</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999,960,695.35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575,808,804.89</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183,453,591.07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118,509,117.74</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4,584,456.74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14,425,278.68</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2,334,089,641.44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2,355,193,580.31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112,519,576.70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484,830,906.12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9,063,573,335.49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8,883,122,236.78</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912,655,349.92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919,312,251.62</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216,660,954.98</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5,139,627.51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32,738,065.61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10,914,327.46</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18"/>
                <w:szCs w:val="18"/>
              </w:rPr>
            </w:pPr>
            <w:r>
              <w:rPr>
                <w:rFonts w:ascii="Times New Roman"/>
                <w:spacing w:val="-2"/>
                <w:sz w:val="18"/>
              </w:rPr>
              <w:t>12,115,451.17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18"/>
                <w:szCs w:val="18"/>
              </w:rPr>
            </w:pPr>
            <w:r>
              <w:rPr>
                <w:rFonts w:ascii="Times New Roman"/>
                <w:spacing w:val="-1"/>
                <w:sz w:val="18"/>
              </w:rPr>
              <w:t>15,782,914.57</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234,513.28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21,558,034.90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25,596,956.89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101,708.74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3,674,103.39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3,674,103.39</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8,066,095.59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8,961,863.25</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156,167,593.06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123,379,887.80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1,160,626,805.02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2"/>
                <w:sz w:val="18"/>
              </w:rPr>
              <w:t>1,364,106,998.11</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1"/>
              <w:ind w:right="18"/>
              <w:jc w:val="right"/>
              <w:rPr>
                <w:rFonts w:ascii="Times New Roman" w:hAnsi="Times New Roman" w:cs="Times New Roman" w:eastAsia="Times New Roman" w:hint="default"/>
                <w:sz w:val="18"/>
                <w:szCs w:val="18"/>
              </w:rPr>
            </w:pPr>
            <w:r>
              <w:rPr>
                <w:rFonts w:ascii="Times New Roman"/>
                <w:spacing w:val="-1"/>
                <w:sz w:val="18"/>
              </w:rPr>
              <w:t>10,224,200,140.51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pacing w:val="-1"/>
                <w:sz w:val="18"/>
              </w:rPr>
              <w:t>10,247,229,234.89</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2,515,633,208.00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3,636,967,774.36</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8,446,602.00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192,788,955.35</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1,555,065,156.54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176,250,914.20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684,258,310.32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514,975,304.31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80,007,194.80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54,283,208.38</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3"/>
                <w:sz w:val="18"/>
              </w:rPr>
              <w:t>116,015,111.55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94,349,902.97</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80,515,265.91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58,080,015.91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1,930,542.92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15,900,631.65</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5,232,729,804.47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4,534,907,120.13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599,248,224.96</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515,409.90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1,238,454.00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2,595,035.60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2,754,489.04</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2"/>
                <w:sz w:val="18"/>
              </w:rPr>
              <w:t>3,110,445.50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603,241,168.00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5,235,840,249.97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2"/>
                <w:sz w:val="18"/>
              </w:rPr>
              <w:t>5,138,148,288.13</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1,239,281,806.00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1,239,281,806.00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4"/>
        <w:gridCol w:w="2271"/>
        <w:gridCol w:w="2194"/>
      </w:tblGrid>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1,622,032,458.56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1,621,822,728.69</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-373,952,221.17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2,451,085.97</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274,170,573.16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264,724,184.43</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15,291,367.20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16,782,143.96</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2,177,786,269.58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1,776,746,860.02</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4,954,610,253.33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4,921,808,809.07</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33,749,637.21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187,272,137.69</w:t>
            </w:r>
          </w:p>
        </w:tc>
      </w:tr>
      <w:tr>
        <w:trPr>
          <w:trHeight w:val="40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4,988,359,890.54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5,109,080,946.76</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10,224,200,140.51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10,247,229,234.89</w:t>
            </w:r>
          </w:p>
        </w:tc>
      </w:tr>
    </w:tbl>
    <w:p>
      <w:pPr>
        <w:spacing w:line="240" w:lineRule="auto" w:before="2"/>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right="1126"/>
        <w:jc w:val="left"/>
      </w:pPr>
      <w:r>
        <w:rPr>
          <w:spacing w:val="-3"/>
        </w:rPr>
        <w:t>法定代表人：黄文辉</w:t>
        <w:tab/>
        <w:t>主管会计工作负责人：米泽东</w:t>
        <w:tab/>
        <w:t>会计机构负责人：米泽东</w:t>
      </w:r>
    </w:p>
    <w:p>
      <w:pPr>
        <w:spacing w:line="240" w:lineRule="auto" w:before="9"/>
        <w:rPr>
          <w:rFonts w:ascii="宋体" w:hAnsi="宋体" w:cs="宋体" w:eastAsia="宋体" w:hint="default"/>
          <w:sz w:val="26"/>
          <w:szCs w:val="26"/>
        </w:rPr>
      </w:pPr>
    </w:p>
    <w:p>
      <w:pPr>
        <w:pStyle w:val="Heading3"/>
        <w:spacing w:line="240" w:lineRule="auto"/>
        <w:ind w:right="1126"/>
        <w:jc w:val="left"/>
        <w:rPr>
          <w:b w:val="0"/>
          <w:bCs w:val="0"/>
        </w:rPr>
      </w:pPr>
      <w:bookmarkStart w:name="2、母公司资产负债表" w:id="179"/>
      <w:bookmarkEnd w:id="17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2,816,796,128.89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2,521,372,264.33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217,968,239.73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6,600,000.00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225,300,733.00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815,089,497.16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1,105,965,826.14</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10,440,885.22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537,836,575.39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1,996,096,891.11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983,248,185.67</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8,228,726.67</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1,290,613,536.78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1,470,121,852.07</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1,855,496.98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350,753,080.16</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6,937,492,436.14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2"/>
                <w:sz w:val="18"/>
              </w:rPr>
              <w:t>7,412,566,756.49</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1,753,103,416.73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1,742,983,416.73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5,857,673.95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6,925,235.24</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14,422,478.37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16,807,103.03</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1,423,515.17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1,440,770.08</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60,527,515.31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41,773,797.32</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1,835,334,599.53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1,827,930,322.40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8,772,827,035.67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9,240,497,078.89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1,493,988,398.00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2,050,094,700.00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8,446,602.00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500,000,000.00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1,335,350,000.00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2"/>
                <w:sz w:val="18"/>
              </w:rPr>
              <w:t>1,513,119,655.15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18,984,367.53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574,177,581.49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430,422,805.51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52,901,455.60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27,526,759.97</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23,037,399.71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2"/>
                <w:sz w:val="18"/>
              </w:rPr>
              <w:t>53,218,911.70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304,835,506.98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267,946,338.73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1,679,154.02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15,377,009.48</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4,470,506,598.93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4,183,543,883.44</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599,248,224.96</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1,992,059.93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601,240,284.89</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1"/>
              <w:ind w:right="18"/>
              <w:jc w:val="right"/>
              <w:rPr>
                <w:rFonts w:ascii="Times New Roman" w:hAnsi="Times New Roman" w:cs="Times New Roman" w:eastAsia="Times New Roman" w:hint="default"/>
                <w:sz w:val="18"/>
                <w:szCs w:val="18"/>
              </w:rPr>
            </w:pPr>
            <w:r>
              <w:rPr>
                <w:rFonts w:ascii="Times New Roman"/>
                <w:spacing w:val="-2"/>
                <w:sz w:val="18"/>
              </w:rPr>
              <w:t>4,470,506,598.93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pacing w:val="-2"/>
                <w:sz w:val="18"/>
              </w:rPr>
              <w:t>4,784,784,168.33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1,239,281,806.00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1,239,281,806.00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1,709,322,752.80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1,709,322,752.80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274,170,573.16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264,724,184.43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4"/>
        <w:gridCol w:w="2271"/>
        <w:gridCol w:w="2194"/>
      </w:tblGrid>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1,079,545,304.78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1,242,384,167.33</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4,302,320,436.74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4,455,712,910.56</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8,772,827,035.67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9,240,497,078.89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6"/>
        <w:jc w:val="left"/>
        <w:rPr>
          <w:b w:val="0"/>
          <w:bCs w:val="0"/>
        </w:rPr>
      </w:pPr>
      <w:bookmarkStart w:name="3、合并利润表" w:id="180"/>
      <w:bookmarkEnd w:id="18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55,969,322,613.03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56,983,791,975.82</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55,796,630,955.63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56,807,507,066.59</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172,691,657.40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176,284,909.23</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55,337,556,862.56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56,562,031,638.22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54,207,135,110.98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55,316,597,039.18</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提取保险责任合同准备金净额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50,824,067.38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42,119,511.31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686,020,008.98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729,338,057.25</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225,682,518.74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220,777,637.63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13,659,787.55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12,317,419.50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154,235,368.93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240,881,973.35</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174,204,402.90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260,021,275.22</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34,177,114.40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51,677,810.32</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12,520,497.98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5,094,474.88</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46,413,243.90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56,565,486.41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-26,393,338.97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-214,258.50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-2,741,105.06</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104"/>
        <w:gridCol w:w="2271"/>
        <w:gridCol w:w="2194"/>
      </w:tblGrid>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-8,012,126.27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-6,204,660.75</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-190,221,193.61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-109,896,222.10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-535,125,813.20</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82,497.53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-58,916.32</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382,652,447.90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-57,969,091.38</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15,222,520.56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32,918,069.49</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3,141,920.83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738,694.40</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394,733,047.63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-25,789,716.29</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74,050,195.69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44,104,939.56</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320,682,851.94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-69,894,655.85</w:t>
            </w:r>
          </w:p>
        </w:tc>
      </w:tr>
      <w:tr>
        <w:trPr>
          <w:trHeight w:val="40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320,682,851.94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-69,894,655.85</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343,682,499.84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-92,720,082.99</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-22,999,647.90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22,825,427.14</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-69,048,710.79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-165,197,778.67</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归属母公司所有者的其他综合收益的税后净额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-69,190,404.23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-165,301,322.98</w:t>
            </w:r>
          </w:p>
        </w:tc>
      </w:tr>
      <w:tr>
        <w:trPr>
          <w:trHeight w:val="40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-62,558,414.09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权益法下不能转损益的其他综合收益</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其他权益工具投资公允价值变动</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-62,558,414.09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企业自身信用风险公允价值变动</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-6,631,990.14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-165,301,322.98</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权益法下可转损益的其他综合收益</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可供出售金融资产公允价值变动损益</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-169,626,794.59</w:t>
            </w: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金融资产重分类计入其他综合收益的金额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2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持有至到期投资重分类为可供出售金融资产损益</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7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-6,631,990.14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4,325,471.61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归属于少数股东的其他综合收益的税后净额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141,693.44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103,544.31</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251,634,141.15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-235,092,434.52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归属于母公司所有者的综合收益总额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274,492,095.61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-258,021,405.97</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-22,857,954.46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22,928,971.45</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0.2773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-0.0748</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0.2773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-0.0748</w:t>
            </w:r>
          </w:p>
        </w:tc>
      </w:tr>
    </w:tbl>
    <w:p>
      <w:pPr>
        <w:pStyle w:val="BodyText"/>
        <w:tabs>
          <w:tab w:pos="3577" w:val="left" w:leader="none"/>
          <w:tab w:pos="7716" w:val="left" w:leader="none"/>
        </w:tabs>
        <w:spacing w:line="590" w:lineRule="auto" w:before="53"/>
        <w:ind w:right="1223"/>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3"/>
        </w:rPr>
        <w:t> </w:t>
      </w:r>
      <w:r>
        <w:rPr>
          <w:spacing w:val="-3"/>
        </w:rPr>
        <w:t>法定代表人：黄文辉</w:t>
        <w:tab/>
        <w:t>主管会计工作负责人：米泽东</w:t>
        <w:tab/>
        <w:t>会计机构负责人：米泽东</w:t>
      </w:r>
      <w:r>
        <w:rPr>
          <w:spacing w:val="-56"/>
        </w:rPr>
        <w:t> </w:t>
      </w:r>
      <w:r>
        <w:rPr>
          <w:spacing w:val="-56"/>
        </w:rPr>
      </w:r>
      <w:bookmarkStart w:name="4、母公司利润表" w:id="181"/>
      <w:bookmarkEnd w:id="181"/>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4"/>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398"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38,368,628,285.06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42,122,299,858.49</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37,672,953,301.39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41,184,199,168.21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18,320,224.04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23,413,969.19</w:t>
            </w:r>
          </w:p>
        </w:tc>
      </w:tr>
      <w:tr>
        <w:trPr>
          <w:trHeight w:val="398"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427,649,058.78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497,781,026.46</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120,880,755.43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104,320,301.70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113,065,521.62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147,033,957.16</w:t>
            </w:r>
          </w:p>
        </w:tc>
      </w:tr>
      <w:tr>
        <w:trPr>
          <w:trHeight w:val="398"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116,533,692.02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158,851,093.89</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22,916,620.49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43,863,843.16</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3,697,558.42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2,826,936.61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197,777,577.32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119,659,271.85</w:t>
            </w:r>
          </w:p>
        </w:tc>
      </w:tr>
      <w:tr>
        <w:trPr>
          <w:trHeight w:val="398"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93"/>
              <w:jc w:val="righ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以摊余成本计量的金融资产终止确认收益（损失以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-2,741,105.06</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2"/>
              <w:jc w:val="righ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-8,446,602.00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-6,204,660.75</w:t>
            </w:r>
          </w:p>
        </w:tc>
      </w:tr>
      <w:tr>
        <w:trPr>
          <w:trHeight w:val="398"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-52,012,054.78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-75,706,467.34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-68,214,366.30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-9,490.77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84,382.91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81,059,944.65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213,703,000.09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3,035,285.81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5,457,856.56</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1,080,701.54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130,839.63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83,014,528.92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219,030,017.02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-11,449,358.46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40,219,394.71</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94,463,887.38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178,810,622.31</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94,463,887.38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178,810,622.31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权益法下不能转损益的其他综合收益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其他权益工具投资公允价值变动</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企业自身信用风险公允价值变动</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可供出售金融资产公允价值变动损益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金融资产重分类计入其他综合收益的金额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持有至到期投资重分类为可供出售金融资产损益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94,463,887.38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178,810,622.31</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5、合并现金流量表" w:id="182"/>
      <w:bookmarkEnd w:id="18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104"/>
        <w:gridCol w:w="2271"/>
        <w:gridCol w:w="2194"/>
      </w:tblGrid>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63,127,779,973.55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66,880,866,961.99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3,518,709,667.44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2"/>
                <w:sz w:val="18"/>
              </w:rPr>
              <w:t>3,360,344,902.23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189,267,491.73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148,899,090.27</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378,558,131.19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429,379,192.51</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67,214,315,263.91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70,819,490,147.00</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60,186,576,737.86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65,571,622,185.16</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3,820,874,486.25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3,202,754,736.20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339,188,736.84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420,465,210.94</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1"/>
              <w:ind w:right="18"/>
              <w:jc w:val="right"/>
              <w:rPr>
                <w:rFonts w:ascii="Times New Roman" w:hAnsi="Times New Roman" w:cs="Times New Roman" w:eastAsia="Times New Roman" w:hint="default"/>
                <w:sz w:val="18"/>
                <w:szCs w:val="18"/>
              </w:rPr>
            </w:pPr>
            <w:r>
              <w:rPr>
                <w:rFonts w:ascii="Times New Roman"/>
                <w:spacing w:val="-1"/>
                <w:sz w:val="18"/>
              </w:rPr>
              <w:t>268,837,905.28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
              <w:jc w:val="right"/>
              <w:rPr>
                <w:rFonts w:ascii="Times New Roman" w:hAnsi="Times New Roman" w:cs="Times New Roman" w:eastAsia="Times New Roman" w:hint="default"/>
                <w:sz w:val="18"/>
                <w:szCs w:val="18"/>
              </w:rPr>
            </w:pPr>
            <w:r>
              <w:rPr>
                <w:rFonts w:ascii="Times New Roman"/>
                <w:spacing w:val="-1"/>
                <w:sz w:val="18"/>
              </w:rPr>
              <w:t>338,533,265.21</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907,323,552.55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793,866,009.58</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65,522,801,418.78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70,327,241,407.09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1,691,513,845.13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492,248,739.91</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13,220,370,000.00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2"/>
                <w:sz w:val="18"/>
              </w:rPr>
              <w:t>16,112,385,601.79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12,941,863.12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32,065,531.96</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1,371,156.28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
              <w:jc w:val="right"/>
              <w:rPr>
                <w:rFonts w:ascii="Times New Roman" w:hAnsi="Times New Roman" w:cs="Times New Roman" w:eastAsia="Times New Roman" w:hint="default"/>
                <w:sz w:val="18"/>
                <w:szCs w:val="18"/>
              </w:rPr>
            </w:pPr>
            <w:r>
              <w:rPr>
                <w:rFonts w:ascii="Times New Roman"/>
                <w:spacing w:val="-1"/>
                <w:sz w:val="18"/>
              </w:rPr>
              <w:t>375,365.00</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77,445,023.13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13,312,128,042.53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16,144,826,498.75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11,747,566.30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18,451,568.53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12,851,200,000.00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15,979,772,446.94</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928,150.75</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12,863,337,566.30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15,999,152,166.22</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448,790,476.23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145,674,332.53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4,890,000.00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6,713,400.00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4,890,000.00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6,713,400.00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6,332,634,118.65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7,378,170,574.36</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1,878,393,466.86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637,215,146.13</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8,215,917,585.51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8,022,099,120.49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8,051,138,107.01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6,251,925,000.00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467,886,583.60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468,449,765.19</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其中：子公司支付给少数股东的股利、利润</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26,714,625.71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788,310,136.35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1,826,923,378.70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9,307,334,826.96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8,547,298,143.89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-1,091,417,241.45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-525,199,023.40</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1,930,245.83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1,253,829.37</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1,050,817,325.74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113,977,878.41</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1,611,222,550.30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1,497,244,671.89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2,662,039,876.04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1,611,222,550.30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6"/>
        <w:jc w:val="left"/>
        <w:rPr>
          <w:b w:val="0"/>
          <w:bCs w:val="0"/>
        </w:rPr>
      </w:pPr>
      <w:bookmarkStart w:name="6、母公司现金流量表" w:id="183"/>
      <w:bookmarkEnd w:id="18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173"/>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44,945,966,137.97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49,797,323,542.10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73"/>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358,107,728.00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538,901,551.45</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45,304,073,865.97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50,336,225,093.55</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173"/>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42,230,445,516.67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48,311,754,327.42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3"/>
        <w:gridCol w:w="2281"/>
        <w:gridCol w:w="2194"/>
      </w:tblGrid>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195,169,601.49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258,688,307.85</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102,796,126.98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176,939,635.53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1,671,473,927.54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400,279,126.42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44,199,885,172.68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49,147,661,397.22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1,104,188,693.29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1,188,563,696.33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13,216,400,000.00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16,080,548,600.32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159,744,685.84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117,701,585.10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165,635.00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375,365.00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处置子公司及其他营业单位收到的现金净额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13,376,310,320.84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16,198,625,550.42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2,869,637.00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3,978,768.59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12,859,520,000.00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15,966,000,000.00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取得子公司及其他营业单位支付的现金净额</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12,862,389,637.00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15,969,978,768.59</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513,920,683.84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228,646,781.83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4,932,838,398.00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5,745,594,700.00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1,793,141,138.73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607,215,146.13</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6,725,979,536.73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6,352,809,846.13</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6,088,944,700.00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5,651,299,400.00</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419,109,013.74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372,790,741.10</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738,162,345.28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1,752,228,521.25</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2"/>
                <w:sz w:val="18"/>
              </w:rPr>
              <w:t>7,246,216,059.02</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7,776,318,662.35</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-520,236,522.29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-1,423,508,816.22</w:t>
            </w:r>
          </w:p>
        </w:tc>
      </w:tr>
      <w:tr>
        <w:trPr>
          <w:trHeight w:val="403"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2281" w:type="dxa"/>
            <w:tcBorders>
              <w:top w:val="single" w:sz="4" w:space="0" w:color="000000"/>
              <w:left w:val="single" w:sz="8" w:space="0" w:color="D2D2D2"/>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1,097,872,854.84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-6,298,338.06</w:t>
            </w:r>
          </w:p>
        </w:tc>
      </w:tr>
      <w:tr>
        <w:trPr>
          <w:trHeight w:val="401"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980,760,928.77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987,059,266.83</w:t>
            </w:r>
          </w:p>
        </w:tc>
      </w:tr>
      <w:tr>
        <w:trPr>
          <w:trHeight w:val="404" w:hRule="exact"/>
        </w:trPr>
        <w:tc>
          <w:tcPr>
            <w:tcW w:w="5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2,078,633,783.61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980,760,928.77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9"/>
        <w:rPr>
          <w:rFonts w:ascii="Times New Roman" w:hAnsi="Times New Roman" w:cs="Times New Roman" w:eastAsia="Times New Roman" w:hint="default"/>
          <w:sz w:val="28"/>
          <w:szCs w:val="28"/>
        </w:rPr>
      </w:pPr>
    </w:p>
    <w:p>
      <w:pPr>
        <w:pStyle w:val="Heading3"/>
        <w:spacing w:line="240" w:lineRule="auto" w:before="36"/>
        <w:ind w:right="1126"/>
        <w:jc w:val="left"/>
        <w:rPr>
          <w:b w:val="0"/>
          <w:bCs w:val="0"/>
        </w:rPr>
      </w:pPr>
      <w:bookmarkStart w:name="7、合并所有者权益变动表" w:id="184"/>
      <w:bookmarkEnd w:id="18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29"/>
        <w:gridCol w:w="746"/>
        <w:gridCol w:w="423"/>
        <w:gridCol w:w="427"/>
        <w:gridCol w:w="312"/>
        <w:gridCol w:w="682"/>
        <w:gridCol w:w="485"/>
        <w:gridCol w:w="648"/>
        <w:gridCol w:w="518"/>
        <w:gridCol w:w="586"/>
        <w:gridCol w:w="581"/>
        <w:gridCol w:w="725"/>
        <w:gridCol w:w="446"/>
        <w:gridCol w:w="581"/>
        <w:gridCol w:w="586"/>
        <w:gridCol w:w="797"/>
      </w:tblGrid>
      <w:tr>
        <w:trPr>
          <w:trHeight w:val="404"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854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50"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162"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6" w:type="dxa"/>
            <w:vMerge w:val="restart"/>
            <w:tcBorders>
              <w:top w:val="single" w:sz="4" w:space="0" w:color="000000"/>
              <w:left w:val="single" w:sz="4" w:space="0" w:color="000000"/>
              <w:right w:val="single" w:sz="4" w:space="0" w:color="000000"/>
            </w:tcBorders>
            <w:shd w:val="clear" w:color="auto" w:fill="D2D2D2"/>
          </w:tcPr>
          <w:p>
            <w:pPr/>
          </w:p>
        </w:tc>
        <w:tc>
          <w:tcPr>
            <w:tcW w:w="116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57" w:right="50"/>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4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24" w:right="27"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49"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bottom w:val="nil" w:sz="6" w:space="0" w:color="auto"/>
              <w:right w:val="single" w:sz="4" w:space="0" w:color="000000"/>
            </w:tcBorders>
            <w:shd w:val="clear" w:color="auto" w:fill="D2D2D2"/>
          </w:tcPr>
          <w:p>
            <w:pPr/>
          </w:p>
        </w:tc>
        <w:tc>
          <w:tcPr>
            <w:tcW w:w="1162"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5" w:right="60" w:hanging="179"/>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485" w:type="dxa"/>
            <w:vMerge/>
            <w:tcBorders>
              <w:left w:val="single" w:sz="4" w:space="0" w:color="000000"/>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6"/>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5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76" w:right="6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7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77" w:right="84"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44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374" w:hRule="exact"/>
        </w:trPr>
        <w:tc>
          <w:tcPr>
            <w:tcW w:w="1229" w:type="dxa"/>
            <w:vMerge w:val="restart"/>
            <w:tcBorders>
              <w:top w:val="nil" w:sz="6" w:space="0" w:color="auto"/>
              <w:left w:val="single" w:sz="4" w:space="0" w:color="000000"/>
              <w:right w:val="single" w:sz="4" w:space="0" w:color="000000"/>
            </w:tcBorders>
            <w:shd w:val="clear" w:color="auto" w:fill="D2D2D2"/>
          </w:tcPr>
          <w:p>
            <w:pPr/>
          </w:p>
        </w:tc>
        <w:tc>
          <w:tcPr>
            <w:tcW w:w="7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3"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20" w:right="17"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19" w:right="23"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31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62" w:right="55"/>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682" w:type="dxa"/>
            <w:vMerge/>
            <w:tcBorders>
              <w:left w:val="single" w:sz="4" w:space="0" w:color="000000"/>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4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144" w:hRule="exact"/>
        </w:trPr>
        <w:tc>
          <w:tcPr>
            <w:tcW w:w="1229" w:type="dxa"/>
            <w:vMerge/>
            <w:tcBorders>
              <w:left w:val="single" w:sz="4" w:space="0" w:color="000000"/>
              <w:right w:val="single" w:sz="4" w:space="0" w:color="000000"/>
            </w:tcBorders>
            <w:shd w:val="clear" w:color="auto" w:fill="D2D2D2"/>
          </w:tcPr>
          <w:p>
            <w:pPr/>
          </w:p>
        </w:tc>
        <w:tc>
          <w:tcPr>
            <w:tcW w:w="746" w:type="dxa"/>
            <w:vMerge w:val="restart"/>
            <w:tcBorders>
              <w:top w:val="nil" w:sz="6" w:space="0" w:color="auto"/>
              <w:left w:val="single" w:sz="4" w:space="0" w:color="000000"/>
              <w:right w:val="single" w:sz="4" w:space="0" w:color="000000"/>
            </w:tcBorders>
            <w:shd w:val="clear" w:color="auto" w:fill="D2D2D2"/>
          </w:tcPr>
          <w:p>
            <w:pPr/>
          </w:p>
        </w:tc>
        <w:tc>
          <w:tcPr>
            <w:tcW w:w="423"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312" w:type="dxa"/>
            <w:vMerge/>
            <w:tcBorders>
              <w:left w:val="single" w:sz="4" w:space="0" w:color="000000"/>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c>
          <w:tcPr>
            <w:tcW w:w="44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212"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746" w:type="dxa"/>
            <w:vMerge/>
            <w:tcBorders>
              <w:left w:val="single" w:sz="4" w:space="0" w:color="000000"/>
              <w:bottom w:val="single" w:sz="4" w:space="0" w:color="000000"/>
              <w:right w:val="single" w:sz="4" w:space="0" w:color="000000"/>
            </w:tcBorders>
            <w:shd w:val="clear" w:color="auto" w:fill="D2D2D2"/>
          </w:tcPr>
          <w:p>
            <w:pPr/>
          </w:p>
        </w:tc>
        <w:tc>
          <w:tcPr>
            <w:tcW w:w="423"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312" w:type="dxa"/>
            <w:vMerge/>
            <w:tcBorders>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85"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4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1,239,28</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1,806.00</w:t>
            </w:r>
          </w:p>
        </w:tc>
        <w:tc>
          <w:tcPr>
            <w:tcW w:w="423"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31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22,728.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69</w:t>
            </w:r>
          </w:p>
        </w:tc>
        <w:tc>
          <w:tcPr>
            <w:tcW w:w="485" w:type="dxa"/>
            <w:vMerge w:val="restart"/>
            <w:tcBorders>
              <w:top w:val="single" w:sz="17" w:space="0" w:color="D2D2D2"/>
              <w:left w:val="single" w:sz="4" w:space="0" w:color="000000"/>
              <w:right w:val="single" w:sz="4" w:space="0" w:color="000000"/>
            </w:tcBorders>
          </w:tcPr>
          <w:p>
            <w:pP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2,451,0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85.97</w:t>
            </w:r>
          </w:p>
        </w:tc>
        <w:tc>
          <w:tcPr>
            <w:tcW w:w="518"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264,72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4,184.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43</w:t>
            </w:r>
          </w:p>
        </w:tc>
        <w:tc>
          <w:tcPr>
            <w:tcW w:w="581" w:type="dxa"/>
            <w:vMerge w:val="restart"/>
            <w:tcBorders>
              <w:top w:val="single" w:sz="17" w:space="0" w:color="D2D2D2"/>
              <w:left w:val="single" w:sz="4" w:space="0" w:color="000000"/>
              <w:right w:val="single" w:sz="4" w:space="0" w:color="000000"/>
            </w:tcBorders>
          </w:tcPr>
          <w:p>
            <w:pPr>
              <w:pStyle w:val="TableParagraph"/>
              <w:spacing w:line="240" w:lineRule="auto" w:before="79"/>
              <w:ind w:right="12"/>
              <w:jc w:val="right"/>
              <w:rPr>
                <w:rFonts w:ascii="Times New Roman" w:hAnsi="Times New Roman" w:cs="Times New Roman" w:eastAsia="Times New Roman" w:hint="default"/>
                <w:sz w:val="18"/>
                <w:szCs w:val="18"/>
              </w:rPr>
            </w:pPr>
            <w:r>
              <w:rPr>
                <w:rFonts w:ascii="Times New Roman"/>
                <w:spacing w:val="-1"/>
                <w:sz w:val="18"/>
              </w:rPr>
              <w:t>16,782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,143.9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1,776,74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6,860.02</w:t>
            </w:r>
          </w:p>
        </w:tc>
        <w:tc>
          <w:tcPr>
            <w:tcW w:w="44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4,921,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808,80</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9.07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187,27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2,137.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5,109,080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,946.76</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746" w:type="dxa"/>
            <w:vMerge/>
            <w:tcBorders>
              <w:left w:val="single" w:sz="10" w:space="0" w:color="D2D2D2"/>
              <w:right w:val="single" w:sz="4" w:space="0" w:color="000000"/>
            </w:tcBorders>
          </w:tcPr>
          <w:p>
            <w:pPr/>
          </w:p>
        </w:tc>
        <w:tc>
          <w:tcPr>
            <w:tcW w:w="42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31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5"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vMerge/>
            <w:tcBorders>
              <w:left w:val="single" w:sz="10" w:space="0" w:color="D2D2D2"/>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31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5"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10" w:space="0" w:color="D2D2D2"/>
              <w:right w:val="single" w:sz="4" w:space="0" w:color="000000"/>
            </w:tcBorders>
          </w:tcPr>
          <w:p>
            <w:pPr/>
          </w:p>
        </w:tc>
        <w:tc>
          <w:tcPr>
            <w:tcW w:w="423"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31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5" w:type="dxa"/>
            <w:vMerge w:val="restart"/>
            <w:tcBorders>
              <w:top w:val="single" w:sz="4" w:space="0" w:color="000000"/>
              <w:left w:val="single" w:sz="4" w:space="0" w:color="000000"/>
              <w:right w:val="single" w:sz="4" w:space="0" w:color="000000"/>
            </w:tcBorders>
          </w:tcPr>
          <w:p>
            <w:pP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-307,21</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2,902.9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18"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313,168,</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sz w:val="18"/>
              </w:rPr>
              <w:t>882.89</w:t>
            </w:r>
          </w:p>
        </w:tc>
        <w:tc>
          <w:tcPr>
            <w:tcW w:w="44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5,955,</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979.98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-1,483,</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470.22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4,472,509</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z w:val="18"/>
              </w:rPr>
              <w:t>.76</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746" w:type="dxa"/>
            <w:vMerge/>
            <w:tcBorders>
              <w:left w:val="single" w:sz="10" w:space="0" w:color="D2D2D2"/>
              <w:right w:val="single" w:sz="4" w:space="0" w:color="000000"/>
            </w:tcBorders>
          </w:tcPr>
          <w:p>
            <w:pPr/>
          </w:p>
        </w:tc>
        <w:tc>
          <w:tcPr>
            <w:tcW w:w="42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31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5"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vMerge/>
            <w:tcBorders>
              <w:left w:val="single" w:sz="10" w:space="0" w:color="D2D2D2"/>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31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5"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746" w:type="dxa"/>
            <w:tcBorders>
              <w:top w:val="single" w:sz="4" w:space="0" w:color="000000"/>
              <w:left w:val="single" w:sz="13" w:space="0" w:color="D2D2D2"/>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746" w:type="dxa"/>
            <w:tcBorders>
              <w:top w:val="single" w:sz="4" w:space="0" w:color="000000"/>
              <w:left w:val="single" w:sz="13" w:space="0" w:color="D2D2D2"/>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6" w:type="dxa"/>
            <w:tcBorders>
              <w:top w:val="single" w:sz="4" w:space="0" w:color="000000"/>
              <w:left w:val="single" w:sz="13" w:space="0" w:color="D2D2D2"/>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1,239,28</w:t>
            </w:r>
          </w:p>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1,806.00</w:t>
            </w:r>
          </w:p>
        </w:tc>
        <w:tc>
          <w:tcPr>
            <w:tcW w:w="423"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31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1,621,8</w:t>
            </w:r>
          </w:p>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22,728.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69</w:t>
            </w:r>
          </w:p>
        </w:tc>
        <w:tc>
          <w:tcPr>
            <w:tcW w:w="485" w:type="dxa"/>
            <w:vMerge w:val="restart"/>
            <w:tcBorders>
              <w:top w:val="single" w:sz="4" w:space="0" w:color="000000"/>
              <w:left w:val="single" w:sz="4" w:space="0" w:color="000000"/>
              <w:right w:val="single" w:sz="4" w:space="0" w:color="000000"/>
            </w:tcBorders>
          </w:tcPr>
          <w:p>
            <w:pP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-304,76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1,816.9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18"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264,72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4,184.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43</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16,782</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,143.9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2,089,91</w:t>
            </w:r>
          </w:p>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5,742.91</w:t>
            </w:r>
          </w:p>
        </w:tc>
        <w:tc>
          <w:tcPr>
            <w:tcW w:w="44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4,927,</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764,78</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9.05</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185,78</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8,667.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5,113,553</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,456.52</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746" w:type="dxa"/>
            <w:vMerge/>
            <w:tcBorders>
              <w:left w:val="single" w:sz="10" w:space="0" w:color="D2D2D2"/>
              <w:right w:val="single" w:sz="4" w:space="0" w:color="000000"/>
            </w:tcBorders>
          </w:tcPr>
          <w:p>
            <w:pPr/>
          </w:p>
        </w:tc>
        <w:tc>
          <w:tcPr>
            <w:tcW w:w="42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31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5"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vMerge/>
            <w:tcBorders>
              <w:left w:val="single" w:sz="10" w:space="0" w:color="D2D2D2"/>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31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5"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46" w:type="dxa"/>
            <w:tcBorders>
              <w:top w:val="single" w:sz="4" w:space="0" w:color="000000"/>
              <w:left w:val="single" w:sz="13" w:space="0" w:color="D2D2D2"/>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209,729</w:t>
            </w:r>
          </w:p>
          <w:p>
            <w:pPr>
              <w:pStyle w:val="TableParagraph"/>
              <w:spacing w:line="240" w:lineRule="auto" w:before="110"/>
              <w:ind w:left="423" w:right="0"/>
              <w:jc w:val="left"/>
              <w:rPr>
                <w:rFonts w:ascii="Times New Roman" w:hAnsi="Times New Roman" w:cs="Times New Roman" w:eastAsia="Times New Roman" w:hint="default"/>
                <w:sz w:val="18"/>
                <w:szCs w:val="18"/>
              </w:rPr>
            </w:pPr>
            <w:r>
              <w:rPr>
                <w:rFonts w:ascii="Times New Roman"/>
                <w:sz w:val="18"/>
              </w:rPr>
              <w:t>.87</w:t>
            </w: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-69,190</w:t>
            </w:r>
          </w:p>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,404.23</w:t>
            </w: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9,446,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388.73</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-1,490,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776.76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87,870,5</w:t>
            </w:r>
          </w:p>
          <w:p>
            <w:pPr>
              <w:pStyle w:val="TableParagraph"/>
              <w:spacing w:line="240" w:lineRule="auto" w:before="110"/>
              <w:ind w:left="287" w:right="0"/>
              <w:jc w:val="left"/>
              <w:rPr>
                <w:rFonts w:ascii="Times New Roman" w:hAnsi="Times New Roman" w:cs="Times New Roman" w:eastAsia="Times New Roman" w:hint="default"/>
                <w:sz w:val="18"/>
                <w:szCs w:val="18"/>
              </w:rPr>
            </w:pPr>
            <w:r>
              <w:rPr>
                <w:rFonts w:ascii="Times New Roman"/>
                <w:sz w:val="18"/>
              </w:rPr>
              <w:t>26.67</w:t>
            </w: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26,845</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,464.2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-152,0</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39,030</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-125,193,</w:t>
            </w:r>
          </w:p>
          <w:p>
            <w:pPr>
              <w:pStyle w:val="TableParagraph"/>
              <w:spacing w:line="240" w:lineRule="auto" w:before="110"/>
              <w:ind w:left="249" w:right="0"/>
              <w:jc w:val="center"/>
              <w:rPr>
                <w:rFonts w:ascii="Times New Roman" w:hAnsi="Times New Roman" w:cs="Times New Roman" w:eastAsia="Times New Roman" w:hint="default"/>
                <w:sz w:val="18"/>
                <w:szCs w:val="18"/>
              </w:rPr>
            </w:pPr>
            <w:r>
              <w:rPr>
                <w:rFonts w:ascii="Times New Roman"/>
                <w:sz w:val="18"/>
              </w:rPr>
              <w:t>565.98</w:t>
            </w: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10" w:space="0" w:color="D2D2D2"/>
              <w:right w:val="single" w:sz="4" w:space="0" w:color="000000"/>
            </w:tcBorders>
          </w:tcPr>
          <w:p>
            <w:pPr/>
          </w:p>
        </w:tc>
        <w:tc>
          <w:tcPr>
            <w:tcW w:w="423"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31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5" w:type="dxa"/>
            <w:vMerge w:val="restart"/>
            <w:tcBorders>
              <w:top w:val="single" w:sz="4" w:space="0" w:color="000000"/>
              <w:left w:val="single" w:sz="4" w:space="0" w:color="000000"/>
              <w:right w:val="single" w:sz="4" w:space="0" w:color="000000"/>
            </w:tcBorders>
          </w:tcPr>
          <w:p>
            <w:pP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-69,190</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,404.23</w:t>
            </w:r>
          </w:p>
        </w:tc>
        <w:tc>
          <w:tcPr>
            <w:tcW w:w="518"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343,682,</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499.84</w:t>
            </w:r>
          </w:p>
        </w:tc>
        <w:tc>
          <w:tcPr>
            <w:tcW w:w="44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274,49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2,095.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-22,99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9,647.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90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251,492,4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47.71</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746" w:type="dxa"/>
            <w:vMerge/>
            <w:tcBorders>
              <w:left w:val="single" w:sz="10" w:space="0" w:color="D2D2D2"/>
              <w:right w:val="single" w:sz="4" w:space="0" w:color="000000"/>
            </w:tcBorders>
          </w:tcPr>
          <w:p>
            <w:pPr/>
          </w:p>
        </w:tc>
        <w:tc>
          <w:tcPr>
            <w:tcW w:w="42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31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5"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vMerge/>
            <w:tcBorders>
              <w:left w:val="single" w:sz="10" w:space="0" w:color="D2D2D2"/>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31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5"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vMerge w:val="restart"/>
            <w:tcBorders>
              <w:top w:val="single" w:sz="4" w:space="0" w:color="000000"/>
              <w:left w:val="single" w:sz="10" w:space="0" w:color="D2D2D2"/>
              <w:right w:val="single" w:sz="4" w:space="0" w:color="000000"/>
            </w:tcBorders>
          </w:tcPr>
          <w:p>
            <w:pPr/>
          </w:p>
        </w:tc>
        <w:tc>
          <w:tcPr>
            <w:tcW w:w="423"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31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209,729</w:t>
            </w:r>
          </w:p>
          <w:p>
            <w:pPr>
              <w:pStyle w:val="TableParagraph"/>
              <w:spacing w:line="240" w:lineRule="auto" w:before="105"/>
              <w:ind w:left="423" w:right="0"/>
              <w:jc w:val="left"/>
              <w:rPr>
                <w:rFonts w:ascii="Times New Roman" w:hAnsi="Times New Roman" w:cs="Times New Roman" w:eastAsia="Times New Roman" w:hint="default"/>
                <w:sz w:val="18"/>
                <w:szCs w:val="18"/>
              </w:rPr>
            </w:pPr>
            <w:r>
              <w:rPr>
                <w:rFonts w:ascii="Times New Roman"/>
                <w:sz w:val="18"/>
              </w:rPr>
              <w:t>.87</w:t>
            </w:r>
          </w:p>
        </w:tc>
        <w:tc>
          <w:tcPr>
            <w:tcW w:w="485" w:type="dxa"/>
            <w:vMerge w:val="restart"/>
            <w:tcBorders>
              <w:top w:val="single" w:sz="4" w:space="0" w:color="000000"/>
              <w:left w:val="single" w:sz="4" w:space="0" w:color="000000"/>
              <w:right w:val="single" w:sz="4" w:space="0" w:color="000000"/>
            </w:tcBorders>
          </w:tcPr>
          <w:p>
            <w:pPr/>
          </w:p>
        </w:tc>
        <w:tc>
          <w:tcPr>
            <w:tcW w:w="648" w:type="dxa"/>
            <w:vMerge w:val="restart"/>
            <w:tcBorders>
              <w:top w:val="single" w:sz="4" w:space="0" w:color="000000"/>
              <w:left w:val="single" w:sz="4" w:space="0" w:color="000000"/>
              <w:right w:val="single" w:sz="4" w:space="0" w:color="000000"/>
            </w:tcBorders>
          </w:tcPr>
          <w:p>
            <w:pPr/>
          </w:p>
        </w:tc>
        <w:tc>
          <w:tcPr>
            <w:tcW w:w="518"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44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209,72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9.87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24,756</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.65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-102,115,</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026.78</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746" w:type="dxa"/>
            <w:vMerge/>
            <w:tcBorders>
              <w:left w:val="single" w:sz="10" w:space="0" w:color="D2D2D2"/>
              <w:right w:val="single" w:sz="4" w:space="0" w:color="000000"/>
            </w:tcBorders>
          </w:tcPr>
          <w:p>
            <w:pPr/>
          </w:p>
        </w:tc>
        <w:tc>
          <w:tcPr>
            <w:tcW w:w="423"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31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5"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44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4"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vMerge/>
            <w:tcBorders>
              <w:left w:val="single" w:sz="10" w:space="0" w:color="D2D2D2"/>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31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5"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44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746" w:type="dxa"/>
            <w:tcBorders>
              <w:top w:val="single" w:sz="4" w:space="0" w:color="000000"/>
              <w:left w:val="single" w:sz="13" w:space="0" w:color="D2D2D2"/>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4,890,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4,890,000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746" w:type="dxa"/>
            <w:tcBorders>
              <w:top w:val="single" w:sz="4" w:space="0" w:color="000000"/>
              <w:left w:val="single" w:sz="13" w:space="0" w:color="D2D2D2"/>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734"/>
        <w:gridCol w:w="423"/>
        <w:gridCol w:w="427"/>
        <w:gridCol w:w="312"/>
        <w:gridCol w:w="682"/>
        <w:gridCol w:w="485"/>
        <w:gridCol w:w="648"/>
        <w:gridCol w:w="518"/>
        <w:gridCol w:w="586"/>
        <w:gridCol w:w="581"/>
        <w:gridCol w:w="725"/>
        <w:gridCol w:w="446"/>
        <w:gridCol w:w="581"/>
        <w:gridCol w:w="586"/>
        <w:gridCol w:w="797"/>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209,729</w:t>
            </w:r>
          </w:p>
          <w:p>
            <w:pPr>
              <w:pStyle w:val="TableParagraph"/>
              <w:spacing w:line="240" w:lineRule="auto" w:before="110"/>
              <w:ind w:left="423" w:right="0"/>
              <w:jc w:val="left"/>
              <w:rPr>
                <w:rFonts w:ascii="Times New Roman" w:hAnsi="Times New Roman" w:cs="Times New Roman" w:eastAsia="Times New Roman" w:hint="default"/>
                <w:sz w:val="18"/>
                <w:szCs w:val="18"/>
              </w:rPr>
            </w:pPr>
            <w:r>
              <w:rPr>
                <w:rFonts w:ascii="Times New Roman"/>
                <w:sz w:val="18"/>
              </w:rPr>
              <w:t>.87</w:t>
            </w: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209,72</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9.87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-107,2</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14,756</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-107,005,</w:t>
            </w:r>
          </w:p>
          <w:p>
            <w:pPr>
              <w:pStyle w:val="TableParagraph"/>
              <w:spacing w:line="240" w:lineRule="auto" w:before="110"/>
              <w:ind w:left="249" w:right="0"/>
              <w:jc w:val="center"/>
              <w:rPr>
                <w:rFonts w:ascii="Times New Roman" w:hAnsi="Times New Roman" w:cs="Times New Roman" w:eastAsia="Times New Roman" w:hint="default"/>
                <w:sz w:val="18"/>
                <w:szCs w:val="18"/>
              </w:rPr>
            </w:pPr>
            <w:r>
              <w:rPr>
                <w:rFonts w:ascii="Times New Roman"/>
                <w:sz w:val="18"/>
              </w:rPr>
              <w:t>026.78</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9,446,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388.73</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-1,490,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776.76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-255,811</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,973.17</w:t>
            </w: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-247,8</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56,361</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4,625.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-274,570,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986.91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9,446,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388.73</w:t>
            </w: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-9,446,3</w:t>
            </w:r>
          </w:p>
          <w:p>
            <w:pPr>
              <w:pStyle w:val="TableParagraph"/>
              <w:spacing w:line="240" w:lineRule="auto" w:before="110"/>
              <w:ind w:left="268" w:right="0"/>
              <w:jc w:val="center"/>
              <w:rPr>
                <w:rFonts w:ascii="Times New Roman" w:hAnsi="Times New Roman" w:cs="Times New Roman" w:eastAsia="Times New Roman" w:hint="default"/>
                <w:sz w:val="18"/>
                <w:szCs w:val="18"/>
              </w:rPr>
            </w:pPr>
            <w:r>
              <w:rPr>
                <w:rFonts w:ascii="Times New Roman"/>
                <w:sz w:val="18"/>
              </w:rPr>
              <w:t>88.73</w:t>
            </w: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-1,490,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776.76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1,490,77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6.76</w:t>
            </w: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-247,856</w:t>
            </w:r>
          </w:p>
          <w:p>
            <w:pPr>
              <w:pStyle w:val="TableParagraph"/>
              <w:spacing w:line="240" w:lineRule="auto" w:before="110"/>
              <w:ind w:left="133" w:right="0"/>
              <w:jc w:val="center"/>
              <w:rPr>
                <w:rFonts w:ascii="Times New Roman" w:hAnsi="Times New Roman" w:cs="Times New Roman" w:eastAsia="Times New Roman" w:hint="default"/>
                <w:sz w:val="18"/>
                <w:szCs w:val="18"/>
              </w:rPr>
            </w:pPr>
            <w:r>
              <w:rPr>
                <w:rFonts w:ascii="Times New Roman"/>
                <w:sz w:val="18"/>
              </w:rPr>
              <w:t>,361.20</w:t>
            </w: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-247,8</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56,361</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4,625.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-274,570,</w:t>
            </w:r>
          </w:p>
          <w:p>
            <w:pPr>
              <w:pStyle w:val="TableParagraph"/>
              <w:spacing w:line="240" w:lineRule="auto" w:before="110"/>
              <w:ind w:left="249" w:right="0"/>
              <w:jc w:val="center"/>
              <w:rPr>
                <w:rFonts w:ascii="Times New Roman" w:hAnsi="Times New Roman" w:cs="Times New Roman" w:eastAsia="Times New Roman" w:hint="default"/>
                <w:sz w:val="18"/>
                <w:szCs w:val="18"/>
              </w:rPr>
            </w:pPr>
            <w:r>
              <w:rPr>
                <w:rFonts w:ascii="Times New Roman"/>
                <w:sz w:val="18"/>
              </w:rPr>
              <w:t>986.91</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734"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734"/>
        <w:gridCol w:w="423"/>
        <w:gridCol w:w="427"/>
        <w:gridCol w:w="312"/>
        <w:gridCol w:w="682"/>
        <w:gridCol w:w="485"/>
        <w:gridCol w:w="648"/>
        <w:gridCol w:w="518"/>
        <w:gridCol w:w="586"/>
        <w:gridCol w:w="581"/>
        <w:gridCol w:w="725"/>
        <w:gridCol w:w="446"/>
        <w:gridCol w:w="581"/>
        <w:gridCol w:w="586"/>
        <w:gridCol w:w="797"/>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1,239,28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1,806.00</w:t>
            </w:r>
          </w:p>
        </w:tc>
        <w:tc>
          <w:tcPr>
            <w:tcW w:w="42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1,622,0</w:t>
            </w:r>
          </w:p>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32,458.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56</w:t>
            </w:r>
          </w:p>
        </w:tc>
        <w:tc>
          <w:tcPr>
            <w:tcW w:w="485"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-373,95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2,221.1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274,17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0,573.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15,291</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,367.2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2,177,78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6,269.58</w:t>
            </w:r>
          </w:p>
        </w:tc>
        <w:tc>
          <w:tcPr>
            <w:tcW w:w="4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4,954,</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610,25</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3.33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33,749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,637.2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4,988,359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,890.54</w:t>
            </w:r>
          </w:p>
        </w:tc>
      </w:tr>
    </w:tbl>
    <w:p>
      <w:pPr>
        <w:pStyle w:val="BodyText"/>
        <w:spacing w:line="240" w:lineRule="auto" w:before="54"/>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03"/>
        <w:gridCol w:w="490"/>
        <w:gridCol w:w="447"/>
        <w:gridCol w:w="451"/>
        <w:gridCol w:w="490"/>
        <w:gridCol w:w="577"/>
        <w:gridCol w:w="576"/>
        <w:gridCol w:w="576"/>
        <w:gridCol w:w="581"/>
        <w:gridCol w:w="576"/>
        <w:gridCol w:w="576"/>
        <w:gridCol w:w="591"/>
        <w:gridCol w:w="566"/>
        <w:gridCol w:w="566"/>
        <w:gridCol w:w="644"/>
        <w:gridCol w:w="648"/>
      </w:tblGrid>
      <w:tr>
        <w:trPr>
          <w:trHeight w:val="401" w:hRule="exact"/>
        </w:trPr>
        <w:tc>
          <w:tcPr>
            <w:tcW w:w="1203" w:type="dxa"/>
            <w:vMerge w:val="restart"/>
            <w:tcBorders>
              <w:top w:val="single" w:sz="4" w:space="0" w:color="000000"/>
              <w:left w:val="single" w:sz="4" w:space="0" w:color="000000"/>
              <w:right w:val="single" w:sz="4" w:space="0" w:color="000000"/>
            </w:tcBorders>
            <w:shd w:val="clear" w:color="auto" w:fill="D2D2D2"/>
          </w:tcPr>
          <w:p>
            <w:pP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4" w:hRule="exact"/>
        </w:trPr>
        <w:tc>
          <w:tcPr>
            <w:tcW w:w="1203" w:type="dxa"/>
            <w:vMerge/>
            <w:tcBorders>
              <w:left w:val="single" w:sz="4" w:space="0" w:color="000000"/>
              <w:right w:val="single" w:sz="4" w:space="0" w:color="000000"/>
            </w:tcBorders>
            <w:shd w:val="clear" w:color="auto" w:fill="D2D2D2"/>
          </w:tcPr>
          <w:p>
            <w:pPr/>
          </w:p>
        </w:tc>
        <w:tc>
          <w:tcPr>
            <w:tcW w:w="7063"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203" w:type="dxa"/>
            <w:vMerge/>
            <w:tcBorders>
              <w:left w:val="single" w:sz="4" w:space="0" w:color="000000"/>
              <w:bottom w:val="nil" w:sz="6" w:space="0" w:color="auto"/>
              <w:right w:val="single" w:sz="4" w:space="0" w:color="000000"/>
            </w:tcBorders>
            <w:shd w:val="clear" w:color="auto" w:fill="D2D2D2"/>
          </w:tcPr>
          <w:p>
            <w:pPr/>
          </w:p>
        </w:tc>
        <w:tc>
          <w:tcPr>
            <w:tcW w:w="7063"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2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8"/>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3" w:hRule="exact"/>
        </w:trPr>
        <w:tc>
          <w:tcPr>
            <w:tcW w:w="1203"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2" w:hRule="exact"/>
        </w:trPr>
        <w:tc>
          <w:tcPr>
            <w:tcW w:w="1203"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2" w:hRule="exact"/>
        </w:trPr>
        <w:tc>
          <w:tcPr>
            <w:tcW w:w="120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4" w:hRule="exact"/>
        </w:trPr>
        <w:tc>
          <w:tcPr>
            <w:tcW w:w="1203"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4" w:hRule="exact"/>
        </w:trPr>
        <w:tc>
          <w:tcPr>
            <w:tcW w:w="1203"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0"/>
              <w:ind w:left="88" w:right="0"/>
              <w:jc w:val="left"/>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839.0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1,828,</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369,69</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5.69</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21" w:space="0" w:color="D2D2D2"/>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167,75</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95</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246,84</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3,122.</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20</w:t>
            </w:r>
          </w:p>
        </w:tc>
        <w:tc>
          <w:tcPr>
            <w:tcW w:w="576" w:type="dxa"/>
            <w:vMerge w:val="restart"/>
            <w:tcBorders>
              <w:top w:val="single" w:sz="21" w:space="0" w:color="D2D2D2"/>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14,732</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91" w:type="dxa"/>
            <w:vMerge w:val="restart"/>
            <w:tcBorders>
              <w:top w:val="single" w:sz="21" w:space="0" w:color="D2D2D2"/>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2,095,</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944,23</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9.39</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5,386,</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377,18</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2.84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161,035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,401.09</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5,547,4</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12,583.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93</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317"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94"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4"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94"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,734,</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839.0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1,828,</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369,69</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5.69</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167,75</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2,408.</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95</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246,84</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3,122.</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20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14,732</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2,095,</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944,23</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9.39</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5,386,</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377,18</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2.84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161,035</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,401.09</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5,547,4</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12,583.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93</w:t>
            </w:r>
          </w:p>
        </w:tc>
      </w:tr>
      <w:tr>
        <w:trPr>
          <w:trHeight w:val="706"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317"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9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4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1"/>
              <w:ind w:left="40" w:right="0"/>
              <w:jc w:val="left"/>
              <w:rPr>
                <w:rFonts w:ascii="Times New Roman" w:hAnsi="Times New Roman" w:cs="Times New Roman" w:eastAsia="Times New Roman" w:hint="default"/>
                <w:sz w:val="18"/>
                <w:szCs w:val="18"/>
              </w:rPr>
            </w:pPr>
            <w:r>
              <w:rPr>
                <w:rFonts w:ascii="Times New Roman"/>
                <w:sz w:val="18"/>
              </w:rPr>
              <w:t>46,96</w:t>
            </w:r>
          </w:p>
          <w:p>
            <w:pPr>
              <w:pStyle w:val="TableParagraph"/>
              <w:spacing w:line="240" w:lineRule="auto" w:before="110"/>
              <w:ind w:left="127" w:right="0"/>
              <w:jc w:val="left"/>
              <w:rPr>
                <w:rFonts w:ascii="Times New Roman" w:hAnsi="Times New Roman" w:cs="Times New Roman" w:eastAsia="Times New Roman" w:hint="default"/>
                <w:sz w:val="18"/>
                <w:szCs w:val="18"/>
              </w:rPr>
            </w:pPr>
            <w:r>
              <w:rPr>
                <w:rFonts w:ascii="Times New Roman"/>
                <w:sz w:val="18"/>
              </w:rPr>
              <w:t>7.00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1"/>
              <w:ind w:left="47" w:right="0"/>
              <w:jc w:val="left"/>
              <w:rPr>
                <w:rFonts w:ascii="Times New Roman" w:hAnsi="Times New Roman" w:cs="Times New Roman" w:eastAsia="Times New Roman" w:hint="default"/>
                <w:sz w:val="18"/>
                <w:szCs w:val="18"/>
              </w:rPr>
            </w:pPr>
            <w:r>
              <w:rPr>
                <w:rFonts w:ascii="Times New Roman"/>
                <w:sz w:val="18"/>
              </w:rPr>
              <w:t>46,967</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-165,3</w:t>
            </w:r>
          </w:p>
          <w:p>
            <w:pPr>
              <w:pStyle w:val="TableParagraph"/>
              <w:spacing w:line="240" w:lineRule="auto" w:before="101"/>
              <w:ind w:left="52" w:right="0"/>
              <w:jc w:val="left"/>
              <w:rPr>
                <w:rFonts w:ascii="Times New Roman" w:hAnsi="Times New Roman" w:cs="Times New Roman" w:eastAsia="Times New Roman" w:hint="default"/>
                <w:sz w:val="18"/>
                <w:szCs w:val="18"/>
              </w:rPr>
            </w:pPr>
            <w:r>
              <w:rPr>
                <w:rFonts w:ascii="Times New Roman"/>
                <w:sz w:val="18"/>
              </w:rPr>
              <w:t>01,322</w:t>
            </w:r>
          </w:p>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sz w:val="18"/>
              </w:rPr>
              <w:t>.98</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17,881</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,062.2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2,049,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266.35</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-319,1</w:t>
            </w:r>
          </w:p>
          <w:p>
            <w:pPr>
              <w:pStyle w:val="TableParagraph"/>
              <w:spacing w:line="240" w:lineRule="auto" w:before="101"/>
              <w:ind w:left="62" w:right="0"/>
              <w:jc w:val="left"/>
              <w:rPr>
                <w:rFonts w:ascii="Times New Roman" w:hAnsi="Times New Roman" w:cs="Times New Roman" w:eastAsia="Times New Roman" w:hint="default"/>
                <w:sz w:val="18"/>
                <w:szCs w:val="18"/>
              </w:rPr>
            </w:pPr>
            <w:r>
              <w:rPr>
                <w:rFonts w:ascii="Times New Roman"/>
                <w:sz w:val="18"/>
              </w:rPr>
              <w:t>97,379</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.37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-464,5</w:t>
            </w:r>
          </w:p>
          <w:p>
            <w:pPr>
              <w:pStyle w:val="TableParagraph"/>
              <w:spacing w:line="240" w:lineRule="auto" w:before="101"/>
              <w:ind w:left="38" w:right="0"/>
              <w:jc w:val="left"/>
              <w:rPr>
                <w:rFonts w:ascii="Times New Roman" w:hAnsi="Times New Roman" w:cs="Times New Roman" w:eastAsia="Times New Roman" w:hint="default"/>
                <w:sz w:val="18"/>
                <w:szCs w:val="18"/>
              </w:rPr>
            </w:pPr>
            <w:r>
              <w:rPr>
                <w:rFonts w:ascii="Times New Roman"/>
                <w:sz w:val="18"/>
              </w:rPr>
              <w:t>68,373</w:t>
            </w:r>
          </w:p>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sz w:val="18"/>
              </w:rPr>
              <w:t>.77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26,236,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736.60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-438,33</w:t>
            </w:r>
          </w:p>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1,637.1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158"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3"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-165,3</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01,322</w:t>
            </w:r>
          </w:p>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sz w:val="18"/>
              </w:rPr>
              <w:t>.98</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-92,72</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0,082.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99</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21,405</w:t>
            </w:r>
          </w:p>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sz w:val="18"/>
              </w:rPr>
              <w:t>.97</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22,928,</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971.45</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-235,09</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2,434.5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706"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9"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3,307,7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65.15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3,307,7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65.15</w:t>
            </w:r>
          </w:p>
        </w:tc>
      </w:tr>
      <w:tr>
        <w:trPr>
          <w:trHeight w:val="716"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3,307,7</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65.15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3,307,7</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65.15</w:t>
            </w:r>
          </w:p>
        </w:tc>
      </w:tr>
    </w:tbl>
    <w:p>
      <w:pPr>
        <w:spacing w:after="0" w:line="240" w:lineRule="auto"/>
        <w:jc w:val="center"/>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,062.2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2,049,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266.35</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77,296</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.38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46,967</w:t>
            </w:r>
          </w:p>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sz w:val="18"/>
              </w:rPr>
              <w:t>.80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-206,54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6,967.8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17,881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,062.2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-17,88</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1,062.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23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2,049,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266.35</w:t>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-2,049,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266.35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46,967</w:t>
            </w:r>
          </w:p>
          <w:p>
            <w:pPr>
              <w:pStyle w:val="TableParagraph"/>
              <w:spacing w:line="240" w:lineRule="auto" w:before="110"/>
              <w:ind w:left="331" w:right="0"/>
              <w:jc w:val="left"/>
              <w:rPr>
                <w:rFonts w:ascii="Times New Roman" w:hAnsi="Times New Roman" w:cs="Times New Roman" w:eastAsia="Times New Roman" w:hint="default"/>
                <w:sz w:val="18"/>
                <w:szCs w:val="18"/>
              </w:rPr>
            </w:pPr>
            <w:r>
              <w:rPr>
                <w:rFonts w:ascii="Times New Roman"/>
                <w:sz w:val="18"/>
              </w:rPr>
              <w:t>.80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46,967</w:t>
            </w:r>
          </w:p>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sz w:val="18"/>
              </w:rPr>
              <w:t>.80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-206,54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6,967.8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46,96</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7.00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46,967</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46,96</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7.00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46,967</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1,239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,281,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806.0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1,621,</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822,72</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8.69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2,451,</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085.97</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264,72</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4,184.</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16,782</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,143.9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1,776,</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746,86</w:t>
            </w:r>
          </w:p>
          <w:p>
            <w:pPr>
              <w:pStyle w:val="TableParagraph"/>
              <w:spacing w:line="240" w:lineRule="auto" w:before="110"/>
              <w:ind w:left="219" w:right="0"/>
              <w:jc w:val="center"/>
              <w:rPr>
                <w:rFonts w:ascii="Times New Roman" w:hAnsi="Times New Roman" w:cs="Times New Roman" w:eastAsia="Times New Roman" w:hint="default"/>
                <w:sz w:val="18"/>
                <w:szCs w:val="18"/>
              </w:rPr>
            </w:pPr>
            <w:r>
              <w:rPr>
                <w:rFonts w:ascii="Times New Roman"/>
                <w:sz w:val="18"/>
              </w:rPr>
              <w:t>0.02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4,921,</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808,80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9.07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187,272</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,137.69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5,109,0</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80,946.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6"/>
        <w:jc w:val="left"/>
        <w:rPr>
          <w:b w:val="0"/>
          <w:bCs w:val="0"/>
        </w:rPr>
      </w:pPr>
      <w:bookmarkStart w:name="8、母公司所有者权益变动表" w:id="185"/>
      <w:bookmarkEnd w:id="18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94"/>
        <w:gridCol w:w="682"/>
        <w:gridCol w:w="706"/>
        <w:gridCol w:w="711"/>
        <w:gridCol w:w="566"/>
        <w:gridCol w:w="850"/>
        <w:gridCol w:w="566"/>
        <w:gridCol w:w="711"/>
        <w:gridCol w:w="557"/>
        <w:gridCol w:w="725"/>
        <w:gridCol w:w="845"/>
        <w:gridCol w:w="480"/>
        <w:gridCol w:w="864"/>
      </w:tblGrid>
      <w:tr>
        <w:trPr>
          <w:trHeight w:val="422"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82"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5"/>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96" w:right="17" w:hanging="72"/>
              <w:jc w:val="left"/>
              <w:rPr>
                <w:rFonts w:ascii="宋体" w:hAnsi="宋体" w:cs="宋体" w:eastAsia="宋体" w:hint="default"/>
                <w:sz w:val="18"/>
                <w:szCs w:val="18"/>
              </w:rPr>
            </w:pPr>
            <w:r>
              <w:rPr>
                <w:rFonts w:ascii="宋体" w:hAnsi="宋体" w:cs="宋体" w:eastAsia="宋体" w:hint="default"/>
                <w:spacing w:val="-12"/>
                <w:sz w:val="18"/>
                <w:szCs w:val="18"/>
              </w:rPr>
              <w:t>减：库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存股</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81" w:right="7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5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91" w:right="89"/>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326" w:right="50"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48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8"/>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3"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3"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4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480"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206"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48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1,239,2</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81,806.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06"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1,709,322,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752.80</w:t>
            </w:r>
          </w:p>
        </w:tc>
        <w:tc>
          <w:tcPr>
            <w:tcW w:w="566" w:type="dxa"/>
            <w:vMerge w:val="restart"/>
            <w:tcBorders>
              <w:top w:val="single" w:sz="17" w:space="0" w:color="D2D2D2"/>
              <w:left w:val="single" w:sz="4" w:space="0" w:color="000000"/>
              <w:right w:val="single" w:sz="4" w:space="0" w:color="000000"/>
            </w:tcBorders>
          </w:tcPr>
          <w:p>
            <w:pPr/>
          </w:p>
        </w:tc>
        <w:tc>
          <w:tcPr>
            <w:tcW w:w="711" w:type="dxa"/>
            <w:vMerge w:val="restart"/>
            <w:tcBorders>
              <w:top w:val="single" w:sz="17" w:space="0" w:color="D2D2D2"/>
              <w:left w:val="single" w:sz="4" w:space="0" w:color="000000"/>
              <w:right w:val="single" w:sz="4" w:space="0" w:color="000000"/>
            </w:tcBorders>
          </w:tcPr>
          <w:p>
            <w:pPr/>
          </w:p>
        </w:tc>
        <w:tc>
          <w:tcPr>
            <w:tcW w:w="557"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264,724,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184.43</w:t>
            </w:r>
          </w:p>
        </w:tc>
        <w:tc>
          <w:tcPr>
            <w:tcW w:w="845" w:type="dxa"/>
            <w:vMerge w:val="restart"/>
            <w:tcBorders>
              <w:top w:val="single" w:sz="17"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1,242,384,</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167.33</w:t>
            </w:r>
          </w:p>
        </w:tc>
        <w:tc>
          <w:tcPr>
            <w:tcW w:w="480"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7"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4,455,712,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910.56</w:t>
            </w:r>
          </w:p>
        </w:tc>
      </w:tr>
      <w:tr>
        <w:trPr>
          <w:trHeight w:val="70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82" w:type="dxa"/>
            <w:vMerge/>
            <w:tcBorders>
              <w:left w:val="single" w:sz="10" w:space="0" w:color="D2D2D2"/>
              <w:right w:val="single" w:sz="4" w:space="0" w:color="000000"/>
            </w:tcBorders>
          </w:tcPr>
          <w:p>
            <w:pP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480"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vMerge/>
            <w:tcBorders>
              <w:left w:val="single" w:sz="10" w:space="0" w:color="D2D2D2"/>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7"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82"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85"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82"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1,239,2</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81,806.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06"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1,709,322,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752.80</w:t>
            </w:r>
          </w:p>
        </w:tc>
        <w:tc>
          <w:tcPr>
            <w:tcW w:w="566"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55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264,724,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184.43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1,242,384,</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167.33</w:t>
            </w:r>
          </w:p>
        </w:tc>
        <w:tc>
          <w:tcPr>
            <w:tcW w:w="480"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4,455,712,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910.56</w:t>
            </w:r>
          </w:p>
        </w:tc>
      </w:tr>
      <w:tr>
        <w:trPr>
          <w:trHeight w:val="70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82" w:type="dxa"/>
            <w:vMerge/>
            <w:tcBorders>
              <w:left w:val="single" w:sz="10" w:space="0" w:color="D2D2D2"/>
              <w:right w:val="single" w:sz="4" w:space="0" w:color="000000"/>
            </w:tcBorders>
          </w:tcPr>
          <w:p>
            <w:pPr/>
          </w:p>
        </w:tc>
        <w:tc>
          <w:tcPr>
            <w:tcW w:w="70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480"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vMerge/>
            <w:tcBorders>
              <w:left w:val="single" w:sz="10" w:space="0" w:color="D2D2D2"/>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2"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9,446,38</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-162,838,8</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sz w:val="18"/>
              </w:rPr>
              <w:t>62.55</w:t>
            </w: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-153,392,4</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73.82</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82"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94,463,88</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7.38</w:t>
            </w: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94,463,88</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7.38</w:t>
            </w: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82"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682"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82"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06"/>
        <w:gridCol w:w="682"/>
        <w:gridCol w:w="706"/>
        <w:gridCol w:w="711"/>
        <w:gridCol w:w="566"/>
        <w:gridCol w:w="850"/>
        <w:gridCol w:w="566"/>
        <w:gridCol w:w="711"/>
        <w:gridCol w:w="557"/>
        <w:gridCol w:w="725"/>
        <w:gridCol w:w="845"/>
        <w:gridCol w:w="480"/>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9,446,38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-257,302,7</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49.93</w:t>
            </w: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-247,856,3</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61.20</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9,446,38</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-9,446,388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.73</w:t>
            </w: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-247,856,3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61.20</w:t>
            </w: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-247,856,3</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61.20</w:t>
            </w: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8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1,239,2</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81,806.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1,709,322,</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752.80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274,170,</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573.16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1,079,545,</w:t>
            </w:r>
          </w:p>
          <w:p>
            <w:pPr>
              <w:pStyle w:val="TableParagraph"/>
              <w:spacing w:line="240" w:lineRule="auto" w:before="110"/>
              <w:ind w:left="316" w:right="0"/>
              <w:jc w:val="left"/>
              <w:rPr>
                <w:rFonts w:ascii="Times New Roman" w:hAnsi="Times New Roman" w:cs="Times New Roman" w:eastAsia="Times New Roman" w:hint="default"/>
                <w:sz w:val="18"/>
                <w:szCs w:val="18"/>
              </w:rPr>
            </w:pPr>
            <w:r>
              <w:rPr>
                <w:rFonts w:ascii="Times New Roman"/>
                <w:sz w:val="18"/>
              </w:rPr>
              <w:t>304.78</w:t>
            </w:r>
          </w:p>
        </w:tc>
        <w:tc>
          <w:tcPr>
            <w:tcW w:w="48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4,302,320,</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436.74</w:t>
            </w:r>
          </w:p>
        </w:tc>
      </w:tr>
    </w:tbl>
    <w:p>
      <w:pPr>
        <w:pStyle w:val="BodyText"/>
        <w:spacing w:line="240" w:lineRule="auto" w:before="53"/>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29"/>
        <w:gridCol w:w="8340"/>
      </w:tblGrid>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08"/>
        <w:gridCol w:w="605"/>
        <w:gridCol w:w="572"/>
        <w:gridCol w:w="576"/>
        <w:gridCol w:w="572"/>
        <w:gridCol w:w="682"/>
        <w:gridCol w:w="687"/>
        <w:gridCol w:w="686"/>
        <w:gridCol w:w="783"/>
        <w:gridCol w:w="662"/>
        <w:gridCol w:w="802"/>
        <w:gridCol w:w="797"/>
        <w:gridCol w:w="926"/>
      </w:tblGrid>
      <w:tr>
        <w:trPr>
          <w:trHeight w:val="206"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1208" w:type="dxa"/>
            <w:vMerge/>
            <w:tcBorders>
              <w:left w:val="single" w:sz="4" w:space="0" w:color="000000"/>
              <w:right w:val="single" w:sz="4" w:space="0" w:color="000000"/>
            </w:tcBorders>
            <w:shd w:val="clear" w:color="auto" w:fill="D2D2D2"/>
          </w:tcPr>
          <w:p>
            <w:pPr/>
          </w:p>
        </w:tc>
        <w:tc>
          <w:tcPr>
            <w:tcW w:w="605"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08" w:type="dxa"/>
            <w:vMerge/>
            <w:tcBorders>
              <w:left w:val="single" w:sz="4" w:space="0" w:color="000000"/>
              <w:right w:val="single" w:sz="4" w:space="0" w:color="000000"/>
            </w:tcBorders>
            <w:shd w:val="clear" w:color="auto" w:fill="D2D2D2"/>
          </w:tcPr>
          <w:p>
            <w:pPr/>
          </w:p>
        </w:tc>
        <w:tc>
          <w:tcPr>
            <w:tcW w:w="6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2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2" w:hRule="exact"/>
        </w:trPr>
        <w:tc>
          <w:tcPr>
            <w:tcW w:w="1208" w:type="dxa"/>
            <w:vMerge/>
            <w:tcBorders>
              <w:left w:val="single" w:sz="4" w:space="0" w:color="000000"/>
              <w:right w:val="single" w:sz="4" w:space="0" w:color="000000"/>
            </w:tcBorders>
            <w:shd w:val="clear" w:color="auto" w:fill="D2D2D2"/>
          </w:tcPr>
          <w:p>
            <w:pPr/>
          </w:p>
        </w:tc>
        <w:tc>
          <w:tcPr>
            <w:tcW w:w="60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8" w:hRule="exact"/>
        </w:trPr>
        <w:tc>
          <w:tcPr>
            <w:tcW w:w="1208" w:type="dxa"/>
            <w:vMerge/>
            <w:tcBorders>
              <w:left w:val="single" w:sz="4" w:space="0" w:color="000000"/>
              <w:right w:val="single" w:sz="4" w:space="0" w:color="000000"/>
            </w:tcBorders>
            <w:shd w:val="clear" w:color="auto" w:fill="D2D2D2"/>
          </w:tcPr>
          <w:p>
            <w:pPr/>
          </w:p>
        </w:tc>
        <w:tc>
          <w:tcPr>
            <w:tcW w:w="605"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10" w:space="0" w:color="D2D2D2"/>
              <w:right w:val="single" w:sz="4" w:space="0" w:color="000000"/>
            </w:tcBorders>
          </w:tcPr>
          <w:p>
            <w:pPr>
              <w:pStyle w:val="TableParagraph"/>
              <w:spacing w:line="240" w:lineRule="auto" w:before="100"/>
              <w:ind w:left="100" w:right="0"/>
              <w:jc w:val="center"/>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734,83</w:t>
            </w:r>
          </w:p>
          <w:p>
            <w:pPr>
              <w:pStyle w:val="TableParagraph"/>
              <w:spacing w:line="240" w:lineRule="auto" w:before="110"/>
              <w:ind w:left="237" w:right="0"/>
              <w:jc w:val="center"/>
              <w:rPr>
                <w:rFonts w:ascii="Times New Roman" w:hAnsi="Times New Roman" w:cs="Times New Roman" w:eastAsia="Times New Roman" w:hint="default"/>
                <w:sz w:val="18"/>
                <w:szCs w:val="18"/>
              </w:rPr>
            </w:pPr>
            <w:r>
              <w:rPr>
                <w:rFonts w:ascii="Times New Roman"/>
                <w:sz w:val="18"/>
              </w:rPr>
              <w:t>9.00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1,915,8</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69,719.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246,843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,122.20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1,288,001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,575.05</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4,483,449,2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56.05</w:t>
            </w:r>
          </w:p>
        </w:tc>
      </w:tr>
      <w:tr>
        <w:trPr>
          <w:trHeight w:val="706"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8"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9"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right"/>
              <w:rPr>
                <w:rFonts w:ascii="宋体" w:hAnsi="宋体" w:cs="宋体" w:eastAsia="宋体" w:hint="default"/>
                <w:sz w:val="18"/>
                <w:szCs w:val="18"/>
              </w:rPr>
            </w:pPr>
            <w:r>
              <w:rPr>
                <w:rFonts w:ascii="宋体" w:hAnsi="宋体" w:cs="宋体" w:eastAsia="宋体" w:hint="default"/>
                <w:sz w:val="18"/>
                <w:szCs w:val="18"/>
              </w:rPr>
              <w:t>其他</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10" w:space="0" w:color="D2D2D2"/>
              <w:right w:val="single" w:sz="4" w:space="0" w:color="000000"/>
            </w:tcBorders>
          </w:tcPr>
          <w:p>
            <w:pPr>
              <w:pStyle w:val="TableParagraph"/>
              <w:spacing w:line="240" w:lineRule="auto" w:before="100"/>
              <w:ind w:left="100" w:right="0"/>
              <w:jc w:val="center"/>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1"/>
              <w:ind w:left="60" w:right="0"/>
              <w:jc w:val="center"/>
              <w:rPr>
                <w:rFonts w:ascii="Times New Roman" w:hAnsi="Times New Roman" w:cs="Times New Roman" w:eastAsia="Times New Roman" w:hint="default"/>
                <w:sz w:val="18"/>
                <w:szCs w:val="18"/>
              </w:rPr>
            </w:pPr>
            <w:r>
              <w:rPr>
                <w:rFonts w:ascii="Times New Roman"/>
                <w:sz w:val="18"/>
              </w:rPr>
              <w:t>734,83</w:t>
            </w:r>
          </w:p>
          <w:p>
            <w:pPr>
              <w:pStyle w:val="TableParagraph"/>
              <w:spacing w:line="240" w:lineRule="auto" w:before="110"/>
              <w:ind w:left="237" w:right="0"/>
              <w:jc w:val="center"/>
              <w:rPr>
                <w:rFonts w:ascii="Times New Roman" w:hAnsi="Times New Roman" w:cs="Times New Roman" w:eastAsia="Times New Roman" w:hint="default"/>
                <w:sz w:val="18"/>
                <w:szCs w:val="18"/>
              </w:rPr>
            </w:pPr>
            <w:r>
              <w:rPr>
                <w:rFonts w:ascii="Times New Roman"/>
                <w:sz w:val="18"/>
              </w:rPr>
              <w:t>9.00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1,915,8</w:t>
            </w:r>
          </w:p>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69,719.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246,843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,122.20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1,288,001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,575.05</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4,483,449,2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56.05</w:t>
            </w:r>
          </w:p>
        </w:tc>
      </w:tr>
      <w:tr>
        <w:trPr>
          <w:trHeight w:val="706"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8"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206,54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6,967.</w:t>
            </w:r>
          </w:p>
          <w:p>
            <w:pPr>
              <w:pStyle w:val="TableParagraph"/>
              <w:spacing w:line="240" w:lineRule="auto" w:before="110"/>
              <w:ind w:left="391"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-206,54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6,967.0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17,881,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062.23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-45,617,4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07.72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-27,736,345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.49</w:t>
            </w: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178,810,6</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22.31</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178,810,62</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2.31</w:t>
            </w:r>
          </w:p>
        </w:tc>
      </w:tr>
      <w:tr>
        <w:trPr>
          <w:trHeight w:val="710"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10" w:space="0" w:color="D2D2D2"/>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17,881,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062.23</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00"/>
              <w:ind w:left="55" w:right="0"/>
              <w:jc w:val="center"/>
              <w:rPr>
                <w:rFonts w:ascii="Times New Roman" w:hAnsi="Times New Roman" w:cs="Times New Roman" w:eastAsia="Times New Roman" w:hint="default"/>
                <w:sz w:val="18"/>
                <w:szCs w:val="18"/>
              </w:rPr>
            </w:pPr>
            <w:r>
              <w:rPr>
                <w:rFonts w:ascii="Times New Roman"/>
                <w:sz w:val="18"/>
              </w:rPr>
              <w:t>-224,428,</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030.03</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-206,546,96</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7.80</w:t>
            </w:r>
          </w:p>
        </w:tc>
      </w:tr>
      <w:tr>
        <w:trPr>
          <w:trHeight w:val="394"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60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9"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17,881,</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062.23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-17,881,0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62.23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3"/>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-206,546,</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967.80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-206,546,96</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7.80</w:t>
            </w:r>
          </w:p>
        </w:tc>
      </w:tr>
      <w:tr>
        <w:trPr>
          <w:trHeight w:val="40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206,54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6,967.</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-206,54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6,967.0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206,54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6,967.</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-206,54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6,967.0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center"/>
              <w:rPr>
                <w:rFonts w:ascii="Times New Roman" w:hAnsi="Times New Roman" w:cs="Times New Roman" w:eastAsia="Times New Roman" w:hint="default"/>
                <w:sz w:val="18"/>
                <w:szCs w:val="18"/>
              </w:rPr>
            </w:pPr>
            <w:r>
              <w:rPr>
                <w:rFonts w:ascii="Times New Roman"/>
                <w:sz w:val="18"/>
              </w:rPr>
              <w:t>1,239,</w:t>
            </w:r>
          </w:p>
          <w:p>
            <w:pPr>
              <w:pStyle w:val="TableParagraph"/>
              <w:spacing w:line="240" w:lineRule="auto" w:before="105"/>
              <w:ind w:left="57" w:right="0"/>
              <w:jc w:val="center"/>
              <w:rPr>
                <w:rFonts w:ascii="Times New Roman" w:hAnsi="Times New Roman" w:cs="Times New Roman" w:eastAsia="Times New Roman" w:hint="default"/>
                <w:sz w:val="18"/>
                <w:szCs w:val="18"/>
              </w:rPr>
            </w:pPr>
            <w:r>
              <w:rPr>
                <w:rFonts w:ascii="Times New Roman"/>
                <w:sz w:val="18"/>
              </w:rPr>
              <w:t>281,80</w:t>
            </w:r>
          </w:p>
          <w:p>
            <w:pPr>
              <w:pStyle w:val="TableParagraph"/>
              <w:spacing w:line="240" w:lineRule="auto" w:before="110"/>
              <w:ind w:left="234" w:right="0"/>
              <w:jc w:val="center"/>
              <w:rPr>
                <w:rFonts w:ascii="Times New Roman" w:hAnsi="Times New Roman" w:cs="Times New Roman" w:eastAsia="Times New Roman" w:hint="default"/>
                <w:sz w:val="18"/>
                <w:szCs w:val="18"/>
              </w:rPr>
            </w:pPr>
            <w:r>
              <w:rPr>
                <w:rFonts w:ascii="Times New Roman"/>
                <w:sz w:val="18"/>
              </w:rPr>
              <w:t>6.00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1,709,3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22,752.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264,724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,184.43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1,242,384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,167.33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4,455,712,9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10.56</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86"/>
      <w:bookmarkEnd w:id="186"/>
      <w:r>
        <w:rPr>
          <w:b w:val="0"/>
          <w:bCs w:val="0"/>
        </w:rPr>
      </w:r>
      <w:r>
        <w:rPr/>
        <w:t>三、公司基本情况</w:t>
      </w:r>
      <w:r>
        <w:rPr>
          <w:b w:val="0"/>
          <w:bCs w:val="0"/>
        </w:rPr>
      </w:r>
    </w:p>
    <w:p>
      <w:pPr>
        <w:spacing w:line="240" w:lineRule="auto" w:before="12"/>
        <w:rPr>
          <w:rFonts w:ascii="宋体" w:hAnsi="宋体" w:cs="宋体" w:eastAsia="宋体" w:hint="default"/>
          <w:b/>
          <w:bCs/>
          <w:sz w:val="26"/>
          <w:szCs w:val="26"/>
        </w:rPr>
      </w:pPr>
    </w:p>
    <w:p>
      <w:pPr>
        <w:pStyle w:val="BodyText"/>
        <w:spacing w:line="300" w:lineRule="auto"/>
        <w:ind w:right="1126" w:firstLine="422"/>
        <w:jc w:val="left"/>
      </w:pPr>
      <w:r>
        <w:rPr>
          <w:spacing w:val="-7"/>
        </w:rPr>
        <w:t>深圳市爱施德股份有限公司（以下简称</w:t>
      </w:r>
      <w:r>
        <w:rPr>
          <w:rFonts w:ascii="Times New Roman" w:hAnsi="Times New Roman" w:cs="Times New Roman" w:eastAsia="Times New Roman" w:hint="default"/>
          <w:spacing w:val="-7"/>
        </w:rPr>
        <w:t>“</w:t>
      </w:r>
      <w:r>
        <w:rPr>
          <w:spacing w:val="-7"/>
        </w:rPr>
        <w:t>本公司</w:t>
      </w:r>
      <w:r>
        <w:rPr>
          <w:rFonts w:ascii="Times New Roman" w:hAnsi="Times New Roman" w:cs="Times New Roman" w:eastAsia="Times New Roman" w:hint="default"/>
          <w:spacing w:val="-7"/>
        </w:rPr>
        <w:t>”</w:t>
      </w:r>
      <w:r>
        <w:rPr>
          <w:spacing w:val="-7"/>
        </w:rPr>
        <w:t>或</w:t>
      </w:r>
      <w:r>
        <w:rPr>
          <w:rFonts w:ascii="Times New Roman" w:hAnsi="Times New Roman" w:cs="Times New Roman" w:eastAsia="Times New Roman" w:hint="default"/>
          <w:spacing w:val="-7"/>
        </w:rPr>
        <w:t>“</w:t>
      </w:r>
      <w:r>
        <w:rPr>
          <w:spacing w:val="-7"/>
        </w:rPr>
        <w:t>公司</w:t>
      </w:r>
      <w:r>
        <w:rPr>
          <w:rFonts w:ascii="Times New Roman" w:hAnsi="Times New Roman" w:cs="Times New Roman" w:eastAsia="Times New Roman" w:hint="default"/>
          <w:spacing w:val="-7"/>
        </w:rPr>
        <w:t>”</w:t>
      </w:r>
      <w:r>
        <w:rPr>
          <w:spacing w:val="-7"/>
        </w:rPr>
        <w:t>）前身为深圳市爱施德实业有限公司，成立于</w:t>
      </w:r>
      <w:r>
        <w:rPr>
          <w:spacing w:val="12"/>
        </w:rPr>
        <w:t> </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r>
        <w:rPr>
          <w:w w:val="101"/>
        </w:rPr>
        <w:t> </w:t>
      </w:r>
      <w:r>
        <w:rPr>
          <w:spacing w:val="-3"/>
        </w:rPr>
        <w:t>统一社会信用代码为</w:t>
      </w:r>
      <w:r>
        <w:rPr>
          <w:rFonts w:ascii="Times New Roman" w:hAnsi="Times New Roman" w:cs="Times New Roman" w:eastAsia="Times New Roman" w:hint="default"/>
          <w:spacing w:val="-3"/>
        </w:rPr>
        <w:t>91440300708415957K</w:t>
      </w:r>
      <w:r>
        <w:rPr>
          <w:spacing w:val="-3"/>
        </w:rPr>
        <w:t>，法定代表人黄文辉，住所为深圳市福田区泰然大道东泰然劲松大厦 </w:t>
      </w:r>
      <w:r>
        <w:rPr>
          <w:spacing w:val="64"/>
        </w:rPr>
        <w:t> </w:t>
      </w:r>
      <w:r>
        <w:rPr>
          <w:rFonts w:ascii="Times New Roman" w:hAnsi="Times New Roman" w:cs="Times New Roman" w:eastAsia="Times New Roman" w:hint="default"/>
        </w:rPr>
        <w:t>20F</w:t>
      </w:r>
      <w:r>
        <w:rPr/>
        <w:t>。</w:t>
      </w:r>
    </w:p>
    <w:p>
      <w:pPr>
        <w:pStyle w:val="BodyText"/>
        <w:spacing w:line="240" w:lineRule="auto" w:before="133"/>
        <w:ind w:left="575"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日，根据公司股东会决议和有关协议、章程的规定，深圳市爱施德实业有限公司整体变更为深圳市</w:t>
      </w:r>
    </w:p>
    <w:p>
      <w:pPr>
        <w:pStyle w:val="BodyText"/>
        <w:spacing w:line="240" w:lineRule="auto" w:before="63"/>
        <w:ind w:right="0"/>
        <w:jc w:val="both"/>
      </w:pPr>
      <w:r>
        <w:rPr>
          <w:spacing w:val="-3"/>
        </w:rPr>
        <w:t>爱施德实业股份有限公司，以原有限公司截至 </w:t>
      </w:r>
      <w:r>
        <w:rPr>
          <w:rFonts w:ascii="Times New Roman" w:hAnsi="Times New Roman" w:cs="Times New Roman" w:eastAsia="Times New Roman" w:hint="default"/>
        </w:rPr>
        <w:t>2007</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spacing w:val="-3"/>
        </w:rPr>
        <w:t>日止经审计的净资产 </w:t>
      </w:r>
      <w:r>
        <w:rPr>
          <w:rFonts w:ascii="Times New Roman" w:hAnsi="Times New Roman" w:cs="Times New Roman" w:eastAsia="Times New Roman" w:hint="default"/>
        </w:rPr>
        <w:t>171,564,919.78</w:t>
      </w:r>
      <w:r>
        <w:rPr>
          <w:rFonts w:ascii="Times New Roman" w:hAnsi="Times New Roman" w:cs="Times New Roman" w:eastAsia="Times New Roman" w:hint="default"/>
          <w:spacing w:val="9"/>
        </w:rPr>
        <w:t> </w:t>
      </w:r>
      <w:r>
        <w:rPr/>
        <w:t>元折为股份有限公司每</w:t>
      </w:r>
    </w:p>
    <w:p>
      <w:pPr>
        <w:pStyle w:val="BodyText"/>
        <w:spacing w:line="300" w:lineRule="auto" w:before="63"/>
        <w:ind w:right="1127"/>
        <w:jc w:val="both"/>
      </w:pPr>
      <w:r>
        <w:rPr>
          <w:spacing w:val="-3"/>
        </w:rPr>
        <w:t>股面值为人民币</w:t>
      </w:r>
      <w:r>
        <w:rPr>
          <w:spacing w:val="-6"/>
        </w:rPr>
        <w:t> </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元的普通股</w:t>
      </w:r>
      <w:r>
        <w:rPr>
          <w:spacing w:val="-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34"/>
        </w:rPr>
        <w:t> </w:t>
      </w:r>
      <w:r>
        <w:rPr>
          <w:spacing w:val="-6"/>
        </w:rPr>
        <w:t>万股，即股本</w:t>
      </w:r>
      <w:r>
        <w:rPr>
          <w:spacing w:val="-11"/>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34"/>
        </w:rPr>
        <w:t> </w:t>
      </w:r>
      <w:r>
        <w:rPr>
          <w:spacing w:val="-7"/>
        </w:rPr>
        <w:t>万元，余额 </w:t>
      </w:r>
      <w:r>
        <w:rPr>
          <w:rFonts w:ascii="Times New Roman" w:hAnsi="Times New Roman" w:cs="Times New Roman" w:eastAsia="Times New Roman" w:hint="default"/>
        </w:rPr>
        <w:t>71,564,919.78</w:t>
      </w:r>
      <w:r>
        <w:rPr>
          <w:rFonts w:ascii="Times New Roman" w:hAnsi="Times New Roman" w:cs="Times New Roman" w:eastAsia="Times New Roman" w:hint="default"/>
          <w:spacing w:val="39"/>
        </w:rPr>
        <w:t> </w:t>
      </w:r>
      <w:r>
        <w:rPr>
          <w:spacing w:val="-5"/>
        </w:rPr>
        <w:t>元计入资本公积，各股东持股比例不</w:t>
      </w:r>
      <w:r>
        <w:rPr>
          <w:spacing w:val="-86"/>
        </w:rPr>
        <w:t> </w:t>
      </w:r>
      <w:r>
        <w:rPr>
          <w:spacing w:val="-86"/>
        </w:rPr>
      </w:r>
      <w:r>
        <w:rPr/>
        <w:t>变。整体变更后，深圳市神州通投资集团有限公司持有本公司股份为</w:t>
      </w:r>
      <w:r>
        <w:rPr>
          <w:spacing w:val="-4"/>
        </w:rPr>
        <w:t> </w:t>
      </w:r>
      <w:r>
        <w:rPr>
          <w:rFonts w:ascii="Times New Roman" w:hAnsi="Times New Roman" w:cs="Times New Roman" w:eastAsia="Times New Roman" w:hint="default"/>
        </w:rPr>
        <w:t>7,500</w:t>
      </w:r>
      <w:r>
        <w:rPr>
          <w:rFonts w:ascii="Times New Roman" w:hAnsi="Times New Roman" w:cs="Times New Roman" w:eastAsia="Times New Roman" w:hint="default"/>
          <w:spacing w:val="40"/>
        </w:rPr>
        <w:t> </w:t>
      </w:r>
      <w:r>
        <w:rPr/>
        <w:t>万股，持股比例</w:t>
      </w:r>
      <w:r>
        <w:rPr>
          <w:spacing w:val="-5"/>
        </w:rPr>
        <w:t> </w:t>
      </w:r>
      <w:r>
        <w:rPr>
          <w:rFonts w:ascii="Times New Roman" w:hAnsi="Times New Roman" w:cs="Times New Roman" w:eastAsia="Times New Roman" w:hint="default"/>
        </w:rPr>
        <w:t>75%</w:t>
      </w:r>
      <w:r>
        <w:rPr/>
        <w:t>；赣江新区全球星投资管</w:t>
      </w:r>
      <w:r>
        <w:rPr>
          <w:spacing w:val="-88"/>
        </w:rPr>
        <w:t> </w:t>
      </w:r>
      <w:r>
        <w:rPr>
          <w:spacing w:val="-88"/>
        </w:rPr>
      </w:r>
      <w:r>
        <w:rPr>
          <w:spacing w:val="-3"/>
        </w:rPr>
        <w:t>理有限公司（原名</w:t>
      </w:r>
      <w:r>
        <w:rPr>
          <w:rFonts w:ascii="Times New Roman" w:hAnsi="Times New Roman" w:cs="Times New Roman" w:eastAsia="Times New Roman" w:hint="default"/>
          <w:spacing w:val="-3"/>
        </w:rPr>
        <w:t>“</w:t>
      </w:r>
      <w:r>
        <w:rPr>
          <w:spacing w:val="-3"/>
        </w:rPr>
        <w:t>深圳市全球星投资管理有限公司</w:t>
      </w:r>
      <w:r>
        <w:rPr>
          <w:rFonts w:ascii="Times New Roman" w:hAnsi="Times New Roman" w:cs="Times New Roman" w:eastAsia="Times New Roman" w:hint="default"/>
          <w:spacing w:val="-3"/>
        </w:rPr>
        <w:t>”</w:t>
      </w:r>
      <w:r>
        <w:rPr>
          <w:spacing w:val="-3"/>
        </w:rPr>
        <w:t>）持有本公司股份为 </w:t>
      </w:r>
      <w:r>
        <w:rPr>
          <w:rFonts w:ascii="Times New Roman" w:hAnsi="Times New Roman" w:cs="Times New Roman" w:eastAsia="Times New Roman" w:hint="default"/>
        </w:rPr>
        <w:t>2,500  </w:t>
      </w:r>
      <w:r>
        <w:rPr>
          <w:spacing w:val="-3"/>
        </w:rPr>
        <w:t>万股，持股比例</w:t>
      </w:r>
      <w:r>
        <w:rPr>
          <w:spacing w:val="67"/>
        </w:rPr>
        <w:t> </w:t>
      </w:r>
      <w:r>
        <w:rPr>
          <w:rFonts w:ascii="Times New Roman" w:hAnsi="Times New Roman" w:cs="Times New Roman" w:eastAsia="Times New Roman" w:hint="default"/>
        </w:rPr>
        <w:t>25%</w:t>
      </w:r>
      <w:r>
        <w:rPr/>
        <w:t>。</w:t>
      </w:r>
    </w:p>
    <w:p>
      <w:pPr>
        <w:pStyle w:val="BodyText"/>
        <w:spacing w:line="240" w:lineRule="auto" w:before="133"/>
        <w:ind w:left="575" w:right="0"/>
        <w:jc w:val="left"/>
      </w:pPr>
      <w:r>
        <w:rPr/>
        <w:t>根据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11  </w:t>
      </w:r>
      <w:r>
        <w:rPr>
          <w:spacing w:val="-4"/>
        </w:rPr>
        <w:t>日公司临时股东大会决议和修改后的章程规定，公司申请增加注册资本人民币 </w:t>
      </w:r>
      <w:r>
        <w:rPr>
          <w:rFonts w:ascii="Times New Roman" w:hAnsi="Times New Roman" w:cs="Times New Roman" w:eastAsia="Times New Roman" w:hint="default"/>
        </w:rPr>
        <w:t>1,000</w:t>
      </w:r>
      <w:r>
        <w:rPr>
          <w:rFonts w:ascii="Times New Roman" w:hAnsi="Times New Roman" w:cs="Times New Roman" w:eastAsia="Times New Roman" w:hint="default"/>
          <w:spacing w:val="28"/>
        </w:rPr>
        <w:t> </w:t>
      </w:r>
      <w:r>
        <w:rPr>
          <w:spacing w:val="-8"/>
        </w:rPr>
        <w:t>万元，由</w:t>
      </w:r>
    </w:p>
    <w:p>
      <w:pPr>
        <w:pStyle w:val="BodyText"/>
        <w:spacing w:line="240" w:lineRule="auto" w:before="63"/>
        <w:ind w:right="0"/>
        <w:jc w:val="both"/>
      </w:pPr>
      <w:r>
        <w:rPr/>
        <w:t>黄绍武、黄文辉等 </w:t>
      </w:r>
      <w:r>
        <w:rPr>
          <w:rFonts w:ascii="Times New Roman" w:hAnsi="Times New Roman" w:cs="Times New Roman" w:eastAsia="Times New Roman" w:hint="default"/>
          <w:spacing w:val="-3"/>
        </w:rPr>
        <w:t>92  </w:t>
      </w:r>
      <w:r>
        <w:rPr>
          <w:spacing w:val="-3"/>
        </w:rPr>
        <w:t>人认购公司普通股股份 </w:t>
      </w:r>
      <w:r>
        <w:rPr>
          <w:rFonts w:ascii="Times New Roman" w:hAnsi="Times New Roman" w:cs="Times New Roman" w:eastAsia="Times New Roman" w:hint="default"/>
          <w:spacing w:val="-3"/>
        </w:rPr>
        <w:t>1,000</w:t>
      </w:r>
      <w:r>
        <w:rPr>
          <w:spacing w:val="-3"/>
        </w:rPr>
        <w:t>万股，面值为每股人民币 </w:t>
      </w:r>
      <w:r>
        <w:rPr>
          <w:rFonts w:ascii="Times New Roman" w:hAnsi="Times New Roman" w:cs="Times New Roman" w:eastAsia="Times New Roman" w:hint="default"/>
        </w:rPr>
        <w:t>1.00  </w:t>
      </w:r>
      <w:r>
        <w:rPr>
          <w:spacing w:val="-3"/>
        </w:rPr>
        <w:t>元，认购价格为每股人民币 </w:t>
      </w:r>
      <w:r>
        <w:rPr>
          <w:rFonts w:ascii="Times New Roman" w:hAnsi="Times New Roman" w:cs="Times New Roman" w:eastAsia="Times New Roman" w:hint="default"/>
        </w:rPr>
        <w:t>2.12 </w:t>
      </w:r>
      <w:r>
        <w:rPr>
          <w:rFonts w:ascii="Times New Roman" w:hAnsi="Times New Roman" w:cs="Times New Roman" w:eastAsia="Times New Roman" w:hint="default"/>
          <w:spacing w:val="5"/>
        </w:rPr>
        <w:t> </w:t>
      </w:r>
      <w:r>
        <w:rPr/>
        <w:t>元。认</w:t>
      </w:r>
    </w:p>
    <w:p>
      <w:pPr>
        <w:pStyle w:val="BodyText"/>
        <w:spacing w:line="240" w:lineRule="auto" w:before="63"/>
        <w:ind w:right="0"/>
        <w:jc w:val="both"/>
      </w:pPr>
      <w:r>
        <w:rPr/>
        <w:t>购后公司注册资本为人民币 </w:t>
      </w:r>
      <w:r>
        <w:rPr>
          <w:rFonts w:ascii="Times New Roman" w:hAnsi="Times New Roman" w:cs="Times New Roman" w:eastAsia="Times New Roman" w:hint="default"/>
        </w:rPr>
        <w:t>11,000  </w:t>
      </w:r>
      <w:r>
        <w:rPr/>
        <w:t>万元，股本为人民币 </w:t>
      </w:r>
      <w:r>
        <w:rPr>
          <w:rFonts w:ascii="Times New Roman" w:hAnsi="Times New Roman" w:cs="Times New Roman" w:eastAsia="Times New Roman" w:hint="default"/>
        </w:rPr>
        <w:t>11,000 </w:t>
      </w:r>
      <w:r>
        <w:rPr>
          <w:rFonts w:ascii="Times New Roman" w:hAnsi="Times New Roman" w:cs="Times New Roman" w:eastAsia="Times New Roman" w:hint="default"/>
          <w:spacing w:val="4"/>
        </w:rPr>
        <w:t> </w:t>
      </w:r>
      <w:r>
        <w:rPr/>
        <w:t>万元，其中：深圳市神州通投资集团有限公司持有本公司</w:t>
      </w:r>
    </w:p>
    <w:p>
      <w:pPr>
        <w:pStyle w:val="BodyText"/>
        <w:spacing w:line="240" w:lineRule="auto" w:before="63"/>
        <w:ind w:right="0"/>
        <w:jc w:val="both"/>
      </w:pPr>
      <w:r>
        <w:rPr/>
        <w:t>股份为 </w:t>
      </w:r>
      <w:r>
        <w:rPr>
          <w:rFonts w:ascii="Times New Roman" w:hAnsi="Times New Roman" w:cs="Times New Roman" w:eastAsia="Times New Roman" w:hint="default"/>
        </w:rPr>
        <w:t>7,500  </w:t>
      </w:r>
      <w:r>
        <w:rPr>
          <w:spacing w:val="3"/>
        </w:rPr>
        <w:t>万股，持股比例 </w:t>
      </w:r>
      <w:r>
        <w:rPr>
          <w:rFonts w:ascii="Times New Roman" w:hAnsi="Times New Roman" w:cs="Times New Roman" w:eastAsia="Times New Roman" w:hint="default"/>
          <w:spacing w:val="2"/>
        </w:rPr>
        <w:t>68.1818%</w:t>
      </w:r>
      <w:r>
        <w:rPr>
          <w:spacing w:val="2"/>
        </w:rPr>
        <w:t>；赣江新区全球星投资管理有限公司持有本公司股份为 </w:t>
      </w:r>
      <w:r>
        <w:rPr>
          <w:rFonts w:ascii="Times New Roman" w:hAnsi="Times New Roman" w:cs="Times New Roman" w:eastAsia="Times New Roman" w:hint="default"/>
        </w:rPr>
        <w:t>2,500   </w:t>
      </w:r>
      <w:r>
        <w:rPr>
          <w:rFonts w:ascii="Times New Roman" w:hAnsi="Times New Roman" w:cs="Times New Roman" w:eastAsia="Times New Roman" w:hint="default"/>
          <w:spacing w:val="43"/>
        </w:rPr>
        <w:t> </w:t>
      </w:r>
      <w:r>
        <w:rPr>
          <w:spacing w:val="3"/>
        </w:rPr>
        <w:t>万股，持股比例</w:t>
      </w:r>
    </w:p>
    <w:p>
      <w:pPr>
        <w:spacing w:after="0" w:line="240" w:lineRule="auto"/>
        <w:jc w:val="both"/>
        <w:sectPr>
          <w:footerReference w:type="default" r:id="rId38"/>
          <w:pgSz w:w="11910" w:h="16840"/>
          <w:pgMar w:footer="1474" w:header="871" w:top="1060" w:bottom="16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1126"/>
        <w:jc w:val="left"/>
      </w:pPr>
      <w:r>
        <w:rPr>
          <w:rFonts w:ascii="Times New Roman" w:hAnsi="Times New Roman" w:cs="Times New Roman" w:eastAsia="Times New Roman" w:hint="default"/>
        </w:rPr>
        <w:t>22.7272%</w:t>
      </w:r>
      <w:r>
        <w:rPr/>
        <w:t>； 黄绍武、黄文辉等 </w:t>
      </w:r>
      <w:r>
        <w:rPr>
          <w:rFonts w:ascii="Times New Roman" w:hAnsi="Times New Roman" w:cs="Times New Roman" w:eastAsia="Times New Roman" w:hint="default"/>
        </w:rPr>
        <w:t>92  </w:t>
      </w:r>
      <w:r>
        <w:rPr>
          <w:spacing w:val="-3"/>
        </w:rPr>
        <w:t>人持有本公司股份为 </w:t>
      </w:r>
      <w:r>
        <w:rPr>
          <w:rFonts w:ascii="Times New Roman" w:hAnsi="Times New Roman" w:cs="Times New Roman" w:eastAsia="Times New Roman" w:hint="default"/>
        </w:rPr>
        <w:t>1,000  </w:t>
      </w:r>
      <w:r>
        <w:rPr>
          <w:spacing w:val="-3"/>
        </w:rPr>
        <w:t>万股，持股比例</w:t>
      </w:r>
      <w:r>
        <w:rPr>
          <w:spacing w:val="-61"/>
        </w:rPr>
        <w:t> </w:t>
      </w:r>
      <w:r>
        <w:rPr>
          <w:rFonts w:ascii="Times New Roman" w:hAnsi="Times New Roman" w:cs="Times New Roman" w:eastAsia="Times New Roman" w:hint="default"/>
        </w:rPr>
        <w:t>9.0910%</w:t>
      </w:r>
      <w:r>
        <w:rPr/>
        <w:t>。</w:t>
      </w:r>
    </w:p>
    <w:p>
      <w:pPr>
        <w:spacing w:line="240" w:lineRule="auto" w:before="13"/>
        <w:rPr>
          <w:rFonts w:ascii="宋体" w:hAnsi="宋体" w:cs="宋体" w:eastAsia="宋体" w:hint="default"/>
          <w:sz w:val="13"/>
          <w:szCs w:val="13"/>
        </w:rPr>
      </w:pPr>
    </w:p>
    <w:p>
      <w:pPr>
        <w:pStyle w:val="BodyText"/>
        <w:spacing w:line="300" w:lineRule="auto"/>
        <w:ind w:right="1126" w:firstLine="422"/>
        <w:jc w:val="left"/>
      </w:pPr>
      <w:r>
        <w:rPr/>
        <w:t>根据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22 </w:t>
      </w:r>
      <w:r>
        <w:rPr/>
        <w:t>日召开的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年第一次临时股东大会决议，本公司名称由</w:t>
      </w:r>
      <w:r>
        <w:rPr>
          <w:rFonts w:ascii="Times New Roman" w:hAnsi="Times New Roman" w:cs="Times New Roman" w:eastAsia="Times New Roman" w:hint="default"/>
        </w:rPr>
        <w:t>“</w:t>
      </w:r>
      <w:r>
        <w:rPr/>
        <w:t>深圳市爱施德实业股份有限公司</w:t>
      </w:r>
      <w:r>
        <w:rPr>
          <w:rFonts w:ascii="Times New Roman" w:hAnsi="Times New Roman" w:cs="Times New Roman" w:eastAsia="Times New Roman" w:hint="default"/>
        </w:rPr>
        <w:t>”</w:t>
      </w:r>
      <w:r>
        <w:rPr>
          <w:rFonts w:ascii="Times New Roman" w:hAnsi="Times New Roman" w:cs="Times New Roman" w:eastAsia="Times New Roman" w:hint="default"/>
          <w:w w:val="101"/>
        </w:rPr>
        <w:t> </w:t>
      </w:r>
      <w:r>
        <w:rPr>
          <w:spacing w:val="-3"/>
        </w:rPr>
        <w:t>变更为</w:t>
      </w:r>
      <w:r>
        <w:rPr>
          <w:rFonts w:ascii="Times New Roman" w:hAnsi="Times New Roman" w:cs="Times New Roman" w:eastAsia="Times New Roman" w:hint="default"/>
          <w:spacing w:val="-3"/>
        </w:rPr>
        <w:t>“</w:t>
      </w:r>
      <w:r>
        <w:rPr>
          <w:spacing w:val="-3"/>
        </w:rPr>
        <w:t>深圳市爱施德股份有限公司</w:t>
      </w:r>
      <w:r>
        <w:rPr>
          <w:rFonts w:ascii="Times New Roman" w:hAnsi="Times New Roman" w:cs="Times New Roman" w:eastAsia="Times New Roman" w:hint="default"/>
          <w:spacing w:val="-3"/>
        </w:rPr>
        <w:t>”</w:t>
      </w:r>
      <w:r>
        <w:rPr>
          <w:spacing w:val="-3"/>
        </w:rPr>
        <w:t>；经营范围增加</w:t>
      </w:r>
      <w:r>
        <w:rPr>
          <w:rFonts w:ascii="Times New Roman" w:hAnsi="Times New Roman" w:cs="Times New Roman" w:eastAsia="Times New Roman" w:hint="default"/>
          <w:spacing w:val="-3"/>
        </w:rPr>
        <w:t>“</w:t>
      </w:r>
      <w:r>
        <w:rPr>
          <w:spacing w:val="-3"/>
        </w:rPr>
        <w:t>零售连锁；供应链管理</w:t>
      </w:r>
      <w:r>
        <w:rPr>
          <w:rFonts w:ascii="Times New Roman" w:hAnsi="Times New Roman" w:cs="Times New Roman" w:eastAsia="Times New Roman" w:hint="default"/>
          <w:spacing w:val="-3"/>
        </w:rPr>
        <w:t>”</w:t>
      </w:r>
      <w:r>
        <w:rPr>
          <w:spacing w:val="-3"/>
        </w:rPr>
        <w:t>。</w:t>
      </w:r>
    </w:p>
    <w:p>
      <w:pPr>
        <w:pStyle w:val="BodyText"/>
        <w:spacing w:line="240" w:lineRule="auto" w:before="133"/>
        <w:ind w:left="575" w:right="0"/>
        <w:jc w:val="left"/>
        <w:rPr>
          <w:rFonts w:ascii="Times New Roman" w:hAnsi="Times New Roman" w:cs="Times New Roman" w:eastAsia="Times New Roman" w:hint="default"/>
        </w:rPr>
      </w:pPr>
      <w:r>
        <w:rPr/>
        <w:t>根据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23 </w:t>
      </w:r>
      <w:r>
        <w:rPr>
          <w:spacing w:val="-3"/>
        </w:rPr>
        <w:t>日召开的第二次临时股东大会决议，公司申请新增注册资本人民币 </w:t>
      </w:r>
      <w:r>
        <w:rPr>
          <w:rFonts w:ascii="Times New Roman" w:hAnsi="Times New Roman" w:cs="Times New Roman" w:eastAsia="Times New Roman" w:hint="default"/>
        </w:rPr>
        <w:t>23,100 </w:t>
      </w:r>
      <w:r>
        <w:rPr/>
        <w:t>万元，以 </w:t>
      </w:r>
      <w:r>
        <w:rPr>
          <w:rFonts w:ascii="Times New Roman" w:hAnsi="Times New Roman" w:cs="Times New Roman" w:eastAsia="Times New Roman" w:hint="default"/>
        </w:rPr>
        <w:t>2008 </w:t>
      </w:r>
      <w:r>
        <w:rPr/>
        <w:t>年</w:t>
      </w:r>
      <w:r>
        <w:rPr>
          <w:spacing w:val="82"/>
        </w:rPr>
        <w:t> </w:t>
      </w:r>
      <w:r>
        <w:rPr>
          <w:rFonts w:ascii="Times New Roman" w:hAnsi="Times New Roman" w:cs="Times New Roman" w:eastAsia="Times New Roman" w:hint="default"/>
        </w:rPr>
        <w:t>5</w:t>
      </w:r>
    </w:p>
    <w:p>
      <w:pPr>
        <w:pStyle w:val="BodyText"/>
        <w:spacing w:line="240" w:lineRule="auto" w:before="63"/>
        <w:ind w:right="0"/>
        <w:jc w:val="left"/>
        <w:rPr>
          <w:rFonts w:ascii="Times New Roman" w:hAnsi="Times New Roman" w:cs="Times New Roman" w:eastAsia="Times New Roman" w:hint="default"/>
        </w:rPr>
      </w:pPr>
      <w:r>
        <w:rPr/>
        <w:t>月 </w:t>
      </w:r>
      <w:r>
        <w:rPr>
          <w:rFonts w:ascii="Times New Roman" w:hAnsi="Times New Roman" w:cs="Times New Roman" w:eastAsia="Times New Roman" w:hint="default"/>
        </w:rPr>
        <w:t>31  </w:t>
      </w:r>
      <w:r>
        <w:rPr>
          <w:spacing w:val="-3"/>
        </w:rPr>
        <w:t>日总股本 </w:t>
      </w:r>
      <w:r>
        <w:rPr>
          <w:rFonts w:ascii="Times New Roman" w:hAnsi="Times New Roman" w:cs="Times New Roman" w:eastAsia="Times New Roman" w:hint="default"/>
        </w:rPr>
        <w:t>11,000  </w:t>
      </w:r>
      <w:r>
        <w:rPr>
          <w:spacing w:val="-6"/>
        </w:rPr>
        <w:t>万股为基数，向全体股东以未分配利润按每 </w:t>
      </w:r>
      <w:r>
        <w:rPr>
          <w:rFonts w:ascii="Times New Roman" w:hAnsi="Times New Roman" w:cs="Times New Roman" w:eastAsia="Times New Roman" w:hint="default"/>
        </w:rPr>
        <w:t>10 </w:t>
      </w:r>
      <w:r>
        <w:rPr/>
        <w:t>股送红股 </w:t>
      </w:r>
      <w:r>
        <w:rPr>
          <w:rFonts w:ascii="Times New Roman" w:hAnsi="Times New Roman" w:cs="Times New Roman" w:eastAsia="Times New Roman" w:hint="default"/>
        </w:rPr>
        <w:t>13.5  </w:t>
      </w:r>
      <w:r>
        <w:rPr>
          <w:spacing w:val="-8"/>
        </w:rPr>
        <w:t>股，以资本公积金按每 </w:t>
      </w:r>
      <w:r>
        <w:rPr>
          <w:rFonts w:ascii="Times New Roman" w:hAnsi="Times New Roman" w:cs="Times New Roman" w:eastAsia="Times New Roman" w:hint="default"/>
        </w:rPr>
        <w:t>10  </w:t>
      </w:r>
      <w:r>
        <w:rPr/>
        <w:t>股转增</w:t>
      </w:r>
      <w:r>
        <w:rPr>
          <w:spacing w:val="-40"/>
        </w:rPr>
        <w:t> </w:t>
      </w:r>
      <w:r>
        <w:rPr>
          <w:rFonts w:ascii="Times New Roman" w:hAnsi="Times New Roman" w:cs="Times New Roman" w:eastAsia="Times New Roman" w:hint="default"/>
        </w:rPr>
        <w:t>7.5</w:t>
      </w:r>
    </w:p>
    <w:p>
      <w:pPr>
        <w:pStyle w:val="BodyText"/>
        <w:spacing w:line="240" w:lineRule="auto" w:before="63"/>
        <w:ind w:right="0"/>
        <w:jc w:val="left"/>
      </w:pPr>
      <w:r>
        <w:rPr>
          <w:spacing w:val="-4"/>
        </w:rPr>
        <w:t>股，共计转增股份 </w:t>
      </w:r>
      <w:r>
        <w:rPr>
          <w:rFonts w:ascii="Times New Roman" w:hAnsi="Times New Roman" w:cs="Times New Roman" w:eastAsia="Times New Roman" w:hint="default"/>
        </w:rPr>
        <w:t>23,100  </w:t>
      </w:r>
      <w:r>
        <w:rPr>
          <w:spacing w:val="-4"/>
        </w:rPr>
        <w:t>万股，其中：由资本公积转增股本 </w:t>
      </w:r>
      <w:r>
        <w:rPr>
          <w:rFonts w:ascii="Times New Roman" w:hAnsi="Times New Roman" w:cs="Times New Roman" w:eastAsia="Times New Roman" w:hint="default"/>
        </w:rPr>
        <w:t>8,250  </w:t>
      </w:r>
      <w:r>
        <w:rPr>
          <w:spacing w:val="-3"/>
        </w:rPr>
        <w:t>万元，由未分配利润转增股本</w:t>
      </w:r>
      <w:r>
        <w:rPr>
          <w:rFonts w:ascii="Times New Roman" w:hAnsi="Times New Roman" w:cs="Times New Roman" w:eastAsia="Times New Roman" w:hint="default"/>
          <w:spacing w:val="-3"/>
        </w:rPr>
        <w:t>14,850  </w:t>
      </w:r>
      <w:r>
        <w:rPr>
          <w:rFonts w:ascii="Times New Roman" w:hAnsi="Times New Roman" w:cs="Times New Roman" w:eastAsia="Times New Roman" w:hint="default"/>
          <w:spacing w:val="21"/>
        </w:rPr>
        <w:t> </w:t>
      </w:r>
      <w:r>
        <w:rPr>
          <w:spacing w:val="-4"/>
        </w:rPr>
        <w:t>万元。此次增资后</w:t>
      </w:r>
    </w:p>
    <w:p>
      <w:pPr>
        <w:pStyle w:val="BodyText"/>
        <w:spacing w:line="240" w:lineRule="auto" w:before="63"/>
        <w:ind w:right="0"/>
        <w:jc w:val="left"/>
      </w:pPr>
      <w:r>
        <w:rPr/>
        <w:t>公司注册资本为人民币  </w:t>
      </w:r>
      <w:r>
        <w:rPr>
          <w:rFonts w:ascii="Times New Roman" w:hAnsi="Times New Roman" w:cs="Times New Roman" w:eastAsia="Times New Roman" w:hint="default"/>
        </w:rPr>
        <w:t>34,100   </w:t>
      </w:r>
      <w:r>
        <w:rPr/>
        <w:t>万元，其中深圳市神州通投资集团有限公司持有本公司股份为  </w:t>
      </w:r>
      <w:r>
        <w:rPr>
          <w:rFonts w:ascii="Times New Roman" w:hAnsi="Times New Roman" w:cs="Times New Roman" w:eastAsia="Times New Roman" w:hint="default"/>
        </w:rPr>
        <w:t>23,250</w:t>
      </w:r>
      <w:r>
        <w:rPr>
          <w:rFonts w:ascii="Times New Roman" w:hAnsi="Times New Roman" w:cs="Times New Roman" w:eastAsia="Times New Roman" w:hint="default"/>
          <w:spacing w:val="-4"/>
        </w:rPr>
        <w:t> </w:t>
      </w:r>
      <w:r>
        <w:rPr/>
        <w:t>万股，持股比例为</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68.1818%</w:t>
      </w:r>
      <w:r>
        <w:rPr>
          <w:spacing w:val="-3"/>
        </w:rPr>
        <w:t>；赣江新区全球星投资管理有限公司持有本公司股份为 </w:t>
      </w:r>
      <w:r>
        <w:rPr>
          <w:rFonts w:ascii="Times New Roman" w:hAnsi="Times New Roman" w:cs="Times New Roman" w:eastAsia="Times New Roman" w:hint="default"/>
        </w:rPr>
        <w:t>7,750  </w:t>
      </w:r>
      <w:r>
        <w:rPr>
          <w:spacing w:val="-5"/>
        </w:rPr>
        <w:t>万股，持股比例为 </w:t>
      </w:r>
      <w:r>
        <w:rPr>
          <w:rFonts w:ascii="Times New Roman" w:hAnsi="Times New Roman" w:cs="Times New Roman" w:eastAsia="Times New Roman" w:hint="default"/>
          <w:spacing w:val="-5"/>
        </w:rPr>
        <w:t>22.7272%</w:t>
      </w:r>
      <w:r>
        <w:rPr>
          <w:spacing w:val="-5"/>
        </w:rPr>
        <w:t>；黄绍武、黄文辉等</w:t>
      </w:r>
      <w:r>
        <w:rPr>
          <w:spacing w:val="66"/>
        </w:rPr>
        <w:t> </w:t>
      </w:r>
      <w:r>
        <w:rPr>
          <w:rFonts w:ascii="Times New Roman" w:hAnsi="Times New Roman" w:cs="Times New Roman" w:eastAsia="Times New Roman" w:hint="default"/>
        </w:rPr>
        <w:t>92</w:t>
      </w:r>
    </w:p>
    <w:p>
      <w:pPr>
        <w:pStyle w:val="BodyText"/>
        <w:spacing w:line="240" w:lineRule="auto" w:before="63"/>
        <w:ind w:right="1126"/>
        <w:jc w:val="left"/>
      </w:pPr>
      <w:r>
        <w:rPr>
          <w:spacing w:val="-3"/>
        </w:rPr>
        <w:t>人持有本公司股份为 </w:t>
      </w:r>
      <w:r>
        <w:rPr>
          <w:rFonts w:ascii="Times New Roman" w:hAnsi="Times New Roman" w:cs="Times New Roman" w:eastAsia="Times New Roman" w:hint="default"/>
        </w:rPr>
        <w:t>3,100  </w:t>
      </w:r>
      <w:r>
        <w:rPr/>
        <w:t>万股，持股比例为</w:t>
      </w:r>
      <w:r>
        <w:rPr>
          <w:spacing w:val="-22"/>
        </w:rPr>
        <w:t> </w:t>
      </w:r>
      <w:r>
        <w:rPr>
          <w:rFonts w:ascii="Times New Roman" w:hAnsi="Times New Roman" w:cs="Times New Roman" w:eastAsia="Times New Roman" w:hint="default"/>
        </w:rPr>
        <w:t>9.0910%</w:t>
      </w:r>
      <w:r>
        <w:rPr/>
        <w:t>。</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根据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18  </w:t>
      </w:r>
      <w:r>
        <w:rPr/>
        <w:t>日召开的 </w:t>
      </w:r>
      <w:r>
        <w:rPr>
          <w:rFonts w:ascii="Times New Roman" w:hAnsi="Times New Roman" w:cs="Times New Roman" w:eastAsia="Times New Roman" w:hint="default"/>
        </w:rPr>
        <w:t>2009  </w:t>
      </w:r>
      <w:r>
        <w:rPr/>
        <w:t>年第一次临时股东大会决议，公司申请增加注册资本人民币 </w:t>
      </w:r>
      <w:r>
        <w:rPr>
          <w:rFonts w:ascii="Times New Roman" w:hAnsi="Times New Roman" w:cs="Times New Roman" w:eastAsia="Times New Roman" w:hint="default"/>
        </w:rPr>
        <w:t>10,230</w:t>
      </w:r>
      <w:r>
        <w:rPr>
          <w:rFonts w:ascii="Times New Roman" w:hAnsi="Times New Roman" w:cs="Times New Roman" w:eastAsia="Times New Roman" w:hint="default"/>
          <w:spacing w:val="30"/>
        </w:rPr>
        <w:t> </w:t>
      </w:r>
      <w:r>
        <w:rPr/>
        <w:t>万元，以</w:t>
      </w:r>
    </w:p>
    <w:p>
      <w:pPr>
        <w:pStyle w:val="BodyText"/>
        <w:spacing w:line="240" w:lineRule="auto" w:before="63"/>
        <w:ind w:right="0"/>
        <w:jc w:val="left"/>
      </w:pP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spacing w:val="-3"/>
        </w:rPr>
        <w:t>30  </w:t>
      </w:r>
      <w:r>
        <w:rPr>
          <w:spacing w:val="-3"/>
        </w:rPr>
        <w:t>日总股本 </w:t>
      </w:r>
      <w:r>
        <w:rPr>
          <w:rFonts w:ascii="Times New Roman" w:hAnsi="Times New Roman" w:cs="Times New Roman" w:eastAsia="Times New Roman" w:hint="default"/>
        </w:rPr>
        <w:t>34,100 </w:t>
      </w:r>
      <w:r>
        <w:rPr>
          <w:spacing w:val="-4"/>
        </w:rPr>
        <w:t>万股为基数，向全体股东以未分配利润按每 </w:t>
      </w:r>
      <w:r>
        <w:rPr>
          <w:rFonts w:ascii="Times New Roman" w:hAnsi="Times New Roman" w:cs="Times New Roman" w:eastAsia="Times New Roman" w:hint="default"/>
        </w:rPr>
        <w:t>10 </w:t>
      </w:r>
      <w:r>
        <w:rPr>
          <w:spacing w:val="-3"/>
        </w:rPr>
        <w:t>股送红股 </w:t>
      </w:r>
      <w:r>
        <w:rPr>
          <w:rFonts w:ascii="Times New Roman" w:hAnsi="Times New Roman" w:cs="Times New Roman" w:eastAsia="Times New Roman" w:hint="default"/>
        </w:rPr>
        <w:t>3 </w:t>
      </w:r>
      <w:r>
        <w:rPr>
          <w:spacing w:val="-4"/>
        </w:rPr>
        <w:t>股，共计转增股份 </w:t>
      </w:r>
      <w:r>
        <w:rPr>
          <w:rFonts w:ascii="Times New Roman" w:hAnsi="Times New Roman" w:cs="Times New Roman" w:eastAsia="Times New Roman" w:hint="default"/>
        </w:rPr>
        <w:t>10,230   </w:t>
      </w:r>
      <w:r>
        <w:rPr>
          <w:rFonts w:ascii="Times New Roman" w:hAnsi="Times New Roman" w:cs="Times New Roman" w:eastAsia="Times New Roman" w:hint="default"/>
          <w:spacing w:val="24"/>
        </w:rPr>
        <w:t> </w:t>
      </w:r>
      <w:r>
        <w:rPr/>
        <w:t>万</w:t>
      </w:r>
    </w:p>
    <w:p>
      <w:pPr>
        <w:pStyle w:val="BodyText"/>
        <w:spacing w:line="240" w:lineRule="auto" w:before="63"/>
        <w:ind w:right="1126"/>
        <w:jc w:val="left"/>
      </w:pPr>
      <w:r>
        <w:rPr>
          <w:spacing w:val="-3"/>
        </w:rPr>
        <w:t>股。此次增资后公司注册资本为人民币 </w:t>
      </w:r>
      <w:r>
        <w:rPr>
          <w:rFonts w:ascii="Times New Roman" w:hAnsi="Times New Roman" w:cs="Times New Roman" w:eastAsia="Times New Roman" w:hint="default"/>
        </w:rPr>
        <w:t>44,330 </w:t>
      </w:r>
      <w:r>
        <w:rPr>
          <w:rFonts w:ascii="Times New Roman" w:hAnsi="Times New Roman" w:cs="Times New Roman" w:eastAsia="Times New Roman" w:hint="default"/>
          <w:spacing w:val="19"/>
        </w:rPr>
        <w:t> </w:t>
      </w:r>
      <w:r>
        <w:rPr/>
        <w:t>万元。</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根据公司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spacing w:val="-3"/>
        </w:rPr>
        <w:t>11  </w:t>
      </w:r>
      <w:r>
        <w:rPr>
          <w:spacing w:val="-3"/>
        </w:rPr>
        <w:t>日第一次临时股东会决议，及中国证券监督管理委员会于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4  </w:t>
      </w:r>
      <w:r>
        <w:rPr>
          <w:rFonts w:ascii="Times New Roman" w:hAnsi="Times New Roman" w:cs="Times New Roman" w:eastAsia="Times New Roman" w:hint="default"/>
          <w:spacing w:val="18"/>
        </w:rPr>
        <w:t> </w:t>
      </w:r>
      <w:r>
        <w:rPr>
          <w:spacing w:val="-4"/>
        </w:rPr>
        <w:t>日《关于核准深</w:t>
      </w:r>
    </w:p>
    <w:p>
      <w:pPr>
        <w:pStyle w:val="BodyText"/>
        <w:spacing w:line="300" w:lineRule="auto" w:before="63"/>
        <w:ind w:right="1005"/>
        <w:jc w:val="left"/>
      </w:pPr>
      <w:r>
        <w:rPr/>
        <w:t>圳市爱施德股份有限公司首次公开发行股票的批复》（证监许可</w:t>
      </w:r>
      <w:r>
        <w:rPr>
          <w:rFonts w:ascii="Times New Roman" w:hAnsi="Times New Roman" w:cs="Times New Roman" w:eastAsia="Times New Roman" w:hint="default"/>
        </w:rPr>
        <w:t>[2010]555</w:t>
      </w:r>
      <w:r>
        <w:rPr>
          <w:rFonts w:ascii="Times New Roman" w:hAnsi="Times New Roman" w:cs="Times New Roman" w:eastAsia="Times New Roman" w:hint="default"/>
          <w:spacing w:val="25"/>
        </w:rPr>
        <w:t> </w:t>
      </w:r>
      <w:r>
        <w:rPr/>
        <w:t>号）的核准，公司于</w:t>
      </w:r>
      <w:r>
        <w:rPr>
          <w:spacing w:val="-1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5"/>
        </w:rPr>
        <w:t> </w:t>
      </w:r>
      <w:r>
        <w:rPr/>
        <w:t>年</w:t>
      </w:r>
      <w:r>
        <w:rPr>
          <w:spacing w:val="-15"/>
        </w:rPr>
        <w:t>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月</w:t>
      </w:r>
      <w:r>
        <w:rPr>
          <w:spacing w:val="-15"/>
        </w:rPr>
        <w:t> </w:t>
      </w:r>
      <w:r>
        <w:rPr>
          <w:rFonts w:ascii="Times New Roman" w:hAnsi="Times New Roman" w:cs="Times New Roman" w:eastAsia="Times New Roman" w:hint="default"/>
        </w:rPr>
        <w:t>17</w:t>
      </w:r>
      <w:r>
        <w:rPr>
          <w:rFonts w:ascii="Times New Roman" w:hAnsi="Times New Roman" w:cs="Times New Roman" w:eastAsia="Times New Roman" w:hint="default"/>
          <w:spacing w:val="25"/>
        </w:rPr>
        <w:t> </w:t>
      </w:r>
      <w:r>
        <w:rPr/>
        <w:t>日分别采</w:t>
      </w:r>
      <w:r>
        <w:rPr>
          <w:spacing w:val="-85"/>
        </w:rPr>
        <w:t> </w:t>
      </w:r>
      <w:r>
        <w:rPr>
          <w:spacing w:val="-85"/>
        </w:rPr>
      </w:r>
      <w:r>
        <w:rPr/>
        <w:t>用网下配售方式向询价对象公开发行人民币普通股（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r>
        <w:rPr>
          <w:spacing w:val="6"/>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6"/>
        </w:rPr>
        <w:t> </w:t>
      </w:r>
      <w:r>
        <w:rPr/>
        <w:t>股、网上定价方式公开发行人民币普通股（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r>
        <w:rPr>
          <w:spacing w:val="-86"/>
        </w:rPr>
        <w:t> </w:t>
      </w:r>
      <w:r>
        <w:rPr>
          <w:rFonts w:ascii="Times New Roman" w:hAnsi="Times New Roman" w:cs="Times New Roman" w:eastAsia="Times New Roman" w:hint="default"/>
        </w:rPr>
        <w:t>40,000,000  </w:t>
      </w:r>
      <w:r>
        <w:rPr>
          <w:spacing w:val="-3"/>
        </w:rPr>
        <w:t>股，共计公开发行人民币普通股（</w:t>
      </w:r>
      <w:r>
        <w:rPr>
          <w:rFonts w:ascii="Times New Roman" w:hAnsi="Times New Roman" w:cs="Times New Roman" w:eastAsia="Times New Roman" w:hint="default"/>
          <w:spacing w:val="-3"/>
        </w:rPr>
        <w:t>A  </w:t>
      </w:r>
      <w:r>
        <w:rPr/>
        <w:t>股） </w:t>
      </w:r>
      <w:r>
        <w:rPr>
          <w:rFonts w:ascii="Times New Roman" w:hAnsi="Times New Roman" w:cs="Times New Roman" w:eastAsia="Times New Roman" w:hint="default"/>
        </w:rPr>
        <w:t>50,000,000  </w:t>
      </w:r>
      <w:r>
        <w:rPr>
          <w:spacing w:val="-3"/>
        </w:rPr>
        <w:t>股（每股面值 </w:t>
      </w:r>
      <w:r>
        <w:rPr>
          <w:rFonts w:ascii="Times New Roman" w:hAnsi="Times New Roman" w:cs="Times New Roman" w:eastAsia="Times New Roman" w:hint="default"/>
        </w:rPr>
        <w:t>1  </w:t>
      </w:r>
      <w:r>
        <w:rPr>
          <w:spacing w:val="-3"/>
        </w:rPr>
        <w:t>元，发行价格 </w:t>
      </w:r>
      <w:r>
        <w:rPr>
          <w:rFonts w:ascii="Times New Roman" w:hAnsi="Times New Roman" w:cs="Times New Roman" w:eastAsia="Times New Roman" w:hint="default"/>
        </w:rPr>
        <w:t>45.00</w:t>
      </w:r>
      <w:r>
        <w:rPr>
          <w:rFonts w:ascii="Times New Roman" w:hAnsi="Times New Roman" w:cs="Times New Roman" w:eastAsia="Times New Roman" w:hint="default"/>
          <w:spacing w:val="2"/>
        </w:rPr>
        <w:t> </w:t>
      </w:r>
      <w:r>
        <w:rPr>
          <w:spacing w:val="-4"/>
        </w:rPr>
        <w:t>元），并申请增加注</w:t>
      </w:r>
    </w:p>
    <w:p>
      <w:pPr>
        <w:pStyle w:val="BodyText"/>
        <w:spacing w:line="240" w:lineRule="auto" w:before="13"/>
        <w:ind w:right="0"/>
        <w:jc w:val="left"/>
      </w:pPr>
      <w:r>
        <w:rPr/>
        <w:t>册资本 </w:t>
      </w:r>
      <w:r>
        <w:rPr>
          <w:rFonts w:ascii="Times New Roman" w:hAnsi="Times New Roman" w:cs="Times New Roman" w:eastAsia="Times New Roman" w:hint="default"/>
        </w:rPr>
        <w:t>50,000,000.00  </w:t>
      </w:r>
      <w:r>
        <w:rPr>
          <w:spacing w:val="-3"/>
        </w:rPr>
        <w:t>元。 </w:t>
      </w:r>
      <w:r>
        <w:rPr>
          <w:rFonts w:ascii="Times New Roman" w:hAnsi="Times New Roman" w:cs="Times New Roman" w:eastAsia="Times New Roman" w:hint="default"/>
        </w:rPr>
        <w:t>2010</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spacing w:val="-4"/>
        </w:rPr>
        <w:t>日，本公司股票在深圳证券交易所挂牌上市交易，股票简称</w:t>
      </w:r>
      <w:r>
        <w:rPr>
          <w:rFonts w:ascii="Times New Roman" w:hAnsi="Times New Roman" w:cs="Times New Roman" w:eastAsia="Times New Roman" w:hint="default"/>
          <w:spacing w:val="-4"/>
        </w:rPr>
        <w:t>“</w:t>
      </w:r>
      <w:r>
        <w:rPr>
          <w:spacing w:val="-4"/>
        </w:rPr>
        <w:t>爱施德</w:t>
      </w:r>
      <w:r>
        <w:rPr>
          <w:rFonts w:ascii="Times New Roman" w:hAnsi="Times New Roman" w:cs="Times New Roman" w:eastAsia="Times New Roman" w:hint="default"/>
          <w:spacing w:val="-4"/>
        </w:rPr>
        <w:t>”</w:t>
      </w:r>
      <w:r>
        <w:rPr>
          <w:spacing w:val="-4"/>
        </w:rPr>
        <w:t>，股票代码</w:t>
      </w:r>
    </w:p>
    <w:p>
      <w:pPr>
        <w:pStyle w:val="BodyText"/>
        <w:spacing w:line="240" w:lineRule="auto" w:before="63"/>
        <w:ind w:right="1126"/>
        <w:jc w:val="left"/>
      </w:pPr>
      <w:r>
        <w:rPr>
          <w:rFonts w:ascii="Times New Roman" w:hAnsi="Times New Roman" w:cs="Times New Roman" w:eastAsia="Times New Roman" w:hint="default"/>
        </w:rPr>
        <w:t>“002416”</w:t>
      </w:r>
      <w:r>
        <w:rPr/>
        <w:t>。</w:t>
      </w:r>
    </w:p>
    <w:p>
      <w:pPr>
        <w:spacing w:line="240" w:lineRule="auto" w:before="0"/>
        <w:rPr>
          <w:rFonts w:ascii="宋体" w:hAnsi="宋体" w:cs="宋体" w:eastAsia="宋体" w:hint="default"/>
          <w:sz w:val="14"/>
          <w:szCs w:val="14"/>
        </w:rPr>
      </w:pPr>
    </w:p>
    <w:p>
      <w:pPr>
        <w:pStyle w:val="BodyText"/>
        <w:spacing w:line="240" w:lineRule="auto"/>
        <w:ind w:left="575" w:right="0"/>
        <w:jc w:val="left"/>
      </w:pPr>
      <w:r>
        <w:rPr/>
        <w:t>根据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8  </w:t>
      </w:r>
      <w:r>
        <w:rPr>
          <w:spacing w:val="-3"/>
        </w:rPr>
        <w:t>日第二次临时股东大会决议，公司申请新增的注册资本为人民币 </w:t>
      </w:r>
      <w:r>
        <w:rPr>
          <w:rFonts w:ascii="Times New Roman" w:hAnsi="Times New Roman" w:cs="Times New Roman" w:eastAsia="Times New Roman" w:hint="default"/>
        </w:rPr>
        <w:t>49,330 </w:t>
      </w:r>
      <w:r>
        <w:rPr>
          <w:spacing w:val="-3"/>
        </w:rPr>
        <w:t>万元，公司按每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w:t>
      </w:r>
    </w:p>
    <w:p>
      <w:pPr>
        <w:pStyle w:val="BodyText"/>
        <w:spacing w:line="240" w:lineRule="auto" w:before="63"/>
        <w:ind w:right="0"/>
        <w:jc w:val="left"/>
      </w:pPr>
      <w:r>
        <w:rPr/>
        <w:t>转增 </w:t>
      </w:r>
      <w:r>
        <w:rPr>
          <w:rFonts w:ascii="Times New Roman" w:hAnsi="Times New Roman" w:cs="Times New Roman" w:eastAsia="Times New Roman" w:hint="default"/>
        </w:rPr>
        <w:t>10  </w:t>
      </w:r>
      <w:r>
        <w:rPr>
          <w:spacing w:val="-5"/>
        </w:rPr>
        <w:t>股的比例，以资本公积金向全体股东转增股份总额 </w:t>
      </w:r>
      <w:r>
        <w:rPr>
          <w:rFonts w:ascii="Times New Roman" w:hAnsi="Times New Roman" w:cs="Times New Roman" w:eastAsia="Times New Roman" w:hint="default"/>
        </w:rPr>
        <w:t>49,330  </w:t>
      </w:r>
      <w:r>
        <w:rPr>
          <w:spacing w:val="-11"/>
        </w:rPr>
        <w:t>万股，每股面值 </w:t>
      </w:r>
      <w:r>
        <w:rPr>
          <w:rFonts w:ascii="Times New Roman" w:hAnsi="Times New Roman" w:cs="Times New Roman" w:eastAsia="Times New Roman" w:hint="default"/>
        </w:rPr>
        <w:t>1.00  </w:t>
      </w:r>
      <w:r>
        <w:rPr>
          <w:spacing w:val="-8"/>
        </w:rPr>
        <w:t>元，合计增加股本人民币 </w:t>
      </w:r>
      <w:r>
        <w:rPr>
          <w:rFonts w:ascii="Times New Roman" w:hAnsi="Times New Roman" w:cs="Times New Roman" w:eastAsia="Times New Roman" w:hint="default"/>
        </w:rPr>
        <w:t>49,330</w:t>
      </w:r>
      <w:r>
        <w:rPr>
          <w:rFonts w:ascii="Times New Roman" w:hAnsi="Times New Roman" w:cs="Times New Roman" w:eastAsia="Times New Roman" w:hint="default"/>
          <w:spacing w:val="35"/>
        </w:rPr>
        <w:t> </w:t>
      </w:r>
      <w:r>
        <w:rPr/>
        <w:t>万</w:t>
      </w:r>
    </w:p>
    <w:p>
      <w:pPr>
        <w:pStyle w:val="BodyText"/>
        <w:spacing w:line="300" w:lineRule="auto" w:before="63"/>
        <w:ind w:right="1122"/>
        <w:jc w:val="both"/>
      </w:pPr>
      <w:r>
        <w:rPr>
          <w:spacing w:val="2"/>
        </w:rPr>
        <w:t>元。转增后总股本为人民币 </w:t>
      </w:r>
      <w:r>
        <w:rPr>
          <w:rFonts w:ascii="Times New Roman" w:hAnsi="Times New Roman" w:cs="Times New Roman" w:eastAsia="Times New Roman" w:hint="default"/>
        </w:rPr>
        <w:t>98,660 </w:t>
      </w:r>
      <w:r>
        <w:rPr>
          <w:spacing w:val="2"/>
        </w:rPr>
        <w:t>万元。其中深圳市神州通投资集团有限公司持有本公司股权</w:t>
      </w:r>
      <w:r>
        <w:rPr>
          <w:rFonts w:ascii="Times New Roman" w:hAnsi="Times New Roman" w:cs="Times New Roman" w:eastAsia="Times New Roman" w:hint="default"/>
          <w:spacing w:val="2"/>
        </w:rPr>
        <w:t>60,450 </w:t>
      </w:r>
      <w:r>
        <w:rPr>
          <w:spacing w:val="2"/>
        </w:rPr>
        <w:t>万元，持股比例</w:t>
      </w:r>
      <w:r>
        <w:rPr>
          <w:spacing w:val="-38"/>
        </w:rPr>
        <w:t> </w:t>
      </w:r>
      <w:r>
        <w:rPr>
          <w:spacing w:val="-38"/>
        </w:rPr>
      </w:r>
      <w:r>
        <w:rPr>
          <w:rFonts w:ascii="Times New Roman" w:hAnsi="Times New Roman" w:cs="Times New Roman" w:eastAsia="Times New Roman" w:hint="default"/>
          <w:spacing w:val="-3"/>
        </w:rPr>
        <w:t>61.2710</w:t>
      </w:r>
      <w:r>
        <w:rPr>
          <w:spacing w:val="-3"/>
        </w:rPr>
        <w:t>％，赣江新区全球星投资管理有限公司持有本公司股权</w:t>
      </w:r>
      <w:r>
        <w:rPr>
          <w:rFonts w:ascii="Times New Roman" w:hAnsi="Times New Roman" w:cs="Times New Roman" w:eastAsia="Times New Roman" w:hint="default"/>
          <w:spacing w:val="-3"/>
        </w:rPr>
        <w:t>20,150</w:t>
      </w:r>
      <w:r>
        <w:rPr>
          <w:rFonts w:ascii="Times New Roman" w:hAnsi="Times New Roman" w:cs="Times New Roman" w:eastAsia="Times New Roman" w:hint="default"/>
          <w:spacing w:val="23"/>
        </w:rPr>
        <w:t> </w:t>
      </w:r>
      <w:r>
        <w:rPr>
          <w:spacing w:val="-5"/>
        </w:rPr>
        <w:t>万元，持股比例</w:t>
      </w:r>
      <w:r>
        <w:rPr>
          <w:spacing w:val="20"/>
        </w:rPr>
        <w:t> </w:t>
      </w:r>
      <w:r>
        <w:rPr>
          <w:rFonts w:ascii="Times New Roman" w:hAnsi="Times New Roman" w:cs="Times New Roman" w:eastAsia="Times New Roman" w:hint="default"/>
          <w:spacing w:val="-4"/>
        </w:rPr>
        <w:t>20.4237</w:t>
      </w:r>
      <w:r>
        <w:rPr>
          <w:spacing w:val="-4"/>
        </w:rPr>
        <w:t>％，黄绍武和黄文辉等</w:t>
      </w:r>
      <w:r>
        <w:rPr>
          <w:spacing w:val="12"/>
        </w:rPr>
        <w:t> </w:t>
      </w:r>
      <w:r>
        <w:rPr>
          <w:rFonts w:ascii="Times New Roman" w:hAnsi="Times New Roman" w:cs="Times New Roman" w:eastAsia="Times New Roman" w:hint="default"/>
        </w:rPr>
        <w:t>92</w:t>
      </w:r>
      <w:r>
        <w:rPr>
          <w:rFonts w:ascii="Times New Roman" w:hAnsi="Times New Roman" w:cs="Times New Roman" w:eastAsia="Times New Roman" w:hint="default"/>
          <w:spacing w:val="20"/>
        </w:rPr>
        <w:t> </w:t>
      </w:r>
      <w:r>
        <w:rPr/>
        <w:t>名</w:t>
      </w:r>
      <w:r>
        <w:rPr>
          <w:spacing w:val="-80"/>
        </w:rPr>
        <w:t> </w:t>
      </w:r>
      <w:r>
        <w:rPr/>
        <w:t>自然人持有本公司股权</w:t>
      </w:r>
      <w:r>
        <w:rPr>
          <w:rFonts w:ascii="Times New Roman" w:hAnsi="Times New Roman" w:cs="Times New Roman" w:eastAsia="Times New Roman" w:hint="default"/>
        </w:rPr>
        <w:t>4,867  </w:t>
      </w:r>
      <w:r>
        <w:rPr>
          <w:spacing w:val="-3"/>
        </w:rPr>
        <w:t>万元，持股比例 </w:t>
      </w:r>
      <w:r>
        <w:rPr>
          <w:rFonts w:ascii="Times New Roman" w:hAnsi="Times New Roman" w:cs="Times New Roman" w:eastAsia="Times New Roman" w:hint="default"/>
        </w:rPr>
        <w:t>4.9334</w:t>
      </w:r>
      <w:r>
        <w:rPr/>
        <w:t>％，社会公众普通股（</w:t>
      </w:r>
      <w:r>
        <w:rPr>
          <w:rFonts w:ascii="Times New Roman" w:hAnsi="Times New Roman" w:cs="Times New Roman" w:eastAsia="Times New Roman" w:hint="default"/>
        </w:rPr>
        <w:t>A  </w:t>
      </w:r>
      <w:r>
        <w:rPr>
          <w:spacing w:val="-3"/>
        </w:rPr>
        <w:t>股） </w:t>
      </w:r>
      <w:r>
        <w:rPr>
          <w:rFonts w:ascii="Times New Roman" w:hAnsi="Times New Roman" w:cs="Times New Roman" w:eastAsia="Times New Roman" w:hint="default"/>
        </w:rPr>
        <w:t>13,193</w:t>
      </w:r>
      <w:r>
        <w:rPr>
          <w:rFonts w:ascii="Times New Roman" w:hAnsi="Times New Roman" w:cs="Times New Roman" w:eastAsia="Times New Roman" w:hint="default"/>
          <w:spacing w:val="-13"/>
        </w:rPr>
        <w:t> </w:t>
      </w:r>
      <w:r>
        <w:rPr/>
        <w:t>万元，持股比例</w:t>
      </w:r>
      <w:r>
        <w:rPr>
          <w:rFonts w:ascii="Times New Roman" w:hAnsi="Times New Roman" w:cs="Times New Roman" w:eastAsia="Times New Roman" w:hint="default"/>
        </w:rPr>
        <w:t>13.3719</w:t>
      </w:r>
      <w:r>
        <w:rPr/>
        <w:t>％。</w:t>
      </w:r>
    </w:p>
    <w:p>
      <w:pPr>
        <w:pStyle w:val="BodyText"/>
        <w:spacing w:line="240" w:lineRule="auto" w:before="133"/>
        <w:ind w:left="575" w:right="0"/>
        <w:jc w:val="left"/>
      </w:pPr>
      <w:r>
        <w:rPr/>
        <w:t>根据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spacing w:val="-3"/>
        </w:rPr>
        <w:t>10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日第一次临时股东大会决议和修改后的章程规定，公司以限制性股票激励的方式向公司董事、</w:t>
      </w:r>
    </w:p>
    <w:p>
      <w:pPr>
        <w:pStyle w:val="BodyText"/>
        <w:spacing w:line="240" w:lineRule="auto" w:before="63"/>
        <w:ind w:right="0"/>
        <w:jc w:val="left"/>
      </w:pPr>
      <w:r>
        <w:rPr>
          <w:spacing w:val="-3"/>
        </w:rPr>
        <w:t>高级管理人员以及公司董事会认为需要进行激励的相关员工（不包括独立董事及监事，共计  </w:t>
      </w:r>
      <w:r>
        <w:rPr>
          <w:rFonts w:ascii="Times New Roman" w:hAnsi="Times New Roman" w:cs="Times New Roman" w:eastAsia="Times New Roman" w:hint="default"/>
        </w:rPr>
        <w:t>21 </w:t>
      </w:r>
      <w:r>
        <w:rPr>
          <w:rFonts w:ascii="Times New Roman" w:hAnsi="Times New Roman" w:cs="Times New Roman" w:eastAsia="Times New Roman" w:hint="default"/>
          <w:spacing w:val="13"/>
        </w:rPr>
        <w:t> </w:t>
      </w:r>
      <w:r>
        <w:rPr>
          <w:spacing w:val="-5"/>
        </w:rPr>
        <w:t>人）发行限制性股票，共计</w:t>
      </w:r>
    </w:p>
    <w:p>
      <w:pPr>
        <w:pStyle w:val="BodyText"/>
        <w:spacing w:line="240" w:lineRule="auto" w:before="63"/>
        <w:ind w:right="0"/>
        <w:jc w:val="left"/>
      </w:pPr>
      <w:r>
        <w:rPr>
          <w:spacing w:val="-3"/>
        </w:rPr>
        <w:t>人民币普通股（</w:t>
      </w:r>
      <w:r>
        <w:rPr>
          <w:rFonts w:ascii="Times New Roman" w:hAnsi="Times New Roman" w:cs="Times New Roman" w:eastAsia="Times New Roman" w:hint="default"/>
          <w:spacing w:val="-3"/>
        </w:rPr>
        <w:t>A</w:t>
      </w:r>
      <w:r>
        <w:rPr>
          <w:spacing w:val="-3"/>
        </w:rPr>
        <w:t>股） </w:t>
      </w:r>
      <w:r>
        <w:rPr>
          <w:rFonts w:ascii="Times New Roman" w:hAnsi="Times New Roman" w:cs="Times New Roman" w:eastAsia="Times New Roman" w:hint="default"/>
        </w:rPr>
        <w:t>1,250  </w:t>
      </w:r>
      <w:r>
        <w:rPr>
          <w:spacing w:val="-3"/>
        </w:rPr>
        <w:t>万股，每股面值为 </w:t>
      </w:r>
      <w:r>
        <w:rPr>
          <w:rFonts w:ascii="Times New Roman" w:hAnsi="Times New Roman" w:cs="Times New Roman" w:eastAsia="Times New Roman" w:hint="default"/>
        </w:rPr>
        <w:t>1  </w:t>
      </w:r>
      <w:r>
        <w:rPr>
          <w:spacing w:val="-3"/>
        </w:rPr>
        <w:t>元，该股票的授予价格为每股 </w:t>
      </w:r>
      <w:r>
        <w:rPr>
          <w:rFonts w:ascii="Times New Roman" w:hAnsi="Times New Roman" w:cs="Times New Roman" w:eastAsia="Times New Roman" w:hint="default"/>
        </w:rPr>
        <w:t>8.75 </w:t>
      </w:r>
      <w:r>
        <w:rPr>
          <w:rFonts w:ascii="Times New Roman" w:hAnsi="Times New Roman" w:cs="Times New Roman" w:eastAsia="Times New Roman" w:hint="default"/>
          <w:spacing w:val="21"/>
        </w:rPr>
        <w:t> </w:t>
      </w:r>
      <w:r>
        <w:rPr>
          <w:spacing w:val="-3"/>
        </w:rPr>
        <w:t>元，出资方式全部为货币资金。本次</w:t>
      </w:r>
    </w:p>
    <w:p>
      <w:pPr>
        <w:pStyle w:val="BodyText"/>
        <w:spacing w:line="240" w:lineRule="auto" w:before="63"/>
        <w:ind w:right="0"/>
        <w:jc w:val="left"/>
      </w:pPr>
      <w:r>
        <w:rPr/>
        <w:t>变更后公司的注册资本为人民币 </w:t>
      </w:r>
      <w:r>
        <w:rPr>
          <w:rFonts w:ascii="Times New Roman" w:hAnsi="Times New Roman" w:cs="Times New Roman" w:eastAsia="Times New Roman" w:hint="default"/>
        </w:rPr>
        <w:t>99,910  </w:t>
      </w:r>
      <w:r>
        <w:rPr/>
        <w:t>万元。其中深圳市神州通投资集团有限公司持有本公司股权 </w:t>
      </w:r>
      <w:r>
        <w:rPr>
          <w:rFonts w:ascii="Times New Roman" w:hAnsi="Times New Roman" w:cs="Times New Roman" w:eastAsia="Times New Roman" w:hint="default"/>
        </w:rPr>
        <w:t>60,450 </w:t>
      </w:r>
      <w:r>
        <w:rPr>
          <w:rFonts w:ascii="Times New Roman" w:hAnsi="Times New Roman" w:cs="Times New Roman" w:eastAsia="Times New Roman" w:hint="default"/>
          <w:spacing w:val="11"/>
        </w:rPr>
        <w:t> </w:t>
      </w:r>
      <w:r>
        <w:rPr/>
        <w:t>万元，持股比</w:t>
      </w:r>
    </w:p>
    <w:p>
      <w:pPr>
        <w:pStyle w:val="BodyText"/>
        <w:spacing w:line="240" w:lineRule="auto" w:before="63"/>
        <w:ind w:right="0"/>
        <w:jc w:val="left"/>
        <w:rPr>
          <w:rFonts w:ascii="Times New Roman" w:hAnsi="Times New Roman" w:cs="Times New Roman" w:eastAsia="Times New Roman" w:hint="default"/>
        </w:rPr>
      </w:pPr>
      <w:r>
        <w:rPr/>
        <w:t>例 </w:t>
      </w:r>
      <w:r>
        <w:rPr>
          <w:rFonts w:ascii="Times New Roman" w:hAnsi="Times New Roman" w:cs="Times New Roman" w:eastAsia="Times New Roman" w:hint="default"/>
          <w:spacing w:val="-4"/>
        </w:rPr>
        <w:t>60.5045</w:t>
      </w:r>
      <w:r>
        <w:rPr>
          <w:spacing w:val="-4"/>
        </w:rPr>
        <w:t>％，赣江新区全球星投资管理有限公司持有本公司股权 </w:t>
      </w:r>
      <w:r>
        <w:rPr>
          <w:rFonts w:ascii="Times New Roman" w:hAnsi="Times New Roman" w:cs="Times New Roman" w:eastAsia="Times New Roman" w:hint="default"/>
        </w:rPr>
        <w:t>20,150  </w:t>
      </w:r>
      <w:r>
        <w:rPr>
          <w:spacing w:val="-9"/>
        </w:rPr>
        <w:t>万元，持股比例 </w:t>
      </w:r>
      <w:r>
        <w:rPr>
          <w:rFonts w:ascii="Times New Roman" w:hAnsi="Times New Roman" w:cs="Times New Roman" w:eastAsia="Times New Roman" w:hint="default"/>
          <w:spacing w:val="-5"/>
        </w:rPr>
        <w:t>20.1681</w:t>
      </w:r>
      <w:r>
        <w:rPr>
          <w:spacing w:val="-5"/>
        </w:rPr>
        <w:t>％，黄绍武和黄文辉等</w:t>
      </w:r>
      <w:r>
        <w:rPr>
          <w:spacing w:val="61"/>
        </w:rPr>
        <w:t> </w:t>
      </w:r>
      <w:r>
        <w:rPr>
          <w:rFonts w:ascii="Times New Roman" w:hAnsi="Times New Roman" w:cs="Times New Roman" w:eastAsia="Times New Roman" w:hint="default"/>
        </w:rPr>
        <w:t>98</w:t>
      </w:r>
    </w:p>
    <w:p>
      <w:pPr>
        <w:pStyle w:val="BodyText"/>
        <w:spacing w:line="240" w:lineRule="auto" w:before="63"/>
        <w:ind w:right="0"/>
        <w:jc w:val="left"/>
        <w:rPr>
          <w:rFonts w:ascii="Times New Roman" w:hAnsi="Times New Roman" w:cs="Times New Roman" w:eastAsia="Times New Roman" w:hint="default"/>
        </w:rPr>
      </w:pPr>
      <w:r>
        <w:rPr>
          <w:w w:val="101"/>
        </w:rPr>
        <w:t>名</w:t>
      </w:r>
      <w:r>
        <w:rPr>
          <w:spacing w:val="-5"/>
          <w:w w:val="101"/>
        </w:rPr>
        <w:t>自</w:t>
      </w:r>
      <w:r>
        <w:rPr>
          <w:w w:val="101"/>
        </w:rPr>
        <w:t>然</w:t>
      </w:r>
      <w:r>
        <w:rPr>
          <w:spacing w:val="-5"/>
          <w:w w:val="101"/>
        </w:rPr>
        <w:t>人</w:t>
      </w:r>
      <w:r>
        <w:rPr>
          <w:w w:val="101"/>
        </w:rPr>
        <w:t>持</w:t>
      </w:r>
      <w:r>
        <w:rPr>
          <w:spacing w:val="-5"/>
          <w:w w:val="101"/>
        </w:rPr>
        <w:t>有</w:t>
      </w:r>
      <w:r>
        <w:rPr>
          <w:w w:val="101"/>
        </w:rPr>
        <w:t>本</w:t>
      </w:r>
      <w:r>
        <w:rPr>
          <w:spacing w:val="-5"/>
          <w:w w:val="101"/>
        </w:rPr>
        <w:t>公</w:t>
      </w:r>
      <w:r>
        <w:rPr>
          <w:w w:val="101"/>
        </w:rPr>
        <w:t>司</w:t>
      </w:r>
      <w:r>
        <w:rPr>
          <w:spacing w:val="-5"/>
          <w:w w:val="101"/>
        </w:rPr>
        <w:t>股</w:t>
      </w:r>
      <w:r>
        <w:rPr>
          <w:w w:val="101"/>
        </w:rPr>
        <w:t>权</w:t>
      </w:r>
      <w:r>
        <w:rPr>
          <w:spacing w:val="-18"/>
        </w:rPr>
        <w:t> </w:t>
      </w:r>
      <w:r>
        <w:rPr>
          <w:rFonts w:ascii="Times New Roman" w:hAnsi="Times New Roman" w:cs="Times New Roman" w:eastAsia="Times New Roman" w:hint="default"/>
          <w:w w:val="101"/>
        </w:rPr>
        <w:t>6</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117</w:t>
      </w:r>
      <w:r>
        <w:rPr>
          <w:rFonts w:ascii="Times New Roman" w:hAnsi="Times New Roman" w:cs="Times New Roman" w:eastAsia="Times New Roman" w:hint="default"/>
          <w:spacing w:val="22"/>
        </w:rPr>
        <w:t> </w:t>
      </w:r>
      <w:r>
        <w:rPr>
          <w:w w:val="101"/>
        </w:rPr>
        <w:t>万</w:t>
      </w:r>
      <w:r>
        <w:rPr>
          <w:spacing w:val="-5"/>
          <w:w w:val="101"/>
        </w:rPr>
        <w:t>元</w:t>
      </w:r>
      <w:r>
        <w:rPr>
          <w:spacing w:val="-63"/>
          <w:w w:val="101"/>
        </w:rPr>
        <w:t>，</w:t>
      </w:r>
      <w:r>
        <w:rPr>
          <w:w w:val="101"/>
        </w:rPr>
        <w:t>持</w:t>
      </w:r>
      <w:r>
        <w:rPr>
          <w:spacing w:val="-5"/>
          <w:w w:val="101"/>
        </w:rPr>
        <w:t>股</w:t>
      </w:r>
      <w:r>
        <w:rPr>
          <w:w w:val="101"/>
        </w:rPr>
        <w:t>比例</w:t>
      </w:r>
      <w:r>
        <w:rPr>
          <w:spacing w:val="-18"/>
        </w:rPr>
        <w:t> </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28</w:t>
      </w:r>
      <w:r>
        <w:rPr>
          <w:spacing w:val="-5"/>
          <w:w w:val="101"/>
        </w:rPr>
        <w:t>％</w:t>
      </w:r>
      <w:r>
        <w:rPr>
          <w:spacing w:val="-63"/>
          <w:w w:val="101"/>
        </w:rPr>
        <w:t>，</w:t>
      </w:r>
      <w:r>
        <w:rPr>
          <w:spacing w:val="-5"/>
          <w:w w:val="101"/>
        </w:rPr>
        <w:t>社</w:t>
      </w:r>
      <w:r>
        <w:rPr>
          <w:w w:val="101"/>
        </w:rPr>
        <w:t>会</w:t>
      </w:r>
      <w:r>
        <w:rPr>
          <w:spacing w:val="-5"/>
          <w:w w:val="101"/>
        </w:rPr>
        <w:t>公</w:t>
      </w:r>
      <w:r>
        <w:rPr>
          <w:w w:val="101"/>
        </w:rPr>
        <w:t>众</w:t>
      </w:r>
      <w:r>
        <w:rPr>
          <w:spacing w:val="-5"/>
          <w:w w:val="101"/>
        </w:rPr>
        <w:t>普</w:t>
      </w:r>
      <w:r>
        <w:rPr>
          <w:w w:val="101"/>
        </w:rPr>
        <w:t>通</w:t>
      </w:r>
      <w:r>
        <w:rPr>
          <w:spacing w:val="-63"/>
          <w:w w:val="101"/>
        </w:rPr>
        <w:t>股</w:t>
      </w:r>
      <w:r>
        <w:rPr>
          <w:w w:val="101"/>
        </w:rPr>
        <w:t>（</w:t>
      </w:r>
      <w:r>
        <w:rPr>
          <w:rFonts w:ascii="Times New Roman" w:hAnsi="Times New Roman" w:cs="Times New Roman" w:eastAsia="Times New Roman" w:hint="default"/>
          <w:spacing w:val="-7"/>
          <w:w w:val="101"/>
        </w:rPr>
        <w:t>A</w:t>
      </w:r>
      <w:r>
        <w:rPr>
          <w:w w:val="101"/>
        </w:rPr>
        <w:t>股</w:t>
      </w:r>
      <w:r>
        <w:rPr>
          <w:spacing w:val="14"/>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3</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193</w:t>
      </w:r>
      <w:r>
        <w:rPr>
          <w:rFonts w:ascii="Times New Roman" w:hAnsi="Times New Roman" w:cs="Times New Roman" w:eastAsia="Times New Roman" w:hint="default"/>
          <w:spacing w:val="22"/>
        </w:rPr>
        <w:t> </w:t>
      </w:r>
      <w:r>
        <w:rPr>
          <w:w w:val="101"/>
        </w:rPr>
        <w:t>万</w:t>
      </w:r>
      <w:r>
        <w:rPr>
          <w:spacing w:val="-5"/>
          <w:w w:val="101"/>
        </w:rPr>
        <w:t>元</w:t>
      </w:r>
      <w:r>
        <w:rPr>
          <w:spacing w:val="-63"/>
          <w:w w:val="101"/>
        </w:rPr>
        <w:t>，</w:t>
      </w:r>
      <w:r>
        <w:rPr>
          <w:w w:val="101"/>
        </w:rPr>
        <w:t>持</w:t>
      </w:r>
      <w:r>
        <w:rPr>
          <w:spacing w:val="-5"/>
          <w:w w:val="101"/>
        </w:rPr>
        <w:t>股</w:t>
      </w:r>
      <w:r>
        <w:rPr>
          <w:w w:val="101"/>
        </w:rPr>
        <w:t>比例</w:t>
      </w:r>
      <w:r>
        <w:rPr>
          <w:spacing w:val="-18"/>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04</w:t>
      </w:r>
      <w:r>
        <w:rPr>
          <w:rFonts w:ascii="Times New Roman" w:hAnsi="Times New Roman" w:cs="Times New Roman" w:eastAsia="Times New Roman" w:hint="default"/>
          <w:spacing w:val="-5"/>
          <w:w w:val="101"/>
        </w:rPr>
        <w:t>6</w:t>
      </w:r>
      <w:r>
        <w:rPr>
          <w:spacing w:val="-5"/>
          <w:w w:val="101"/>
        </w:rPr>
        <w:t>％</w:t>
      </w:r>
      <w:r>
        <w:rPr>
          <w:spacing w:val="14"/>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1</w:t>
      </w:r>
      <w:r>
        <w:rPr>
          <w:rFonts w:ascii="Times New Roman" w:hAnsi="Times New Roman" w:cs="Times New Roman" w:eastAsia="Times New Roman" w:hint="default"/>
        </w:rPr>
      </w:r>
    </w:p>
    <w:p>
      <w:pPr>
        <w:pStyle w:val="BodyText"/>
        <w:spacing w:line="240" w:lineRule="auto" w:before="63"/>
        <w:ind w:right="1126"/>
        <w:jc w:val="left"/>
      </w:pP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29  </w:t>
      </w:r>
      <w:r>
        <w:rPr>
          <w:spacing w:val="-3"/>
        </w:rPr>
        <w:t>日，公司完成工商变更登记，变更后的注册资本为 </w:t>
      </w:r>
      <w:r>
        <w:rPr>
          <w:rFonts w:ascii="Times New Roman" w:hAnsi="Times New Roman" w:cs="Times New Roman" w:eastAsia="Times New Roman" w:hint="default"/>
        </w:rPr>
        <w:t>99,910</w:t>
      </w:r>
      <w:r>
        <w:rPr>
          <w:rFonts w:ascii="Times New Roman" w:hAnsi="Times New Roman" w:cs="Times New Roman" w:eastAsia="Times New Roman" w:hint="default"/>
          <w:spacing w:val="4"/>
        </w:rPr>
        <w:t> </w:t>
      </w:r>
      <w:r>
        <w:rPr/>
        <w:t>万元。</w:t>
      </w:r>
    </w:p>
    <w:p>
      <w:pPr>
        <w:spacing w:line="240" w:lineRule="auto" w:before="13"/>
        <w:rPr>
          <w:rFonts w:ascii="宋体" w:hAnsi="宋体" w:cs="宋体" w:eastAsia="宋体" w:hint="default"/>
          <w:sz w:val="13"/>
          <w:szCs w:val="13"/>
        </w:rPr>
      </w:pPr>
    </w:p>
    <w:p>
      <w:pPr>
        <w:pStyle w:val="BodyText"/>
        <w:spacing w:line="300" w:lineRule="auto"/>
        <w:ind w:right="1123" w:firstLine="422"/>
        <w:jc w:val="both"/>
      </w:pP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日，赣江新区全球星投资管理有限公司向其全资子企业新余全球星投资管理有限公司（原名西藏山</w:t>
      </w:r>
      <w:r>
        <w:rPr>
          <w:w w:val="101"/>
        </w:rPr>
        <w:t> </w:t>
      </w:r>
      <w:r>
        <w:rPr>
          <w:spacing w:val="-3"/>
        </w:rPr>
        <w:t>南全球星商业服务有限公司）转让其所持本公司股权</w:t>
      </w:r>
      <w:r>
        <w:rPr>
          <w:rFonts w:ascii="Times New Roman" w:hAnsi="Times New Roman" w:cs="Times New Roman" w:eastAsia="Times New Roman" w:hint="default"/>
          <w:spacing w:val="-3"/>
        </w:rPr>
        <w:t>9,500</w:t>
      </w:r>
      <w:r>
        <w:rPr>
          <w:rFonts w:ascii="Times New Roman" w:hAnsi="Times New Roman" w:cs="Times New Roman" w:eastAsia="Times New Roman" w:hint="default"/>
          <w:spacing w:val="8"/>
        </w:rPr>
        <w:t> </w:t>
      </w:r>
      <w:r>
        <w:rPr>
          <w:spacing w:val="-3"/>
        </w:rPr>
        <w:t>万元，股权比例为</w:t>
      </w:r>
      <w:r>
        <w:rPr>
          <w:spacing w:val="47"/>
        </w:rPr>
        <w:t> </w:t>
      </w:r>
      <w:r>
        <w:rPr>
          <w:rFonts w:ascii="Times New Roman" w:hAnsi="Times New Roman" w:cs="Times New Roman" w:eastAsia="Times New Roman" w:hint="default"/>
          <w:spacing w:val="-3"/>
        </w:rPr>
        <w:t>9.5086%</w:t>
      </w:r>
      <w:r>
        <w:rPr>
          <w:spacing w:val="-3"/>
        </w:rPr>
        <w:t>。本次股份协议转让完成后，新余全</w:t>
      </w:r>
      <w:r>
        <w:rPr>
          <w:spacing w:val="-67"/>
        </w:rPr>
        <w:t> </w:t>
      </w:r>
      <w:r>
        <w:rPr>
          <w:spacing w:val="-67"/>
        </w:rPr>
      </w:r>
      <w:r>
        <w:rPr>
          <w:spacing w:val="-3"/>
        </w:rPr>
        <w:t>球星投资管理有限公司持有本公司股权</w:t>
      </w:r>
      <w:r>
        <w:rPr>
          <w:spacing w:val="28"/>
        </w:rPr>
        <w:t> </w:t>
      </w:r>
      <w:r>
        <w:rPr>
          <w:rFonts w:ascii="Times New Roman" w:hAnsi="Times New Roman" w:cs="Times New Roman" w:eastAsia="Times New Roman" w:hint="default"/>
        </w:rPr>
        <w:t>9,500</w:t>
      </w:r>
      <w:r>
        <w:rPr>
          <w:rFonts w:ascii="Times New Roman" w:hAnsi="Times New Roman" w:cs="Times New Roman" w:eastAsia="Times New Roman" w:hint="default"/>
          <w:spacing w:val="20"/>
        </w:rPr>
        <w:t> </w:t>
      </w:r>
      <w:r>
        <w:rPr>
          <w:spacing w:val="-9"/>
        </w:rPr>
        <w:t>万元，持股比例</w:t>
      </w:r>
      <w:r>
        <w:rPr>
          <w:spacing w:val="20"/>
        </w:rPr>
        <w:t> </w:t>
      </w:r>
      <w:r>
        <w:rPr>
          <w:rFonts w:ascii="Times New Roman" w:hAnsi="Times New Roman" w:cs="Times New Roman" w:eastAsia="Times New Roman" w:hint="default"/>
          <w:spacing w:val="-4"/>
        </w:rPr>
        <w:t>9.5086%</w:t>
      </w:r>
      <w:r>
        <w:rPr>
          <w:spacing w:val="-4"/>
        </w:rPr>
        <w:t>；赣江新区全球星投资管理有限公司直接持有本公司</w:t>
      </w:r>
      <w:r>
        <w:rPr>
          <w:spacing w:val="-75"/>
        </w:rPr>
        <w:t> </w:t>
      </w:r>
      <w:r>
        <w:rPr>
          <w:spacing w:val="-75"/>
        </w:rPr>
      </w:r>
      <w:r>
        <w:rPr/>
        <w:t>股权</w:t>
      </w:r>
      <w:r>
        <w:rPr>
          <w:spacing w:val="27"/>
        </w:rPr>
        <w:t> </w:t>
      </w:r>
      <w:r>
        <w:rPr>
          <w:rFonts w:ascii="Times New Roman" w:hAnsi="Times New Roman" w:cs="Times New Roman" w:eastAsia="Times New Roman" w:hint="default"/>
        </w:rPr>
        <w:t>10,650</w:t>
      </w:r>
      <w:r>
        <w:rPr>
          <w:rFonts w:ascii="Times New Roman" w:hAnsi="Times New Roman" w:cs="Times New Roman" w:eastAsia="Times New Roman" w:hint="default"/>
          <w:spacing w:val="14"/>
        </w:rPr>
        <w:t> </w:t>
      </w:r>
      <w:r>
        <w:rPr/>
        <w:t>万元，通过全资子企业新余全球星投资管理有限公司间接持有本公司股权</w:t>
      </w:r>
      <w:r>
        <w:rPr>
          <w:spacing w:val="32"/>
        </w:rPr>
        <w:t> </w:t>
      </w:r>
      <w:r>
        <w:rPr>
          <w:rFonts w:ascii="Times New Roman" w:hAnsi="Times New Roman" w:cs="Times New Roman" w:eastAsia="Times New Roman" w:hint="default"/>
        </w:rPr>
        <w:t>9,500</w:t>
      </w:r>
      <w:r>
        <w:rPr>
          <w:rFonts w:ascii="Times New Roman" w:hAnsi="Times New Roman" w:cs="Times New Roman" w:eastAsia="Times New Roman" w:hint="default"/>
          <w:spacing w:val="14"/>
        </w:rPr>
        <w:t> </w:t>
      </w:r>
      <w:r>
        <w:rPr/>
        <w:t>万元，合计持有本公司股权</w:t>
      </w:r>
      <w:r>
        <w:rPr>
          <w:spacing w:val="-83"/>
        </w:rPr>
        <w:t> </w:t>
      </w:r>
      <w:r>
        <w:rPr>
          <w:spacing w:val="-83"/>
        </w:rPr>
      </w:r>
      <w:r>
        <w:rPr>
          <w:rFonts w:ascii="Times New Roman" w:hAnsi="Times New Roman" w:cs="Times New Roman" w:eastAsia="Times New Roman" w:hint="default"/>
        </w:rPr>
        <w:t>20.1681%</w:t>
      </w:r>
      <w:r>
        <w:rPr/>
        <w:t>。</w:t>
      </w:r>
    </w:p>
    <w:p>
      <w:pPr>
        <w:pStyle w:val="BodyText"/>
        <w:spacing w:line="309" w:lineRule="auto" w:before="133"/>
        <w:ind w:right="1005" w:firstLine="422"/>
        <w:jc w:val="left"/>
      </w:pPr>
      <w:r>
        <w:rPr/>
        <w:t>根据公司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19"/>
        </w:rPr>
        <w:t> </w:t>
      </w:r>
      <w:r>
        <w:rPr/>
        <w:t>日第三届董事会第八次（定期）会议审议通过的《关于确认第二期股票期权激励计划第一</w:t>
      </w:r>
      <w:r>
        <w:rPr>
          <w:w w:val="101"/>
        </w:rPr>
        <w:t> </w:t>
      </w:r>
      <w:r>
        <w:rPr>
          <w:spacing w:val="-3"/>
        </w:rPr>
        <w:t>个行权期符合行权条件及相关事项的议案》，第二期股票期权的激励对象在规定的行权期内采用自主行权的方式进行行权。</w:t>
      </w:r>
      <w:r>
        <w:rPr>
          <w:spacing w:val="76"/>
        </w:rPr>
        <w:t> </w:t>
      </w:r>
      <w:r>
        <w:rPr>
          <w:spacing w:val="76"/>
        </w:rPr>
      </w:r>
      <w:r>
        <w:rPr/>
        <w:t>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spacing w:val="-3"/>
        </w:rPr>
        <w:t>4</w:t>
      </w:r>
      <w:r>
        <w:rPr>
          <w:spacing w:val="-3"/>
        </w:rPr>
        <w:t>月 </w:t>
      </w:r>
      <w:r>
        <w:rPr>
          <w:rFonts w:ascii="Times New Roman" w:hAnsi="Times New Roman" w:cs="Times New Roman" w:eastAsia="Times New Roman" w:hint="default"/>
        </w:rPr>
        <w:t>22  </w:t>
      </w:r>
      <w:r>
        <w:rPr>
          <w:rFonts w:ascii="Times New Roman" w:hAnsi="Times New Roman" w:cs="Times New Roman" w:eastAsia="Times New Roman" w:hint="default"/>
          <w:spacing w:val="14"/>
        </w:rPr>
        <w:t> </w:t>
      </w:r>
      <w:r>
        <w:rPr>
          <w:spacing w:val="-3"/>
        </w:rPr>
        <w:t>日，公司第二期股票期权激励计划第一个行权期结束，本期符合行权条件的激励对象已经自主行权股</w:t>
      </w:r>
    </w:p>
    <w:p>
      <w:pPr>
        <w:pStyle w:val="BodyText"/>
        <w:spacing w:line="240" w:lineRule="auto" w:before="5"/>
        <w:ind w:right="0"/>
        <w:jc w:val="left"/>
      </w:pPr>
      <w:r>
        <w:rPr/>
        <w:t>票期权共计 </w:t>
      </w:r>
      <w:r>
        <w:rPr>
          <w:rFonts w:ascii="Times New Roman" w:hAnsi="Times New Roman" w:cs="Times New Roman" w:eastAsia="Times New Roman" w:hint="default"/>
        </w:rPr>
        <w:t>4,784,839  </w:t>
      </w:r>
      <w:r>
        <w:rPr/>
        <w:t>股。公司增加股本人民币 </w:t>
      </w:r>
      <w:r>
        <w:rPr>
          <w:rFonts w:ascii="Times New Roman" w:hAnsi="Times New Roman" w:cs="Times New Roman" w:eastAsia="Times New Roman" w:hint="default"/>
        </w:rPr>
        <w:t>4,784,839  </w:t>
      </w:r>
      <w:r>
        <w:rPr/>
        <w:t>元，此次增资后公司注册资本为人民币 </w:t>
      </w:r>
      <w:r>
        <w:rPr>
          <w:rFonts w:ascii="Times New Roman" w:hAnsi="Times New Roman" w:cs="Times New Roman" w:eastAsia="Times New Roman" w:hint="default"/>
        </w:rPr>
        <w:t>1,003,884,839</w:t>
      </w:r>
      <w:r>
        <w:rPr>
          <w:rFonts w:ascii="Times New Roman" w:hAnsi="Times New Roman" w:cs="Times New Roman" w:eastAsia="Times New Roman" w:hint="default"/>
          <w:spacing w:val="7"/>
        </w:rPr>
        <w:t> </w:t>
      </w:r>
      <w:r>
        <w:rPr/>
        <w:t>元，股本</w:t>
      </w:r>
    </w:p>
    <w:p>
      <w:pPr>
        <w:pStyle w:val="BodyText"/>
        <w:spacing w:line="240" w:lineRule="auto" w:before="63"/>
        <w:ind w:right="0"/>
        <w:jc w:val="left"/>
      </w:pPr>
      <w:r>
        <w:rPr/>
        <w:t>人民币 </w:t>
      </w:r>
      <w:r>
        <w:rPr>
          <w:rFonts w:ascii="Times New Roman" w:hAnsi="Times New Roman" w:cs="Times New Roman" w:eastAsia="Times New Roman" w:hint="default"/>
        </w:rPr>
        <w:t>1,003,884,839.00  </w:t>
      </w:r>
      <w:r>
        <w:rPr>
          <w:spacing w:val="-4"/>
        </w:rPr>
        <w:t>元，已经北京中证天通会计师事务所（特殊普通合伙）审验，并于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3"/>
        </w:rPr>
        <w:t>日出具中证天</w:t>
      </w:r>
    </w:p>
    <w:p>
      <w:pPr>
        <w:spacing w:after="0" w:line="240" w:lineRule="auto"/>
        <w:jc w:val="left"/>
        <w:sectPr>
          <w:footerReference w:type="default" r:id="rId39"/>
          <w:pgSz w:w="11910" w:h="16840"/>
          <w:pgMar w:footer="1474" w:header="871" w:top="1060" w:bottom="1660" w:left="980" w:right="0"/>
          <w:pgNumType w:start="101"/>
        </w:sectPr>
      </w:pPr>
    </w:p>
    <w:p>
      <w:pPr>
        <w:spacing w:line="240" w:lineRule="auto" w:before="1"/>
        <w:rPr>
          <w:rFonts w:ascii="宋体" w:hAnsi="宋体" w:cs="宋体" w:eastAsia="宋体" w:hint="default"/>
          <w:sz w:val="26"/>
          <w:szCs w:val="26"/>
        </w:rPr>
      </w:pPr>
    </w:p>
    <w:p>
      <w:pPr>
        <w:pStyle w:val="BodyText"/>
        <w:spacing w:line="240" w:lineRule="auto" w:before="46"/>
        <w:ind w:right="1126"/>
        <w:jc w:val="left"/>
      </w:pPr>
      <w:r>
        <w:rPr/>
        <w:t>通（</w:t>
      </w:r>
      <w:r>
        <w:rPr>
          <w:rFonts w:ascii="Times New Roman" w:hAnsi="Times New Roman" w:cs="Times New Roman" w:eastAsia="Times New Roman" w:hint="default"/>
        </w:rPr>
        <w:t>2015</w:t>
      </w:r>
      <w:r>
        <w:rPr/>
        <w:t>）验字第 </w:t>
      </w:r>
      <w:r>
        <w:rPr>
          <w:rFonts w:ascii="Times New Roman" w:hAnsi="Times New Roman" w:cs="Times New Roman" w:eastAsia="Times New Roman" w:hint="default"/>
        </w:rPr>
        <w:t>10001 </w:t>
      </w:r>
      <w:r>
        <w:rPr/>
        <w:t>号验资报告。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spacing w:val="-3"/>
        </w:rPr>
        <w:t>日，公司完成工商变更登记。</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根据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3"/>
        </w:rPr>
        <w:t>18</w:t>
      </w:r>
      <w:r>
        <w:rPr>
          <w:rFonts w:ascii="Times New Roman" w:hAnsi="Times New Roman" w:cs="Times New Roman" w:eastAsia="Times New Roman" w:hint="default"/>
          <w:spacing w:val="-1"/>
        </w:rPr>
        <w:t> </w:t>
      </w:r>
      <w:r>
        <w:rPr/>
        <w:t>日公司召开第三届董事会第八次（定期）会议审议通过了《关于确认首期股票期权与限制性股</w:t>
      </w:r>
    </w:p>
    <w:p>
      <w:pPr>
        <w:pStyle w:val="BodyText"/>
        <w:spacing w:line="300" w:lineRule="auto" w:before="63"/>
        <w:ind w:right="1024"/>
        <w:jc w:val="left"/>
      </w:pPr>
      <w:r>
        <w:rPr/>
        <w:t>票激励计划第一个行权期失效</w:t>
      </w:r>
      <w:r>
        <w:rPr>
          <w:rFonts w:ascii="Times New Roman" w:hAnsi="Times New Roman" w:cs="Times New Roman" w:eastAsia="Times New Roman" w:hint="default"/>
        </w:rPr>
        <w:t>/</w:t>
      </w:r>
      <w:r>
        <w:rPr/>
        <w:t>解锁期失效及相关事项的议案》，</w:t>
      </w:r>
      <w:r>
        <w:rPr>
          <w:spacing w:val="-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6"/>
        </w:rPr>
        <w:t> </w:t>
      </w:r>
      <w:r>
        <w:rPr/>
        <w:t>年</w:t>
      </w:r>
      <w:r>
        <w:rPr>
          <w:spacing w:val="-8"/>
        </w:rPr>
        <w:t> </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月</w:t>
      </w:r>
      <w:r>
        <w:rPr>
          <w:spacing w:val="-8"/>
        </w:rPr>
        <w:t> </w:t>
      </w:r>
      <w:r>
        <w:rPr>
          <w:rFonts w:ascii="Times New Roman" w:hAnsi="Times New Roman" w:cs="Times New Roman" w:eastAsia="Times New Roman" w:hint="default"/>
        </w:rPr>
        <w:t>9</w:t>
      </w:r>
      <w:r>
        <w:rPr>
          <w:rFonts w:ascii="Times New Roman" w:hAnsi="Times New Roman" w:cs="Times New Roman" w:eastAsia="Times New Roman" w:hint="default"/>
          <w:spacing w:val="37"/>
        </w:rPr>
        <w:t> </w:t>
      </w:r>
      <w:r>
        <w:rPr/>
        <w:t>日召开了第三届董事会第二十次（临时）</w:t>
      </w:r>
      <w:r>
        <w:rPr>
          <w:spacing w:val="-88"/>
        </w:rPr>
        <w:t> </w:t>
      </w:r>
      <w:r>
        <w:rPr>
          <w:spacing w:val="-88"/>
        </w:rPr>
      </w:r>
      <w:r>
        <w:rPr>
          <w:spacing w:val="-6"/>
          <w:w w:val="101"/>
        </w:rPr>
        <w:t>会议审议通过的《关于确认首期股票期权与限制性股票激励计划第二个行权</w:t>
      </w:r>
      <w:r>
        <w:rPr>
          <w:rFonts w:ascii="Times New Roman" w:hAnsi="Times New Roman" w:cs="Times New Roman" w:eastAsia="Times New Roman" w:hint="default"/>
          <w:spacing w:val="-6"/>
          <w:w w:val="101"/>
        </w:rPr>
        <w:t>/</w:t>
      </w:r>
      <w:r>
        <w:rPr>
          <w:spacing w:val="-6"/>
          <w:w w:val="101"/>
        </w:rPr>
        <w:t>解锁期失效及相关事项的议案》，</w:t>
      </w:r>
      <w:r>
        <w:rPr>
          <w:rFonts w:ascii="Times New Roman" w:hAnsi="Times New Roman" w:cs="Times New Roman" w:eastAsia="Times New Roman" w:hint="default"/>
          <w:spacing w:val="-6"/>
          <w:w w:val="101"/>
        </w:rPr>
        <w:t>2015</w:t>
      </w:r>
      <w:r>
        <w:rPr>
          <w:rFonts w:ascii="Times New Roman" w:hAnsi="Times New Roman" w:cs="Times New Roman" w:eastAsia="Times New Roman" w:hint="default"/>
          <w:w w:val="101"/>
        </w:rPr>
        <w:t> </w:t>
      </w:r>
      <w:r>
        <w:rPr>
          <w:w w:val="101"/>
        </w:rPr>
        <w:t>年 </w:t>
      </w:r>
      <w:r>
        <w:rPr>
          <w:rFonts w:ascii="Times New Roman" w:hAnsi="Times New Roman" w:cs="Times New Roman" w:eastAsia="Times New Roman" w:hint="default"/>
          <w:spacing w:val="-3"/>
          <w:w w:val="101"/>
        </w:rPr>
        <w:t>10</w:t>
      </w:r>
      <w:r>
        <w:rPr>
          <w:rFonts w:ascii="Times New Roman" w:hAnsi="Times New Roman" w:cs="Times New Roman" w:eastAsia="Times New Roman" w:hint="default"/>
          <w:w w:val="101"/>
        </w:rPr>
        <w:t> </w:t>
      </w:r>
      <w:r>
        <w:rPr>
          <w:w w:val="101"/>
        </w:rPr>
        <w:t>月</w:t>
      </w:r>
      <w:r>
        <w:rPr>
          <w:spacing w:val="-76"/>
          <w:w w:val="101"/>
        </w:rPr>
        <w:t> </w:t>
      </w:r>
      <w:r>
        <w:rPr>
          <w:rFonts w:ascii="Times New Roman" w:hAnsi="Times New Roman" w:cs="Times New Roman" w:eastAsia="Times New Roman" w:hint="default"/>
        </w:rPr>
        <w:t>23 </w:t>
      </w:r>
      <w:r>
        <w:rPr>
          <w:spacing w:val="-3"/>
        </w:rPr>
        <w:t>日召开了第三届董事会第三十一次（临时）会议审议通过的《关于确认首期股票期权与限制性股票激励计划第三个行权</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5"/>
        </w:rPr>
        <w:t> </w:t>
      </w:r>
      <w:r>
        <w:rPr/>
        <w:t>解锁期失效及相关事项的议案》，公司按照回购的限制性股票的议案回购注销部分激励对象限制性股份</w:t>
      </w:r>
      <w:r>
        <w:rPr>
          <w:rFonts w:ascii="Times New Roman" w:hAnsi="Times New Roman" w:cs="Times New Roman" w:eastAsia="Times New Roman" w:hint="default"/>
        </w:rPr>
        <w:t>12,500,000.00 </w:t>
      </w:r>
      <w:r>
        <w:rPr/>
        <w:t>股，</w:t>
      </w:r>
      <w:r>
        <w:rPr>
          <w:spacing w:val="-34"/>
        </w:rPr>
        <w:t> </w:t>
      </w:r>
      <w:r>
        <w:rPr>
          <w:spacing w:val="4"/>
        </w:rPr>
        <w:t>每股回购价格为人民币 </w:t>
      </w:r>
      <w:r>
        <w:rPr>
          <w:rFonts w:ascii="Times New Roman" w:hAnsi="Times New Roman" w:cs="Times New Roman" w:eastAsia="Times New Roman" w:hint="default"/>
        </w:rPr>
        <w:t>8.75 </w:t>
      </w:r>
      <w:r>
        <w:rPr>
          <w:spacing w:val="3"/>
        </w:rPr>
        <w:t>元，贵公司申请减少注册资本人民币</w:t>
      </w:r>
      <w:r>
        <w:rPr>
          <w:rFonts w:ascii="Times New Roman" w:hAnsi="Times New Roman" w:cs="Times New Roman" w:eastAsia="Times New Roman" w:hint="default"/>
          <w:spacing w:val="3"/>
        </w:rPr>
        <w:t>12,500,000.00</w:t>
      </w:r>
      <w:r>
        <w:rPr>
          <w:spacing w:val="3"/>
        </w:rPr>
        <w:t>元。变更后，公司的注册资本为人民币</w:t>
      </w:r>
      <w:r>
        <w:rPr>
          <w:spacing w:val="29"/>
        </w:rPr>
        <w:t> </w:t>
      </w:r>
      <w:r>
        <w:rPr>
          <w:spacing w:val="29"/>
        </w:rPr>
      </w:r>
      <w:r>
        <w:rPr>
          <w:rFonts w:ascii="Times New Roman" w:hAnsi="Times New Roman" w:cs="Times New Roman" w:eastAsia="Times New Roman" w:hint="default"/>
        </w:rPr>
        <w:t>991,384,839.00   </w:t>
      </w:r>
      <w:r>
        <w:rPr>
          <w:spacing w:val="-4"/>
        </w:rPr>
        <w:t>元，实际支付给股权激励对象的限制性股票注销回购款超出认缴注册资本的金额人民币</w:t>
      </w:r>
      <w:r>
        <w:rPr>
          <w:spacing w:val="24"/>
        </w:rPr>
        <w:t> </w:t>
      </w:r>
      <w:r>
        <w:rPr>
          <w:rFonts w:ascii="Times New Roman" w:hAnsi="Times New Roman" w:cs="Times New Roman" w:eastAsia="Times New Roman" w:hint="default"/>
        </w:rPr>
        <w:t>96,875,000.00</w:t>
      </w:r>
      <w:r>
        <w:rPr/>
        <w:t>元作为</w:t>
      </w:r>
    </w:p>
    <w:p>
      <w:pPr>
        <w:pStyle w:val="BodyText"/>
        <w:spacing w:line="240" w:lineRule="auto" w:before="13"/>
        <w:ind w:right="0"/>
        <w:jc w:val="left"/>
      </w:pPr>
      <w:r>
        <w:rPr/>
        <w:t>贵公司资本公积的减少。本次变更由北京中证天通会计师事务所（特殊普通合伙）审验，并于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日出具中</w:t>
      </w:r>
    </w:p>
    <w:p>
      <w:pPr>
        <w:pStyle w:val="BodyText"/>
        <w:spacing w:line="240" w:lineRule="auto" w:before="63"/>
        <w:ind w:right="1126"/>
        <w:jc w:val="left"/>
      </w:pPr>
      <w:r>
        <w:rPr/>
        <w:t>证天通（</w:t>
      </w:r>
      <w:r>
        <w:rPr>
          <w:rFonts w:ascii="Times New Roman" w:hAnsi="Times New Roman" w:cs="Times New Roman" w:eastAsia="Times New Roman" w:hint="default"/>
        </w:rPr>
        <w:t>2015</w:t>
      </w:r>
      <w:r>
        <w:rPr/>
        <w:t>）验字第 </w:t>
      </w:r>
      <w:r>
        <w:rPr>
          <w:rFonts w:ascii="Times New Roman" w:hAnsi="Times New Roman" w:cs="Times New Roman" w:eastAsia="Times New Roman" w:hint="default"/>
        </w:rPr>
        <w:t>1002</w:t>
      </w:r>
      <w:r>
        <w:rPr>
          <w:rFonts w:ascii="Times New Roman" w:hAnsi="Times New Roman" w:cs="Times New Roman" w:eastAsia="Times New Roman" w:hint="default"/>
          <w:spacing w:val="10"/>
        </w:rPr>
        <w:t> </w:t>
      </w:r>
      <w:r>
        <w:rPr/>
        <w:t>号验资报告。</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根据公司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14 </w:t>
      </w:r>
      <w:r>
        <w:rPr/>
        <w:t>日第三届董事会第二十九次（临时）会议决议、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13  </w:t>
      </w:r>
      <w:r>
        <w:rPr>
          <w:rFonts w:ascii="Times New Roman" w:hAnsi="Times New Roman" w:cs="Times New Roman" w:eastAsia="Times New Roman" w:hint="default"/>
          <w:spacing w:val="38"/>
        </w:rPr>
        <w:t> </w:t>
      </w:r>
      <w:r>
        <w:rPr/>
        <w:t>日公司第三次临时股东</w:t>
      </w:r>
    </w:p>
    <w:p>
      <w:pPr>
        <w:pStyle w:val="BodyText"/>
        <w:spacing w:line="300" w:lineRule="auto" w:before="63"/>
        <w:ind w:right="1124"/>
        <w:jc w:val="both"/>
      </w:pPr>
      <w:r>
        <w:rPr/>
        <w:t>大会决议、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月非公开发行股票预案（修订稿）及修改后公司章程规定，公司申请通过向先锋创业有限公司、唐</w:t>
      </w:r>
      <w:r>
        <w:rPr>
          <w:spacing w:val="-80"/>
        </w:rPr>
        <w:t> </w:t>
      </w:r>
      <w:r>
        <w:rPr>
          <w:spacing w:val="-80"/>
        </w:rPr>
      </w:r>
      <w:r>
        <w:rPr>
          <w:spacing w:val="-4"/>
        </w:rPr>
        <w:t>进波、新余爱乐投资管理中心（有限合伙）定向增发人民币普通股（</w:t>
      </w:r>
      <w:r>
        <w:rPr>
          <w:rFonts w:ascii="Times New Roman" w:hAnsi="Times New Roman" w:cs="Times New Roman" w:eastAsia="Times New Roman" w:hint="default"/>
          <w:spacing w:val="-4"/>
        </w:rPr>
        <w:t>A</w:t>
      </w:r>
      <w:r>
        <w:rPr>
          <w:spacing w:val="-4"/>
        </w:rPr>
        <w:t>）股增加注册资本人民币 </w:t>
      </w:r>
      <w:r>
        <w:rPr>
          <w:rFonts w:ascii="Times New Roman" w:hAnsi="Times New Roman" w:cs="Times New Roman" w:eastAsia="Times New Roman" w:hint="default"/>
          <w:spacing w:val="-3"/>
        </w:rPr>
        <w:t>41,350,000.00</w:t>
      </w:r>
      <w:r>
        <w:rPr>
          <w:spacing w:val="-3"/>
        </w:rPr>
        <w:t>元，变更后的</w:t>
      </w:r>
      <w:r>
        <w:rPr>
          <w:spacing w:val="-31"/>
        </w:rPr>
        <w:t> </w:t>
      </w:r>
      <w:r>
        <w:rPr>
          <w:spacing w:val="-31"/>
        </w:rPr>
      </w:r>
      <w:r>
        <w:rPr/>
        <w:t>注册资本为人民币 </w:t>
      </w:r>
      <w:r>
        <w:rPr>
          <w:rFonts w:ascii="Times New Roman" w:hAnsi="Times New Roman" w:cs="Times New Roman" w:eastAsia="Times New Roman" w:hint="default"/>
        </w:rPr>
        <w:t>1,032,743,839.00  </w:t>
      </w:r>
      <w:r>
        <w:rPr>
          <w:spacing w:val="-3"/>
        </w:rPr>
        <w:t>元。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spacing w:val="-4"/>
        </w:rPr>
        <w:t>日经中国证券监督管理委员会《关于核准深圳市爱施德股份有限</w:t>
      </w:r>
    </w:p>
    <w:p>
      <w:pPr>
        <w:pStyle w:val="BodyText"/>
        <w:spacing w:line="300" w:lineRule="auto" w:before="13"/>
        <w:ind w:right="1126"/>
        <w:jc w:val="left"/>
      </w:pPr>
      <w:r>
        <w:rPr/>
        <w:t>公司非公开发行股票的批复》（证监许可【</w:t>
      </w:r>
      <w:r>
        <w:rPr>
          <w:rFonts w:ascii="Times New Roman" w:hAnsi="Times New Roman" w:cs="Times New Roman" w:eastAsia="Times New Roman" w:hint="default"/>
        </w:rPr>
        <w:t>2016</w:t>
      </w:r>
      <w:r>
        <w:rPr/>
        <w:t>】 </w:t>
      </w:r>
      <w:r>
        <w:rPr>
          <w:rFonts w:ascii="Times New Roman" w:hAnsi="Times New Roman" w:cs="Times New Roman" w:eastAsia="Times New Roman" w:hint="default"/>
        </w:rPr>
        <w:t>769 </w:t>
      </w:r>
      <w:r>
        <w:rPr/>
        <w:t>号）核准，公司获取向先锋创业有限公司、唐进波、新余爱乐投资</w:t>
      </w:r>
      <w:r>
        <w:rPr>
          <w:spacing w:val="-81"/>
        </w:rPr>
        <w:t> </w:t>
      </w:r>
      <w:r>
        <w:rPr>
          <w:spacing w:val="-81"/>
        </w:rPr>
      </w:r>
      <w:r>
        <w:rPr>
          <w:spacing w:val="-3"/>
        </w:rPr>
        <w:t>管理中心（有限合伙）定向增发人民币普通股（</w:t>
      </w:r>
      <w:r>
        <w:rPr>
          <w:rFonts w:ascii="Times New Roman" w:hAnsi="Times New Roman" w:cs="Times New Roman" w:eastAsia="Times New Roman" w:hint="default"/>
          <w:spacing w:val="-3"/>
        </w:rPr>
        <w:t>A  </w:t>
      </w:r>
      <w:r>
        <w:rPr>
          <w:spacing w:val="-3"/>
        </w:rPr>
        <w:t>股）股票 </w:t>
      </w:r>
      <w:r>
        <w:rPr>
          <w:rFonts w:ascii="Times New Roman" w:hAnsi="Times New Roman" w:cs="Times New Roman" w:eastAsia="Times New Roman" w:hint="default"/>
        </w:rPr>
        <w:t>41,350,000 </w:t>
      </w:r>
      <w:r>
        <w:rPr>
          <w:rFonts w:ascii="Times New Roman" w:hAnsi="Times New Roman" w:cs="Times New Roman" w:eastAsia="Times New Roman" w:hint="default"/>
          <w:spacing w:val="36"/>
        </w:rPr>
        <w:t> </w:t>
      </w:r>
      <w:r>
        <w:rPr>
          <w:spacing w:val="-5"/>
        </w:rPr>
        <w:t>股。</w:t>
      </w:r>
      <w:r>
        <w:rPr/>
      </w:r>
    </w:p>
    <w:p>
      <w:pPr>
        <w:pStyle w:val="BodyText"/>
        <w:spacing w:line="240" w:lineRule="auto" w:before="133"/>
        <w:ind w:left="575" w:right="0"/>
        <w:jc w:val="left"/>
        <w:rPr>
          <w:rFonts w:ascii="Times New Roman" w:hAnsi="Times New Roman" w:cs="Times New Roman" w:eastAsia="Times New Roman" w:hint="default"/>
        </w:rPr>
      </w:pPr>
      <w:r>
        <w:rPr/>
        <w:t>根据公司 </w:t>
      </w:r>
      <w:r>
        <w:rPr>
          <w:rFonts w:ascii="Times New Roman" w:hAnsi="Times New Roman" w:cs="Times New Roman" w:eastAsia="Times New Roman" w:hint="default"/>
        </w:rPr>
        <w:t>2017  </w:t>
      </w:r>
      <w:r>
        <w:rPr/>
        <w:t>年度股东大会决议审议，公司申请新增的注册资本为人民币</w:t>
      </w:r>
      <w:r>
        <w:rPr>
          <w:rFonts w:ascii="Times New Roman" w:hAnsi="Times New Roman" w:cs="Times New Roman" w:eastAsia="Times New Roman" w:hint="default"/>
        </w:rPr>
        <w:t>206,546,967.00 </w:t>
      </w:r>
      <w:r>
        <w:rPr/>
        <w:t>元，公司按每 </w:t>
      </w:r>
      <w:r>
        <w:rPr>
          <w:rFonts w:ascii="Times New Roman" w:hAnsi="Times New Roman" w:cs="Times New Roman" w:eastAsia="Times New Roman" w:hint="default"/>
          <w:spacing w:val="-3"/>
        </w:rPr>
        <w:t>10  </w:t>
      </w:r>
      <w:r>
        <w:rPr/>
        <w:t>股转增</w:t>
      </w:r>
      <w:r>
        <w:rPr>
          <w:spacing w:val="-44"/>
        </w:rPr>
        <w:t> </w:t>
      </w:r>
      <w:r>
        <w:rPr>
          <w:rFonts w:ascii="Times New Roman" w:hAnsi="Times New Roman" w:cs="Times New Roman" w:eastAsia="Times New Roman" w:hint="default"/>
        </w:rPr>
        <w:t>2</w:t>
      </w:r>
    </w:p>
    <w:p>
      <w:pPr>
        <w:pStyle w:val="BodyText"/>
        <w:spacing w:line="240" w:lineRule="auto" w:before="63"/>
        <w:ind w:right="0"/>
        <w:jc w:val="left"/>
      </w:pPr>
      <w:r>
        <w:rPr/>
        <w:t>股的比例，以资本公积向全体股东转增股份总额 </w:t>
      </w:r>
      <w:r>
        <w:rPr>
          <w:rFonts w:ascii="Times New Roman" w:hAnsi="Times New Roman" w:cs="Times New Roman" w:eastAsia="Times New Roman" w:hint="default"/>
        </w:rPr>
        <w:t>206,546,967.00  </w:t>
      </w:r>
      <w:r>
        <w:rPr/>
        <w:t>股，每股面值 </w:t>
      </w:r>
      <w:r>
        <w:rPr>
          <w:rFonts w:ascii="Times New Roman" w:hAnsi="Times New Roman" w:cs="Times New Roman" w:eastAsia="Times New Roman" w:hint="default"/>
        </w:rPr>
        <w:t>1 </w:t>
      </w:r>
      <w:r>
        <w:rPr/>
        <w:t>元，计增加股本 </w:t>
      </w:r>
      <w:r>
        <w:rPr>
          <w:rFonts w:ascii="Times New Roman" w:hAnsi="Times New Roman" w:cs="Times New Roman" w:eastAsia="Times New Roman" w:hint="default"/>
        </w:rPr>
        <w:t>206,546,967.00</w:t>
      </w:r>
      <w:r>
        <w:rPr>
          <w:rFonts w:ascii="Times New Roman" w:hAnsi="Times New Roman" w:cs="Times New Roman" w:eastAsia="Times New Roman" w:hint="default"/>
          <w:spacing w:val="7"/>
        </w:rPr>
        <w:t> </w:t>
      </w:r>
      <w:r>
        <w:rPr/>
        <w:t>元。本次</w:t>
      </w:r>
    </w:p>
    <w:p>
      <w:pPr>
        <w:pStyle w:val="BodyText"/>
        <w:spacing w:line="240" w:lineRule="auto" w:before="63"/>
        <w:ind w:right="0"/>
        <w:jc w:val="left"/>
        <w:rPr>
          <w:rFonts w:ascii="Times New Roman" w:hAnsi="Times New Roman" w:cs="Times New Roman" w:eastAsia="Times New Roman" w:hint="default"/>
        </w:rPr>
      </w:pPr>
      <w:r>
        <w:rPr>
          <w:spacing w:val="-3"/>
        </w:rPr>
        <w:t>变更已经北京中证天通会计师事务所（特殊普通合伙）审验</w:t>
      </w:r>
      <w:r>
        <w:rPr>
          <w:rFonts w:ascii="Times New Roman" w:hAnsi="Times New Roman" w:cs="Times New Roman" w:eastAsia="Times New Roman" w:hint="default"/>
          <w:spacing w:val="-3"/>
        </w:rPr>
        <w:t>,</w:t>
      </w:r>
      <w:r>
        <w:rPr>
          <w:spacing w:val="-3"/>
        </w:rPr>
        <w:t>并于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6  </w:t>
      </w:r>
      <w:r>
        <w:rPr>
          <w:spacing w:val="-3"/>
        </w:rPr>
        <w:t>日出具中证天通（</w:t>
      </w:r>
      <w:r>
        <w:rPr>
          <w:rFonts w:ascii="Times New Roman" w:hAnsi="Times New Roman" w:cs="Times New Roman" w:eastAsia="Times New Roman" w:hint="default"/>
          <w:spacing w:val="-3"/>
        </w:rPr>
        <w:t>2018</w:t>
      </w:r>
      <w:r>
        <w:rPr>
          <w:spacing w:val="-3"/>
        </w:rPr>
        <w:t>）证验字第</w:t>
      </w:r>
      <w:r>
        <w:rPr>
          <w:spacing w:val="9"/>
        </w:rPr>
        <w:t> </w:t>
      </w:r>
      <w:r>
        <w:rPr>
          <w:rFonts w:ascii="Times New Roman" w:hAnsi="Times New Roman" w:cs="Times New Roman" w:eastAsia="Times New Roman" w:hint="default"/>
        </w:rPr>
        <w:t>10006</w:t>
      </w:r>
    </w:p>
    <w:p>
      <w:pPr>
        <w:pStyle w:val="BodyText"/>
        <w:spacing w:line="240" w:lineRule="auto" w:before="63"/>
        <w:ind w:right="1126"/>
        <w:jc w:val="left"/>
      </w:pPr>
      <w:r>
        <w:rPr/>
        <w:t>号验资报告，变更后的注册资本为人民币</w:t>
      </w:r>
      <w:r>
        <w:rPr>
          <w:rFonts w:ascii="Times New Roman" w:hAnsi="Times New Roman" w:cs="Times New Roman" w:eastAsia="Times New Roman" w:hint="default"/>
        </w:rPr>
        <w:t>1,239,281,806.00  </w:t>
      </w:r>
      <w:r>
        <w:rPr>
          <w:spacing w:val="-3"/>
        </w:rPr>
        <w:t>元，股本为人民币 </w:t>
      </w:r>
      <w:r>
        <w:rPr>
          <w:rFonts w:ascii="Times New Roman" w:hAnsi="Times New Roman" w:cs="Times New Roman" w:eastAsia="Times New Roman" w:hint="default"/>
        </w:rPr>
        <w:t>1,239,281,806.00</w:t>
      </w:r>
      <w:r>
        <w:rPr>
          <w:rFonts w:ascii="Times New Roman" w:hAnsi="Times New Roman" w:cs="Times New Roman" w:eastAsia="Times New Roman" w:hint="default"/>
          <w:spacing w:val="16"/>
        </w:rPr>
        <w:t> </w:t>
      </w:r>
      <w:r>
        <w:rPr/>
        <w:t>元。</w:t>
      </w:r>
    </w:p>
    <w:p>
      <w:pPr>
        <w:spacing w:line="240" w:lineRule="auto" w:before="13"/>
        <w:rPr>
          <w:rFonts w:ascii="宋体" w:hAnsi="宋体" w:cs="宋体" w:eastAsia="宋体" w:hint="default"/>
          <w:sz w:val="13"/>
          <w:szCs w:val="13"/>
        </w:rPr>
      </w:pPr>
    </w:p>
    <w:p>
      <w:pPr>
        <w:pStyle w:val="BodyText"/>
        <w:spacing w:line="300" w:lineRule="auto"/>
        <w:ind w:right="1126" w:firstLine="422"/>
        <w:jc w:val="left"/>
      </w:pPr>
      <w:r>
        <w:rPr>
          <w:spacing w:val="-2"/>
        </w:rPr>
        <w:t>经过上述历次股票发行及过往年度的红股派发，截至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日，本公司累计发行股本总数</w:t>
      </w:r>
      <w:r>
        <w:rPr>
          <w:rFonts w:ascii="Times New Roman" w:hAnsi="Times New Roman" w:cs="Times New Roman" w:eastAsia="Times New Roman" w:hint="default"/>
          <w:spacing w:val="-2"/>
        </w:rPr>
        <w:t>1,239,281,806.00</w:t>
      </w:r>
      <w:r>
        <w:rPr>
          <w:spacing w:val="-2"/>
        </w:rPr>
        <w:t>股，</w:t>
      </w:r>
      <w:r>
        <w:rPr>
          <w:w w:val="101"/>
        </w:rPr>
        <w:t> </w:t>
      </w:r>
      <w:r>
        <w:rPr>
          <w:spacing w:val="-3"/>
        </w:rPr>
        <w:t>详见附注七、</w:t>
      </w:r>
      <w:r>
        <w:rPr>
          <w:rFonts w:ascii="Times New Roman" w:hAnsi="Times New Roman" w:cs="Times New Roman" w:eastAsia="Times New Roman" w:hint="default"/>
          <w:spacing w:val="-3"/>
        </w:rPr>
        <w:t>31</w:t>
      </w:r>
      <w:r>
        <w:rPr>
          <w:spacing w:val="-3"/>
        </w:rPr>
        <w:t>、股本。</w:t>
      </w:r>
    </w:p>
    <w:p>
      <w:pPr>
        <w:pStyle w:val="BodyText"/>
        <w:spacing w:line="314" w:lineRule="auto" w:before="133"/>
        <w:ind w:right="1124" w:firstLine="422"/>
        <w:jc w:val="both"/>
      </w:pPr>
      <w:r>
        <w:rPr>
          <w:spacing w:val="-2"/>
        </w:rPr>
        <w:t>公司经营范围：投资兴办实业（具体项目另行申报）；国内商业、物资供销业（不含专营、专控、专卖商品）；进出</w:t>
      </w:r>
      <w:r>
        <w:rPr>
          <w:w w:val="101"/>
        </w:rPr>
        <w:t> </w:t>
      </w:r>
      <w:r>
        <w:rPr>
          <w:spacing w:val="-3"/>
        </w:rPr>
        <w:t>口业务（按深贸进准字第</w:t>
      </w:r>
      <w:r>
        <w:rPr>
          <w:rFonts w:ascii="Times New Roman" w:hAnsi="Times New Roman" w:cs="Times New Roman" w:eastAsia="Times New Roman" w:hint="default"/>
          <w:spacing w:val="-3"/>
        </w:rPr>
        <w:t>[2001]0629</w:t>
      </w:r>
      <w:r>
        <w:rPr>
          <w:spacing w:val="-3"/>
        </w:rPr>
        <w:t>号文办理）；信息咨询（不含限制项目）；移动通讯、电子产品及有关配套产品的购销</w:t>
      </w:r>
      <w:r>
        <w:rPr>
          <w:spacing w:val="57"/>
        </w:rPr>
        <w:t> </w:t>
      </w:r>
      <w:r>
        <w:rPr>
          <w:spacing w:val="57"/>
        </w:rPr>
      </w:r>
      <w:r>
        <w:rPr>
          <w:spacing w:val="-4"/>
        </w:rPr>
        <w:t>与代理；信息咨询与技术服务；计算机软硬件的技术开发，计算机及配件、五金交电、机械设备、通信器材、无线设备、数</w:t>
      </w:r>
      <w:r>
        <w:rPr>
          <w:spacing w:val="40"/>
        </w:rPr>
        <w:t> </w:t>
      </w:r>
      <w:r>
        <w:rPr>
          <w:spacing w:val="40"/>
        </w:rPr>
      </w:r>
      <w:r>
        <w:rPr>
          <w:spacing w:val="-5"/>
        </w:rPr>
        <w:t>码产品的购销；零售连锁；供应链管理。（以上项目法律、行政法规、国务院决定禁止的项目除外，限制的项目须取得许可</w:t>
      </w:r>
      <w:r>
        <w:rPr>
          <w:spacing w:val="4"/>
        </w:rPr>
        <w:t> </w:t>
      </w:r>
      <w:r>
        <w:rPr>
          <w:spacing w:val="4"/>
        </w:rPr>
      </w:r>
      <w:r>
        <w:rPr>
          <w:spacing w:val="-3"/>
        </w:rPr>
        <w:t>后方可经营）。信息服务业务（仅限互联网信息服务业务），移动通信转售业务；二类医疗器械销售。</w:t>
      </w:r>
    </w:p>
    <w:p>
      <w:pPr>
        <w:pStyle w:val="BodyText"/>
        <w:spacing w:line="441" w:lineRule="auto" w:before="140"/>
        <w:ind w:left="623" w:right="1126" w:hanging="48"/>
        <w:jc w:val="left"/>
      </w:pPr>
      <w:r>
        <w:rPr>
          <w:spacing w:val="-3"/>
        </w:rPr>
        <w:t>本公司的母公司为深圳市神州通投资集团有限公司，最终控制人为黄绍武。</w:t>
      </w:r>
      <w:r>
        <w:rPr>
          <w:spacing w:val="8"/>
        </w:rPr>
        <w:t> </w:t>
      </w:r>
      <w:r>
        <w:rPr>
          <w:spacing w:val="8"/>
        </w:rPr>
      </w:r>
      <w:r>
        <w:rPr>
          <w:spacing w:val="-3"/>
        </w:rPr>
        <w:t>本财务报表业经公司董事会于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日批准报出。</w:t>
      </w:r>
    </w:p>
    <w:p>
      <w:pPr>
        <w:pStyle w:val="Heading2"/>
        <w:spacing w:line="240" w:lineRule="auto" w:before="142"/>
        <w:ind w:right="1126"/>
        <w:jc w:val="left"/>
        <w:rPr>
          <w:b w:val="0"/>
          <w:bCs w:val="0"/>
        </w:rPr>
      </w:pPr>
      <w:bookmarkStart w:name="四、财务报表的编制基础" w:id="187"/>
      <w:bookmarkEnd w:id="187"/>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6"/>
        <w:jc w:val="left"/>
        <w:rPr>
          <w:b w:val="0"/>
          <w:bCs w:val="0"/>
        </w:rPr>
      </w:pPr>
      <w:bookmarkStart w:name="1、编制基础" w:id="188"/>
      <w:bookmarkEnd w:id="18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right="1126" w:firstLine="360"/>
        <w:jc w:val="left"/>
      </w:pPr>
      <w:r>
        <w:rPr>
          <w:spacing w:val="-3"/>
        </w:rPr>
        <w:t>本公司财务报表以持续经营假设为基础，根据实际发生的交易和事项，按照财政部颁布的企业会计准则及其应用指南、</w:t>
      </w:r>
      <w:r>
        <w:rPr>
          <w:w w:val="101"/>
        </w:rPr>
        <w:t> </w:t>
      </w:r>
      <w:r>
        <w:rPr>
          <w:spacing w:val="-4"/>
        </w:rPr>
        <w:t>解释及其他有关规定（统称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）编制；按照中国证监会《公开发行证券的公司信息披露编报规则第</w:t>
      </w:r>
      <w:r>
        <w:rPr>
          <w:rFonts w:ascii="Times New Roman" w:hAnsi="Times New Roman" w:cs="Times New Roman" w:eastAsia="Times New Roman" w:hint="default"/>
          <w:spacing w:val="-4"/>
        </w:rPr>
        <w:t>15</w:t>
      </w:r>
      <w:r>
        <w:rPr>
          <w:spacing w:val="-4"/>
        </w:rPr>
        <w:t>号</w:t>
      </w:r>
      <w:r>
        <w:rPr>
          <w:rFonts w:ascii="Times New Roman" w:hAnsi="Times New Roman" w:cs="Times New Roman" w:eastAsia="Times New Roman" w:hint="default"/>
          <w:spacing w:val="-4"/>
        </w:rPr>
        <w:t>—</w:t>
      </w:r>
      <w:r>
        <w:rPr>
          <w:spacing w:val="-4"/>
        </w:rPr>
        <w:t>财务</w:t>
      </w:r>
      <w:r>
        <w:rPr>
          <w:spacing w:val="59"/>
        </w:rPr>
        <w:t> </w:t>
      </w:r>
      <w:r>
        <w:rPr>
          <w:spacing w:val="-3"/>
        </w:rPr>
        <w:t>报告的一般规定》（</w:t>
      </w:r>
      <w:r>
        <w:rPr>
          <w:rFonts w:ascii="Times New Roman" w:hAnsi="Times New Roman" w:cs="Times New Roman" w:eastAsia="Times New Roman" w:hint="default"/>
          <w:spacing w:val="-3"/>
        </w:rPr>
        <w:t>2014</w:t>
      </w:r>
      <w:r>
        <w:rPr>
          <w:spacing w:val="-3"/>
        </w:rPr>
        <w:t>年修订）披露有关财务信息。</w:t>
      </w:r>
    </w:p>
    <w:p>
      <w:pPr>
        <w:pStyle w:val="BodyText"/>
        <w:spacing w:line="319" w:lineRule="auto" w:before="125"/>
        <w:ind w:right="1126" w:firstLine="422"/>
        <w:jc w:val="left"/>
      </w:pPr>
      <w:r>
        <w:rPr>
          <w:spacing w:val="-3"/>
        </w:rPr>
        <w:t>本公司会计核算以权责发生制为基础。除某些金融工具外，财务报表均以历史成本为计量基础。资产如果发生减值，</w:t>
      </w:r>
      <w:r>
        <w:rPr>
          <w:w w:val="101"/>
        </w:rPr>
        <w:t> </w:t>
      </w:r>
      <w:r>
        <w:rPr>
          <w:spacing w:val="-3"/>
        </w:rPr>
        <w:t>则按照相关规定计提相应的减值准备。</w:t>
      </w:r>
    </w:p>
    <w:p>
      <w:pPr>
        <w:spacing w:after="0" w:line="319" w:lineRule="auto"/>
        <w:jc w:val="left"/>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2、持续经营" w:id="189"/>
      <w:bookmarkEnd w:id="18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6" w:firstLine="422"/>
        <w:jc w:val="left"/>
      </w:pPr>
      <w:r>
        <w:rPr>
          <w:spacing w:val="-3"/>
        </w:rPr>
        <w:t>本公司对报告期末起</w:t>
      </w:r>
      <w:r>
        <w:rPr>
          <w:rFonts w:ascii="宋体" w:hAnsi="宋体" w:cs="宋体" w:eastAsia="宋体" w:hint="default"/>
          <w:spacing w:val="-3"/>
        </w:rPr>
        <w:t>12</w:t>
      </w:r>
      <w:r>
        <w:rPr>
          <w:spacing w:val="-3"/>
        </w:rPr>
        <w:t>个月的持续经营能力进行了评价，未发现对持续经营能力产生重大怀疑的事项或情况。因此，</w:t>
      </w:r>
      <w:r>
        <w:rPr>
          <w:w w:val="101"/>
        </w:rPr>
        <w:t> </w:t>
      </w:r>
      <w:r>
        <w:rPr>
          <w:spacing w:val="-3"/>
        </w:rPr>
        <w:t>本财务报表系在持续经营假设的基础上编制。</w:t>
      </w:r>
    </w:p>
    <w:p>
      <w:pPr>
        <w:spacing w:line="240" w:lineRule="auto" w:before="2"/>
        <w:rPr>
          <w:rFonts w:ascii="宋体" w:hAnsi="宋体" w:cs="宋体" w:eastAsia="宋体" w:hint="default"/>
          <w:sz w:val="20"/>
          <w:szCs w:val="20"/>
        </w:rPr>
      </w:pPr>
    </w:p>
    <w:p>
      <w:pPr>
        <w:pStyle w:val="Heading2"/>
        <w:spacing w:line="240" w:lineRule="auto"/>
        <w:ind w:right="1126"/>
        <w:jc w:val="left"/>
        <w:rPr>
          <w:b w:val="0"/>
          <w:bCs w:val="0"/>
        </w:rPr>
      </w:pPr>
      <w:bookmarkStart w:name="五、重要会计政策及会计估计" w:id="190"/>
      <w:bookmarkEnd w:id="190"/>
      <w:r>
        <w:rPr>
          <w:b w:val="0"/>
          <w:bCs w:val="0"/>
        </w:rPr>
      </w:r>
      <w:r>
        <w:rPr/>
        <w:t>五、重要会计政策及会计估计</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6"/>
        <w:jc w:val="left"/>
        <w:rPr>
          <w:b w:val="0"/>
          <w:bCs w:val="0"/>
        </w:rPr>
      </w:pPr>
      <w:bookmarkStart w:name="1、遵循企业会计准则的声明" w:id="191"/>
      <w:bookmarkEnd w:id="19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6" w:firstLine="422"/>
        <w:jc w:val="left"/>
      </w:pPr>
      <w:r>
        <w:rPr>
          <w:spacing w:val="-2"/>
        </w:rPr>
        <w:t>本公司所编制的财务报表符合企业会计准则的要求，真实、完整地反映了报告期公司的财务状况、经营成果、现金流</w:t>
      </w:r>
      <w:r>
        <w:rPr>
          <w:w w:val="101"/>
        </w:rPr>
        <w:t> </w:t>
      </w:r>
      <w:r>
        <w:rPr>
          <w:spacing w:val="-3"/>
        </w:rPr>
        <w:t>量等有关信息。</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2、会计期间" w:id="192"/>
      <w:bookmarkEnd w:id="19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5" w:right="1126"/>
        <w:jc w:val="left"/>
      </w:pPr>
      <w:r>
        <w:rPr>
          <w:spacing w:val="-3"/>
        </w:rPr>
        <w:t>自公历</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日止为一个会计年度。</w:t>
      </w:r>
    </w:p>
    <w:p>
      <w:pPr>
        <w:spacing w:line="240" w:lineRule="auto" w:before="13"/>
        <w:rPr>
          <w:rFonts w:ascii="宋体" w:hAnsi="宋体" w:cs="宋体" w:eastAsia="宋体" w:hint="default"/>
          <w:sz w:val="25"/>
          <w:szCs w:val="25"/>
        </w:rPr>
      </w:pPr>
    </w:p>
    <w:p>
      <w:pPr>
        <w:pStyle w:val="Heading3"/>
        <w:spacing w:line="240" w:lineRule="auto"/>
        <w:ind w:right="1126"/>
        <w:jc w:val="left"/>
        <w:rPr>
          <w:b w:val="0"/>
          <w:bCs w:val="0"/>
        </w:rPr>
      </w:pPr>
      <w:bookmarkStart w:name="3、营业周期" w:id="193"/>
      <w:bookmarkEnd w:id="19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5" w:right="1126"/>
        <w:jc w:val="left"/>
      </w:pPr>
      <w:r>
        <w:rPr>
          <w:spacing w:val="-3"/>
        </w:rPr>
        <w:t>本公司以</w:t>
      </w:r>
      <w:r>
        <w:rPr>
          <w:rFonts w:ascii="Times New Roman" w:hAnsi="Times New Roman" w:cs="Times New Roman" w:eastAsia="Times New Roman" w:hint="default"/>
          <w:spacing w:val="-3"/>
        </w:rPr>
        <w:t>12</w:t>
      </w:r>
      <w:r>
        <w:rPr>
          <w:spacing w:val="-3"/>
        </w:rPr>
        <w:t>个月作为一个营业周期，并以其作为资产和负债的流动性划分标准。</w:t>
      </w:r>
    </w:p>
    <w:p>
      <w:pPr>
        <w:spacing w:line="240" w:lineRule="auto" w:before="13"/>
        <w:rPr>
          <w:rFonts w:ascii="宋体" w:hAnsi="宋体" w:cs="宋体" w:eastAsia="宋体" w:hint="default"/>
          <w:sz w:val="25"/>
          <w:szCs w:val="25"/>
        </w:rPr>
      </w:pPr>
    </w:p>
    <w:p>
      <w:pPr>
        <w:pStyle w:val="Heading3"/>
        <w:spacing w:line="240" w:lineRule="auto"/>
        <w:ind w:right="1126"/>
        <w:jc w:val="left"/>
        <w:rPr>
          <w:b w:val="0"/>
          <w:bCs w:val="0"/>
        </w:rPr>
      </w:pPr>
      <w:bookmarkStart w:name="4、记账本位币" w:id="194"/>
      <w:bookmarkEnd w:id="19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6" w:firstLine="422"/>
        <w:jc w:val="left"/>
      </w:pPr>
      <w:r>
        <w:rPr>
          <w:spacing w:val="-2"/>
        </w:rPr>
        <w:t>本公司的记账本位币为人民币，编制财务报表采用的货币为人民币。本公司及子公司选定记账本位币的依据是主要业</w:t>
      </w:r>
      <w:r>
        <w:rPr>
          <w:w w:val="101"/>
        </w:rPr>
        <w:t> </w:t>
      </w:r>
      <w:r>
        <w:rPr>
          <w:spacing w:val="-3"/>
        </w:rPr>
        <w:t>务收支的计价和结算币种。</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5、同一控制下和非同一控制下企业合并的会计处理方法" w:id="195"/>
      <w:bookmarkEnd w:id="19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pStyle w:val="BodyText"/>
        <w:spacing w:line="316" w:lineRule="auto" w:before="162"/>
        <w:ind w:right="1126" w:firstLine="422"/>
        <w:jc w:val="left"/>
      </w:pPr>
      <w:r>
        <w:rPr>
          <w:spacing w:val="-2"/>
        </w:rPr>
        <w:t>参与合并的企业在合并前后均受同一方或相同的多方最终控制且该控制并非暂时性的，为同一控制下的企业合并。合</w:t>
      </w:r>
      <w:r>
        <w:rPr>
          <w:w w:val="101"/>
        </w:rPr>
        <w:t> </w:t>
      </w:r>
      <w:r>
        <w:rPr>
          <w:spacing w:val="-3"/>
        </w:rPr>
        <w:t>并日为合并方实际取得对被合并方控制权的日期。</w:t>
      </w:r>
    </w:p>
    <w:p>
      <w:pPr>
        <w:pStyle w:val="BodyText"/>
        <w:spacing w:line="316" w:lineRule="auto" w:before="139"/>
        <w:ind w:right="1126" w:firstLine="422"/>
        <w:jc w:val="left"/>
      </w:pPr>
      <w:r>
        <w:rPr>
          <w:spacing w:val="-2"/>
        </w:rPr>
        <w:t>在企业合并中取得的资产和负债，按照合并日被合并方在最终控制方合并财务报表中的账面价值计量。被合并各方采</w:t>
      </w:r>
      <w:r>
        <w:rPr>
          <w:w w:val="101"/>
        </w:rPr>
        <w:t> </w:t>
      </w:r>
      <w:r>
        <w:rPr>
          <w:spacing w:val="-3"/>
        </w:rPr>
        <w:t>用的会计政策与本公司不一致的，合并方在合并日按照本公司会计政策进行调整，在此基础上按照调整后的账面价值确认。</w:t>
      </w:r>
    </w:p>
    <w:p>
      <w:pPr>
        <w:pStyle w:val="BodyText"/>
        <w:spacing w:line="316" w:lineRule="auto" w:before="139"/>
        <w:ind w:right="1126" w:firstLine="422"/>
        <w:jc w:val="left"/>
      </w:pPr>
      <w:r>
        <w:rPr>
          <w:spacing w:val="-2"/>
        </w:rPr>
        <w:t>在合并中取得的净资产账面价值与支付的合并对价账面价值（或发行股份面值总额）的差额，调整资本公积中的股本</w:t>
      </w:r>
      <w:r>
        <w:rPr>
          <w:w w:val="101"/>
        </w:rPr>
        <w:t> </w:t>
      </w:r>
      <w:r>
        <w:rPr>
          <w:spacing w:val="-3"/>
        </w:rPr>
        <w:t>溢价，资本公积中的股本溢价不足冲减的，调整留存收益。</w:t>
      </w:r>
    </w:p>
    <w:p>
      <w:pPr>
        <w:pStyle w:val="BodyText"/>
        <w:spacing w:line="319" w:lineRule="auto" w:before="139"/>
        <w:ind w:right="1126" w:firstLine="422"/>
        <w:jc w:val="left"/>
      </w:pPr>
      <w:r>
        <w:rPr>
          <w:spacing w:val="-2"/>
        </w:rPr>
        <w:t>为进行企业合并而发生的各项直接相关费用，包括为进行合并而支付的审计费用、评估费用、法律服务费等，于发生</w:t>
      </w:r>
      <w:r>
        <w:rPr>
          <w:w w:val="101"/>
        </w:rPr>
        <w:t> </w:t>
      </w:r>
      <w:r>
        <w:rPr/>
        <w:t>时计入当期损益。</w:t>
      </w:r>
    </w:p>
    <w:p>
      <w:pPr>
        <w:pStyle w:val="BodyText"/>
        <w:spacing w:line="432" w:lineRule="exact" w:before="1"/>
        <w:ind w:left="575" w:right="1126"/>
        <w:jc w:val="left"/>
      </w:pPr>
      <w:r>
        <w:rPr>
          <w:spacing w:val="-6"/>
        </w:rPr>
        <w:t>企业合并中发行权益性证券发生的手续费、佣金等，抵减权益性证券溢价收入，溢价收入不足冲减的，冲减留存收益。</w:t>
      </w:r>
      <w:r>
        <w:rPr>
          <w:spacing w:val="75"/>
        </w:rPr>
        <w:t> </w:t>
      </w:r>
      <w:r>
        <w:rPr>
          <w:spacing w:val="75"/>
        </w:rPr>
      </w: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w:t>
      </w:r>
    </w:p>
    <w:p>
      <w:pPr>
        <w:pStyle w:val="BodyText"/>
        <w:spacing w:line="240" w:lineRule="auto" w:before="15"/>
        <w:ind w:right="1126"/>
        <w:jc w:val="left"/>
      </w:pPr>
      <w:r>
        <w:rPr>
          <w:spacing w:val="-3"/>
        </w:rPr>
        <w:t>进行会计处理。不属于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的，取得控制权日，按照下列步骤进行会计处理：</w:t>
      </w:r>
    </w:p>
    <w:p>
      <w:pPr>
        <w:spacing w:line="240" w:lineRule="auto" w:before="0"/>
        <w:rPr>
          <w:rFonts w:ascii="宋体" w:hAnsi="宋体" w:cs="宋体" w:eastAsia="宋体" w:hint="default"/>
          <w:sz w:val="14"/>
          <w:szCs w:val="14"/>
        </w:rPr>
      </w:pPr>
    </w:p>
    <w:p>
      <w:pPr>
        <w:pStyle w:val="BodyText"/>
        <w:spacing w:line="300" w:lineRule="auto"/>
        <w:ind w:right="1126" w:firstLine="292"/>
        <w:jc w:val="left"/>
      </w:pPr>
      <w:r>
        <w:rPr>
          <w:rFonts w:ascii="Times New Roman" w:hAnsi="Times New Roman" w:cs="Times New Roman" w:eastAsia="Times New Roman" w:hint="default"/>
          <w:spacing w:val="-1"/>
        </w:rPr>
        <w:t>1</w:t>
      </w:r>
      <w:r>
        <w:rPr>
          <w:spacing w:val="-1"/>
        </w:rPr>
        <w:t>）确定同一控制下企业合并形成的长期股权投资的初始投资成本。在合并日，根据合并后应享有被合并方净资产在最</w:t>
      </w:r>
      <w:r>
        <w:rPr>
          <w:w w:val="101"/>
        </w:rPr>
        <w:t> </w:t>
      </w:r>
      <w:r>
        <w:rPr>
          <w:spacing w:val="-3"/>
        </w:rPr>
        <w:t>终控制方合并财务报表中的账面价值的份额，确定长期股权投资的初始投资成本。</w:t>
      </w:r>
    </w:p>
    <w:p>
      <w:pPr>
        <w:spacing w:after="0" w:line="300"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309" w:lineRule="auto" w:before="46"/>
        <w:ind w:right="1125" w:firstLine="292"/>
        <w:jc w:val="both"/>
      </w:pPr>
      <w:r>
        <w:rPr>
          <w:rFonts w:ascii="Times New Roman" w:hAnsi="Times New Roman" w:cs="Times New Roman" w:eastAsia="Times New Roman" w:hint="default"/>
          <w:spacing w:val="-1"/>
        </w:rPr>
        <w:t>2</w:t>
      </w:r>
      <w:r>
        <w:rPr>
          <w:spacing w:val="-1"/>
        </w:rPr>
        <w:t>）长期股权投资初始投资成本与合并对价账面价值之间的差额的处理。合并日长期股权投资的初始投资成本，与达到</w:t>
      </w:r>
      <w:r>
        <w:rPr>
          <w:w w:val="101"/>
        </w:rPr>
        <w:t> </w:t>
      </w:r>
      <w:r>
        <w:rPr>
          <w:spacing w:val="-4"/>
        </w:rPr>
        <w:t>合并前的长期股权投资账面价值加上合并日进一步取得股份新支付对价的账面价值之和的差额，调整资本公积（资本溢价或</w:t>
      </w:r>
      <w:r>
        <w:rPr>
          <w:spacing w:val="40"/>
        </w:rPr>
        <w:t> </w:t>
      </w:r>
      <w:r>
        <w:rPr>
          <w:spacing w:val="40"/>
        </w:rPr>
      </w:r>
      <w:r>
        <w:rPr>
          <w:spacing w:val="-3"/>
        </w:rPr>
        <w:t>股本溢价），资本公积（资本溢价或股本溢价）不足冲减的，冲减留存收益。</w:t>
      </w:r>
    </w:p>
    <w:p>
      <w:pPr>
        <w:pStyle w:val="BodyText"/>
        <w:spacing w:line="314" w:lineRule="auto" w:before="145"/>
        <w:ind w:right="1124" w:firstLine="292"/>
        <w:jc w:val="both"/>
      </w:pPr>
      <w:r>
        <w:rPr>
          <w:rFonts w:ascii="Times New Roman" w:hAnsi="Times New Roman" w:cs="Times New Roman" w:eastAsia="Times New Roman" w:hint="default"/>
          <w:spacing w:val="-1"/>
        </w:rPr>
        <w:t>3</w:t>
      </w:r>
      <w:r>
        <w:rPr>
          <w:spacing w:val="-1"/>
        </w:rPr>
        <w:t>）合并日之前持有的股权投资，因采用权益法核算或金融工具确认和计量准则核算而确认的其他综合收益，暂不进行</w:t>
      </w:r>
      <w:r>
        <w:rPr>
          <w:w w:val="101"/>
        </w:rPr>
        <w:t> </w:t>
      </w:r>
      <w:r>
        <w:rPr>
          <w:spacing w:val="-4"/>
        </w:rPr>
        <w:t>会计处理，直至处置该项投资时采用与被投资单位直接处置相关资产或负债相同的基础进行会计处理；因采用权益法核算而</w:t>
      </w:r>
      <w:r>
        <w:rPr>
          <w:spacing w:val="43"/>
        </w:rPr>
        <w:t> </w:t>
      </w:r>
      <w:r>
        <w:rPr>
          <w:spacing w:val="43"/>
        </w:rPr>
      </w:r>
      <w:r>
        <w:rPr>
          <w:spacing w:val="-4"/>
        </w:rPr>
        <w:t>确认的被投资单位净资产中除净损益、其他综合收益和利润分配以外的所有者权益其他变动，暂不进行会计处理，直至处置</w:t>
      </w:r>
      <w:r>
        <w:rPr>
          <w:spacing w:val="43"/>
        </w:rPr>
        <w:t> </w:t>
      </w:r>
      <w:r>
        <w:rPr>
          <w:spacing w:val="43"/>
        </w:rPr>
      </w:r>
      <w:r>
        <w:rPr>
          <w:spacing w:val="-4"/>
        </w:rPr>
        <w:t>该项投资时转入当期损益。其中，处置后的剩余股权采用成本法或权益法核算的，其他综合收益和其他所有者权益应按比例</w:t>
      </w:r>
      <w:r>
        <w:rPr>
          <w:spacing w:val="43"/>
        </w:rPr>
        <w:t> </w:t>
      </w:r>
      <w:r>
        <w:rPr>
          <w:spacing w:val="43"/>
        </w:rPr>
      </w:r>
      <w:r>
        <w:rPr>
          <w:spacing w:val="-3"/>
        </w:rPr>
        <w:t>结转，处置后的剩余股权改按金融工具确认和计量准则进行会计处理的，其他综合收益和其他所有者权益应全部结转。</w:t>
      </w:r>
    </w:p>
    <w:p>
      <w:pPr>
        <w:pStyle w:val="BodyText"/>
        <w:spacing w:line="240" w:lineRule="auto" w:before="141"/>
        <w:ind w:left="446" w:right="1126"/>
        <w:jc w:val="left"/>
      </w:pPr>
      <w:r>
        <w:rPr>
          <w:rFonts w:ascii="Times New Roman" w:hAnsi="Times New Roman" w:cs="Times New Roman" w:eastAsia="Times New Roman" w:hint="default"/>
          <w:spacing w:val="-3"/>
        </w:rPr>
        <w:t>4</w:t>
      </w:r>
      <w:r>
        <w:rPr>
          <w:spacing w:val="-3"/>
        </w:rPr>
        <w:t>）在合并财务报表中的会计处理见本附注五、</w:t>
      </w:r>
      <w:r>
        <w:rPr>
          <w:rFonts w:ascii="Times New Roman" w:hAnsi="Times New Roman" w:cs="Times New Roman" w:eastAsia="Times New Roman" w:hint="default"/>
          <w:spacing w:val="-3"/>
        </w:rPr>
        <w:t>6</w:t>
      </w:r>
      <w:r>
        <w:rPr>
          <w:spacing w:val="-3"/>
        </w:rPr>
        <w:t>。</w:t>
      </w:r>
    </w:p>
    <w:p>
      <w:pPr>
        <w:pStyle w:val="Heading3"/>
        <w:spacing w:line="240" w:lineRule="auto" w:before="157"/>
        <w:ind w:right="1126"/>
        <w:jc w:val="left"/>
        <w:rPr>
          <w:b w:val="0"/>
          <w:bCs w:val="0"/>
        </w:rPr>
      </w:pPr>
      <w:r>
        <w:rPr/>
        <w:t>（</w:t>
      </w:r>
      <w:r>
        <w:rPr>
          <w:rFonts w:ascii="Times New Roman" w:hAnsi="Times New Roman" w:cs="Times New Roman" w:eastAsia="Times New Roman" w:hint="default"/>
        </w:rPr>
        <w:t>2</w:t>
      </w:r>
      <w:r>
        <w:rPr/>
        <w:t>）非同一控制下企业合并</w:t>
      </w:r>
      <w:r>
        <w:rPr>
          <w:b w:val="0"/>
          <w:bCs w:val="0"/>
        </w:rPr>
      </w:r>
    </w:p>
    <w:p>
      <w:pPr>
        <w:pStyle w:val="BodyText"/>
        <w:spacing w:line="432" w:lineRule="exact" w:before="31"/>
        <w:ind w:left="575" w:right="1126"/>
        <w:jc w:val="left"/>
      </w:pPr>
      <w:r>
        <w:rPr>
          <w:spacing w:val="-3"/>
        </w:rPr>
        <w:t>参与合并的各方在合并前后不受同一方或相同的多方最终控制的，为非同一控制下的企业合并。</w:t>
      </w:r>
      <w:r>
        <w:rPr>
          <w:spacing w:val="31"/>
        </w:rPr>
        <w:t> </w:t>
      </w:r>
      <w:r>
        <w:rPr>
          <w:spacing w:val="31"/>
        </w:rPr>
      </w:r>
      <w:r>
        <w:rPr>
          <w:spacing w:val="-2"/>
        </w:rPr>
        <w:t>购买方在购买日对作为企业合并对价付出的资产、发生或承担的负债按照公允价值计量。公允价值与其账面价值的差</w:t>
      </w:r>
    </w:p>
    <w:p>
      <w:pPr>
        <w:pStyle w:val="BodyText"/>
        <w:spacing w:line="240" w:lineRule="auto" w:before="16"/>
        <w:ind w:right="1126"/>
        <w:jc w:val="left"/>
      </w:pPr>
      <w:r>
        <w:rPr>
          <w:spacing w:val="-3"/>
        </w:rPr>
        <w:t>额，计入当期损益。</w:t>
      </w:r>
    </w:p>
    <w:p>
      <w:pPr>
        <w:pStyle w:val="BodyText"/>
        <w:spacing w:line="430" w:lineRule="atLeast" w:before="2"/>
        <w:ind w:left="575" w:right="1126"/>
        <w:jc w:val="left"/>
      </w:pPr>
      <w:r>
        <w:rPr>
          <w:spacing w:val="-3"/>
        </w:rPr>
        <w:t>购买方在购买日对合并成本进行分配，确认所取得的被购买方各项可辨认资产、负债及或有负债的公允价值。</w:t>
      </w:r>
      <w:r>
        <w:rPr>
          <w:spacing w:val="49"/>
        </w:rPr>
        <w:t> </w:t>
      </w:r>
      <w:r>
        <w:rPr>
          <w:spacing w:val="49"/>
        </w:rPr>
      </w:r>
      <w:r>
        <w:rPr>
          <w:spacing w:val="-2"/>
        </w:rPr>
        <w:t>购买方对合并成本大于合并中取得的被购买方可辨认净资产公允价值份额的差额，确认为商誉；合并成本小于合并中</w:t>
      </w:r>
    </w:p>
    <w:p>
      <w:pPr>
        <w:pStyle w:val="BodyText"/>
        <w:spacing w:line="240" w:lineRule="auto" w:before="76"/>
        <w:ind w:right="1126"/>
        <w:jc w:val="left"/>
      </w:pPr>
      <w:r>
        <w:rPr>
          <w:spacing w:val="-3"/>
        </w:rPr>
        <w:t>取得的被购买方可辨认净资产公允价值份额的差额，经复核后，计入当期损益。</w:t>
      </w:r>
    </w:p>
    <w:p>
      <w:pPr>
        <w:spacing w:line="240" w:lineRule="auto" w:before="1"/>
        <w:rPr>
          <w:rFonts w:ascii="宋体" w:hAnsi="宋体" w:cs="宋体" w:eastAsia="宋体" w:hint="default"/>
          <w:sz w:val="15"/>
          <w:szCs w:val="15"/>
        </w:rPr>
      </w:pPr>
    </w:p>
    <w:p>
      <w:pPr>
        <w:pStyle w:val="BodyText"/>
        <w:spacing w:line="316" w:lineRule="auto"/>
        <w:ind w:right="1126" w:firstLine="422"/>
        <w:jc w:val="left"/>
      </w:pPr>
      <w:r>
        <w:rPr>
          <w:spacing w:val="-2"/>
        </w:rPr>
        <w:t>企业合并中取得的被购买方除无形资产外的其他各项资产（不仅限于被购买方原已确认的资产），其所带来的经济利</w:t>
      </w:r>
      <w:r>
        <w:rPr>
          <w:w w:val="101"/>
        </w:rPr>
        <w:t> </w:t>
      </w:r>
      <w:r>
        <w:rPr>
          <w:spacing w:val="-4"/>
        </w:rPr>
        <w:t>益很可能流入本公司且公允价值能够可靠计量的，单独确认并按公允价值计量；公允价值能够可靠计量的无形资产，单独确</w:t>
      </w:r>
      <w:r>
        <w:rPr>
          <w:spacing w:val="43"/>
        </w:rPr>
        <w:t> </w:t>
      </w:r>
      <w:r>
        <w:rPr>
          <w:spacing w:val="43"/>
        </w:rPr>
      </w:r>
      <w:r>
        <w:rPr>
          <w:spacing w:val="-4"/>
        </w:rPr>
        <w:t>认为无形资产并按公允价值计量；取得的被购买方除或有负债以外的其他各项负债，履行有关义务很可能导致经济利益流出</w:t>
      </w:r>
      <w:r>
        <w:rPr>
          <w:spacing w:val="43"/>
        </w:rPr>
        <w:t> </w:t>
      </w:r>
      <w:r>
        <w:rPr>
          <w:spacing w:val="43"/>
        </w:rPr>
      </w:r>
      <w:r>
        <w:rPr>
          <w:spacing w:val="-3"/>
        </w:rPr>
        <w:t>本公司且公允价值能够可靠计量的，单独确认并按照公允价值计量；取得的被购买方或有负债，其公允价值能可靠计量的，</w:t>
      </w:r>
      <w:r>
        <w:rPr>
          <w:spacing w:val="76"/>
        </w:rPr>
        <w:t> </w:t>
      </w:r>
      <w:r>
        <w:rPr>
          <w:spacing w:val="76"/>
        </w:rPr>
      </w:r>
      <w:r>
        <w:rPr>
          <w:spacing w:val="-3"/>
        </w:rPr>
        <w:t>单独确认为负债并按照公允价值计量。</w:t>
      </w:r>
    </w:p>
    <w:p>
      <w:pPr>
        <w:pStyle w:val="BodyText"/>
        <w:spacing w:line="309" w:lineRule="auto" w:before="139"/>
        <w:ind w:right="1124" w:firstLine="422"/>
        <w:jc w:val="both"/>
      </w:pPr>
      <w:r>
        <w:rPr>
          <w:spacing w:val="-2"/>
        </w:rPr>
        <w:t>对合并中取得的被购买方资产进行初始确认时，对被购买方拥有的但在其财务报表中未确认的无形资产进行充分辨认</w:t>
      </w:r>
      <w:r>
        <w:rPr>
          <w:w w:val="101"/>
        </w:rPr>
        <w:t> </w:t>
      </w:r>
      <w:r>
        <w:rPr>
          <w:spacing w:val="-4"/>
        </w:rPr>
        <w:t>和合理判断，满足以下条件之一的，应确认为无形资产：（</w:t>
      </w:r>
      <w:r>
        <w:rPr>
          <w:rFonts w:ascii="Times New Roman" w:hAnsi="Times New Roman" w:cs="Times New Roman" w:eastAsia="Times New Roman" w:hint="default"/>
          <w:spacing w:val="-4"/>
        </w:rPr>
        <w:t>1</w:t>
      </w:r>
      <w:r>
        <w:rPr>
          <w:spacing w:val="-4"/>
        </w:rPr>
        <w:t>）源于合同性权利或其他法定权利；（</w:t>
      </w:r>
      <w:r>
        <w:rPr>
          <w:rFonts w:ascii="Times New Roman" w:hAnsi="Times New Roman" w:cs="Times New Roman" w:eastAsia="Times New Roman" w:hint="default"/>
          <w:spacing w:val="-4"/>
        </w:rPr>
        <w:t>2</w:t>
      </w:r>
      <w:r>
        <w:rPr>
          <w:spacing w:val="-4"/>
        </w:rPr>
        <w:t>）能够从被购买方中分</w:t>
      </w:r>
      <w:r>
        <w:rPr>
          <w:spacing w:val="40"/>
        </w:rPr>
        <w:t> </w:t>
      </w:r>
      <w:r>
        <w:rPr>
          <w:spacing w:val="40"/>
        </w:rPr>
      </w:r>
      <w:r>
        <w:rPr>
          <w:spacing w:val="-3"/>
        </w:rPr>
        <w:t>离或者划分出来，并能单独或与相关合同、资产和负债一起，用于出售、转移、授予许可、租赁或交换。</w:t>
      </w:r>
    </w:p>
    <w:p>
      <w:pPr>
        <w:pStyle w:val="BodyText"/>
        <w:spacing w:line="312" w:lineRule="auto" w:before="144"/>
        <w:ind w:right="1117" w:firstLine="422"/>
        <w:jc w:val="both"/>
      </w:pPr>
      <w:r>
        <w:rPr>
          <w:spacing w:val="-5"/>
          <w:w w:val="101"/>
        </w:rPr>
        <w:t>购买方在企业合并中取得的被购买方的可抵扣暂时性差异，在购买日不符合递延所得税资产确认条件的，不予以确认。</w:t>
      </w:r>
      <w:r>
        <w:rPr>
          <w:w w:val="101"/>
        </w:rPr>
        <w:t> </w:t>
      </w:r>
      <w:r>
        <w:rPr>
          <w:spacing w:val="-4"/>
        </w:rPr>
        <w:t>购买日后</w:t>
      </w:r>
      <w:r>
        <w:rPr>
          <w:rFonts w:ascii="Times New Roman" w:hAnsi="Times New Roman" w:cs="Times New Roman" w:eastAsia="Times New Roman" w:hint="default"/>
          <w:spacing w:val="-4"/>
        </w:rPr>
        <w:t>12</w:t>
      </w:r>
      <w:r>
        <w:rPr>
          <w:spacing w:val="-4"/>
        </w:rPr>
        <w:t>个月内，如取得新的或进一步的信息表明购买日的相关情况已经存在，预期被购买方在购买日可抵扣暂时性差异</w:t>
      </w:r>
      <w:r>
        <w:rPr>
          <w:spacing w:val="47"/>
        </w:rPr>
        <w:t> </w:t>
      </w:r>
      <w:r>
        <w:rPr>
          <w:spacing w:val="47"/>
        </w:rPr>
      </w:r>
      <w:r>
        <w:rPr>
          <w:spacing w:val="-4"/>
        </w:rPr>
        <w:t>带来的经济利益能够实现的，确认相关的递延所得税资产，同时减少商誉，商誉不足冲减的，差额部分确认为当期损益；除</w:t>
      </w:r>
      <w:r>
        <w:rPr>
          <w:spacing w:val="40"/>
        </w:rPr>
        <w:t> </w:t>
      </w:r>
      <w:r>
        <w:rPr>
          <w:spacing w:val="40"/>
        </w:rPr>
      </w:r>
      <w:r>
        <w:rPr>
          <w:spacing w:val="-3"/>
        </w:rPr>
        <w:t>上述情况以外，确认与企业合并相关的递延所得税资产，计入当期损益。</w:t>
      </w:r>
    </w:p>
    <w:p>
      <w:pPr>
        <w:pStyle w:val="BodyText"/>
        <w:spacing w:line="316" w:lineRule="auto" w:before="142"/>
        <w:ind w:right="1122" w:firstLine="422"/>
        <w:jc w:val="both"/>
      </w:pPr>
      <w:r>
        <w:rPr>
          <w:spacing w:val="-2"/>
        </w:rPr>
        <w:t>非同一控制下企业合并，购买方为企业合并发生的审计、法律服务、评估咨询等中介费用以及其他相关管理费用，于</w:t>
      </w:r>
      <w:r>
        <w:rPr>
          <w:w w:val="101"/>
        </w:rPr>
        <w:t> </w:t>
      </w:r>
      <w:r>
        <w:rPr>
          <w:spacing w:val="-4"/>
        </w:rPr>
        <w:t>发生时计入当期损益；购买方作为合并对价发行的权益性证券或债务性证券的交易费用，计入权益性证券或债务性证券的初</w:t>
      </w:r>
      <w:r>
        <w:rPr>
          <w:spacing w:val="44"/>
        </w:rPr>
        <w:t> </w:t>
      </w:r>
      <w:r>
        <w:rPr>
          <w:spacing w:val="44"/>
        </w:rPr>
      </w:r>
      <w:r>
        <w:rPr/>
        <w:t>始确认金额。</w:t>
      </w:r>
    </w:p>
    <w:p>
      <w:pPr>
        <w:pStyle w:val="BodyText"/>
        <w:spacing w:line="312" w:lineRule="auto" w:before="139"/>
        <w:ind w:right="0" w:firstLine="422"/>
        <w:jc w:val="left"/>
      </w:pPr>
      <w:r>
        <w:rPr/>
        <w:t>购买方通过多次交易分步实现非同一控制下企业合并的，属于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的，本公司将各项交易作为一项取得控制</w:t>
      </w:r>
      <w:r>
        <w:rPr>
          <w:w w:val="101"/>
        </w:rPr>
        <w:t> </w:t>
      </w:r>
      <w:r>
        <w:rPr>
          <w:spacing w:val="-4"/>
        </w:rPr>
        <w:t>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的，在个别财务报表中，以购买日之前所持被购买方的股权投资的账面价值与</w:t>
      </w:r>
      <w:r>
        <w:rPr>
          <w:spacing w:val="64"/>
        </w:rPr>
        <w:t> </w:t>
      </w:r>
      <w:r>
        <w:rPr>
          <w:spacing w:val="64"/>
        </w:rPr>
      </w:r>
      <w:r>
        <w:rPr>
          <w:spacing w:val="-4"/>
        </w:rPr>
        <w:t>购买日新增投资成本之和，作为改按成本法核算的初始投资成本；购买日之前持有的被购买方的股权投资因采用权益法核算</w:t>
      </w:r>
      <w:r>
        <w:rPr>
          <w:spacing w:val="42"/>
        </w:rPr>
        <w:t> </w:t>
      </w:r>
      <w:r>
        <w:rPr>
          <w:spacing w:val="42"/>
        </w:rPr>
      </w:r>
      <w:r>
        <w:rPr>
          <w:spacing w:val="-4"/>
        </w:rPr>
        <w:t>而确认的其他综合收益，在处置该项投资时采用与被投资单位直接处置相关资产或负债相同的基础进行会计处理，因被投资</w:t>
      </w:r>
      <w:r>
        <w:rPr>
          <w:spacing w:val="44"/>
        </w:rPr>
        <w:t> </w:t>
      </w:r>
      <w:r>
        <w:rPr>
          <w:spacing w:val="44"/>
        </w:rPr>
      </w:r>
      <w:r>
        <w:rPr>
          <w:spacing w:val="-4"/>
        </w:rPr>
        <w:t>方除净损益、其他综合收益和利润分配以外的其他所有者权益变动而确认的所有者权益，在处置该项投资时转入处置期间的</w:t>
      </w:r>
      <w:r>
        <w:rPr>
          <w:spacing w:val="43"/>
        </w:rPr>
        <w:t> </w:t>
      </w:r>
      <w:r>
        <w:rPr>
          <w:spacing w:val="43"/>
        </w:rPr>
      </w:r>
      <w:r>
        <w:rPr>
          <w:spacing w:val="-4"/>
        </w:rPr>
        <w:t>当期损益。其中，处置后的剩余股权根据长期股权投资准则采用成本法或权益法核算的，其他综合收益和其他所有者权益应</w:t>
      </w:r>
      <w:r>
        <w:rPr>
          <w:spacing w:val="43"/>
        </w:rPr>
        <w:t> </w:t>
      </w:r>
      <w:r>
        <w:rPr>
          <w:spacing w:val="43"/>
        </w:rPr>
      </w:r>
      <w:r>
        <w:rPr>
          <w:spacing w:val="-6"/>
          <w:w w:val="101"/>
        </w:rPr>
        <w:t>按比例结转，处置后的剩余股权改按金融工具确认和计量准则进行会计处理的，其他综合收益和其他所有者权益应全部结转。</w:t>
      </w:r>
      <w:r>
        <w:rPr>
          <w:spacing w:val="-71"/>
          <w:w w:val="101"/>
        </w:rPr>
        <w:t> </w:t>
      </w:r>
      <w:r>
        <w:rPr>
          <w:spacing w:val="-71"/>
          <w:w w:val="101"/>
        </w:rPr>
      </w:r>
      <w:r>
        <w:rPr>
          <w:spacing w:val="-3"/>
        </w:rPr>
        <w:t>在合并财务报表中的会计处理见本附注五、</w:t>
      </w:r>
      <w:r>
        <w:rPr>
          <w:rFonts w:ascii="Times New Roman" w:hAnsi="Times New Roman" w:cs="Times New Roman" w:eastAsia="Times New Roman" w:hint="default"/>
          <w:spacing w:val="-3"/>
        </w:rPr>
        <w:t>6</w:t>
      </w:r>
      <w:r>
        <w:rPr>
          <w:spacing w:val="-3"/>
        </w:rPr>
        <w:t>。</w:t>
      </w:r>
    </w:p>
    <w:p>
      <w:pPr>
        <w:spacing w:after="0" w:line="312" w:lineRule="auto"/>
        <w:jc w:val="left"/>
        <w:sectPr>
          <w:footerReference w:type="default" r:id="rId40"/>
          <w:pgSz w:w="11910" w:h="16840"/>
          <w:pgMar w:footer="1474" w:header="871" w:top="1060" w:bottom="1660" w:left="980" w:right="0"/>
          <w:pgNumType w:start="104"/>
        </w:sectPr>
      </w:pPr>
    </w:p>
    <w:p>
      <w:pPr>
        <w:spacing w:line="240" w:lineRule="auto" w:before="1"/>
        <w:rPr>
          <w:rFonts w:ascii="宋体" w:hAnsi="宋体" w:cs="宋体" w:eastAsia="宋体" w:hint="default"/>
          <w:sz w:val="26"/>
          <w:szCs w:val="26"/>
        </w:rPr>
      </w:pPr>
    </w:p>
    <w:p>
      <w:pPr>
        <w:pStyle w:val="BodyText"/>
        <w:spacing w:line="316" w:lineRule="auto" w:before="46"/>
        <w:ind w:right="1129" w:firstLine="422"/>
        <w:jc w:val="both"/>
      </w:pPr>
      <w:r>
        <w:rPr>
          <w:spacing w:val="-2"/>
        </w:rPr>
        <w:t>购买日之前持有的股权投资，采用金融工具确认和计量准则进行会计处理的，将该股权投资的公允价值加上新增投资</w:t>
      </w:r>
      <w:r>
        <w:rPr>
          <w:w w:val="101"/>
        </w:rPr>
        <w:t> </w:t>
      </w:r>
      <w:r>
        <w:rPr>
          <w:spacing w:val="-5"/>
        </w:rPr>
        <w:t>成本之和，作为改按成本法核算的初始投资成本，原持有股权的公允价值与账面价值的差额与原计入其他综合收益的累计公</w:t>
      </w:r>
      <w:r>
        <w:rPr>
          <w:spacing w:val="4"/>
        </w:rPr>
        <w:t> </w:t>
      </w:r>
      <w:r>
        <w:rPr>
          <w:spacing w:val="4"/>
        </w:rPr>
      </w:r>
      <w:r>
        <w:rPr>
          <w:spacing w:val="-3"/>
        </w:rPr>
        <w:t>允价值变动全部转入改按成本法核算的当期投资损益。</w:t>
      </w:r>
    </w:p>
    <w:p>
      <w:pPr>
        <w:pStyle w:val="Heading3"/>
        <w:spacing w:line="240" w:lineRule="auto" w:before="114"/>
        <w:ind w:right="1126"/>
        <w:jc w:val="left"/>
        <w:rPr>
          <w:b w:val="0"/>
          <w:bCs w:val="0"/>
        </w:rPr>
      </w:pPr>
      <w:r>
        <w:rPr/>
        <w:t>（</w:t>
      </w:r>
      <w:r>
        <w:rPr>
          <w:rFonts w:ascii="Times New Roman" w:hAnsi="Times New Roman" w:cs="Times New Roman" w:eastAsia="Times New Roman" w:hint="default"/>
        </w:rPr>
        <w:t>3</w:t>
      </w:r>
      <w:r>
        <w:rPr/>
        <w:t>）将多次交易事项判断为一揽子交易的判断标准</w:t>
      </w:r>
      <w:r>
        <w:rPr>
          <w:b w:val="0"/>
          <w:bCs w:val="0"/>
        </w:rPr>
      </w:r>
    </w:p>
    <w:p>
      <w:pPr>
        <w:pStyle w:val="BodyText"/>
        <w:spacing w:line="240" w:lineRule="auto" w:before="166"/>
        <w:ind w:left="575" w:right="1126"/>
        <w:jc w:val="left"/>
      </w:pPr>
      <w:r>
        <w:rPr>
          <w:spacing w:val="-3"/>
        </w:rPr>
        <w:t>本公司将多次交易事项判断为一揽子交易的判断标准如下：</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①这些交易是同时或者在考虑了彼此影响的情况下订立的；</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②这些交易整体才能达成一项完整的商业结果；</w:t>
      </w:r>
    </w:p>
    <w:p>
      <w:pPr>
        <w:spacing w:line="240" w:lineRule="auto" w:before="1"/>
        <w:rPr>
          <w:rFonts w:ascii="宋体" w:hAnsi="宋体" w:cs="宋体" w:eastAsia="宋体" w:hint="default"/>
          <w:sz w:val="15"/>
          <w:szCs w:val="15"/>
        </w:rPr>
      </w:pPr>
    </w:p>
    <w:p>
      <w:pPr>
        <w:pStyle w:val="BodyText"/>
        <w:spacing w:line="240" w:lineRule="auto"/>
        <w:ind w:left="446" w:right="1126"/>
        <w:jc w:val="left"/>
      </w:pPr>
      <w:r>
        <w:rPr>
          <w:spacing w:val="-3"/>
        </w:rPr>
        <w:t>③一项交易的发生取决于其他至少一项交易的发生；</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④一项交易单独考虑时是不经济的，但是和其他交易一并考虑时是经济的。</w:t>
      </w:r>
    </w:p>
    <w:p>
      <w:pPr>
        <w:spacing w:line="240" w:lineRule="auto" w:before="0"/>
        <w:rPr>
          <w:rFonts w:ascii="宋体" w:hAnsi="宋体" w:cs="宋体" w:eastAsia="宋体" w:hint="default"/>
          <w:sz w:val="18"/>
          <w:szCs w:val="18"/>
        </w:rPr>
      </w:pPr>
    </w:p>
    <w:p>
      <w:pPr>
        <w:pStyle w:val="Heading3"/>
        <w:spacing w:line="240" w:lineRule="auto" w:before="118"/>
        <w:ind w:right="1126"/>
        <w:jc w:val="left"/>
        <w:rPr>
          <w:b w:val="0"/>
          <w:bCs w:val="0"/>
        </w:rPr>
      </w:pPr>
      <w:bookmarkStart w:name="6、合并财务报表的编制方法" w:id="196"/>
      <w:bookmarkEnd w:id="19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422"/>
        <w:jc w:val="both"/>
      </w:pPr>
      <w:r>
        <w:rPr>
          <w:spacing w:val="-2"/>
        </w:rPr>
        <w:t>本公司合并财务报表的合并范围以控制为基础确定，控制是指投资方拥有被投资方的权力，通过参与被投资方的相关</w:t>
      </w:r>
      <w:r>
        <w:rPr>
          <w:w w:val="101"/>
        </w:rPr>
        <w:t> </w:t>
      </w:r>
      <w:r>
        <w:rPr>
          <w:spacing w:val="-4"/>
        </w:rPr>
        <w:t>活动而享有可变回报，并且有能力运用对被投资方的权力影响其回报金额。相关活动，是指对被投资方的回报产生重大影响</w:t>
      </w:r>
      <w:r>
        <w:rPr>
          <w:spacing w:val="43"/>
        </w:rPr>
        <w:t> </w:t>
      </w:r>
      <w:r>
        <w:rPr>
          <w:spacing w:val="43"/>
        </w:rPr>
      </w:r>
      <w:r>
        <w:rPr/>
        <w:t>的活动。</w:t>
      </w:r>
    </w:p>
    <w:p>
      <w:pPr>
        <w:pStyle w:val="BodyText"/>
        <w:spacing w:line="316" w:lineRule="auto" w:before="139"/>
        <w:ind w:right="1124" w:firstLine="422"/>
        <w:jc w:val="both"/>
      </w:pPr>
      <w:r>
        <w:rPr>
          <w:spacing w:val="-2"/>
        </w:rPr>
        <w:t>被投资方的相关活动根据具体情况进行判断，通常包括商品或劳务的销售和购买、金融资产的管理、资产的购买和处</w:t>
      </w:r>
      <w:r>
        <w:rPr>
          <w:w w:val="101"/>
        </w:rPr>
        <w:t> </w:t>
      </w:r>
      <w:r>
        <w:rPr>
          <w:spacing w:val="-3"/>
        </w:rPr>
        <w:t>置、研究与开发活动以及融资活动等。</w:t>
      </w:r>
    </w:p>
    <w:p>
      <w:pPr>
        <w:pStyle w:val="BodyText"/>
        <w:spacing w:line="316" w:lineRule="auto" w:before="139"/>
        <w:ind w:right="1124" w:firstLine="422"/>
        <w:jc w:val="both"/>
      </w:pPr>
      <w:r>
        <w:rPr>
          <w:spacing w:val="-3"/>
        </w:rPr>
        <w:t>在综合考虑被投资方的设立目的、被投资方的相关活动以及如何对相关活动作出决策、本公司享有的权利是否使其目</w:t>
      </w:r>
      <w:r>
        <w:rPr>
          <w:w w:val="101"/>
        </w:rPr>
        <w:t> </w:t>
      </w:r>
      <w:r>
        <w:rPr>
          <w:spacing w:val="-4"/>
        </w:rPr>
        <w:t>前有能力主导被投资方的相关活动、是否通过参与被投资方的相关活动而享有可变回报、是否有能力运用对被投资方的权力</w:t>
      </w:r>
      <w:r>
        <w:rPr>
          <w:spacing w:val="42"/>
        </w:rPr>
        <w:t> </w:t>
      </w:r>
      <w:r>
        <w:rPr>
          <w:spacing w:val="42"/>
        </w:rPr>
      </w:r>
      <w:r>
        <w:rPr>
          <w:spacing w:val="-4"/>
          <w:w w:val="101"/>
        </w:rPr>
        <w:t>影响其回报金额以及与其他方的关系等基础上对是否控制被投资方进行判断。一旦相关事实和情况的变化导致控制所涉及的</w:t>
      </w:r>
      <w:r>
        <w:rPr>
          <w:w w:val="101"/>
        </w:rPr>
        <w:t> </w:t>
      </w:r>
      <w:r>
        <w:rPr>
          <w:spacing w:val="-3"/>
        </w:rPr>
        <w:t>相关要素发生变化的，将进行重新评估。</w:t>
      </w:r>
    </w:p>
    <w:p>
      <w:pPr>
        <w:pStyle w:val="BodyText"/>
        <w:spacing w:line="316" w:lineRule="auto" w:before="139"/>
        <w:ind w:right="1124" w:firstLine="422"/>
        <w:jc w:val="both"/>
      </w:pPr>
      <w:r>
        <w:rPr>
          <w:spacing w:val="-2"/>
        </w:rPr>
        <w:t>在判断是否拥有对被投资方的权力时，仅考虑与被投资方相关的实质性权利，包括自身所享有的实质性权利以及其他</w:t>
      </w:r>
      <w:r>
        <w:rPr>
          <w:w w:val="101"/>
        </w:rPr>
        <w:t> </w:t>
      </w:r>
      <w:r>
        <w:rPr>
          <w:spacing w:val="-3"/>
        </w:rPr>
        <w:t>方所享有的实质性权利。</w:t>
      </w:r>
    </w:p>
    <w:p>
      <w:pPr>
        <w:pStyle w:val="BodyText"/>
        <w:spacing w:line="319" w:lineRule="auto" w:before="139"/>
        <w:ind w:right="1126" w:firstLine="422"/>
        <w:jc w:val="left"/>
      </w:pPr>
      <w:r>
        <w:rPr>
          <w:spacing w:val="-3"/>
        </w:rPr>
        <w:t>本公司以自身和子公司的财务报表为基础，根据其他有关资料将整个企业集团视为一个会计主体，依据相关企业会计</w:t>
      </w:r>
      <w:r>
        <w:rPr>
          <w:w w:val="101"/>
        </w:rPr>
        <w:t> </w:t>
      </w:r>
      <w:r>
        <w:rPr>
          <w:spacing w:val="-4"/>
        </w:rPr>
        <w:t>准则的确认、计量和列报要求，已按照统一的会计政策及会计期间，反映企业集团整体财务状况、经营成果和现金流量。合</w:t>
      </w:r>
      <w:r>
        <w:rPr>
          <w:spacing w:val="40"/>
        </w:rPr>
        <w:t> </w:t>
      </w:r>
      <w:r>
        <w:rPr>
          <w:spacing w:val="40"/>
        </w:rPr>
      </w:r>
      <w:r>
        <w:rPr>
          <w:spacing w:val="-4"/>
        </w:rPr>
        <w:t>并程序具体包括：合并母公司与子公司的资产、负债、所有者权益、收入、费用和现金流等项目；抵销母公司对子公司的长</w:t>
      </w:r>
      <w:r>
        <w:rPr>
          <w:spacing w:val="40"/>
        </w:rPr>
        <w:t> </w:t>
      </w:r>
      <w:r>
        <w:rPr>
          <w:spacing w:val="40"/>
        </w:rPr>
      </w:r>
      <w:r>
        <w:rPr>
          <w:spacing w:val="-3"/>
        </w:rPr>
        <w:t>期股权投资与母公司在子公司所有者权益中所享有的份额；抵销母公司与子公司、子公司相互之间发生的内部交易的影响，</w:t>
      </w:r>
      <w:r>
        <w:rPr>
          <w:spacing w:val="75"/>
        </w:rPr>
        <w:t> </w:t>
      </w:r>
      <w:r>
        <w:rPr>
          <w:spacing w:val="75"/>
        </w:rPr>
      </w:r>
      <w:r>
        <w:rPr>
          <w:spacing w:val="-3"/>
        </w:rPr>
        <w:t>内部交易表明相关资产发生减值损失的，全额确认该部分损失；站在企业集团角度对特殊交易事项予以调整。</w:t>
      </w:r>
    </w:p>
    <w:p>
      <w:pPr>
        <w:pStyle w:val="BodyText"/>
        <w:spacing w:line="300" w:lineRule="auto" w:before="137"/>
        <w:ind w:right="1122" w:firstLine="422"/>
        <w:jc w:val="both"/>
      </w:pPr>
      <w:r>
        <w:rPr>
          <w:spacing w:val="-4"/>
        </w:rPr>
        <w:t>子公司所有者权益中不属于母公司的份额，作为少数股东权益，在合并资产负债表中所有者权益项目下以</w:t>
      </w:r>
      <w:r>
        <w:rPr>
          <w:rFonts w:ascii="Times New Roman" w:hAnsi="Times New Roman" w:cs="Times New Roman" w:eastAsia="Times New Roman" w:hint="default"/>
          <w:spacing w:val="-4"/>
        </w:rPr>
        <w:t>“</w:t>
      </w:r>
      <w:r>
        <w:rPr>
          <w:spacing w:val="-4"/>
        </w:rPr>
        <w:t>少数股东权</w:t>
      </w:r>
      <w:r>
        <w:rPr>
          <w:w w:val="101"/>
        </w:rPr>
        <w:t> </w:t>
      </w:r>
      <w:r>
        <w:rPr/>
        <w:t>益</w:t>
      </w:r>
      <w:r>
        <w:rPr>
          <w:rFonts w:ascii="Times New Roman" w:hAnsi="Times New Roman" w:cs="Times New Roman" w:eastAsia="Times New Roman" w:hint="default"/>
        </w:rPr>
        <w:t>”</w:t>
      </w:r>
      <w:r>
        <w:rPr/>
        <w:t>项目列示。</w:t>
      </w:r>
    </w:p>
    <w:p>
      <w:pPr>
        <w:pStyle w:val="BodyText"/>
        <w:spacing w:line="300" w:lineRule="auto" w:before="133"/>
        <w:ind w:right="0" w:firstLine="422"/>
        <w:jc w:val="left"/>
      </w:pPr>
      <w:r>
        <w:rPr>
          <w:spacing w:val="-3"/>
        </w:rPr>
        <w:t>子公司当期净损益中属于少数股东权益的份额，在合并利润表中净利润项目下以</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spacing w:val="-3"/>
        </w:rPr>
        <w:t>项目列示。子公司当</w:t>
      </w:r>
      <w:r>
        <w:rPr>
          <w:w w:val="101"/>
        </w:rPr>
        <w:t> </w:t>
      </w:r>
      <w:r>
        <w:rPr>
          <w:spacing w:val="-4"/>
        </w:rPr>
        <w:t>期综合收益中属于少数股东权益的份额，在合并利润表中综合收益总额项目下以</w:t>
      </w:r>
      <w:r>
        <w:rPr>
          <w:rFonts w:ascii="Times New Roman" w:hAnsi="Times New Roman" w:cs="Times New Roman" w:eastAsia="Times New Roman" w:hint="default"/>
          <w:spacing w:val="-4"/>
        </w:rPr>
        <w:t>“</w:t>
      </w:r>
      <w:r>
        <w:rPr>
          <w:spacing w:val="-4"/>
        </w:rPr>
        <w:t>归属于少数股东的综合收益总额</w:t>
      </w:r>
      <w:r>
        <w:rPr>
          <w:rFonts w:ascii="Times New Roman" w:hAnsi="Times New Roman" w:cs="Times New Roman" w:eastAsia="Times New Roman" w:hint="default"/>
          <w:spacing w:val="-4"/>
        </w:rPr>
        <w:t>”</w:t>
      </w:r>
      <w:r>
        <w:rPr>
          <w:spacing w:val="-4"/>
        </w:rPr>
        <w:t>项目列示。</w:t>
      </w:r>
    </w:p>
    <w:p>
      <w:pPr>
        <w:pStyle w:val="BodyText"/>
        <w:spacing w:line="316" w:lineRule="auto" w:before="133"/>
        <w:ind w:right="1124" w:firstLine="422"/>
        <w:jc w:val="both"/>
      </w:pPr>
      <w:r>
        <w:rPr>
          <w:spacing w:val="-2"/>
        </w:rPr>
        <w:t>子公司少数股东分担的当期亏损超过了少数股东在该子公司期初所有者权益中所享有的份额的，其余额仍冲减少数股</w:t>
      </w:r>
      <w:r>
        <w:rPr>
          <w:w w:val="101"/>
        </w:rPr>
        <w:t> </w:t>
      </w:r>
      <w:r>
        <w:rPr/>
        <w:t>东权益。</w:t>
      </w:r>
    </w:p>
    <w:p>
      <w:pPr>
        <w:pStyle w:val="BodyText"/>
        <w:spacing w:line="300" w:lineRule="auto" w:before="139"/>
        <w:ind w:right="1126" w:firstLine="422"/>
        <w:jc w:val="left"/>
      </w:pPr>
      <w:r>
        <w:rPr>
          <w:spacing w:val="-3"/>
        </w:rPr>
        <w:t>向子公司出售资产所发生的未实现内部交易损益，全额抵销</w:t>
      </w:r>
      <w:r>
        <w:rPr>
          <w:rFonts w:ascii="Times New Roman" w:hAnsi="Times New Roman" w:cs="Times New Roman" w:eastAsia="Times New Roman" w:hint="default"/>
          <w:spacing w:val="-3"/>
        </w:rPr>
        <w:t>“</w:t>
      </w:r>
      <w:r>
        <w:rPr>
          <w:spacing w:val="-3"/>
        </w:rPr>
        <w:t>归属于母公司所有者的净利润</w:t>
      </w:r>
      <w:r>
        <w:rPr>
          <w:rFonts w:ascii="Times New Roman" w:hAnsi="Times New Roman" w:cs="Times New Roman" w:eastAsia="Times New Roman" w:hint="default"/>
          <w:spacing w:val="-3"/>
        </w:rPr>
        <w:t>”</w:t>
      </w:r>
      <w:r>
        <w:rPr>
          <w:spacing w:val="-3"/>
        </w:rPr>
        <w:t>。子公司向母公司出售资</w:t>
      </w:r>
      <w:r>
        <w:rPr>
          <w:w w:val="101"/>
        </w:rPr>
        <w:t> </w:t>
      </w:r>
      <w:r>
        <w:rPr>
          <w:spacing w:val="-3"/>
        </w:rPr>
        <w:t>产所发生的未实现内部交易损益，按照母公司对该子公司的分配比例在</w:t>
      </w:r>
      <w:r>
        <w:rPr>
          <w:rFonts w:ascii="Times New Roman" w:hAnsi="Times New Roman" w:cs="Times New Roman" w:eastAsia="Times New Roman" w:hint="default"/>
          <w:spacing w:val="-3"/>
        </w:rPr>
        <w:t>“</w:t>
      </w:r>
      <w:r>
        <w:rPr>
          <w:spacing w:val="-3"/>
        </w:rPr>
        <w:t>归属于母公司所有者的净利润</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9"/>
        </w:rPr>
        <w:t> </w:t>
      </w:r>
      <w:r>
        <w:rPr>
          <w:spacing w:val="-3"/>
        </w:rPr>
        <w:t>之间分配抵销。子公司之间出售资产所发生的未实现内部交易损益，按照母公司对出售方子公司的分配比例在</w:t>
      </w:r>
      <w:r>
        <w:rPr>
          <w:rFonts w:ascii="Times New Roman" w:hAnsi="Times New Roman" w:cs="Times New Roman" w:eastAsia="Times New Roman" w:hint="default"/>
          <w:spacing w:val="-3"/>
        </w:rPr>
        <w:t>“</w:t>
      </w:r>
      <w:r>
        <w:rPr>
          <w:spacing w:val="-3"/>
        </w:rPr>
        <w:t>归属于母公</w:t>
      </w:r>
      <w:r>
        <w:rPr>
          <w:spacing w:val="66"/>
        </w:rPr>
        <w:t> </w:t>
      </w:r>
      <w:r>
        <w:rPr>
          <w:spacing w:val="66"/>
        </w:rPr>
      </w:r>
      <w:r>
        <w:rPr>
          <w:spacing w:val="-3"/>
        </w:rPr>
        <w:t>司所有者的净利润</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spacing w:val="-3"/>
        </w:rPr>
        <w:t>之间分配抵销。</w:t>
      </w:r>
    </w:p>
    <w:p>
      <w:pPr>
        <w:spacing w:after="0" w:line="300" w:lineRule="auto"/>
        <w:jc w:val="left"/>
        <w:sectPr>
          <w:footerReference w:type="default" r:id="rId41"/>
          <w:pgSz w:w="11910" w:h="16840"/>
          <w:pgMar w:footer="1474" w:header="871" w:top="1060" w:bottom="1660" w:left="980" w:right="0"/>
          <w:pgNumType w:start="105"/>
        </w:sectPr>
      </w:pPr>
    </w:p>
    <w:p>
      <w:pPr>
        <w:spacing w:line="240" w:lineRule="auto" w:before="1"/>
        <w:rPr>
          <w:rFonts w:ascii="宋体" w:hAnsi="宋体" w:cs="宋体" w:eastAsia="宋体" w:hint="default"/>
          <w:sz w:val="26"/>
          <w:szCs w:val="26"/>
        </w:rPr>
      </w:pPr>
    </w:p>
    <w:p>
      <w:pPr>
        <w:pStyle w:val="BodyText"/>
        <w:spacing w:line="316" w:lineRule="auto" w:before="46"/>
        <w:ind w:right="1124" w:firstLine="422"/>
        <w:jc w:val="both"/>
      </w:pPr>
      <w:r>
        <w:rPr>
          <w:spacing w:val="-3"/>
        </w:rPr>
        <w:t>本公司在报告期内因同一控制下企业合并增加的子公司以及业务，编制合并报表时，调整合并资产负债表的期初数，</w:t>
      </w:r>
      <w:r>
        <w:rPr>
          <w:w w:val="101"/>
        </w:rPr>
        <w:t> </w:t>
      </w:r>
      <w:r>
        <w:rPr>
          <w:spacing w:val="-4"/>
        </w:rPr>
        <w:t>将该子公司以及业务合并当期期初至报告期末的收入、费用、利润纳入合并利润表，现金流量纳入合并现金流量表，同时对</w:t>
      </w:r>
      <w:r>
        <w:rPr>
          <w:spacing w:val="40"/>
        </w:rPr>
        <w:t> </w:t>
      </w:r>
      <w:r>
        <w:rPr>
          <w:spacing w:val="40"/>
        </w:rPr>
      </w:r>
      <w:r>
        <w:rPr>
          <w:spacing w:val="-3"/>
        </w:rPr>
        <w:t>比较报表的相关项目进行调整，视同合并后的报告主体自最终控制方开始控制时点起一直存在。</w:t>
      </w:r>
    </w:p>
    <w:p>
      <w:pPr>
        <w:pStyle w:val="BodyText"/>
        <w:spacing w:line="316" w:lineRule="auto" w:before="139"/>
        <w:ind w:right="1124" w:firstLine="422"/>
        <w:jc w:val="both"/>
      </w:pPr>
      <w:r>
        <w:rPr>
          <w:spacing w:val="-3"/>
        </w:rPr>
        <w:t>本公司在报告期内因非同一控制下企业合并或其他方式增加的子公司以及业务，编制合并资产负债表时，不调整合并</w:t>
      </w:r>
      <w:r>
        <w:rPr>
          <w:w w:val="101"/>
        </w:rPr>
        <w:t> </w:t>
      </w:r>
      <w:r>
        <w:rPr>
          <w:spacing w:val="-4"/>
        </w:rPr>
        <w:t>资产负债表的期初数，将该子公司以及业务购买日至报告期末的收入、费用、利润、现金流量纳入合并利润表和合并现金流</w:t>
      </w:r>
      <w:r>
        <w:rPr>
          <w:spacing w:val="40"/>
        </w:rPr>
        <w:t> </w:t>
      </w:r>
      <w:r>
        <w:rPr>
          <w:spacing w:val="40"/>
        </w:rPr>
      </w:r>
      <w:r>
        <w:rPr/>
        <w:t>量表。</w:t>
      </w:r>
    </w:p>
    <w:p>
      <w:pPr>
        <w:pStyle w:val="BodyText"/>
        <w:spacing w:line="316" w:lineRule="auto" w:before="139"/>
        <w:ind w:right="1162" w:firstLine="422"/>
        <w:jc w:val="both"/>
      </w:pPr>
      <w:r>
        <w:rPr>
          <w:spacing w:val="-3"/>
        </w:rPr>
        <w:t>本公司在报告期内处置子公司以及业务，编制合并资产负债表时，不调整合并资产负债表的期初数，该子公司以及业</w:t>
      </w:r>
      <w:r>
        <w:rPr>
          <w:w w:val="101"/>
        </w:rPr>
        <w:t> </w:t>
      </w:r>
      <w:r>
        <w:rPr>
          <w:spacing w:val="-3"/>
        </w:rPr>
        <w:t>务期初至处置日的收入、费用、利润纳入合并利润表，现金流量纳入合并现金流量表。</w:t>
      </w:r>
    </w:p>
    <w:p>
      <w:pPr>
        <w:pStyle w:val="BodyText"/>
        <w:spacing w:line="316" w:lineRule="auto" w:before="139"/>
        <w:ind w:right="1123" w:firstLine="422"/>
        <w:jc w:val="both"/>
      </w:pPr>
      <w:r>
        <w:rPr>
          <w:spacing w:val="-2"/>
        </w:rPr>
        <w:t>母公司购买子公司少数股东拥有的子公司股权，在合并财务报表中，因购买少数股权新取得的长期股权投资与按照新</w:t>
      </w:r>
      <w:r>
        <w:rPr>
          <w:w w:val="101"/>
        </w:rPr>
        <w:t> </w:t>
      </w:r>
      <w:r>
        <w:rPr>
          <w:spacing w:val="-5"/>
        </w:rPr>
        <w:t>增持股比例计算应享有子公司自购买日或合并日开始持续计算的净资产份额之间的差额，调整资本公积（资本溢价或股本溢</w:t>
      </w:r>
      <w:r>
        <w:rPr>
          <w:spacing w:val="6"/>
        </w:rPr>
        <w:t> </w:t>
      </w:r>
      <w:r>
        <w:rPr>
          <w:spacing w:val="6"/>
        </w:rPr>
      </w:r>
      <w:r>
        <w:rPr>
          <w:spacing w:val="-3"/>
        </w:rPr>
        <w:t>价），资本公积不足冲减的，调整留存收益。</w:t>
      </w:r>
    </w:p>
    <w:p>
      <w:pPr>
        <w:pStyle w:val="BodyText"/>
        <w:spacing w:line="309" w:lineRule="auto" w:before="139"/>
        <w:ind w:right="1122" w:firstLine="422"/>
        <w:jc w:val="both"/>
      </w:pPr>
      <w:r>
        <w:rPr>
          <w:spacing w:val="-2"/>
        </w:rPr>
        <w:t>通过多次交易分步实现的同一控制下企业合并，不属于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的，取得控制权日，合并方在达到合并之前持有</w:t>
      </w:r>
      <w:r>
        <w:rPr>
          <w:w w:val="101"/>
        </w:rPr>
        <w:t> </w:t>
      </w:r>
      <w:r>
        <w:rPr>
          <w:spacing w:val="-4"/>
        </w:rPr>
        <w:t>的长期股权投资，在取得日与合并方与被合并方同处于同一方最终控制之日孰晚日与合并日之间已确认有关损益、其他综合</w:t>
      </w:r>
      <w:r>
        <w:rPr>
          <w:spacing w:val="43"/>
        </w:rPr>
        <w:t> </w:t>
      </w:r>
      <w:r>
        <w:rPr>
          <w:spacing w:val="43"/>
        </w:rPr>
      </w:r>
      <w:r>
        <w:rPr>
          <w:spacing w:val="-3"/>
        </w:rPr>
        <w:t>收益和其他所有者权益变动，分别冲减比较报表期间的期初留存收益或当期损益。</w:t>
      </w:r>
    </w:p>
    <w:p>
      <w:pPr>
        <w:pStyle w:val="BodyText"/>
        <w:spacing w:line="312" w:lineRule="auto" w:before="144"/>
        <w:ind w:right="1126" w:firstLine="422"/>
        <w:jc w:val="left"/>
      </w:pPr>
      <w:r>
        <w:rPr/>
        <w:t>通过多次交易分步实现非同一控制下企业合并，不属于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的，在合并财务报表中，对于购买日之前持有的</w:t>
      </w:r>
      <w:r>
        <w:rPr>
          <w:w w:val="101"/>
        </w:rPr>
        <w:t> </w:t>
      </w:r>
      <w:r>
        <w:rPr>
          <w:spacing w:val="-4"/>
        </w:rPr>
        <w:t>被购买方的股权，按照该股权在购买日的公允价值进行重新计量，公允价值与其账面价值的差额计入当期投资收益；购买日</w:t>
      </w:r>
      <w:r>
        <w:rPr>
          <w:spacing w:val="43"/>
        </w:rPr>
        <w:t> </w:t>
      </w:r>
      <w:r>
        <w:rPr>
          <w:spacing w:val="43"/>
        </w:rPr>
      </w:r>
      <w:r>
        <w:rPr>
          <w:spacing w:val="-3"/>
        </w:rPr>
        <w:t>之前持有的被购买方的股权涉及权益法核算下的其他综合收益等的，与其相关的其他综合收益等转为购买日所属当期收益。</w:t>
      </w:r>
      <w:r>
        <w:rPr>
          <w:spacing w:val="76"/>
        </w:rPr>
        <w:t> </w:t>
      </w:r>
      <w:r>
        <w:rPr>
          <w:spacing w:val="76"/>
        </w:rPr>
      </w:r>
      <w:r>
        <w:rPr>
          <w:spacing w:val="-3"/>
        </w:rPr>
        <w:t>由于被投资方重新计量设定收益计划净负债或资产变动而产生的其他综合收益除外。</w:t>
      </w:r>
    </w:p>
    <w:p>
      <w:pPr>
        <w:pStyle w:val="BodyText"/>
        <w:spacing w:line="316" w:lineRule="auto" w:before="143"/>
        <w:ind w:right="1124" w:firstLine="422"/>
        <w:jc w:val="both"/>
      </w:pPr>
      <w:r>
        <w:rPr>
          <w:spacing w:val="-2"/>
        </w:rPr>
        <w:t>母公司在不丧失控制权的情况下部分处置对子公司的长期股权投资，在合并财务报表中，处置价款与处置长期股权投</w:t>
      </w:r>
      <w:r>
        <w:rPr>
          <w:w w:val="101"/>
        </w:rPr>
        <w:t> </w:t>
      </w:r>
      <w:r>
        <w:rPr>
          <w:spacing w:val="-5"/>
        </w:rPr>
        <w:t>资相对应享有子公司自购买日或合并日开始持续计算的净资产份额之间的差额，调整资本公积（资本溢价或股本溢价），资</w:t>
      </w:r>
      <w:r>
        <w:rPr>
          <w:spacing w:val="4"/>
        </w:rPr>
        <w:t> </w:t>
      </w:r>
      <w:r>
        <w:rPr>
          <w:spacing w:val="4"/>
        </w:rPr>
      </w:r>
      <w:r>
        <w:rPr>
          <w:spacing w:val="-3"/>
        </w:rPr>
        <w:t>本公积不足冲减的，调整留存收益。</w:t>
      </w:r>
    </w:p>
    <w:p>
      <w:pPr>
        <w:pStyle w:val="BodyText"/>
        <w:spacing w:line="319" w:lineRule="auto" w:before="139"/>
        <w:ind w:right="1124" w:firstLine="422"/>
        <w:jc w:val="both"/>
      </w:pPr>
      <w:r>
        <w:rPr>
          <w:spacing w:val="-2"/>
        </w:rPr>
        <w:t>因处置部分股权投资等原因丧失了对被投资方的控制权的，在编制合并财务报表时，对于剩余股权，按照其在丧失控</w:t>
      </w:r>
      <w:r>
        <w:rPr>
          <w:w w:val="101"/>
        </w:rPr>
        <w:t> </w:t>
      </w:r>
      <w:r>
        <w:rPr>
          <w:spacing w:val="-4"/>
        </w:rPr>
        <w:t>制权日的公允价值进行重新计量。处置股权取得的对价与剩余股权公允价值之和，减去按原持股比例计算应享有原有子公司</w:t>
      </w:r>
      <w:r>
        <w:rPr>
          <w:spacing w:val="44"/>
        </w:rPr>
        <w:t> </w:t>
      </w:r>
      <w:r>
        <w:rPr>
          <w:spacing w:val="44"/>
        </w:rPr>
      </w:r>
      <w:r>
        <w:rPr>
          <w:spacing w:val="-4"/>
        </w:rPr>
        <w:t>自购买日或合并日开始持续计算的净资产的份额之间的差额，计入丧失控制权当期的投资收益，同时冲减商誉。与原有子公</w:t>
      </w:r>
      <w:r>
        <w:rPr>
          <w:spacing w:val="43"/>
        </w:rPr>
        <w:t> </w:t>
      </w:r>
      <w:r>
        <w:rPr>
          <w:spacing w:val="43"/>
        </w:rPr>
      </w:r>
      <w:r>
        <w:rPr>
          <w:spacing w:val="-3"/>
        </w:rPr>
        <w:t>司股权投资相关的其他综合收益等，在丧失控制权时转为当期投资收益。</w:t>
      </w:r>
    </w:p>
    <w:p>
      <w:pPr>
        <w:pStyle w:val="BodyText"/>
        <w:spacing w:line="319" w:lineRule="auto" w:before="137"/>
        <w:ind w:right="1124" w:firstLine="422"/>
        <w:jc w:val="both"/>
      </w:pPr>
      <w:r>
        <w:rPr>
          <w:spacing w:val="-2"/>
        </w:rPr>
        <w:t>通过多次交易分步处置对子公司股权投资直至丧失控制权的，如果处置对子公司股权投资直至丧失控制权的各项交易</w:t>
      </w:r>
      <w:r>
        <w:rPr>
          <w:w w:val="101"/>
        </w:rPr>
        <w:t> </w:t>
      </w:r>
      <w:r>
        <w:rPr>
          <w:spacing w:val="-4"/>
        </w:rPr>
        <w:t>属于一揽子交易的，将各项交易作为一项处置子公司并丧失控制权的交易进行会计处理；但是，在丧失控制权之前每一次处</w:t>
      </w:r>
      <w:r>
        <w:rPr>
          <w:spacing w:val="43"/>
        </w:rPr>
        <w:t> </w:t>
      </w:r>
      <w:r>
        <w:rPr>
          <w:spacing w:val="43"/>
        </w:rPr>
      </w:r>
      <w:r>
        <w:rPr>
          <w:spacing w:val="-4"/>
        </w:rPr>
        <w:t>置价款与处置投资对应的享有该子公司净资产份额的差额，在合并财务报表中确认为其他综合收益，在丧失控制权时一并转</w:t>
      </w:r>
      <w:r>
        <w:rPr>
          <w:spacing w:val="43"/>
        </w:rPr>
        <w:t> </w:t>
      </w:r>
      <w:r>
        <w:rPr>
          <w:spacing w:val="43"/>
        </w:rPr>
      </w:r>
      <w:r>
        <w:rPr>
          <w:spacing w:val="-3"/>
        </w:rPr>
        <w:t>入丧失控制权当期的损益。</w:t>
      </w:r>
    </w:p>
    <w:p>
      <w:pPr>
        <w:pStyle w:val="BodyText"/>
        <w:spacing w:line="240" w:lineRule="auto" w:before="137"/>
        <w:ind w:right="1126"/>
        <w:jc w:val="left"/>
      </w:pPr>
      <w:r>
        <w:rPr>
          <w:spacing w:val="-3"/>
        </w:rPr>
        <w:t>合并所有者权益变动表根据合并资产负债表和合并利润表编制。</w:t>
      </w:r>
    </w:p>
    <w:p>
      <w:pPr>
        <w:spacing w:line="240" w:lineRule="auto" w:before="0"/>
        <w:rPr>
          <w:rFonts w:ascii="宋体" w:hAnsi="宋体" w:cs="宋体" w:eastAsia="宋体" w:hint="default"/>
          <w:sz w:val="18"/>
          <w:szCs w:val="18"/>
        </w:rPr>
      </w:pPr>
    </w:p>
    <w:p>
      <w:pPr>
        <w:pStyle w:val="Heading3"/>
        <w:spacing w:line="240" w:lineRule="auto" w:before="118"/>
        <w:ind w:right="1126"/>
        <w:jc w:val="left"/>
        <w:rPr>
          <w:b w:val="0"/>
          <w:bCs w:val="0"/>
        </w:rPr>
      </w:pPr>
      <w:bookmarkStart w:name="7、合营安排分类及共同经营会计处理方法" w:id="197"/>
      <w:bookmarkEnd w:id="19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119" w:firstLine="422"/>
        <w:jc w:val="both"/>
      </w:pPr>
      <w:r>
        <w:rPr>
          <w:spacing w:val="-5"/>
          <w:w w:val="101"/>
        </w:rPr>
        <w:t>合营安排指一项由两个或两个以上的参与方共同控制的安排。共同控制，是指按照相关约定对某项安排所共有的控制，</w:t>
      </w:r>
      <w:r>
        <w:rPr>
          <w:w w:val="101"/>
        </w:rPr>
        <w:t> </w:t>
      </w:r>
      <w:r>
        <w:rPr>
          <w:spacing w:val="-5"/>
        </w:rPr>
        <w:t>并且该安排的相关活动必须经过分享控制权的参与方一致同意后才能决策。在判断是否存在共同控制时，应该首先判断所有</w:t>
      </w:r>
      <w:r>
        <w:rPr>
          <w:spacing w:val="6"/>
        </w:rPr>
        <w:t> </w:t>
      </w:r>
      <w:r>
        <w:rPr>
          <w:spacing w:val="6"/>
        </w:rPr>
      </w:r>
      <w:r>
        <w:rPr>
          <w:spacing w:val="-4"/>
          <w:w w:val="101"/>
        </w:rPr>
        <w:t>参与方或参与方组合是否集体控制该安排，其次判断该安排相关活动的决策是否必须经过这些集体控制该安排的参与方一致</w:t>
      </w:r>
      <w:r>
        <w:rPr>
          <w:w w:val="101"/>
        </w:rPr>
        <w:t> </w:t>
      </w:r>
      <w:r>
        <w:rPr/>
        <w:t>同意。</w:t>
      </w:r>
    </w:p>
    <w:p>
      <w:pPr>
        <w:pStyle w:val="BodyText"/>
        <w:spacing w:line="362" w:lineRule="auto" w:before="70"/>
        <w:ind w:left="575" w:right="1126"/>
        <w:jc w:val="left"/>
      </w:pPr>
      <w:r>
        <w:rPr>
          <w:spacing w:val="-3"/>
        </w:rPr>
        <w:t>本公司根据在合营安排中享有的权利和承担的义务确定合营安排的分类。合营安排分为共同经营和合营企业。</w:t>
      </w:r>
      <w:r>
        <w:rPr>
          <w:spacing w:val="49"/>
        </w:rPr>
        <w:t> </w:t>
      </w:r>
      <w:r>
        <w:rPr>
          <w:spacing w:val="49"/>
        </w:rPr>
      </w:r>
      <w:r>
        <w:rPr>
          <w:spacing w:val="-2"/>
        </w:rPr>
        <w:t>共同经营，是指合营方享有该安排相关资产且承担该安排相关负债的合营安排。本公司确认其与共同经营中利益份额</w:t>
      </w:r>
    </w:p>
    <w:p>
      <w:pPr>
        <w:pStyle w:val="BodyText"/>
        <w:spacing w:line="225" w:lineRule="exact"/>
        <w:ind w:right="1126"/>
        <w:jc w:val="left"/>
      </w:pPr>
      <w:r>
        <w:rPr>
          <w:spacing w:val="-3"/>
        </w:rPr>
        <w:t>相关的下列项目，并按照相关企业会计准则的规定进行会计处理：</w:t>
      </w:r>
    </w:p>
    <w:p>
      <w:pPr>
        <w:spacing w:after="0" w:line="225" w:lineRule="exact"/>
        <w:jc w:val="left"/>
        <w:sectPr>
          <w:footerReference w:type="default" r:id="rId42"/>
          <w:pgSz w:w="11910" w:h="16840"/>
          <w:pgMar w:footer="1474" w:header="871" w:top="1060" w:bottom="1660" w:left="980" w:right="0"/>
          <w:pgNumType w:start="106"/>
        </w:sectPr>
      </w:pPr>
    </w:p>
    <w:p>
      <w:pPr>
        <w:spacing w:line="240" w:lineRule="auto" w:before="1"/>
        <w:rPr>
          <w:rFonts w:ascii="宋体" w:hAnsi="宋体" w:cs="宋体" w:eastAsia="宋体" w:hint="default"/>
          <w:sz w:val="26"/>
          <w:szCs w:val="26"/>
        </w:rPr>
      </w:pPr>
    </w:p>
    <w:p>
      <w:pPr>
        <w:pStyle w:val="BodyText"/>
        <w:spacing w:line="240" w:lineRule="auto" w:before="46"/>
        <w:ind w:left="446" w:right="1126"/>
        <w:jc w:val="left"/>
      </w:pPr>
      <w:r>
        <w:rPr>
          <w:spacing w:val="-3"/>
        </w:rPr>
        <w:t>①确认单独所持有的资产，以及按其份额确认共同持有的资产；</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②确认单独所承担的负债，以及按其份额确认共同承担的负债；</w:t>
      </w:r>
    </w:p>
    <w:p>
      <w:pPr>
        <w:spacing w:line="240" w:lineRule="auto" w:before="1"/>
        <w:rPr>
          <w:rFonts w:ascii="宋体" w:hAnsi="宋体" w:cs="宋体" w:eastAsia="宋体" w:hint="default"/>
          <w:sz w:val="15"/>
          <w:szCs w:val="15"/>
        </w:rPr>
      </w:pPr>
    </w:p>
    <w:p>
      <w:pPr>
        <w:pStyle w:val="BodyText"/>
        <w:spacing w:line="240" w:lineRule="auto"/>
        <w:ind w:left="446" w:right="1126"/>
        <w:jc w:val="left"/>
      </w:pPr>
      <w:r>
        <w:rPr>
          <w:spacing w:val="-3"/>
        </w:rPr>
        <w:t>③确认出售其享有的共同经营产出份额所产生的收入；</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④按其份额确认共同经营因出售产出所产生的收入；</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⑥确认单独所发生的费用，以及按其份额确认共同经营发生的费用。</w:t>
      </w:r>
    </w:p>
    <w:p>
      <w:pPr>
        <w:spacing w:line="240" w:lineRule="auto" w:before="0"/>
        <w:rPr>
          <w:rFonts w:ascii="宋体" w:hAnsi="宋体" w:cs="宋体" w:eastAsia="宋体" w:hint="default"/>
          <w:sz w:val="18"/>
          <w:szCs w:val="18"/>
        </w:rPr>
      </w:pPr>
    </w:p>
    <w:p>
      <w:pPr>
        <w:pStyle w:val="Heading3"/>
        <w:spacing w:line="240" w:lineRule="auto" w:before="118"/>
        <w:ind w:right="1126"/>
        <w:jc w:val="left"/>
        <w:rPr>
          <w:b w:val="0"/>
          <w:bCs w:val="0"/>
        </w:rPr>
      </w:pPr>
      <w:bookmarkStart w:name="8、现金及现金等价物的确定标准" w:id="198"/>
      <w:bookmarkEnd w:id="19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422"/>
        <w:jc w:val="both"/>
      </w:pPr>
      <w:r>
        <w:rPr>
          <w:spacing w:val="-2"/>
        </w:rPr>
        <w:t>在编制现金流量表时，将库存现金以及可以随时用于支付的存款确认为现金。现金等价物是指持有的期限短（一般是</w:t>
      </w:r>
      <w:r>
        <w:rPr>
          <w:w w:val="101"/>
        </w:rPr>
        <w:t> </w:t>
      </w:r>
      <w:r>
        <w:rPr>
          <w:spacing w:val="-3"/>
        </w:rPr>
        <w:t>指从购买日起三个月内到期）、流动性强、易于转换为已知金额现金及价值变动风险很小的投资。</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9、外币业务和外币报表折算" w:id="199"/>
      <w:bookmarkEnd w:id="19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r>
        <w:rPr/>
        <w:t>（</w:t>
      </w:r>
      <w:r>
        <w:rPr>
          <w:rFonts w:ascii="Times New Roman" w:hAnsi="Times New Roman" w:cs="Times New Roman" w:eastAsia="Times New Roman" w:hint="default"/>
        </w:rPr>
        <w:t>1</w:t>
      </w:r>
      <w:r>
        <w:rPr/>
        <w:t>）外币业务折算</w:t>
      </w:r>
      <w:r>
        <w:rPr>
          <w:b w:val="0"/>
          <w:bCs w:val="0"/>
        </w:rPr>
      </w:r>
    </w:p>
    <w:p>
      <w:pPr>
        <w:pStyle w:val="BodyText"/>
        <w:spacing w:line="316" w:lineRule="auto" w:before="166"/>
        <w:ind w:right="1124" w:firstLine="422"/>
        <w:jc w:val="both"/>
      </w:pPr>
      <w:r>
        <w:rPr>
          <w:spacing w:val="-2"/>
        </w:rPr>
        <w:t>外币业务采用交易发生日的即期汇率（通常指中国人民银行公布的当日外汇牌价的中间价，下同）作为折算汇率将外</w:t>
      </w:r>
      <w:r>
        <w:rPr>
          <w:w w:val="101"/>
        </w:rPr>
        <w:t> </w:t>
      </w:r>
      <w:r>
        <w:rPr>
          <w:spacing w:val="-3"/>
        </w:rPr>
        <w:t>币金额折合成人民币记账。</w:t>
      </w:r>
    </w:p>
    <w:p>
      <w:pPr>
        <w:pStyle w:val="BodyText"/>
        <w:spacing w:line="319" w:lineRule="auto" w:before="43"/>
        <w:ind w:right="0" w:firstLine="422"/>
        <w:jc w:val="left"/>
      </w:pPr>
      <w:r>
        <w:rPr>
          <w:spacing w:val="-2"/>
        </w:rPr>
        <w:t>外币货币性项目余额按资产负债表日即期汇率折算，由此产生的汇兑差额，除属于与购建符合资本化条件的资产相关</w:t>
      </w:r>
      <w:r>
        <w:rPr>
          <w:w w:val="101"/>
        </w:rPr>
        <w:t> </w:t>
      </w:r>
      <w:r>
        <w:rPr>
          <w:spacing w:val="-6"/>
          <w:w w:val="101"/>
        </w:rPr>
        <w:t>的外币专门借款产生的汇兑差额按照借款费用资本化的原则处理外，均计入当期损益。以历史成本计量的外币非货币性项目，</w:t>
      </w:r>
      <w:r>
        <w:rPr>
          <w:spacing w:val="-70"/>
          <w:w w:val="101"/>
        </w:rPr>
        <w:t> </w:t>
      </w:r>
      <w:r>
        <w:rPr>
          <w:spacing w:val="-70"/>
          <w:w w:val="101"/>
        </w:rPr>
      </w:r>
      <w:r>
        <w:rPr>
          <w:spacing w:val="-4"/>
        </w:rPr>
        <w:t>仍采用交易发生日的即期汇率折算，不改变其记账本位币金额。以公允价值计量的外币非货币性项目，采用公允价值确定日</w:t>
      </w:r>
      <w:r>
        <w:rPr>
          <w:spacing w:val="43"/>
        </w:rPr>
        <w:t> </w:t>
      </w:r>
      <w:r>
        <w:rPr>
          <w:spacing w:val="43"/>
        </w:rPr>
      </w:r>
      <w:r>
        <w:rPr>
          <w:spacing w:val="-3"/>
        </w:rPr>
        <w:t>的即期汇率折算，由此产生的汇兑差额计入当期损益或其他综合收益。</w:t>
      </w:r>
    </w:p>
    <w:p>
      <w:pPr>
        <w:pStyle w:val="Heading3"/>
        <w:spacing w:line="240" w:lineRule="auto" w:before="111"/>
        <w:ind w:right="1126"/>
        <w:jc w:val="left"/>
        <w:rPr>
          <w:b w:val="0"/>
          <w:bCs w:val="0"/>
        </w:rPr>
      </w:pPr>
      <w:r>
        <w:rPr/>
        <w:t>（</w:t>
      </w:r>
      <w:r>
        <w:rPr>
          <w:rFonts w:ascii="Times New Roman" w:hAnsi="Times New Roman" w:cs="Times New Roman" w:eastAsia="Times New Roman" w:hint="default"/>
        </w:rPr>
        <w:t>2</w:t>
      </w:r>
      <w:r>
        <w:rPr/>
        <w:t>）外币报表折算</w:t>
      </w:r>
      <w:r>
        <w:rPr>
          <w:b w:val="0"/>
          <w:bCs w:val="0"/>
        </w:rPr>
      </w:r>
    </w:p>
    <w:p>
      <w:pPr>
        <w:pStyle w:val="BodyText"/>
        <w:spacing w:line="309" w:lineRule="auto" w:before="166"/>
        <w:ind w:right="1122" w:firstLine="422"/>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w:t>
      </w:r>
      <w:r>
        <w:rPr>
          <w:w w:val="101"/>
        </w:rPr>
        <w:t> </w:t>
      </w:r>
      <w:r>
        <w:rPr>
          <w:spacing w:val="-4"/>
        </w:rPr>
        <w:t>项目采用发生时的即期汇率折算。利润表中的收入和费用项目，采用交易发生日的即期汇率折算。按照上述折算产生的外币</w:t>
      </w:r>
      <w:r>
        <w:rPr>
          <w:spacing w:val="43"/>
        </w:rPr>
        <w:t> </w:t>
      </w:r>
      <w:r>
        <w:rPr>
          <w:spacing w:val="43"/>
        </w:rPr>
      </w:r>
      <w:r>
        <w:rPr>
          <w:spacing w:val="-3"/>
        </w:rPr>
        <w:t>财务报表折算差额，在其他综合收益项目下单独列示</w:t>
      </w:r>
      <w:r>
        <w:rPr>
          <w:rFonts w:ascii="Times New Roman" w:hAnsi="Times New Roman" w:cs="Times New Roman" w:eastAsia="Times New Roman" w:hint="default"/>
          <w:spacing w:val="-3"/>
        </w:rPr>
        <w:t>“</w:t>
      </w:r>
      <w:r>
        <w:rPr>
          <w:spacing w:val="-3"/>
        </w:rPr>
        <w:t>外币报表折算差额</w:t>
      </w:r>
      <w:r>
        <w:rPr>
          <w:rFonts w:ascii="Times New Roman" w:hAnsi="Times New Roman" w:cs="Times New Roman" w:eastAsia="Times New Roman" w:hint="default"/>
          <w:spacing w:val="-3"/>
        </w:rPr>
        <w:t>”</w:t>
      </w:r>
      <w:r>
        <w:rPr>
          <w:spacing w:val="-3"/>
        </w:rPr>
        <w:t>项目。</w:t>
      </w:r>
    </w:p>
    <w:p>
      <w:pPr>
        <w:pStyle w:val="BodyText"/>
        <w:spacing w:line="316" w:lineRule="auto" w:before="125"/>
        <w:ind w:right="1124" w:firstLine="422"/>
        <w:jc w:val="both"/>
      </w:pPr>
      <w:r>
        <w:rPr>
          <w:spacing w:val="-2"/>
        </w:rPr>
        <w:t>处置境外经营时，将资产负债表中其他综合收益项目下列示的、与该境外经营相关的外币财务报表折算差额，自其他</w:t>
      </w:r>
      <w:r>
        <w:rPr>
          <w:w w:val="101"/>
        </w:rPr>
        <w:t> </w:t>
      </w:r>
      <w:r>
        <w:rPr>
          <w:spacing w:val="-4"/>
        </w:rPr>
        <w:t>综合收益项目转入处置当期损益；部分处置境外经营的，按处置的比例计算处置部分的外币财务报表折算差额，转入处置当</w:t>
      </w:r>
      <w:r>
        <w:rPr>
          <w:spacing w:val="43"/>
        </w:rPr>
        <w:t> </w:t>
      </w:r>
      <w:r>
        <w:rPr>
          <w:spacing w:val="43"/>
        </w:rPr>
      </w:r>
      <w:r>
        <w:rPr/>
        <w:t>期损益。</w:t>
      </w:r>
    </w:p>
    <w:p>
      <w:pPr>
        <w:spacing w:line="240" w:lineRule="auto" w:before="9"/>
        <w:rPr>
          <w:rFonts w:ascii="宋体" w:hAnsi="宋体" w:cs="宋体" w:eastAsia="宋体" w:hint="default"/>
          <w:sz w:val="22"/>
          <w:szCs w:val="22"/>
        </w:rPr>
      </w:pPr>
    </w:p>
    <w:p>
      <w:pPr>
        <w:pStyle w:val="Heading3"/>
        <w:spacing w:line="240" w:lineRule="auto"/>
        <w:ind w:right="1126"/>
        <w:jc w:val="left"/>
        <w:rPr>
          <w:b w:val="0"/>
          <w:bCs w:val="0"/>
        </w:rPr>
      </w:pPr>
      <w:bookmarkStart w:name="10、金融工具" w:id="200"/>
      <w:bookmarkEnd w:id="20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firstLine="422"/>
        <w:jc w:val="both"/>
      </w:pPr>
      <w:r>
        <w:rPr>
          <w:spacing w:val="-2"/>
        </w:rPr>
        <w:t>金融工具，是指形成一方的金融资产并形成其他方的金融负债或权益工具的合同。在本公司成为金融工具合同的一方</w:t>
      </w:r>
      <w:r>
        <w:rPr>
          <w:w w:val="101"/>
        </w:rPr>
        <w:t> </w:t>
      </w:r>
      <w:r>
        <w:rPr>
          <w:spacing w:val="-3"/>
        </w:rPr>
        <w:t>时确认一项金融资产或金融负债。</w:t>
      </w:r>
    </w:p>
    <w:p>
      <w:pPr>
        <w:pStyle w:val="Heading3"/>
        <w:spacing w:line="240" w:lineRule="auto" w:before="114"/>
        <w:ind w:right="1126"/>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pStyle w:val="BodyText"/>
        <w:spacing w:line="316" w:lineRule="auto" w:before="166"/>
        <w:ind w:right="1124" w:firstLine="422"/>
        <w:jc w:val="both"/>
      </w:pPr>
      <w:r>
        <w:rPr>
          <w:spacing w:val="-2"/>
        </w:rPr>
        <w:t>本公司根据管理金融资产的业务模式和金融资产的合同现金流量特征，将金融资产划分为：以摊余成本计量的金融资</w:t>
      </w:r>
      <w:r>
        <w:rPr>
          <w:w w:val="101"/>
        </w:rPr>
        <w:t> </w:t>
      </w:r>
      <w:r>
        <w:rPr>
          <w:spacing w:val="-3"/>
        </w:rPr>
        <w:t>产；以公允价值计量且其变动计入其他综合收益的金融资产；以公允价值计量且其变动计入当期损益的金融资产。</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2</w:t>
      </w:r>
      <w:r>
        <w:rPr/>
        <w:t>）金融资产的确认和计量</w:t>
      </w:r>
      <w:r>
        <w:rPr>
          <w:b w:val="0"/>
          <w:bCs w:val="0"/>
        </w:rPr>
      </w:r>
    </w:p>
    <w:p>
      <w:pPr>
        <w:pStyle w:val="BodyText"/>
        <w:spacing w:line="319" w:lineRule="auto" w:before="166"/>
        <w:ind w:right="1123" w:firstLine="422"/>
        <w:jc w:val="both"/>
      </w:pPr>
      <w:r>
        <w:rPr>
          <w:spacing w:val="-2"/>
        </w:rPr>
        <w:t>金融资产在初始确认时以公允价值计量。对于以公允价值计量且其变动计入当期损益的金融资产，相关交易费用直接</w:t>
      </w:r>
      <w:r>
        <w:rPr>
          <w:w w:val="101"/>
        </w:rPr>
        <w:t> </w:t>
      </w:r>
      <w:r>
        <w:rPr>
          <w:spacing w:val="-4"/>
        </w:rPr>
        <w:t>计入当期损益；对于其他类别的金融资产，相关交易费用计入初始确认金额。因销售产品或提供劳务而产生的、未包含或不</w:t>
      </w:r>
      <w:r>
        <w:rPr>
          <w:spacing w:val="40"/>
        </w:rPr>
        <w:t> </w:t>
      </w:r>
      <w:r>
        <w:rPr>
          <w:spacing w:val="40"/>
        </w:rPr>
      </w:r>
      <w:r>
        <w:rPr>
          <w:spacing w:val="-3"/>
        </w:rPr>
        <w:t>考虑重大融资成分的应收账款或应收票据，本公司按照预期有权收取的对价金额作为初始确认金额。</w:t>
      </w:r>
    </w:p>
    <w:p>
      <w:pPr>
        <w:spacing w:after="0" w:line="319" w:lineRule="auto"/>
        <w:jc w:val="both"/>
        <w:sectPr>
          <w:footerReference w:type="default" r:id="rId43"/>
          <w:pgSz w:w="11910" w:h="16840"/>
          <w:pgMar w:footer="1474" w:header="871" w:top="1060" w:bottom="1660" w:left="980" w:right="0"/>
          <w:pgNumType w:start="107"/>
        </w:sectPr>
      </w:pPr>
    </w:p>
    <w:p>
      <w:pPr>
        <w:spacing w:line="240" w:lineRule="auto" w:before="12"/>
        <w:rPr>
          <w:rFonts w:ascii="宋体" w:hAnsi="宋体" w:cs="宋体" w:eastAsia="宋体" w:hint="default"/>
          <w:sz w:val="24"/>
          <w:szCs w:val="24"/>
        </w:rPr>
      </w:pPr>
    </w:p>
    <w:p>
      <w:pPr>
        <w:pStyle w:val="Heading3"/>
        <w:spacing w:line="240" w:lineRule="auto" w:before="36"/>
        <w:ind w:left="513" w:right="1126"/>
        <w:jc w:val="left"/>
        <w:rPr>
          <w:b w:val="0"/>
          <w:bCs w:val="0"/>
        </w:rPr>
      </w:pPr>
      <w:r>
        <w:rPr/>
        <w:t>①以摊余成本计量的金融资产</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124" w:firstLine="422"/>
        <w:jc w:val="both"/>
      </w:pPr>
      <w:r>
        <w:rPr>
          <w:spacing w:val="-2"/>
        </w:rPr>
        <w:t>本公司管理以摊余成本计量的金融资产的业务模式为以收取合同现金流量为目标，且此类金融资产的合同现金流量特</w:t>
      </w:r>
      <w:r>
        <w:rPr>
          <w:w w:val="101"/>
        </w:rPr>
        <w:t> </w:t>
      </w:r>
      <w:r>
        <w:rPr>
          <w:spacing w:val="-4"/>
        </w:rPr>
        <w:t>征与基本借贷安排相一致，即在特定日期产生的现金流量，仅为对本金和以未偿付本金金额为基础的利息的支付。本公司对</w:t>
      </w:r>
      <w:r>
        <w:rPr>
          <w:spacing w:val="43"/>
        </w:rPr>
        <w:t> </w:t>
      </w:r>
      <w:r>
        <w:rPr>
          <w:spacing w:val="43"/>
        </w:rPr>
      </w:r>
      <w:r>
        <w:rPr>
          <w:spacing w:val="-3"/>
        </w:rPr>
        <w:t>于此类金融资产，采用实际利率法，按照摊余成本进行后续计量，其摊销或减值产生的利得或损失，计入当期损益。</w:t>
      </w:r>
    </w:p>
    <w:p>
      <w:pPr>
        <w:pStyle w:val="Heading3"/>
        <w:spacing w:line="240" w:lineRule="auto" w:before="111"/>
        <w:ind w:left="513" w:right="1126"/>
        <w:jc w:val="left"/>
        <w:rPr>
          <w:b w:val="0"/>
          <w:bCs w:val="0"/>
        </w:rPr>
      </w:pPr>
      <w:r>
        <w:rPr/>
        <w:t>②以公允价值计量且其变动计入其他综合收益的金融资产</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126" w:firstLine="422"/>
        <w:jc w:val="left"/>
      </w:pPr>
      <w:r>
        <w:rPr>
          <w:spacing w:val="-2"/>
        </w:rPr>
        <w:t>本公司管理此类金融资产的业务模式为既以收取合同现金流量为目标又以出售为目标，且此类金融资产的合同现金流</w:t>
      </w:r>
      <w:r>
        <w:rPr>
          <w:w w:val="101"/>
        </w:rPr>
        <w:t> </w:t>
      </w:r>
      <w:r>
        <w:rPr>
          <w:spacing w:val="-3"/>
        </w:rPr>
        <w:t>量特征与基本借贷安排相一致。本公司对此类金融资产按照公允价值计量且其变动计入其他综合收益，但减值损失或利得、</w:t>
      </w:r>
      <w:r>
        <w:rPr>
          <w:spacing w:val="76"/>
        </w:rPr>
        <w:t> </w:t>
      </w:r>
      <w:r>
        <w:rPr>
          <w:spacing w:val="76"/>
        </w:rPr>
      </w:r>
      <w:r>
        <w:rPr>
          <w:spacing w:val="-3"/>
        </w:rPr>
        <w:t>汇兑损益和按照实际利率法计算的利息收入计入当期损益。</w:t>
      </w:r>
    </w:p>
    <w:p>
      <w:pPr>
        <w:pStyle w:val="BodyText"/>
        <w:spacing w:line="316" w:lineRule="auto" w:before="139"/>
        <w:ind w:right="1124" w:firstLine="422"/>
        <w:jc w:val="both"/>
      </w:pPr>
      <w:r>
        <w:rPr>
          <w:spacing w:val="-2"/>
        </w:rPr>
        <w:t>此外，本公司将部分非交易性权益工具投资指定为以公允价值计量且其变动计入其他综合收益的金融资产。本公司将</w:t>
      </w:r>
      <w:r>
        <w:rPr>
          <w:w w:val="101"/>
        </w:rPr>
        <w:t> </w:t>
      </w:r>
      <w:r>
        <w:rPr>
          <w:spacing w:val="-4"/>
        </w:rPr>
        <w:t>该类金融资产的相关股利收入计入当期损益，公允价值变动计入其他综合收益。当该金融资产终止确认时，之前计入其他综</w:t>
      </w:r>
      <w:r>
        <w:rPr>
          <w:spacing w:val="43"/>
        </w:rPr>
        <w:t> </w:t>
      </w:r>
      <w:r>
        <w:rPr>
          <w:spacing w:val="43"/>
        </w:rPr>
      </w:r>
      <w:r>
        <w:rPr>
          <w:spacing w:val="-3"/>
        </w:rPr>
        <w:t>合收益的累计利得或损失将从其他综合收益转入留存收益，不计入当期损益。</w:t>
      </w:r>
    </w:p>
    <w:p>
      <w:pPr>
        <w:pStyle w:val="Heading3"/>
        <w:spacing w:line="240" w:lineRule="auto" w:before="113"/>
        <w:ind w:left="513" w:right="1126"/>
        <w:jc w:val="left"/>
        <w:rPr>
          <w:b w:val="0"/>
          <w:bCs w:val="0"/>
        </w:rPr>
      </w:pPr>
      <w:r>
        <w:rPr/>
        <w:t>③以公允价值计量且其变动计入当期损益的金融资产</w:t>
      </w:r>
      <w:r>
        <w:rPr>
          <w:b w:val="0"/>
          <w:bCs w:val="0"/>
        </w:rPr>
      </w:r>
    </w:p>
    <w:p>
      <w:pPr>
        <w:spacing w:line="240" w:lineRule="auto" w:before="0"/>
        <w:rPr>
          <w:rFonts w:ascii="宋体" w:hAnsi="宋体" w:cs="宋体" w:eastAsia="宋体" w:hint="default"/>
          <w:b/>
          <w:bCs/>
          <w:sz w:val="14"/>
          <w:szCs w:val="14"/>
        </w:rPr>
      </w:pPr>
    </w:p>
    <w:p>
      <w:pPr>
        <w:pStyle w:val="BodyText"/>
        <w:spacing w:line="316" w:lineRule="auto"/>
        <w:ind w:right="1124" w:firstLine="422"/>
        <w:jc w:val="both"/>
      </w:pPr>
      <w:r>
        <w:rPr>
          <w:spacing w:val="-2"/>
        </w:rPr>
        <w:t>本公司将上述以摊余成本计量的金融资产和以公允价值计量且其变动计入其他综合收益的金融资产之外的金融资产，</w:t>
      </w:r>
      <w:r>
        <w:rPr>
          <w:w w:val="101"/>
        </w:rPr>
        <w:t> </w:t>
      </w:r>
      <w:r>
        <w:rPr>
          <w:spacing w:val="-4"/>
        </w:rPr>
        <w:t>分类为以公允价值计量且其变动计入当期损益的金融资产。此外，在初始确认时，本公司为了消除或显著减少会计错配，将</w:t>
      </w:r>
      <w:r>
        <w:rPr>
          <w:spacing w:val="40"/>
        </w:rPr>
        <w:t> </w:t>
      </w:r>
      <w:r>
        <w:rPr>
          <w:spacing w:val="40"/>
        </w:rPr>
      </w:r>
      <w:r>
        <w:rPr>
          <w:spacing w:val="-4"/>
        </w:rPr>
        <w:t>部分金融资产指定为以公允价值计量且其变动计入当期损益的金融资产。对于此类金融资产，本公司采用公允价值进行后续</w:t>
      </w:r>
      <w:r>
        <w:rPr>
          <w:spacing w:val="39"/>
        </w:rPr>
        <w:t> </w:t>
      </w:r>
      <w:r>
        <w:rPr>
          <w:spacing w:val="39"/>
        </w:rPr>
      </w:r>
      <w:r>
        <w:rPr>
          <w:spacing w:val="-3"/>
        </w:rPr>
        <w:t>计量，公允价值变动计入当期损益。</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3</w:t>
      </w:r>
      <w:r>
        <w:rPr/>
        <w:t>）金融负债的分类、确认和计量</w:t>
      </w:r>
      <w:r>
        <w:rPr>
          <w:b w:val="0"/>
          <w:bCs w:val="0"/>
        </w:rPr>
      </w:r>
    </w:p>
    <w:p>
      <w:pPr>
        <w:pStyle w:val="BodyText"/>
        <w:spacing w:line="316" w:lineRule="auto" w:before="167"/>
        <w:ind w:right="1037" w:firstLine="422"/>
        <w:jc w:val="both"/>
      </w:pPr>
      <w:r>
        <w:rPr>
          <w:spacing w:val="-2"/>
        </w:rPr>
        <w:t>金融负债于初始确认时分类为以公允价值计量且其变动计入当期损益的金融负债和其他金融负债。对于以公允价值计</w:t>
      </w:r>
      <w:r>
        <w:rPr>
          <w:w w:val="101"/>
        </w:rPr>
        <w:t> </w:t>
      </w:r>
      <w:r>
        <w:rPr>
          <w:spacing w:val="-6"/>
          <w:w w:val="101"/>
        </w:rPr>
        <w:t>量且其变动计入当期损益的金融负债，相关交易费用直接计入当期损益，其他金融负债的相关交易费用计入其初始确认金额。</w:t>
      </w:r>
      <w:r>
        <w:rPr>
          <w:spacing w:val="-6"/>
        </w:rPr>
      </w:r>
    </w:p>
    <w:p>
      <w:pPr>
        <w:pStyle w:val="Heading3"/>
        <w:spacing w:line="240" w:lineRule="auto" w:before="113"/>
        <w:ind w:left="513" w:right="1126"/>
        <w:jc w:val="left"/>
        <w:rPr>
          <w:b w:val="0"/>
          <w:bCs w:val="0"/>
        </w:rPr>
      </w:pPr>
      <w:r>
        <w:rPr/>
        <w:t>①以公允价值计量且其变动计入当期损益的金融负债</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124" w:firstLine="422"/>
        <w:jc w:val="both"/>
      </w:pPr>
      <w:r>
        <w:rPr>
          <w:spacing w:val="-2"/>
        </w:rPr>
        <w:t>以公允价值计量且其变动计入当期损益的金融负债，包括交易性金融负债（含属于金融负债的衍生工具）和初始确认</w:t>
      </w:r>
      <w:r>
        <w:rPr>
          <w:w w:val="101"/>
        </w:rPr>
        <w:t> </w:t>
      </w:r>
      <w:r>
        <w:rPr>
          <w:spacing w:val="-3"/>
        </w:rPr>
        <w:t>时指定为以公允价值计量且其变动计入当期损益的金融负债。</w:t>
      </w:r>
    </w:p>
    <w:p>
      <w:pPr>
        <w:pStyle w:val="BodyText"/>
        <w:spacing w:line="316" w:lineRule="auto" w:before="137"/>
        <w:ind w:right="1124" w:firstLine="422"/>
        <w:jc w:val="both"/>
      </w:pPr>
      <w:r>
        <w:rPr>
          <w:spacing w:val="-2"/>
        </w:rPr>
        <w:t>交易性金融负债（含属于金融负债的衍生工具），按照公允价值进行后续计量，除与套期会计有关外，公允价值变动</w:t>
      </w:r>
      <w:r>
        <w:rPr>
          <w:w w:val="101"/>
        </w:rPr>
        <w:t> </w:t>
      </w:r>
      <w:r>
        <w:rPr>
          <w:spacing w:val="-3"/>
        </w:rPr>
        <w:t>计入当期损益。</w:t>
      </w:r>
    </w:p>
    <w:p>
      <w:pPr>
        <w:pStyle w:val="BodyText"/>
        <w:spacing w:line="319" w:lineRule="auto" w:before="139"/>
        <w:ind w:right="1123" w:firstLine="422"/>
        <w:jc w:val="both"/>
      </w:pPr>
      <w:r>
        <w:rPr>
          <w:spacing w:val="-2"/>
        </w:rPr>
        <w:t>被指定为以公允价值计量且其变动计入当期损益的金融负债，该负债由本公司自身信用风险变动引起的公允价值变动</w:t>
      </w:r>
      <w:r>
        <w:rPr>
          <w:w w:val="101"/>
        </w:rPr>
        <w:t> </w:t>
      </w:r>
      <w:r>
        <w:rPr>
          <w:spacing w:val="-4"/>
        </w:rPr>
        <w:t>计入其他综合收益，且终止确认该负债时，计入其他综合收益的自身信用风险变动引起的其公允价值累计变动额转入留存收</w:t>
      </w:r>
      <w:r>
        <w:rPr>
          <w:spacing w:val="38"/>
        </w:rPr>
        <w:t> </w:t>
      </w:r>
      <w:r>
        <w:rPr>
          <w:spacing w:val="38"/>
        </w:rPr>
      </w:r>
      <w:r>
        <w:rPr>
          <w:spacing w:val="-5"/>
        </w:rPr>
        <w:t>益。其余公允价值变动计入当期损益。若按上述方式对该等金融负债的自身信用风险变动的影响进行处理会造成或扩大损益</w:t>
      </w:r>
      <w:r>
        <w:rPr>
          <w:spacing w:val="6"/>
        </w:rPr>
        <w:t> </w:t>
      </w:r>
      <w:r>
        <w:rPr>
          <w:spacing w:val="6"/>
        </w:rPr>
      </w:r>
      <w:r>
        <w:rPr>
          <w:spacing w:val="-3"/>
        </w:rPr>
        <w:t>中的会计错配的，本公司将该金融负债的全部利得或损失（包括企业自身信用风险变动的影响金额）计入当期损益。</w:t>
      </w:r>
    </w:p>
    <w:p>
      <w:pPr>
        <w:pStyle w:val="Heading3"/>
        <w:spacing w:line="240" w:lineRule="auto" w:before="111"/>
        <w:ind w:left="513" w:right="1126"/>
        <w:jc w:val="left"/>
        <w:rPr>
          <w:b w:val="0"/>
          <w:bCs w:val="0"/>
        </w:rPr>
      </w:pPr>
      <w:r>
        <w:rPr/>
        <w:t>②其他金融负债</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124" w:firstLine="422"/>
        <w:jc w:val="both"/>
      </w:pPr>
      <w:r>
        <w:rPr>
          <w:spacing w:val="-2"/>
        </w:rPr>
        <w:t>除金融资产转移不符合终止确认条件或继续涉入被转移金融资产所形成的金融负债、财务担保合同外的其他金融负债</w:t>
      </w:r>
      <w:r>
        <w:rPr>
          <w:w w:val="101"/>
        </w:rPr>
        <w:t> </w:t>
      </w:r>
      <w:r>
        <w:rPr>
          <w:spacing w:val="-3"/>
        </w:rPr>
        <w:t>分类为以摊余成本计量的金融负债，按摊余成本进行后续计量，终止确认或摊销产生的利得或损失计入当期损益。</w:t>
      </w:r>
    </w:p>
    <w:p>
      <w:pPr>
        <w:pStyle w:val="Heading3"/>
        <w:spacing w:line="240" w:lineRule="auto" w:before="111"/>
        <w:ind w:right="1126"/>
        <w:jc w:val="left"/>
        <w:rPr>
          <w:b w:val="0"/>
          <w:bCs w:val="0"/>
        </w:rPr>
      </w:pPr>
      <w:r>
        <w:rPr/>
        <w:t>（</w:t>
      </w:r>
      <w:r>
        <w:rPr>
          <w:rFonts w:ascii="Times New Roman" w:hAnsi="Times New Roman" w:cs="Times New Roman" w:eastAsia="Times New Roman" w:hint="default"/>
        </w:rPr>
        <w:t>4</w:t>
      </w:r>
      <w:r>
        <w:rPr/>
        <w:t>）金融资产转移的确认依据和计量方法</w:t>
      </w:r>
      <w:r>
        <w:rPr>
          <w:b w:val="0"/>
          <w:bCs w:val="0"/>
        </w:rPr>
      </w:r>
    </w:p>
    <w:p>
      <w:pPr>
        <w:pStyle w:val="BodyText"/>
        <w:spacing w:line="316" w:lineRule="auto" w:before="166"/>
        <w:ind w:right="1117" w:firstLine="422"/>
        <w:jc w:val="both"/>
      </w:pPr>
      <w:r>
        <w:rPr>
          <w:spacing w:val="-6"/>
        </w:rPr>
        <w:t>满足下列条件之一的金融资产，予以终止确认：① </w:t>
      </w:r>
      <w:r>
        <w:rPr>
          <w:spacing w:val="-5"/>
        </w:rPr>
        <w:t>收取该金融资产现金流量的合同权利终止；②</w:t>
      </w:r>
      <w:r>
        <w:rPr>
          <w:spacing w:val="24"/>
        </w:rPr>
        <w:t> </w:t>
      </w:r>
      <w:r>
        <w:rPr>
          <w:spacing w:val="-3"/>
        </w:rPr>
        <w:t>该金融资产已转移，</w:t>
      </w:r>
      <w:r>
        <w:rPr>
          <w:w w:val="101"/>
        </w:rPr>
        <w:t> </w:t>
      </w:r>
      <w:r>
        <w:rPr>
          <w:spacing w:val="-4"/>
        </w:rPr>
        <w:t>且将金融资产所有权上几乎所有的风险和报酬转移给转入方；③该金融资产已转移，虽然企业既没有转移也没有保留金融资</w:t>
      </w:r>
      <w:r>
        <w:rPr>
          <w:spacing w:val="43"/>
        </w:rPr>
        <w:t> </w:t>
      </w:r>
      <w:r>
        <w:rPr>
          <w:spacing w:val="43"/>
        </w:rPr>
      </w:r>
      <w:r>
        <w:rPr>
          <w:spacing w:val="-3"/>
        </w:rPr>
        <w:t>产所有权上几乎所有的风险和报酬，但是放弃了对该金融资产的控制。</w:t>
      </w:r>
    </w:p>
    <w:p>
      <w:pPr>
        <w:pStyle w:val="BodyText"/>
        <w:spacing w:line="316" w:lineRule="auto" w:before="139"/>
        <w:ind w:right="1122" w:firstLine="422"/>
        <w:jc w:val="both"/>
      </w:pPr>
      <w:r>
        <w:rPr>
          <w:spacing w:val="-2"/>
        </w:rPr>
        <w:t>若企业既没有转移也没有保留金融资产所有权上几乎所有的风险和报酬，且未放弃对该金融资产的控制的，则按照继</w:t>
      </w:r>
      <w:r>
        <w:rPr>
          <w:w w:val="101"/>
        </w:rPr>
        <w:t> </w:t>
      </w:r>
      <w:r>
        <w:rPr>
          <w:spacing w:val="-4"/>
        </w:rPr>
        <w:t>续涉入所转移金融资产的程度确认有关金融资产，并相应确认有关负债。继续涉入所转移金融资产的程度，是指该金融资产</w:t>
      </w:r>
    </w:p>
    <w:p>
      <w:pPr>
        <w:spacing w:after="0" w:line="316" w:lineRule="auto"/>
        <w:jc w:val="both"/>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1126"/>
        <w:jc w:val="left"/>
      </w:pPr>
      <w:r>
        <w:rPr>
          <w:spacing w:val="-3"/>
        </w:rPr>
        <w:t>价值变动使企业面临的风险水平。</w:t>
      </w:r>
    </w:p>
    <w:p>
      <w:pPr>
        <w:spacing w:line="240" w:lineRule="auto" w:before="0"/>
        <w:rPr>
          <w:rFonts w:ascii="宋体" w:hAnsi="宋体" w:cs="宋体" w:eastAsia="宋体" w:hint="default"/>
          <w:sz w:val="15"/>
          <w:szCs w:val="15"/>
        </w:rPr>
      </w:pPr>
    </w:p>
    <w:p>
      <w:pPr>
        <w:pStyle w:val="BodyText"/>
        <w:spacing w:line="316" w:lineRule="auto"/>
        <w:ind w:right="1124" w:firstLine="422"/>
        <w:jc w:val="both"/>
      </w:pPr>
      <w:r>
        <w:rPr>
          <w:spacing w:val="-2"/>
        </w:rPr>
        <w:t>金融资产整体转移满足终止确认条件的，将所转移金融资产的账面价值及因转移而收到的对价与原计入其他综合收益</w:t>
      </w:r>
      <w:r>
        <w:rPr>
          <w:w w:val="101"/>
        </w:rPr>
        <w:t> </w:t>
      </w:r>
      <w:r>
        <w:rPr>
          <w:spacing w:val="-3"/>
        </w:rPr>
        <w:t>的公允价值变动累计额之和的差额计入当期损益。</w:t>
      </w:r>
    </w:p>
    <w:p>
      <w:pPr>
        <w:pStyle w:val="BodyText"/>
        <w:spacing w:line="316" w:lineRule="auto" w:before="139"/>
        <w:ind w:right="1124" w:firstLine="422"/>
        <w:jc w:val="both"/>
      </w:pPr>
      <w:r>
        <w:rPr>
          <w:spacing w:val="-2"/>
        </w:rPr>
        <w:t>金融资产部分转移满足终止确认条件的，将所转移金融资产的账面价值在终止确认及未终止确认部分之间按其相对的</w:t>
      </w:r>
      <w:r>
        <w:rPr>
          <w:w w:val="101"/>
        </w:rPr>
        <w:t> </w:t>
      </w:r>
      <w:r>
        <w:rPr>
          <w:spacing w:val="-4"/>
          <w:w w:val="101"/>
        </w:rPr>
        <w:t>公允价值进行分摊，并将因转移而收到的对价与应分摊至终止确认部分的原计入其他综合收益的公允价值变动累计额之和与</w:t>
      </w:r>
      <w:r>
        <w:rPr>
          <w:w w:val="101"/>
        </w:rPr>
        <w:t> </w:t>
      </w:r>
      <w:r>
        <w:rPr>
          <w:spacing w:val="-3"/>
        </w:rPr>
        <w:t>分摊的前述账面金额之差额计入当期损益。</w:t>
      </w:r>
    </w:p>
    <w:p>
      <w:pPr>
        <w:pStyle w:val="BodyText"/>
        <w:spacing w:line="319" w:lineRule="auto" w:before="139"/>
        <w:ind w:right="1122" w:firstLine="422"/>
        <w:jc w:val="both"/>
      </w:pPr>
      <w:r>
        <w:rPr>
          <w:spacing w:val="-2"/>
        </w:rPr>
        <w:t>本公司对采用附追索权方式出售的金融资产，或将持有的金融资产背书转让，需确定该金融资产所有权上几乎所有的</w:t>
      </w:r>
      <w:r>
        <w:rPr>
          <w:w w:val="101"/>
        </w:rPr>
        <w:t> </w:t>
      </w:r>
      <w:r>
        <w:rPr>
          <w:spacing w:val="-4"/>
        </w:rPr>
        <w:t>风险和报酬是否已经转移。已将该金融资产所有权上几乎所有的风险和报酬转移给转入方的，终止确认该金融资产；保留了</w:t>
      </w:r>
      <w:r>
        <w:rPr>
          <w:spacing w:val="43"/>
        </w:rPr>
        <w:t> </w:t>
      </w:r>
      <w:r>
        <w:rPr>
          <w:spacing w:val="43"/>
        </w:rPr>
      </w:r>
      <w:r>
        <w:rPr>
          <w:spacing w:val="-4"/>
        </w:rPr>
        <w:t>金融资产所有权上几乎所有的风险和报酬的，不终止确认该金融资产；既没有转移也没有保留金融资产所有权上几乎所有的</w:t>
      </w:r>
      <w:r>
        <w:rPr>
          <w:spacing w:val="43"/>
        </w:rPr>
        <w:t> </w:t>
      </w:r>
      <w:r>
        <w:rPr>
          <w:spacing w:val="43"/>
        </w:rPr>
      </w:r>
      <w:r>
        <w:rPr>
          <w:spacing w:val="-3"/>
        </w:rPr>
        <w:t>风险和报酬的，则继续判断企业是否对该资产保留了控制，并根据前面各段所述的原则进行会计处理。</w:t>
      </w:r>
    </w:p>
    <w:p>
      <w:pPr>
        <w:pStyle w:val="Heading3"/>
        <w:spacing w:line="240" w:lineRule="auto" w:before="111"/>
        <w:ind w:right="1126"/>
        <w:jc w:val="left"/>
        <w:rPr>
          <w:b w:val="0"/>
          <w:bCs w:val="0"/>
        </w:rPr>
      </w:pPr>
      <w:r>
        <w:rPr/>
        <w:t>（</w:t>
      </w:r>
      <w:r>
        <w:rPr>
          <w:rFonts w:ascii="Times New Roman" w:hAnsi="Times New Roman" w:cs="Times New Roman" w:eastAsia="Times New Roman" w:hint="default"/>
        </w:rPr>
        <w:t>5</w:t>
      </w:r>
      <w:r>
        <w:rPr/>
        <w:t>）金融负债终止确认</w:t>
      </w:r>
      <w:r>
        <w:rPr>
          <w:b w:val="0"/>
          <w:bCs w:val="0"/>
        </w:rPr>
      </w:r>
    </w:p>
    <w:p>
      <w:pPr>
        <w:pStyle w:val="BodyText"/>
        <w:spacing w:line="319" w:lineRule="auto" w:before="166"/>
        <w:ind w:right="1126" w:firstLine="422"/>
        <w:jc w:val="left"/>
      </w:pPr>
      <w:r>
        <w:rPr>
          <w:spacing w:val="-2"/>
        </w:rPr>
        <w:t>金融负债（或其一部分）的现时义务已经解除的，本公司终止确认该金融负债（或该部分金融负债）。本公司（借入</w:t>
      </w:r>
      <w:r>
        <w:rPr>
          <w:w w:val="101"/>
        </w:rPr>
        <w:t> </w:t>
      </w:r>
      <w:r>
        <w:rPr>
          <w:spacing w:val="-3"/>
        </w:rPr>
        <w:t>方）与借出方签订协议，以承担新金融负债的方式替换原金融负债，且新金融负债与原金融负债的合同条款实质上不同的，</w:t>
      </w:r>
      <w:r>
        <w:rPr>
          <w:spacing w:val="76"/>
        </w:rPr>
        <w:t> </w:t>
      </w:r>
      <w:r>
        <w:rPr>
          <w:spacing w:val="76"/>
        </w:rPr>
      </w:r>
      <w:r>
        <w:rPr>
          <w:spacing w:val="-4"/>
        </w:rPr>
        <w:t>终止确认原金融负债，同时确认一项新金融负债。本公司对原金融负债（或其一部分）的合同条款作出实质性修改的，终止</w:t>
      </w:r>
      <w:r>
        <w:rPr>
          <w:spacing w:val="40"/>
        </w:rPr>
        <w:t> </w:t>
      </w:r>
      <w:r>
        <w:rPr>
          <w:spacing w:val="40"/>
        </w:rPr>
      </w:r>
      <w:r>
        <w:rPr>
          <w:spacing w:val="-3"/>
        </w:rPr>
        <w:t>确认原金融负债，同时按照修改后的条款确认一项新金融负债。</w:t>
      </w:r>
    </w:p>
    <w:p>
      <w:pPr>
        <w:pStyle w:val="BodyText"/>
        <w:spacing w:line="316" w:lineRule="auto" w:before="137"/>
        <w:ind w:right="1124" w:firstLine="422"/>
        <w:jc w:val="both"/>
      </w:pPr>
      <w:r>
        <w:rPr>
          <w:spacing w:val="-2"/>
        </w:rPr>
        <w:t>金融负债（或其一部分）终止确认的，本公司将其账面价值与支付的对价（包括转出的非现金资产或承担的负债）之</w:t>
      </w:r>
      <w:r>
        <w:rPr>
          <w:w w:val="101"/>
        </w:rPr>
        <w:t> </w:t>
      </w:r>
      <w:r>
        <w:rPr>
          <w:spacing w:val="-3"/>
        </w:rPr>
        <w:t>间的差额，计入当期损益。</w:t>
      </w:r>
    </w:p>
    <w:p>
      <w:pPr>
        <w:pStyle w:val="Heading3"/>
        <w:spacing w:line="240" w:lineRule="auto" w:before="114"/>
        <w:ind w:right="1126"/>
        <w:jc w:val="left"/>
        <w:rPr>
          <w:b w:val="0"/>
          <w:bCs w:val="0"/>
        </w:rPr>
      </w:pPr>
      <w:r>
        <w:rPr/>
        <w:t>（</w:t>
      </w:r>
      <w:r>
        <w:rPr>
          <w:rFonts w:ascii="Times New Roman" w:hAnsi="Times New Roman" w:cs="Times New Roman" w:eastAsia="Times New Roman" w:hint="default"/>
        </w:rPr>
        <w:t>6</w:t>
      </w:r>
      <w:r>
        <w:rPr/>
        <w:t>）金融资产和金融负债的抵销</w:t>
      </w:r>
      <w:r>
        <w:rPr>
          <w:b w:val="0"/>
          <w:bCs w:val="0"/>
        </w:rPr>
      </w:r>
    </w:p>
    <w:p>
      <w:pPr>
        <w:pStyle w:val="BodyText"/>
        <w:spacing w:line="316" w:lineRule="auto" w:before="166"/>
        <w:ind w:right="1124" w:firstLine="422"/>
        <w:jc w:val="both"/>
      </w:pPr>
      <w:r>
        <w:rPr>
          <w:spacing w:val="-2"/>
        </w:rPr>
        <w:t>当本公司具有抵销已确认金额的金融资产和金融负债的法定权利，且该种法定权利是当前可执行的，同时本公司计划</w:t>
      </w:r>
      <w:r>
        <w:rPr>
          <w:w w:val="101"/>
        </w:rPr>
        <w:t> </w:t>
      </w:r>
      <w:r>
        <w:rPr>
          <w:spacing w:val="-4"/>
        </w:rPr>
        <w:t>以净额结算或同时变现该金融资产和清偿该金融负债时，金融资产和金融负债以相互抵销后的净额在资产负债表内列示。除</w:t>
      </w:r>
      <w:r>
        <w:rPr>
          <w:spacing w:val="43"/>
        </w:rPr>
        <w:t> </w:t>
      </w:r>
      <w:r>
        <w:rPr>
          <w:spacing w:val="43"/>
        </w:rPr>
      </w:r>
      <w:r>
        <w:rPr>
          <w:spacing w:val="-3"/>
        </w:rPr>
        <w:t>此以外，金融资产和金融负债在资产负债表内分别列示，不予相互抵销。</w:t>
      </w:r>
    </w:p>
    <w:p>
      <w:pPr>
        <w:pStyle w:val="Heading3"/>
        <w:spacing w:line="240" w:lineRule="auto" w:before="114"/>
        <w:ind w:right="1126"/>
        <w:jc w:val="left"/>
        <w:rPr>
          <w:b w:val="0"/>
          <w:bCs w:val="0"/>
        </w:rPr>
      </w:pPr>
      <w:r>
        <w:rPr/>
        <w:t>（</w:t>
      </w:r>
      <w:r>
        <w:rPr>
          <w:rFonts w:ascii="Times New Roman" w:hAnsi="Times New Roman" w:cs="Times New Roman" w:eastAsia="Times New Roman" w:hint="default"/>
        </w:rPr>
        <w:t>7</w:t>
      </w:r>
      <w:r>
        <w:rPr/>
        <w:t>）金融资产和金融负债公允价值的确定方法</w:t>
      </w:r>
      <w:r>
        <w:rPr>
          <w:b w:val="0"/>
          <w:bCs w:val="0"/>
        </w:rPr>
      </w:r>
    </w:p>
    <w:p>
      <w:pPr>
        <w:pStyle w:val="BodyText"/>
        <w:spacing w:line="316" w:lineRule="auto" w:before="166"/>
        <w:ind w:right="0" w:firstLine="422"/>
        <w:jc w:val="left"/>
      </w:pPr>
      <w:r>
        <w:rPr>
          <w:spacing w:val="-2"/>
        </w:rPr>
        <w:t>公允价值，是指市场参与者在计量日发生的有序交易中，出售一项资产所能收到或者转移一项负债所需支付的价格。</w:t>
      </w:r>
      <w:r>
        <w:rPr>
          <w:w w:val="101"/>
        </w:rPr>
        <w:t> </w:t>
      </w:r>
      <w:r>
        <w:rPr>
          <w:spacing w:val="-4"/>
        </w:rPr>
        <w:t>金融工具存在活跃市场的，本公司采用活跃市场中的报价确定其公允价值。活跃市场中的报价是指易于定期从交易所、经纪</w:t>
      </w:r>
      <w:r>
        <w:rPr>
          <w:spacing w:val="43"/>
        </w:rPr>
        <w:t> </w:t>
      </w:r>
      <w:r>
        <w:rPr>
          <w:spacing w:val="43"/>
        </w:rPr>
      </w:r>
      <w:r>
        <w:rPr>
          <w:spacing w:val="-4"/>
        </w:rPr>
        <w:t>商、行业协会、定价服务机构等获得的价格，且代表了在公平交易中实际发生的市场交易的价格。金融工具不存在活跃市场</w:t>
      </w:r>
      <w:r>
        <w:rPr>
          <w:spacing w:val="40"/>
        </w:rPr>
        <w:t> </w:t>
      </w:r>
      <w:r>
        <w:rPr>
          <w:spacing w:val="40"/>
        </w:rPr>
      </w:r>
      <w:r>
        <w:rPr>
          <w:spacing w:val="-6"/>
          <w:w w:val="101"/>
        </w:rPr>
        <w:t>的，本公司采用估值技术确定其公允价值。估值技术包括参考熟悉情况并自愿交易的各方最近进行的市场交易中使用的价格、</w:t>
      </w:r>
      <w:r>
        <w:rPr>
          <w:spacing w:val="-66"/>
          <w:w w:val="101"/>
        </w:rPr>
        <w:t> </w:t>
      </w:r>
      <w:r>
        <w:rPr>
          <w:spacing w:val="-66"/>
          <w:w w:val="101"/>
        </w:rPr>
      </w:r>
      <w:r>
        <w:rPr>
          <w:spacing w:val="-4"/>
        </w:rPr>
        <w:t>参照实质上相同的其他金融工具当前的公允价值、现金流量折现法和期权定价模型等。在估值时，公司采用在当前情况下适</w:t>
      </w:r>
      <w:r>
        <w:rPr>
          <w:spacing w:val="45"/>
        </w:rPr>
        <w:t> </w:t>
      </w:r>
      <w:r>
        <w:rPr>
          <w:spacing w:val="45"/>
        </w:rPr>
      </w:r>
      <w:r>
        <w:rPr>
          <w:spacing w:val="-4"/>
          <w:w w:val="101"/>
        </w:rPr>
        <w:t>用并且有足够可利用数据和其他信息支持的估值技术，选择与市场参与者在相关资产或负债的交易中所考虑的资产或负债特</w:t>
      </w:r>
      <w:r>
        <w:rPr>
          <w:w w:val="101"/>
        </w:rPr>
        <w:t> </w:t>
      </w:r>
      <w:r>
        <w:rPr>
          <w:spacing w:val="-4"/>
        </w:rPr>
        <w:t>征相一致的输入值，并尽可能优先使用相关可观察输入值。在相关可观察输入值无法取得或取得不切实可行的情况下，使用</w:t>
      </w:r>
      <w:r>
        <w:rPr>
          <w:spacing w:val="43"/>
        </w:rPr>
        <w:t> </w:t>
      </w:r>
      <w:r>
        <w:rPr>
          <w:spacing w:val="43"/>
        </w:rPr>
      </w:r>
      <w:r>
        <w:rPr/>
        <w:t>不可观察输入值。</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8</w:t>
      </w:r>
      <w:r>
        <w:rPr/>
        <w:t>）权益工具</w:t>
      </w:r>
      <w:r>
        <w:rPr>
          <w:b w:val="0"/>
          <w:bCs w:val="0"/>
        </w:rPr>
      </w:r>
    </w:p>
    <w:p>
      <w:pPr>
        <w:pStyle w:val="BodyText"/>
        <w:spacing w:line="316" w:lineRule="auto" w:before="167"/>
        <w:ind w:right="1124" w:firstLine="422"/>
        <w:jc w:val="both"/>
      </w:pPr>
      <w:r>
        <w:rPr>
          <w:spacing w:val="-2"/>
        </w:rPr>
        <w:t>权益工具是指能证明拥有本公司在扣除所有负债后的资产中的剩余权益的合同。本公司发行（含再融资）、回购、出</w:t>
      </w:r>
      <w:r>
        <w:rPr>
          <w:w w:val="101"/>
        </w:rPr>
        <w:t> </w:t>
      </w:r>
      <w:r>
        <w:rPr>
          <w:spacing w:val="-4"/>
        </w:rPr>
        <w:t>售或注销权益工具作为权益的变动处理，与权益性交易相关的交易费用从权益中扣减。本公司不确认权益工具的公允价值变</w:t>
      </w:r>
      <w:r>
        <w:rPr>
          <w:spacing w:val="43"/>
        </w:rPr>
        <w:t> </w:t>
      </w:r>
      <w:r>
        <w:rPr>
          <w:spacing w:val="43"/>
        </w:rPr>
      </w:r>
      <w:r>
        <w:rPr/>
        <w:t>动。</w:t>
      </w:r>
    </w:p>
    <w:p>
      <w:pPr>
        <w:pStyle w:val="BodyText"/>
        <w:spacing w:line="240" w:lineRule="auto" w:before="139"/>
        <w:ind w:left="575" w:right="1126"/>
        <w:jc w:val="left"/>
      </w:pPr>
      <w:r>
        <w:rPr>
          <w:spacing w:val="-3"/>
        </w:rPr>
        <w:t>本公司权益工具在存续期间分派股利（含分类为权益工具的工具所产生的</w:t>
      </w:r>
      <w:r>
        <w:rPr>
          <w:rFonts w:ascii="Times New Roman" w:hAnsi="Times New Roman" w:cs="Times New Roman" w:eastAsia="Times New Roman" w:hint="default"/>
          <w:spacing w:val="-3"/>
        </w:rPr>
        <w:t>“</w:t>
      </w:r>
      <w:r>
        <w:rPr>
          <w:spacing w:val="-3"/>
        </w:rPr>
        <w:t>利息</w:t>
      </w:r>
      <w:r>
        <w:rPr>
          <w:rFonts w:ascii="Times New Roman" w:hAnsi="Times New Roman" w:cs="Times New Roman" w:eastAsia="Times New Roman" w:hint="default"/>
          <w:spacing w:val="-3"/>
        </w:rPr>
        <w:t>”</w:t>
      </w:r>
      <w:r>
        <w:rPr>
          <w:spacing w:val="-3"/>
        </w:rPr>
        <w:t>）的，作为利润分配处理。</w:t>
      </w:r>
    </w:p>
    <w:p>
      <w:pPr>
        <w:spacing w:line="240" w:lineRule="auto" w:before="0"/>
        <w:rPr>
          <w:rFonts w:ascii="宋体" w:hAnsi="宋体" w:cs="宋体" w:eastAsia="宋体" w:hint="default"/>
          <w:sz w:val="26"/>
          <w:szCs w:val="26"/>
        </w:rPr>
      </w:pPr>
    </w:p>
    <w:p>
      <w:pPr>
        <w:pStyle w:val="Heading3"/>
        <w:spacing w:line="240" w:lineRule="auto"/>
        <w:ind w:right="1126"/>
        <w:jc w:val="left"/>
        <w:rPr>
          <w:b w:val="0"/>
          <w:bCs w:val="0"/>
        </w:rPr>
      </w:pPr>
      <w:bookmarkStart w:name="11、金融资产减值" w:id="201"/>
      <w:bookmarkEnd w:id="201"/>
      <w:r>
        <w:rPr>
          <w:b w:val="0"/>
          <w:bCs w:val="0"/>
        </w:rPr>
      </w:r>
      <w:r>
        <w:rPr>
          <w:rFonts w:ascii="Times New Roman" w:hAnsi="Times New Roman" w:cs="Times New Roman" w:eastAsia="Times New Roman" w:hint="default"/>
        </w:rPr>
        <w:t>11</w:t>
      </w:r>
      <w:r>
        <w:rPr/>
        <w:t>、金融资产减值</w:t>
      </w:r>
      <w:r>
        <w:rPr>
          <w:b w:val="0"/>
          <w:bCs w:val="0"/>
        </w:rPr>
      </w:r>
    </w:p>
    <w:p>
      <w:pPr>
        <w:spacing w:after="0" w:line="240" w:lineRule="auto"/>
        <w:jc w:val="left"/>
        <w:sectPr>
          <w:footerReference w:type="default" r:id="rId44"/>
          <w:pgSz w:w="11910" w:h="16840"/>
          <w:pgMar w:footer="1901" w:header="871" w:top="1060" w:bottom="2100" w:left="980" w:right="0"/>
          <w:pgNumType w:start="109"/>
        </w:sectPr>
      </w:pPr>
    </w:p>
    <w:p>
      <w:pPr>
        <w:spacing w:line="240" w:lineRule="auto" w:before="1"/>
        <w:rPr>
          <w:rFonts w:ascii="宋体" w:hAnsi="宋体" w:cs="宋体" w:eastAsia="宋体" w:hint="default"/>
          <w:b/>
          <w:bCs/>
          <w:sz w:val="26"/>
          <w:szCs w:val="26"/>
        </w:rPr>
      </w:pPr>
    </w:p>
    <w:p>
      <w:pPr>
        <w:pStyle w:val="BodyText"/>
        <w:spacing w:line="316" w:lineRule="auto" w:before="46"/>
        <w:ind w:right="1126"/>
        <w:jc w:val="left"/>
      </w:pPr>
      <w:r>
        <w:rPr>
          <w:spacing w:val="-4"/>
        </w:rPr>
        <w:t>工具投资、租赁应收款，主要包括应收票据、应收账款、其他应收款、债权投资、其他债权投资、长期应收款等。此外，对</w:t>
      </w:r>
      <w:r>
        <w:rPr>
          <w:spacing w:val="40"/>
        </w:rPr>
        <w:t> </w:t>
      </w:r>
      <w:r>
        <w:rPr>
          <w:spacing w:val="40"/>
        </w:rPr>
      </w:r>
      <w:r>
        <w:rPr>
          <w:spacing w:val="-3"/>
        </w:rPr>
        <w:t>合同资产及部分财务担保合同，也按照本部分所述会计政策计提减值准备和确认信用减值损失。</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1</w:t>
      </w:r>
      <w:r>
        <w:rPr/>
        <w:t>）减值准备的确认方法</w:t>
      </w:r>
      <w:r>
        <w:rPr>
          <w:b w:val="0"/>
          <w:bCs w:val="0"/>
        </w:rPr>
      </w:r>
    </w:p>
    <w:p>
      <w:pPr>
        <w:pStyle w:val="BodyText"/>
        <w:spacing w:line="316" w:lineRule="auto" w:before="167"/>
        <w:ind w:right="1122" w:firstLine="422"/>
        <w:jc w:val="both"/>
      </w:pPr>
      <w:r>
        <w:rPr>
          <w:spacing w:val="-2"/>
        </w:rPr>
        <w:t>本公司以预期信用损失为基础，对上述各项目按照其适用的预期信用损失计量方法（一般方法或简化方法）计提减值</w:t>
      </w:r>
      <w:r>
        <w:rPr>
          <w:w w:val="101"/>
        </w:rPr>
        <w:t> </w:t>
      </w:r>
      <w:r>
        <w:rPr>
          <w:spacing w:val="-3"/>
        </w:rPr>
        <w:t>准备并确认信用减值损失。</w:t>
      </w:r>
    </w:p>
    <w:p>
      <w:pPr>
        <w:pStyle w:val="BodyText"/>
        <w:spacing w:line="316" w:lineRule="auto" w:before="19"/>
        <w:ind w:right="1123" w:firstLine="422"/>
        <w:jc w:val="both"/>
      </w:pPr>
      <w:r>
        <w:rPr>
          <w:spacing w:val="-2"/>
        </w:rPr>
        <w:t>信用损失，是指本公司按照原实际利率折现的、根据合同应收的所有合同现金流量与预期收取的所有现金流量之间的</w:t>
      </w:r>
      <w:r>
        <w:rPr>
          <w:w w:val="101"/>
        </w:rPr>
        <w:t> </w:t>
      </w:r>
      <w:r>
        <w:rPr>
          <w:spacing w:val="-4"/>
        </w:rPr>
        <w:t>差额，即全部现金短缺的现值。其中，对于购买或源生的已发生信用减值的金融资产，本公司按照该金融资产经信用调整的</w:t>
      </w:r>
      <w:r>
        <w:rPr>
          <w:spacing w:val="40"/>
        </w:rPr>
        <w:t> </w:t>
      </w:r>
      <w:r>
        <w:rPr>
          <w:spacing w:val="40"/>
        </w:rPr>
      </w:r>
      <w:r>
        <w:rPr>
          <w:spacing w:val="-3"/>
        </w:rPr>
        <w:t>实际利率折现。</w:t>
      </w:r>
    </w:p>
    <w:p>
      <w:pPr>
        <w:pStyle w:val="BodyText"/>
        <w:spacing w:line="312" w:lineRule="auto" w:before="19"/>
        <w:ind w:right="1122" w:firstLine="422"/>
        <w:jc w:val="both"/>
      </w:pPr>
      <w:r>
        <w:rPr>
          <w:spacing w:val="-2"/>
        </w:rPr>
        <w:t>预期信用损失计量的一般方法是指，本公司在每个资产负债表日评估金融资产（含合同资产等其他适用项目，下同）</w:t>
      </w:r>
      <w:r>
        <w:rPr>
          <w:w w:val="101"/>
        </w:rPr>
        <w:t> </w:t>
      </w:r>
      <w:r>
        <w:rPr>
          <w:spacing w:val="-4"/>
        </w:rPr>
        <w:t>的信用风险自初始确认后是否已经显著增加，如果信用风险自初始确认后已显著增加，本公司按照相当于整个存续期内预期</w:t>
      </w:r>
      <w:r>
        <w:rPr>
          <w:spacing w:val="43"/>
        </w:rPr>
        <w:t> </w:t>
      </w:r>
      <w:r>
        <w:rPr>
          <w:spacing w:val="43"/>
        </w:rPr>
      </w:r>
      <w:r>
        <w:rPr>
          <w:spacing w:val="-4"/>
        </w:rPr>
        <w:t>信用损失的金额计量损失准备；如果信用风险自初始确认后未显著增加，本公司按照相当于未来</w:t>
      </w:r>
      <w:r>
        <w:rPr>
          <w:rFonts w:ascii="Times New Roman" w:hAnsi="Times New Roman" w:cs="Times New Roman" w:eastAsia="Times New Roman" w:hint="default"/>
          <w:spacing w:val="-4"/>
        </w:rPr>
        <w:t>12</w:t>
      </w:r>
      <w:r>
        <w:rPr>
          <w:spacing w:val="-4"/>
        </w:rPr>
        <w:t>个月内预期信用损失的金</w:t>
      </w:r>
      <w:r>
        <w:rPr>
          <w:spacing w:val="48"/>
        </w:rPr>
        <w:t> </w:t>
      </w:r>
      <w:r>
        <w:rPr>
          <w:spacing w:val="48"/>
        </w:rPr>
      </w:r>
      <w:r>
        <w:rPr>
          <w:spacing w:val="-3"/>
        </w:rPr>
        <w:t>额计量损失准备。本公司在评估预期信用损失时，考虑所有合理且有依据的信息，包括前瞻性信息。</w:t>
      </w:r>
    </w:p>
    <w:p>
      <w:pPr>
        <w:pStyle w:val="BodyText"/>
        <w:spacing w:line="319" w:lineRule="auto" w:before="22"/>
        <w:ind w:right="1124" w:firstLine="422"/>
        <w:jc w:val="both"/>
      </w:pPr>
      <w:r>
        <w:rPr>
          <w:spacing w:val="-2"/>
        </w:rPr>
        <w:t>对于在资产负债表日具有较低信用风险的金融工具，本公司假设其信用风险自初始确认后并未显著增加，选择按照未</w:t>
      </w:r>
      <w:r>
        <w:rPr>
          <w:w w:val="101"/>
        </w:rPr>
        <w:t> </w:t>
      </w:r>
      <w:r>
        <w:rPr/>
        <w:t>来 </w:t>
      </w:r>
      <w:r>
        <w:rPr>
          <w:rFonts w:ascii="Times New Roman" w:hAnsi="Times New Roman" w:cs="Times New Roman" w:eastAsia="Times New Roman" w:hint="default"/>
        </w:rPr>
        <w:t>12 </w:t>
      </w:r>
      <w:r>
        <w:rPr>
          <w:rFonts w:ascii="Times New Roman" w:hAnsi="Times New Roman" w:cs="Times New Roman" w:eastAsia="Times New Roman" w:hint="default"/>
          <w:spacing w:val="15"/>
        </w:rPr>
        <w:t> </w:t>
      </w:r>
      <w:r>
        <w:rPr>
          <w:spacing w:val="-3"/>
        </w:rPr>
        <w:t>个月内的预期信用损失计量损失准备。</w:t>
      </w:r>
    </w:p>
    <w:p>
      <w:pPr>
        <w:pStyle w:val="Heading3"/>
        <w:spacing w:line="262" w:lineRule="exact"/>
        <w:ind w:right="1126"/>
        <w:jc w:val="left"/>
        <w:rPr>
          <w:b w:val="0"/>
          <w:bCs w:val="0"/>
        </w:rPr>
      </w:pPr>
      <w:r>
        <w:rPr/>
        <w:t>（</w:t>
      </w:r>
      <w:r>
        <w:rPr>
          <w:rFonts w:ascii="Times New Roman" w:hAnsi="Times New Roman" w:cs="Times New Roman" w:eastAsia="Times New Roman" w:hint="default"/>
        </w:rPr>
        <w:t>2</w:t>
      </w:r>
      <w:r>
        <w:rPr/>
        <w:t>）信用风险自初始确认后是否显著增加的判断标准</w:t>
      </w:r>
      <w:r>
        <w:rPr>
          <w:b w:val="0"/>
          <w:bCs w:val="0"/>
        </w:rPr>
      </w:r>
    </w:p>
    <w:p>
      <w:pPr>
        <w:pStyle w:val="BodyText"/>
        <w:spacing w:line="309" w:lineRule="auto" w:before="46"/>
        <w:ind w:right="1122" w:firstLine="422"/>
        <w:jc w:val="both"/>
      </w:pPr>
      <w:r>
        <w:rPr>
          <w:spacing w:val="-2"/>
        </w:rPr>
        <w:t>如果某项金融资产在资产负债表日确定的预计存续期内的违约概率显著高于在初始确认时确定的预计存续期内的违约</w:t>
      </w:r>
      <w:r>
        <w:rPr>
          <w:w w:val="101"/>
        </w:rPr>
        <w:t> </w:t>
      </w:r>
      <w:r>
        <w:rPr>
          <w:spacing w:val="-4"/>
        </w:rPr>
        <w:t>概率，则表明该项金融资产的信用风险显著增加。除特殊情况外，本公司采用未来</w:t>
      </w:r>
      <w:r>
        <w:rPr>
          <w:rFonts w:ascii="Times New Roman" w:hAnsi="Times New Roman" w:cs="Times New Roman" w:eastAsia="Times New Roman" w:hint="default"/>
          <w:spacing w:val="-4"/>
        </w:rPr>
        <w:t>12</w:t>
      </w:r>
      <w:r>
        <w:rPr>
          <w:spacing w:val="-4"/>
        </w:rPr>
        <w:t>个月内发生的违约风险的变化作为整个</w:t>
      </w:r>
      <w:r>
        <w:rPr>
          <w:spacing w:val="48"/>
        </w:rPr>
        <w:t> </w:t>
      </w:r>
      <w:r>
        <w:rPr>
          <w:spacing w:val="48"/>
        </w:rPr>
      </w:r>
      <w:r>
        <w:rPr>
          <w:spacing w:val="-3"/>
        </w:rPr>
        <w:t>存续期内发生违约风险变化的合理估计，来确定自初始确认后信用风险是否显著增加。</w:t>
      </w:r>
    </w:p>
    <w:p>
      <w:pPr>
        <w:pStyle w:val="Heading3"/>
        <w:spacing w:line="240" w:lineRule="auto" w:before="119"/>
        <w:ind w:right="1126"/>
        <w:jc w:val="left"/>
        <w:rPr>
          <w:b w:val="0"/>
          <w:bCs w:val="0"/>
        </w:rPr>
      </w:pPr>
      <w:r>
        <w:rPr/>
        <w:t>（</w:t>
      </w:r>
      <w:r>
        <w:rPr>
          <w:rFonts w:ascii="Times New Roman" w:hAnsi="Times New Roman" w:cs="Times New Roman" w:eastAsia="Times New Roman" w:hint="default"/>
        </w:rPr>
        <w:t>3</w:t>
      </w:r>
      <w:r>
        <w:rPr/>
        <w:t>）以组合为基础评估预期信用风险的组合方法</w:t>
      </w:r>
      <w:r>
        <w:rPr>
          <w:b w:val="0"/>
          <w:bCs w:val="0"/>
        </w:rPr>
      </w:r>
    </w:p>
    <w:p>
      <w:pPr>
        <w:pStyle w:val="BodyText"/>
        <w:spacing w:line="316" w:lineRule="auto" w:before="166"/>
        <w:ind w:right="1124" w:firstLine="422"/>
        <w:jc w:val="both"/>
      </w:pPr>
      <w:r>
        <w:rPr>
          <w:spacing w:val="-2"/>
        </w:rPr>
        <w:t>本公司对信用风险显著不同的金融资产单项评价信用风险，如：应收关联方款项；与对方存在争议或涉及诉讼、仲裁</w:t>
      </w:r>
      <w:r>
        <w:rPr>
          <w:w w:val="101"/>
        </w:rPr>
        <w:t> </w:t>
      </w:r>
      <w:r>
        <w:rPr>
          <w:spacing w:val="-3"/>
        </w:rPr>
        <w:t>的应收款项；已有明显迹象表明债务人很可能无法履行还款义务的应收款项等。</w:t>
      </w:r>
    </w:p>
    <w:p>
      <w:pPr>
        <w:pStyle w:val="BodyText"/>
        <w:spacing w:line="316" w:lineRule="auto" w:before="19"/>
        <w:ind w:right="1162" w:firstLine="422"/>
        <w:jc w:val="both"/>
      </w:pPr>
      <w:r>
        <w:rPr>
          <w:spacing w:val="-3"/>
        </w:rPr>
        <w:t>除了单项评估信用风险的金融资产外，本公司基于共同风险特征将金融资产划分为不同的组别，在组合的基础上评估</w:t>
      </w:r>
      <w:r>
        <w:rPr>
          <w:w w:val="101"/>
        </w:rPr>
        <w:t> </w:t>
      </w:r>
      <w:r>
        <w:rPr/>
        <w:t>信用风险。</w:t>
      </w:r>
    </w:p>
    <w:p>
      <w:pPr>
        <w:pStyle w:val="Heading3"/>
        <w:spacing w:line="240" w:lineRule="auto" w:before="114"/>
        <w:ind w:right="1126"/>
        <w:jc w:val="left"/>
        <w:rPr>
          <w:b w:val="0"/>
          <w:bCs w:val="0"/>
        </w:rPr>
      </w:pPr>
      <w:r>
        <w:rPr/>
        <w:t>（</w:t>
      </w:r>
      <w:r>
        <w:rPr>
          <w:rFonts w:ascii="Times New Roman" w:hAnsi="Times New Roman" w:cs="Times New Roman" w:eastAsia="Times New Roman" w:hint="default"/>
        </w:rPr>
        <w:t>4</w:t>
      </w:r>
      <w:r>
        <w:rPr/>
        <w:t>）金融资产减值的会计处理方法</w:t>
      </w:r>
      <w:r>
        <w:rPr>
          <w:b w:val="0"/>
          <w:bCs w:val="0"/>
        </w:rPr>
      </w:r>
    </w:p>
    <w:p>
      <w:pPr>
        <w:pStyle w:val="BodyText"/>
        <w:spacing w:line="316" w:lineRule="auto" w:before="166"/>
        <w:ind w:right="1162" w:firstLine="422"/>
        <w:jc w:val="both"/>
      </w:pPr>
      <w:r>
        <w:rPr>
          <w:spacing w:val="-3"/>
        </w:rPr>
        <w:t>期末，本公司计算各类金融资产的预计信用损失，如果该预计信用损失大于其当前减值准备的账面金额，将其差额确</w:t>
      </w:r>
      <w:r>
        <w:rPr>
          <w:w w:val="101"/>
        </w:rPr>
        <w:t> </w:t>
      </w:r>
      <w:r>
        <w:rPr>
          <w:spacing w:val="-3"/>
        </w:rPr>
        <w:t>认为减值损失；如果小于当前减值准备的账面金额，则将差额确认为减值利得。</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5</w:t>
      </w:r>
      <w:r>
        <w:rPr/>
        <w:t>）各类金融资产信用损失的确定方法</w:t>
      </w:r>
      <w:r>
        <w:rPr>
          <w:b w:val="0"/>
          <w:bCs w:val="0"/>
        </w:rPr>
      </w:r>
    </w:p>
    <w:p>
      <w:pPr>
        <w:pStyle w:val="BodyText"/>
        <w:spacing w:line="300" w:lineRule="auto" w:before="167"/>
        <w:ind w:left="575" w:right="1126"/>
        <w:jc w:val="left"/>
      </w:pPr>
      <w:r>
        <w:rPr>
          <w:rFonts w:ascii="Times New Roman" w:hAnsi="Times New Roman" w:cs="Times New Roman" w:eastAsia="Times New Roman" w:hint="default"/>
        </w:rPr>
        <w:t>1</w:t>
      </w:r>
      <w:r>
        <w:rPr/>
        <w:t>）应收票据</w:t>
      </w:r>
      <w:r>
        <w:rPr>
          <w:spacing w:val="-87"/>
        </w:rPr>
        <w:t> </w:t>
      </w:r>
      <w:r>
        <w:rPr>
          <w:spacing w:val="-87"/>
        </w:rPr>
      </w:r>
      <w:r>
        <w:rPr>
          <w:spacing w:val="-3"/>
        </w:rPr>
        <w:t>本公司对于应收票据按照相当于整个存续期内的预期信用损失金额计量损失准备。基于应收票据的信用风险特征，将</w:t>
      </w:r>
    </w:p>
    <w:p>
      <w:pPr>
        <w:pStyle w:val="BodyText"/>
        <w:spacing w:line="240" w:lineRule="auto" w:before="31"/>
        <w:ind w:right="1126"/>
        <w:jc w:val="left"/>
      </w:pPr>
      <w:r>
        <w:rPr>
          <w:spacing w:val="-3"/>
        </w:rPr>
        <w:t>其划分为不同组合：</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255"/>
        <w:gridCol w:w="6406"/>
      </w:tblGrid>
      <w:tr>
        <w:trPr>
          <w:trHeight w:val="336" w:hRule="exact"/>
        </w:trPr>
        <w:tc>
          <w:tcPr>
            <w:tcW w:w="325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640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346" w:hRule="exact"/>
        </w:trPr>
        <w:tc>
          <w:tcPr>
            <w:tcW w:w="325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64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承兑人为信用风险较小的银行，参考历史信用损失经验不计提坏账准备</w:t>
            </w:r>
          </w:p>
        </w:tc>
      </w:tr>
      <w:tr>
        <w:trPr>
          <w:trHeight w:val="346"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承兑人为信用风险较高的企业，以应收票据的账龄作为信用风险特征</w:t>
            </w:r>
          </w:p>
        </w:tc>
      </w:tr>
    </w:tbl>
    <w:p>
      <w:pPr>
        <w:pStyle w:val="BodyText"/>
        <w:spacing w:line="309" w:lineRule="auto" w:before="10"/>
        <w:ind w:left="575" w:right="1237"/>
        <w:jc w:val="left"/>
      </w:pPr>
      <w:r>
        <w:rPr>
          <w:rFonts w:ascii="Times New Roman" w:hAnsi="Times New Roman" w:cs="Times New Roman" w:eastAsia="Times New Roman" w:hint="default"/>
        </w:rPr>
        <w:t>2</w:t>
      </w:r>
      <w:r>
        <w:rPr/>
        <w:t>）应收账款</w:t>
      </w:r>
      <w:r>
        <w:rPr>
          <w:spacing w:val="-87"/>
        </w:rPr>
        <w:t> </w:t>
      </w:r>
      <w:r>
        <w:rPr>
          <w:spacing w:val="-87"/>
        </w:rPr>
      </w:r>
      <w:r>
        <w:rPr>
          <w:spacing w:val="-3"/>
        </w:rPr>
        <w:t>对于不含重大融资成分的应收款项，本公司按照相当于整个存续期内的预期信用损失金额计量损失准备。</w:t>
      </w:r>
      <w:r>
        <w:rPr>
          <w:spacing w:val="43"/>
        </w:rPr>
        <w:t> </w:t>
      </w:r>
      <w:r>
        <w:rPr>
          <w:spacing w:val="43"/>
        </w:rPr>
      </w:r>
      <w:r>
        <w:rPr>
          <w:spacing w:val="-3"/>
        </w:rPr>
        <w:t>对于包含重大融资成分的应收款项，本公司选择始终按照相当于存续期内预期信用损失的金额计量损失准备。</w:t>
      </w:r>
    </w:p>
    <w:p>
      <w:pPr>
        <w:pStyle w:val="BodyText"/>
        <w:spacing w:line="240" w:lineRule="auto" w:before="24"/>
        <w:ind w:left="575" w:right="1126"/>
        <w:jc w:val="left"/>
      </w:pPr>
      <w:r>
        <w:rPr/>
        <w:t>①</w:t>
      </w:r>
      <w:r>
        <w:rPr>
          <w:spacing w:val="71"/>
        </w:rPr>
        <w:t> </w:t>
      </w:r>
      <w:r>
        <w:rPr>
          <w:spacing w:val="-3"/>
        </w:rPr>
        <w:t>单项金额重大并单项评估信用风险的应收账款的确认标准、计提方法</w:t>
      </w:r>
    </w:p>
    <w:p>
      <w:pPr>
        <w:pStyle w:val="BodyText"/>
        <w:spacing w:line="300" w:lineRule="auto" w:before="76"/>
        <w:ind w:right="1126" w:firstLine="422"/>
        <w:jc w:val="left"/>
      </w:pPr>
      <w:r>
        <w:rPr>
          <w:rFonts w:ascii="Times New Roman" w:hAnsi="Times New Roman" w:cs="Times New Roman" w:eastAsia="Times New Roman" w:hint="default"/>
        </w:rPr>
        <w:t>A</w:t>
      </w:r>
      <w:r>
        <w:rPr/>
        <w:t>．深圳市彩梦科技有限公司（以下简称</w:t>
      </w:r>
      <w:r>
        <w:rPr>
          <w:rFonts w:ascii="Times New Roman" w:hAnsi="Times New Roman" w:cs="Times New Roman" w:eastAsia="Times New Roman" w:hint="default"/>
        </w:rPr>
        <w:t>“</w:t>
      </w:r>
      <w:r>
        <w:rPr/>
        <w:t>彩梦科技公司</w:t>
      </w:r>
      <w:r>
        <w:rPr>
          <w:rFonts w:ascii="Times New Roman" w:hAnsi="Times New Roman" w:cs="Times New Roman" w:eastAsia="Times New Roman" w:hint="default"/>
        </w:rPr>
        <w:t>”</w:t>
      </w:r>
      <w:r>
        <w:rPr/>
        <w:t>）及其子公司将金额为人民币 </w:t>
      </w:r>
      <w:r>
        <w:rPr>
          <w:rFonts w:ascii="Times New Roman" w:hAnsi="Times New Roman" w:cs="Times New Roman" w:eastAsia="Times New Roman" w:hint="default"/>
        </w:rPr>
        <w:t>300</w:t>
      </w:r>
      <w:r>
        <w:rPr>
          <w:rFonts w:ascii="Times New Roman" w:hAnsi="Times New Roman" w:cs="Times New Roman" w:eastAsia="Times New Roman" w:hint="default"/>
          <w:spacing w:val="11"/>
        </w:rPr>
        <w:t> </w:t>
      </w:r>
      <w:r>
        <w:rPr/>
        <w:t>万元及以上且超过期末应</w:t>
      </w:r>
      <w:r>
        <w:rPr>
          <w:w w:val="101"/>
        </w:rPr>
        <w:t> </w:t>
      </w:r>
      <w:r>
        <w:rPr/>
        <w:t>收账款余额</w:t>
      </w:r>
      <w:r>
        <w:rPr>
          <w:spacing w:val="51"/>
        </w:rPr>
        <w:t> </w:t>
      </w:r>
      <w:r>
        <w:rPr>
          <w:rFonts w:ascii="Times New Roman" w:hAnsi="Times New Roman" w:cs="Times New Roman" w:eastAsia="Times New Roman" w:hint="default"/>
          <w:spacing w:val="-3"/>
        </w:rPr>
        <w:t>10%</w:t>
      </w:r>
      <w:r>
        <w:rPr>
          <w:spacing w:val="-3"/>
        </w:rPr>
        <w:t>的应收账款确认为单项金额重大的应收账款。</w:t>
      </w:r>
    </w:p>
    <w:p>
      <w:pPr>
        <w:spacing w:after="0" w:line="300" w:lineRule="auto"/>
        <w:jc w:val="left"/>
        <w:sectPr>
          <w:footerReference w:type="default" r:id="rId45"/>
          <w:pgSz w:w="11910" w:h="16840"/>
          <w:pgMar w:footer="1901" w:header="871" w:top="1060" w:bottom="2100" w:left="980" w:right="0"/>
          <w:pgNumType w:start="110"/>
        </w:sectPr>
      </w:pPr>
    </w:p>
    <w:p>
      <w:pPr>
        <w:spacing w:line="240" w:lineRule="auto" w:before="1"/>
        <w:rPr>
          <w:rFonts w:ascii="宋体" w:hAnsi="宋体" w:cs="宋体" w:eastAsia="宋体" w:hint="default"/>
          <w:sz w:val="26"/>
          <w:szCs w:val="26"/>
        </w:rPr>
      </w:pPr>
    </w:p>
    <w:p>
      <w:pPr>
        <w:pStyle w:val="BodyText"/>
        <w:spacing w:line="316" w:lineRule="auto" w:before="46"/>
        <w:ind w:left="575" w:right="1126"/>
        <w:jc w:val="left"/>
      </w:pPr>
      <w:r>
        <w:rPr/>
        <w:t>② </w:t>
      </w:r>
      <w:r>
        <w:rPr>
          <w:spacing w:val="-3"/>
        </w:rPr>
        <w:t>单项金额虽不重大但单项评估信用风险的应收账款</w:t>
      </w:r>
      <w:r>
        <w:rPr>
          <w:spacing w:val="-42"/>
        </w:rPr>
        <w:t> </w:t>
      </w:r>
      <w:r>
        <w:rPr>
          <w:spacing w:val="-42"/>
        </w:rPr>
      </w:r>
      <w:r>
        <w:rPr>
          <w:spacing w:val="-2"/>
        </w:rPr>
        <w:t>本公司对于单项金额虽不重大但具备以下特征的应收账款，单独进行信用减值测试，有客观证据表明其发生了信用减</w:t>
      </w:r>
    </w:p>
    <w:p>
      <w:pPr>
        <w:pStyle w:val="BodyText"/>
        <w:spacing w:line="240" w:lineRule="auto" w:before="19"/>
        <w:ind w:left="139" w:right="3010"/>
        <w:jc w:val="center"/>
      </w:pPr>
      <w:r>
        <w:rPr>
          <w:spacing w:val="-3"/>
        </w:rPr>
        <w:t>值的，根据其未来现金流量现值低于其账面价值的差额，确认信用减值损失，计提预期信用损失：</w:t>
      </w:r>
    </w:p>
    <w:p>
      <w:pPr>
        <w:pStyle w:val="BodyText"/>
        <w:spacing w:line="240" w:lineRule="auto" w:before="77"/>
        <w:ind w:left="575" w:right="1126"/>
        <w:jc w:val="left"/>
      </w:pPr>
      <w:r>
        <w:rPr>
          <w:rFonts w:ascii="Times New Roman" w:hAnsi="Times New Roman" w:cs="Times New Roman" w:eastAsia="Times New Roman" w:hint="default"/>
          <w:spacing w:val="-4"/>
        </w:rPr>
        <w:t>A</w:t>
      </w:r>
      <w:r>
        <w:rPr>
          <w:spacing w:val="-4"/>
        </w:rPr>
        <w:t>．</w:t>
      </w:r>
      <w:r>
        <w:rPr>
          <w:spacing w:val="55"/>
        </w:rPr>
        <w:t> </w:t>
      </w:r>
      <w:r>
        <w:rPr>
          <w:spacing w:val="-3"/>
        </w:rPr>
        <w:t>与对方存在争议或涉及诉讼、仲裁的应收款项；</w:t>
      </w:r>
    </w:p>
    <w:p>
      <w:pPr>
        <w:pStyle w:val="BodyText"/>
        <w:spacing w:line="240" w:lineRule="auto" w:before="63"/>
        <w:ind w:left="575" w:right="1126"/>
        <w:jc w:val="left"/>
      </w:pPr>
      <w:r>
        <w:rPr>
          <w:rFonts w:ascii="Times New Roman" w:hAnsi="Times New Roman" w:cs="Times New Roman" w:eastAsia="Times New Roman" w:hint="default"/>
        </w:rPr>
        <w:t>B</w:t>
      </w:r>
      <w:r>
        <w:rPr/>
        <w:t>．</w:t>
      </w:r>
      <w:r>
        <w:rPr>
          <w:spacing w:val="65"/>
        </w:rPr>
        <w:t> </w:t>
      </w:r>
      <w:r>
        <w:rPr>
          <w:spacing w:val="-3"/>
        </w:rPr>
        <w:t>已有明显迹象表明债务人很可能无法履行还款义务的应收款项。</w:t>
      </w:r>
    </w:p>
    <w:p>
      <w:pPr>
        <w:pStyle w:val="BodyText"/>
        <w:spacing w:line="240" w:lineRule="auto" w:before="63"/>
        <w:ind w:left="575" w:right="1126"/>
        <w:jc w:val="left"/>
      </w:pPr>
      <w:r>
        <w:rPr>
          <w:spacing w:val="-3"/>
        </w:rPr>
        <w:t>③除了单项评估信用风险的应收账款外，基于其信用风险特征，将其划分为不同组合：</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255"/>
        <w:gridCol w:w="6406"/>
      </w:tblGrid>
      <w:tr>
        <w:trPr>
          <w:trHeight w:val="341" w:hRule="exact"/>
        </w:trPr>
        <w:tc>
          <w:tcPr>
            <w:tcW w:w="325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640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34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合并范围内关联方往来组合</w:t>
            </w:r>
          </w:p>
        </w:tc>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以与债务人是否为本公司合并范围内关联方为信用风险特征划分组合</w:t>
            </w:r>
          </w:p>
        </w:tc>
      </w:tr>
      <w:tr>
        <w:trPr>
          <w:trHeight w:val="346"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本组合以应收款项的账龄作为信用风险特征</w:t>
            </w:r>
          </w:p>
        </w:tc>
      </w:tr>
      <w:tr>
        <w:trPr>
          <w:trHeight w:val="34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应收保理款组合</w:t>
            </w:r>
          </w:p>
        </w:tc>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按照相当于整个存续期内预期信用损失的金额计量其损失准备</w:t>
            </w:r>
          </w:p>
        </w:tc>
      </w:tr>
    </w:tbl>
    <w:p>
      <w:pPr>
        <w:pStyle w:val="BodyText"/>
        <w:spacing w:line="300" w:lineRule="auto" w:before="10"/>
        <w:ind w:left="575" w:right="1126"/>
        <w:jc w:val="left"/>
      </w:pPr>
      <w:r>
        <w:rPr>
          <w:rFonts w:ascii="Times New Roman" w:hAnsi="Times New Roman" w:cs="Times New Roman" w:eastAsia="Times New Roman" w:hint="default"/>
        </w:rPr>
        <w:t>3</w:t>
      </w:r>
      <w:r>
        <w:rPr/>
        <w:t>）其他应收款</w:t>
      </w:r>
      <w:r>
        <w:rPr>
          <w:spacing w:val="-85"/>
        </w:rPr>
        <w:t> </w:t>
      </w:r>
      <w:r>
        <w:rPr>
          <w:spacing w:val="-85"/>
        </w:rPr>
      </w:r>
      <w:r>
        <w:rPr>
          <w:spacing w:val="-3"/>
        </w:rPr>
        <w:t>本公司依据其他应收款信用风险自初始确认后是否已经显著增加，采用相当于未来</w:t>
      </w:r>
      <w:r>
        <w:rPr>
          <w:rFonts w:ascii="Times New Roman" w:hAnsi="Times New Roman" w:cs="Times New Roman" w:eastAsia="Times New Roman" w:hint="default"/>
          <w:spacing w:val="-3"/>
        </w:rPr>
        <w:t>12</w:t>
      </w:r>
      <w:r>
        <w:rPr>
          <w:spacing w:val="-3"/>
        </w:rPr>
        <w:t>个月内、或整个存续期的预期信</w:t>
      </w:r>
    </w:p>
    <w:p>
      <w:pPr>
        <w:pStyle w:val="BodyText"/>
        <w:spacing w:line="240" w:lineRule="auto" w:before="13"/>
        <w:ind w:right="1126"/>
        <w:jc w:val="left"/>
      </w:pPr>
      <w:r>
        <w:rPr>
          <w:spacing w:val="-3"/>
        </w:rPr>
        <w:t>用损失的金额计量减值损失。</w:t>
      </w:r>
    </w:p>
    <w:p>
      <w:pPr>
        <w:pStyle w:val="BodyText"/>
        <w:spacing w:line="240" w:lineRule="auto" w:before="76"/>
        <w:ind w:left="575" w:right="1126"/>
        <w:jc w:val="left"/>
      </w:pPr>
      <w:r>
        <w:rPr/>
        <w:t>①</w:t>
      </w:r>
      <w:r>
        <w:rPr>
          <w:spacing w:val="76"/>
        </w:rPr>
        <w:t> </w:t>
      </w:r>
      <w:r>
        <w:rPr>
          <w:spacing w:val="-3"/>
        </w:rPr>
        <w:t>单项金额重大并单项评估信用风险的其他应收款的确认标准、计提方法</w:t>
      </w:r>
    </w:p>
    <w:p>
      <w:pPr>
        <w:pStyle w:val="BodyText"/>
        <w:spacing w:line="300" w:lineRule="auto" w:before="77"/>
        <w:ind w:right="1126" w:firstLine="422"/>
        <w:jc w:val="left"/>
      </w:pPr>
      <w:r>
        <w:rPr>
          <w:rFonts w:ascii="Times New Roman" w:hAnsi="Times New Roman" w:cs="Times New Roman" w:eastAsia="Times New Roman" w:hint="default"/>
        </w:rPr>
        <w:t>A</w:t>
      </w:r>
      <w:r>
        <w:rPr/>
        <w:t>．深圳市彩梦科技有限公司（以下简称</w:t>
      </w:r>
      <w:r>
        <w:rPr>
          <w:rFonts w:ascii="Times New Roman" w:hAnsi="Times New Roman" w:cs="Times New Roman" w:eastAsia="Times New Roman" w:hint="default"/>
        </w:rPr>
        <w:t>“</w:t>
      </w:r>
      <w:r>
        <w:rPr/>
        <w:t>彩梦科技公司</w:t>
      </w:r>
      <w:r>
        <w:rPr>
          <w:rFonts w:ascii="Times New Roman" w:hAnsi="Times New Roman" w:cs="Times New Roman" w:eastAsia="Times New Roman" w:hint="default"/>
        </w:rPr>
        <w:t>”</w:t>
      </w:r>
      <w:r>
        <w:rPr/>
        <w:t>）及其子公司将金额为人民币 </w:t>
      </w:r>
      <w:r>
        <w:rPr>
          <w:rFonts w:ascii="Times New Roman" w:hAnsi="Times New Roman" w:cs="Times New Roman" w:eastAsia="Times New Roman" w:hint="default"/>
        </w:rPr>
        <w:t>200</w:t>
      </w:r>
      <w:r>
        <w:rPr>
          <w:rFonts w:ascii="Times New Roman" w:hAnsi="Times New Roman" w:cs="Times New Roman" w:eastAsia="Times New Roman" w:hint="default"/>
          <w:spacing w:val="11"/>
        </w:rPr>
        <w:t> </w:t>
      </w:r>
      <w:r>
        <w:rPr/>
        <w:t>万元及以上的其他应收款</w:t>
      </w:r>
      <w:r>
        <w:rPr>
          <w:w w:val="101"/>
        </w:rPr>
        <w:t> </w:t>
      </w:r>
      <w:r>
        <w:rPr>
          <w:spacing w:val="-3"/>
        </w:rPr>
        <w:t>确认为单项金额重大的其他应收款。</w:t>
      </w:r>
    </w:p>
    <w:p>
      <w:pPr>
        <w:pStyle w:val="BodyText"/>
        <w:spacing w:line="240" w:lineRule="auto" w:before="31"/>
        <w:ind w:left="575" w:right="1126"/>
        <w:jc w:val="left"/>
      </w:pPr>
      <w:r>
        <w:rPr>
          <w:rFonts w:ascii="Times New Roman" w:hAnsi="Times New Roman" w:cs="Times New Roman" w:eastAsia="Times New Roman" w:hint="default"/>
          <w:spacing w:val="-3"/>
        </w:rPr>
        <w:t>B</w:t>
      </w:r>
      <w:r>
        <w:rPr>
          <w:spacing w:val="-3"/>
        </w:rPr>
        <w:t>．除上述公司之外，本公司将金额为人民币  </w:t>
      </w:r>
      <w:r>
        <w:rPr>
          <w:rFonts w:ascii="Times New Roman" w:hAnsi="Times New Roman" w:cs="Times New Roman" w:eastAsia="Times New Roman" w:hint="default"/>
        </w:rPr>
        <w:t>500 </w:t>
      </w:r>
      <w:r>
        <w:rPr>
          <w:rFonts w:ascii="Times New Roman" w:hAnsi="Times New Roman" w:cs="Times New Roman" w:eastAsia="Times New Roman" w:hint="default"/>
          <w:spacing w:val="15"/>
        </w:rPr>
        <w:t> </w:t>
      </w:r>
      <w:r>
        <w:rPr>
          <w:spacing w:val="-3"/>
        </w:rPr>
        <w:t>万元以上的其他应收款确认为单项金额重大的其他应收款。</w:t>
      </w:r>
    </w:p>
    <w:p>
      <w:pPr>
        <w:pStyle w:val="BodyText"/>
        <w:spacing w:line="316" w:lineRule="auto" w:before="63"/>
        <w:ind w:left="575" w:right="1126"/>
        <w:jc w:val="left"/>
      </w:pPr>
      <w:r>
        <w:rPr/>
        <w:t>② </w:t>
      </w:r>
      <w:r>
        <w:rPr>
          <w:spacing w:val="-3"/>
        </w:rPr>
        <w:t>单项金额虽不重大但单项评估信用风险的其他应收款</w:t>
      </w:r>
      <w:r>
        <w:rPr>
          <w:spacing w:val="-37"/>
        </w:rPr>
        <w:t> </w:t>
      </w:r>
      <w:r>
        <w:rPr>
          <w:spacing w:val="-37"/>
        </w:rPr>
      </w:r>
      <w:r>
        <w:rPr>
          <w:spacing w:val="-2"/>
        </w:rPr>
        <w:t>本公司对于单项金额虽不重大但具备以下特征的其他应收款，单独进行信用减值测试，有客观证据表明其发生了信用</w:t>
      </w:r>
    </w:p>
    <w:p>
      <w:pPr>
        <w:pStyle w:val="BodyText"/>
        <w:spacing w:line="240" w:lineRule="auto" w:before="19"/>
        <w:ind w:right="1126"/>
        <w:jc w:val="left"/>
      </w:pPr>
      <w:r>
        <w:rPr>
          <w:spacing w:val="-3"/>
        </w:rPr>
        <w:t>减值的，根据其未来现金流量现值低于其账面价值的差额，确认信用减值损失，计提预期信用损失：</w:t>
      </w:r>
    </w:p>
    <w:p>
      <w:pPr>
        <w:pStyle w:val="BodyText"/>
        <w:spacing w:line="240" w:lineRule="auto" w:before="76"/>
        <w:ind w:left="575" w:right="1126"/>
        <w:jc w:val="left"/>
      </w:pPr>
      <w:r>
        <w:rPr>
          <w:rFonts w:ascii="Times New Roman" w:hAnsi="Times New Roman" w:cs="Times New Roman" w:eastAsia="Times New Roman" w:hint="default"/>
          <w:spacing w:val="-4"/>
        </w:rPr>
        <w:t>A</w:t>
      </w:r>
      <w:r>
        <w:rPr>
          <w:spacing w:val="-4"/>
        </w:rPr>
        <w:t>．</w:t>
      </w:r>
      <w:r>
        <w:rPr>
          <w:spacing w:val="55"/>
        </w:rPr>
        <w:t> </w:t>
      </w:r>
      <w:r>
        <w:rPr>
          <w:spacing w:val="-3"/>
        </w:rPr>
        <w:t>与对方存在争议或涉及诉讼、仲裁的应收款项；</w:t>
      </w:r>
    </w:p>
    <w:p>
      <w:pPr>
        <w:pStyle w:val="BodyText"/>
        <w:spacing w:line="240" w:lineRule="auto" w:before="63"/>
        <w:ind w:left="575" w:right="1126"/>
        <w:jc w:val="left"/>
      </w:pPr>
      <w:r>
        <w:rPr>
          <w:rFonts w:ascii="Times New Roman" w:hAnsi="Times New Roman" w:cs="Times New Roman" w:eastAsia="Times New Roman" w:hint="default"/>
        </w:rPr>
        <w:t>B</w:t>
      </w:r>
      <w:r>
        <w:rPr/>
        <w:t>．</w:t>
      </w:r>
      <w:r>
        <w:rPr>
          <w:spacing w:val="65"/>
        </w:rPr>
        <w:t> </w:t>
      </w:r>
      <w:r>
        <w:rPr>
          <w:spacing w:val="-3"/>
        </w:rPr>
        <w:t>已有明显迹象表明债务人很可能无法履行还款义务的应收款项。</w:t>
      </w:r>
    </w:p>
    <w:p>
      <w:pPr>
        <w:pStyle w:val="BodyText"/>
        <w:spacing w:line="240" w:lineRule="auto" w:before="63"/>
        <w:ind w:left="575" w:right="1126"/>
        <w:jc w:val="left"/>
      </w:pPr>
      <w:r>
        <w:rPr>
          <w:spacing w:val="-3"/>
        </w:rPr>
        <w:t>③除了单项评估信用风险的其他应收款外，基于其信用风险特征，将其划分为不同组合：</w:t>
      </w:r>
    </w:p>
    <w:p>
      <w:pPr>
        <w:spacing w:line="240" w:lineRule="auto" w:before="0"/>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3255"/>
        <w:gridCol w:w="6406"/>
      </w:tblGrid>
      <w:tr>
        <w:trPr>
          <w:trHeight w:val="341" w:hRule="exact"/>
        </w:trPr>
        <w:tc>
          <w:tcPr>
            <w:tcW w:w="325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640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346"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合并范围内关联方往来组合</w:t>
            </w:r>
          </w:p>
        </w:tc>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管理层评价该类款项具有较低的信用风险，一般不计提减值准备。</w:t>
            </w:r>
          </w:p>
        </w:tc>
      </w:tr>
      <w:tr>
        <w:trPr>
          <w:trHeight w:val="65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86"/>
              <w:jc w:val="left"/>
              <w:rPr>
                <w:rFonts w:ascii="宋体" w:hAnsi="宋体" w:cs="宋体" w:eastAsia="宋体" w:hint="default"/>
                <w:sz w:val="18"/>
                <w:szCs w:val="18"/>
              </w:rPr>
            </w:pPr>
            <w:r>
              <w:rPr>
                <w:rFonts w:ascii="宋体" w:hAnsi="宋体" w:cs="宋体" w:eastAsia="宋体" w:hint="default"/>
                <w:spacing w:val="-3"/>
                <w:sz w:val="18"/>
                <w:szCs w:val="18"/>
              </w:rPr>
              <w:t>以应收备用金、押金及保证金等具有类似性质款项为信用风险特</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征划分组合，管理层评价该类款项具有较低的信用风险，一般不计提减值准备。</w:t>
            </w:r>
          </w:p>
        </w:tc>
      </w:tr>
      <w:tr>
        <w:trPr>
          <w:trHeight w:val="34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本组合以其他应收款的账龄作为信用风险特征。</w:t>
            </w:r>
          </w:p>
        </w:tc>
      </w:tr>
    </w:tbl>
    <w:p>
      <w:pPr>
        <w:pStyle w:val="BodyText"/>
        <w:spacing w:line="240" w:lineRule="auto" w:before="10"/>
        <w:ind w:left="575" w:right="1126"/>
        <w:jc w:val="left"/>
      </w:pPr>
      <w:r>
        <w:rPr>
          <w:rFonts w:ascii="Times New Roman" w:hAnsi="Times New Roman" w:cs="Times New Roman" w:eastAsia="Times New Roman" w:hint="default"/>
        </w:rPr>
        <w:t>4</w:t>
      </w:r>
      <w:r>
        <w:rPr/>
        <w:t>）发放贷款及垫款</w:t>
      </w:r>
    </w:p>
    <w:p>
      <w:pPr>
        <w:pStyle w:val="BodyText"/>
        <w:spacing w:line="300" w:lineRule="auto" w:before="63"/>
        <w:ind w:right="1126" w:firstLine="422"/>
        <w:jc w:val="left"/>
      </w:pPr>
      <w:r>
        <w:rPr>
          <w:spacing w:val="-3"/>
        </w:rPr>
        <w:t>本公司依据贷款信用风险自初始确认后是否已经显著增加，采用相当于未来</w:t>
      </w:r>
      <w:r>
        <w:rPr>
          <w:rFonts w:ascii="Times New Roman" w:hAnsi="Times New Roman" w:cs="Times New Roman" w:eastAsia="Times New Roman" w:hint="default"/>
          <w:spacing w:val="-3"/>
        </w:rPr>
        <w:t>12</w:t>
      </w:r>
      <w:r>
        <w:rPr>
          <w:spacing w:val="-3"/>
        </w:rPr>
        <w:t>个月内、</w:t>
      </w:r>
      <w:r>
        <w:rPr>
          <w:spacing w:val="65"/>
        </w:rPr>
        <w:t> </w:t>
      </w:r>
      <w:r>
        <w:rPr>
          <w:spacing w:val="-3"/>
        </w:rPr>
        <w:t>或整个存续期的预期信用损失</w:t>
      </w:r>
      <w:r>
        <w:rPr>
          <w:w w:val="101"/>
        </w:rPr>
        <w:t> </w:t>
      </w:r>
      <w:r>
        <w:rPr/>
        <w:t>的金额计量减值损失。</w:t>
      </w:r>
    </w:p>
    <w:p>
      <w:pPr>
        <w:pStyle w:val="BodyText"/>
        <w:spacing w:line="316" w:lineRule="auto" w:before="31"/>
        <w:ind w:left="575" w:right="1114"/>
        <w:jc w:val="left"/>
      </w:pPr>
      <w:r>
        <w:rPr>
          <w:spacing w:val="-3"/>
        </w:rPr>
        <w:t>本公司在每个资产负债表日评估贷款的信用风险，并划分为前述三个阶段，分别计算预期信用损失。</w:t>
      </w:r>
      <w:r>
        <w:rPr>
          <w:spacing w:val="37"/>
        </w:rPr>
        <w:t> </w:t>
      </w:r>
      <w:r>
        <w:rPr>
          <w:spacing w:val="37"/>
        </w:rPr>
      </w:r>
      <w:r>
        <w:rPr>
          <w:spacing w:val="-3"/>
        </w:rPr>
        <w:t>本公司参考历史信用损失经验和《贷款风险分类指引》 </w:t>
      </w:r>
      <w:r>
        <w:rPr>
          <w:spacing w:val="38"/>
        </w:rPr>
        <w:t> </w:t>
      </w:r>
      <w:r>
        <w:rPr>
          <w:spacing w:val="-4"/>
        </w:rPr>
        <w:t>等文件，结合当前状况以及对未来经济状况的预测，对于划分</w:t>
      </w:r>
    </w:p>
    <w:p>
      <w:pPr>
        <w:pStyle w:val="BodyText"/>
        <w:spacing w:line="312" w:lineRule="auto" w:before="19"/>
        <w:ind w:right="1123"/>
        <w:jc w:val="both"/>
      </w:pPr>
      <w:r>
        <w:rPr>
          <w:spacing w:val="-4"/>
        </w:rPr>
        <w:t>为第一阶段的贷款，采用相当于未来</w:t>
      </w:r>
      <w:r>
        <w:rPr>
          <w:rFonts w:ascii="Times New Roman" w:hAnsi="Times New Roman" w:cs="Times New Roman" w:eastAsia="Times New Roman" w:hint="default"/>
          <w:spacing w:val="-4"/>
        </w:rPr>
        <w:t>12</w:t>
      </w:r>
      <w:r>
        <w:rPr>
          <w:spacing w:val="-4"/>
        </w:rPr>
        <w:t>个月内的预期信用损失的金额按正常类贷款及保理融资款计量减值损失；对于划分为</w:t>
      </w:r>
      <w:r>
        <w:rPr>
          <w:spacing w:val="47"/>
        </w:rPr>
        <w:t> </w:t>
      </w:r>
      <w:r>
        <w:rPr>
          <w:spacing w:val="47"/>
        </w:rPr>
      </w:r>
      <w:r>
        <w:rPr>
          <w:spacing w:val="-3"/>
        </w:rPr>
        <w:t>第二﹑三阶段的信用﹑保证类贷款， 编制贷款逾期天数与整个存续期信用损失率对照表，计算预期信用损失；对于划分为</w:t>
      </w:r>
      <w:r>
        <w:rPr>
          <w:spacing w:val="-36"/>
        </w:rPr>
        <w:t> </w:t>
      </w:r>
      <w:r>
        <w:rPr>
          <w:spacing w:val="-36"/>
        </w:rPr>
      </w:r>
      <w:r>
        <w:rPr>
          <w:spacing w:val="-3"/>
        </w:rPr>
        <w:t>第二﹑三阶段的抵押﹑质押类贷款及保理融资款，将贷款及保理融资款余额与担保物预计可收回金额的现值进行比较， </w:t>
      </w:r>
      <w:r>
        <w:rPr/>
        <w:t>计</w:t>
      </w:r>
      <w:r>
        <w:rPr>
          <w:spacing w:val="-38"/>
        </w:rPr>
        <w:t> </w:t>
      </w:r>
      <w:r>
        <w:rPr>
          <w:spacing w:val="-38"/>
        </w:rPr>
      </w:r>
      <w:r>
        <w:rPr/>
        <w:t>算预期信用损失。</w:t>
      </w:r>
    </w:p>
    <w:p>
      <w:pPr>
        <w:pStyle w:val="BodyText"/>
        <w:spacing w:line="240" w:lineRule="auto" w:before="22"/>
        <w:ind w:left="575" w:right="1126"/>
        <w:jc w:val="left"/>
      </w:pPr>
      <w:r>
        <w:rPr>
          <w:spacing w:val="-3"/>
        </w:rPr>
        <w:t>对合并范围内公司之间的贷款，公司不计提信用减值准备。</w:t>
      </w:r>
    </w:p>
    <w:p>
      <w:pPr>
        <w:pStyle w:val="BodyText"/>
        <w:spacing w:line="300" w:lineRule="auto" w:before="76"/>
        <w:ind w:left="575" w:right="1126"/>
        <w:jc w:val="left"/>
      </w:pPr>
      <w:r>
        <w:rPr>
          <w:rFonts w:ascii="Times New Roman" w:hAnsi="Times New Roman" w:cs="Times New Roman" w:eastAsia="Times New Roman" w:hint="default"/>
        </w:rPr>
        <w:t>5</w:t>
      </w:r>
      <w:r>
        <w:rPr/>
        <w:t>）债权投资</w:t>
      </w:r>
      <w:r>
        <w:rPr>
          <w:spacing w:val="-87"/>
        </w:rPr>
        <w:t> </w:t>
      </w:r>
      <w:r>
        <w:rPr>
          <w:spacing w:val="-87"/>
        </w:rPr>
      </w:r>
      <w:r>
        <w:rPr>
          <w:spacing w:val="-3"/>
        </w:rPr>
        <w:t>债权投资主要核算以摊余成本计量的债券投资等。本公司依据其信用风险自初始确认后是否已经显著增加，采用相当</w:t>
      </w:r>
    </w:p>
    <w:p>
      <w:pPr>
        <w:pStyle w:val="BodyText"/>
        <w:spacing w:line="240" w:lineRule="auto" w:before="32"/>
        <w:ind w:right="0"/>
        <w:jc w:val="both"/>
      </w:pPr>
      <w:r>
        <w:rPr>
          <w:spacing w:val="-3"/>
        </w:rPr>
        <w:t>于未来</w:t>
      </w:r>
      <w:r>
        <w:rPr>
          <w:rFonts w:ascii="Times New Roman" w:hAnsi="Times New Roman" w:cs="Times New Roman" w:eastAsia="Times New Roman" w:hint="default"/>
          <w:spacing w:val="-3"/>
        </w:rPr>
        <w:t>12</w:t>
      </w:r>
      <w:r>
        <w:rPr>
          <w:spacing w:val="-3"/>
        </w:rPr>
        <w:t>个月内、或整个存续期的预期信用损失的金额计量减值损失。</w:t>
      </w:r>
    </w:p>
    <w:p>
      <w:pPr>
        <w:pStyle w:val="BodyText"/>
        <w:spacing w:line="300" w:lineRule="auto" w:before="63"/>
        <w:ind w:left="575" w:right="1126"/>
        <w:jc w:val="left"/>
      </w:pPr>
      <w:r>
        <w:rPr>
          <w:rFonts w:ascii="Times New Roman" w:hAnsi="Times New Roman" w:cs="Times New Roman" w:eastAsia="Times New Roman" w:hint="default"/>
        </w:rPr>
        <w:t>6</w:t>
      </w:r>
      <w:r>
        <w:rPr/>
        <w:t>）其他债权投资</w:t>
      </w:r>
      <w:r>
        <w:rPr>
          <w:spacing w:val="-87"/>
        </w:rPr>
        <w:t> </w:t>
      </w:r>
      <w:r>
        <w:rPr>
          <w:spacing w:val="-87"/>
        </w:rPr>
      </w:r>
      <w:r>
        <w:rPr>
          <w:spacing w:val="-3"/>
        </w:rPr>
        <w:t>其他债权投资主要核算以公允价值计量且其变动计入其他综合收益的债券投资等。本公司依据其信用风险自初始确认</w:t>
      </w:r>
    </w:p>
    <w:p>
      <w:pPr>
        <w:spacing w:after="0" w:line="300" w:lineRule="auto"/>
        <w:jc w:val="left"/>
        <w:sectPr>
          <w:footerReference w:type="default" r:id="rId46"/>
          <w:pgSz w:w="11910" w:h="16840"/>
          <w:pgMar w:footer="1474" w:header="871" w:top="1060" w:bottom="1660" w:left="980" w:right="0"/>
          <w:pgNumType w:start="111"/>
        </w:sectPr>
      </w:pPr>
    </w:p>
    <w:p>
      <w:pPr>
        <w:spacing w:line="240" w:lineRule="auto" w:before="1"/>
        <w:rPr>
          <w:rFonts w:ascii="宋体" w:hAnsi="宋体" w:cs="宋体" w:eastAsia="宋体" w:hint="default"/>
          <w:sz w:val="26"/>
          <w:szCs w:val="26"/>
        </w:rPr>
      </w:pPr>
    </w:p>
    <w:p>
      <w:pPr>
        <w:pStyle w:val="BodyText"/>
        <w:spacing w:line="300" w:lineRule="auto" w:before="46"/>
        <w:ind w:left="575" w:right="1126" w:hanging="423"/>
        <w:jc w:val="left"/>
      </w:pPr>
      <w:r>
        <w:rPr>
          <w:spacing w:val="-3"/>
        </w:rPr>
        <w:t>后是否已经显著增加，采用相当于未来</w:t>
      </w:r>
      <w:r>
        <w:rPr>
          <w:rFonts w:ascii="Times New Roman" w:hAnsi="Times New Roman" w:cs="Times New Roman" w:eastAsia="Times New Roman" w:hint="default"/>
          <w:spacing w:val="-3"/>
        </w:rPr>
        <w:t>12</w:t>
      </w:r>
      <w:r>
        <w:rPr>
          <w:spacing w:val="-3"/>
        </w:rPr>
        <w:t>个月内、或整个存续期的预期信用损失的金额计量减值损失。</w:t>
      </w:r>
      <w:r>
        <w:rPr>
          <w:spacing w:val="45"/>
        </w:rPr>
        <w:t> </w:t>
      </w:r>
      <w:r>
        <w:rPr>
          <w:spacing w:val="45"/>
        </w:rPr>
      </w:r>
      <w:r>
        <w:rPr>
          <w:rFonts w:ascii="Times New Roman" w:hAnsi="Times New Roman" w:cs="Times New Roman" w:eastAsia="Times New Roman" w:hint="default"/>
          <w:spacing w:val="-3"/>
        </w:rPr>
        <w:t>7</w:t>
      </w:r>
      <w:r>
        <w:rPr>
          <w:spacing w:val="-3"/>
        </w:rPr>
        <w:t>）长期应收款（重大融资成分的应收款项和租赁应收款除外）</w:t>
      </w:r>
      <w:r>
        <w:rPr>
          <w:w w:val="101"/>
        </w:rPr>
        <w:t> </w:t>
      </w:r>
      <w:r>
        <w:rPr>
          <w:spacing w:val="-3"/>
        </w:rPr>
        <w:t>本公司依据其信用风险自初始确认后是否已经显著增加，采用相当于未来</w:t>
      </w:r>
      <w:r>
        <w:rPr>
          <w:rFonts w:ascii="Times New Roman" w:hAnsi="Times New Roman" w:cs="Times New Roman" w:eastAsia="Times New Roman" w:hint="default"/>
          <w:spacing w:val="-3"/>
        </w:rPr>
        <w:t>12</w:t>
      </w:r>
      <w:r>
        <w:rPr>
          <w:spacing w:val="-3"/>
        </w:rPr>
        <w:t>个月内、或整个存续期的预期信用损失的</w:t>
      </w:r>
    </w:p>
    <w:p>
      <w:pPr>
        <w:pStyle w:val="BodyText"/>
        <w:spacing w:line="240" w:lineRule="auto" w:before="13"/>
        <w:ind w:right="1126"/>
        <w:jc w:val="left"/>
      </w:pPr>
      <w:r>
        <w:rPr>
          <w:spacing w:val="-3"/>
        </w:rPr>
        <w:t>金额计量长期应收款减值损失。</w:t>
      </w:r>
    </w:p>
    <w:p>
      <w:pPr>
        <w:spacing w:line="240" w:lineRule="auto" w:before="0"/>
        <w:rPr>
          <w:rFonts w:ascii="宋体" w:hAnsi="宋体" w:cs="宋体" w:eastAsia="宋体" w:hint="default"/>
          <w:sz w:val="18"/>
          <w:szCs w:val="18"/>
        </w:rPr>
      </w:pPr>
    </w:p>
    <w:p>
      <w:pPr>
        <w:pStyle w:val="Heading3"/>
        <w:spacing w:line="240" w:lineRule="auto" w:before="118"/>
        <w:ind w:right="1126"/>
        <w:jc w:val="left"/>
        <w:rPr>
          <w:b w:val="0"/>
          <w:bCs w:val="0"/>
        </w:rPr>
      </w:pPr>
      <w:bookmarkStart w:name="12、存货" w:id="202"/>
      <w:bookmarkEnd w:id="202"/>
      <w:r>
        <w:rPr>
          <w:b w:val="0"/>
          <w:bCs w:val="0"/>
        </w:rPr>
      </w: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r>
        <w:rPr/>
        <w:t>（</w:t>
      </w:r>
      <w:r>
        <w:rPr>
          <w:rFonts w:ascii="Times New Roman" w:hAnsi="Times New Roman" w:cs="Times New Roman" w:eastAsia="Times New Roman" w:hint="default"/>
        </w:rPr>
        <w:t>1</w:t>
      </w:r>
      <w:r>
        <w:rPr/>
        <w:t>）存货的分类</w:t>
      </w:r>
      <w:r>
        <w:rPr>
          <w:b w:val="0"/>
          <w:bCs w:val="0"/>
        </w:rPr>
      </w:r>
    </w:p>
    <w:p>
      <w:pPr>
        <w:pStyle w:val="BodyText"/>
        <w:spacing w:line="240" w:lineRule="auto" w:before="167"/>
        <w:ind w:left="575" w:right="1126"/>
        <w:jc w:val="left"/>
      </w:pPr>
      <w:r>
        <w:rPr>
          <w:spacing w:val="-3"/>
        </w:rPr>
        <w:t>存货主要包括：原材料、库存商品、在途商品、委托代销商品等。</w:t>
      </w:r>
    </w:p>
    <w:p>
      <w:pPr>
        <w:spacing w:line="240" w:lineRule="auto" w:before="1"/>
        <w:rPr>
          <w:rFonts w:ascii="宋体" w:hAnsi="宋体" w:cs="宋体" w:eastAsia="宋体" w:hint="default"/>
          <w:sz w:val="13"/>
          <w:szCs w:val="13"/>
        </w:rPr>
      </w:pPr>
    </w:p>
    <w:p>
      <w:pPr>
        <w:pStyle w:val="Heading3"/>
        <w:spacing w:line="240" w:lineRule="auto"/>
        <w:ind w:right="1126"/>
        <w:jc w:val="left"/>
        <w:rPr>
          <w:b w:val="0"/>
          <w:bCs w:val="0"/>
        </w:rPr>
      </w:pPr>
      <w:r>
        <w:rPr/>
        <w:t>（</w:t>
      </w:r>
      <w:r>
        <w:rPr>
          <w:rFonts w:ascii="Times New Roman" w:hAnsi="Times New Roman" w:cs="Times New Roman" w:eastAsia="Times New Roman" w:hint="default"/>
        </w:rPr>
        <w:t>2</w:t>
      </w:r>
      <w:r>
        <w:rPr/>
        <w:t>）取得和发出存货的计价方法</w:t>
      </w:r>
      <w:r>
        <w:rPr>
          <w:b w:val="0"/>
          <w:bCs w:val="0"/>
        </w:rPr>
      </w:r>
    </w:p>
    <w:p>
      <w:pPr>
        <w:pStyle w:val="BodyText"/>
        <w:spacing w:line="316" w:lineRule="auto" w:before="166"/>
        <w:ind w:right="1126" w:firstLine="422"/>
        <w:jc w:val="left"/>
      </w:pPr>
      <w:r>
        <w:rPr>
          <w:spacing w:val="-2"/>
        </w:rPr>
        <w:t>取得存货时按照实际成本进行计量。存货成本包括采购成本、加工成本和其他成本。除煤等商品在领用和发出时按个</w:t>
      </w:r>
      <w:r>
        <w:rPr>
          <w:w w:val="101"/>
        </w:rPr>
        <w:t> </w:t>
      </w:r>
      <w:r>
        <w:rPr>
          <w:spacing w:val="-3"/>
        </w:rPr>
        <w:t>别认定法计价外，其他存货在领用和发出时按先进先出法计价。</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pStyle w:val="BodyText"/>
        <w:spacing w:line="316" w:lineRule="auto" w:before="167"/>
        <w:ind w:right="1124" w:firstLine="422"/>
        <w:jc w:val="right"/>
      </w:pPr>
      <w:r>
        <w:rPr>
          <w:spacing w:val="-2"/>
        </w:rPr>
        <w:t>可变现净值是指在日常活动中，存货的估计售价减去至完工时估计将要发生的成本、估计的销售费用以及相关税费后</w:t>
      </w:r>
      <w:r>
        <w:rPr>
          <w:w w:val="101"/>
        </w:rPr>
        <w:t> </w:t>
      </w:r>
      <w:r>
        <w:rPr>
          <w:spacing w:val="-8"/>
          <w:w w:val="101"/>
        </w:rPr>
        <w:t>的金额。在确定存货的可变现净值时，以取得的确凿证据为基础，同时考虑持有存货的目的以及资产负债表日后事项的影响。</w:t>
      </w:r>
      <w:r>
        <w:rPr>
          <w:spacing w:val="-8"/>
        </w:rPr>
      </w:r>
    </w:p>
    <w:p>
      <w:pPr>
        <w:pStyle w:val="BodyText"/>
        <w:spacing w:line="316" w:lineRule="auto" w:before="139"/>
        <w:ind w:right="1126" w:firstLine="422"/>
        <w:jc w:val="left"/>
      </w:pPr>
      <w:r>
        <w:rPr>
          <w:spacing w:val="-2"/>
        </w:rPr>
        <w:t>在资产负债表日，存货按照成本与可变现净值孰低计量。当其可变现净值低于成本时，提取存货跌价准备。存货跌价</w:t>
      </w:r>
      <w:r>
        <w:rPr>
          <w:w w:val="101"/>
        </w:rPr>
        <w:t> </w:t>
      </w:r>
      <w:r>
        <w:rPr>
          <w:spacing w:val="-3"/>
        </w:rPr>
        <w:t>准备按单个存货项目的成本高于其可变现净值的差额提取。</w:t>
      </w:r>
    </w:p>
    <w:p>
      <w:pPr>
        <w:pStyle w:val="BodyText"/>
        <w:spacing w:line="316" w:lineRule="auto" w:before="139"/>
        <w:ind w:right="1126" w:firstLine="422"/>
        <w:jc w:val="left"/>
      </w:pPr>
      <w:r>
        <w:rPr>
          <w:spacing w:val="-2"/>
        </w:rPr>
        <w:t>计提存货跌价准备后，如果以前减记存货价值的影响因素已经消失，导致存货的可变现净值高于其账面价值的，在原</w:t>
      </w:r>
      <w:r>
        <w:rPr>
          <w:w w:val="101"/>
        </w:rPr>
        <w:t> </w:t>
      </w:r>
      <w:r>
        <w:rPr>
          <w:spacing w:val="-3"/>
        </w:rPr>
        <w:t>已计提的存货跌价准备金额内予以转回，转回的金额计入当期损益。</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pStyle w:val="BodyText"/>
        <w:spacing w:line="240" w:lineRule="auto" w:before="166"/>
        <w:ind w:left="575" w:right="1126"/>
        <w:jc w:val="left"/>
      </w:pPr>
      <w:r>
        <w:rPr/>
        <w:t>采用永续盘存制。</w:t>
      </w:r>
    </w:p>
    <w:p>
      <w:pPr>
        <w:spacing w:line="240" w:lineRule="auto" w:before="1"/>
        <w:rPr>
          <w:rFonts w:ascii="宋体" w:hAnsi="宋体" w:cs="宋体" w:eastAsia="宋体" w:hint="default"/>
          <w:sz w:val="13"/>
          <w:szCs w:val="13"/>
        </w:rPr>
      </w:pPr>
    </w:p>
    <w:p>
      <w:pPr>
        <w:pStyle w:val="Heading3"/>
        <w:spacing w:line="240" w:lineRule="auto"/>
        <w:ind w:right="1126"/>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66"/>
        <w:ind w:left="470" w:right="1126"/>
        <w:jc w:val="left"/>
      </w:pPr>
      <w:r>
        <w:rPr>
          <w:spacing w:val="-3"/>
        </w:rPr>
        <w:t>①低值易耗品采用一次转销法；</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②包装物采用一次转销法。</w:t>
      </w:r>
    </w:p>
    <w:p>
      <w:pPr>
        <w:spacing w:line="240" w:lineRule="auto" w:before="0"/>
        <w:rPr>
          <w:rFonts w:ascii="宋体" w:hAnsi="宋体" w:cs="宋体" w:eastAsia="宋体" w:hint="default"/>
          <w:sz w:val="18"/>
          <w:szCs w:val="18"/>
        </w:rPr>
      </w:pPr>
    </w:p>
    <w:p>
      <w:pPr>
        <w:pStyle w:val="Heading3"/>
        <w:spacing w:line="240" w:lineRule="auto" w:before="118"/>
        <w:ind w:right="1126"/>
        <w:jc w:val="left"/>
        <w:rPr>
          <w:b w:val="0"/>
          <w:bCs w:val="0"/>
        </w:rPr>
      </w:pPr>
      <w:bookmarkStart w:name="13、持有待售资产" w:id="203"/>
      <w:bookmarkEnd w:id="20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r>
        <w:rPr/>
        <w:t>（</w:t>
      </w:r>
      <w:r>
        <w:rPr>
          <w:rFonts w:ascii="Times New Roman" w:hAnsi="Times New Roman" w:cs="Times New Roman" w:eastAsia="Times New Roman" w:hint="default"/>
        </w:rPr>
        <w:t>1</w:t>
      </w:r>
      <w:r>
        <w:rPr/>
        <w:t>）持有待售的非流动资产或处置组的确认标准</w:t>
      </w:r>
      <w:r>
        <w:rPr>
          <w:b w:val="0"/>
          <w:bCs w:val="0"/>
        </w:rPr>
      </w:r>
    </w:p>
    <w:p>
      <w:pPr>
        <w:pStyle w:val="BodyText"/>
        <w:spacing w:line="316" w:lineRule="auto" w:before="166"/>
        <w:ind w:right="1126" w:firstLine="422"/>
        <w:jc w:val="left"/>
      </w:pPr>
      <w:r>
        <w:rPr>
          <w:spacing w:val="-2"/>
        </w:rPr>
        <w:t>公司主要通过出售（包括具有商业实质的非货币性资产交换，下同）而非持续使用一项非流动资产或处置组收回其账</w:t>
      </w:r>
      <w:r>
        <w:rPr>
          <w:w w:val="101"/>
        </w:rPr>
        <w:t> </w:t>
      </w:r>
      <w:r>
        <w:rPr>
          <w:spacing w:val="-3"/>
        </w:rPr>
        <w:t>面价值的，应当将其划分为持有待售类别。</w:t>
      </w:r>
    </w:p>
    <w:p>
      <w:pPr>
        <w:pStyle w:val="BodyText"/>
        <w:spacing w:line="240" w:lineRule="auto" w:before="139"/>
        <w:ind w:left="575" w:right="1126"/>
        <w:jc w:val="left"/>
      </w:pPr>
      <w:r>
        <w:rPr>
          <w:spacing w:val="-3"/>
        </w:rPr>
        <w:t>公司将同时满足下列条件的非流动资产或处置组划分为持有待售类别：</w:t>
      </w:r>
    </w:p>
    <w:p>
      <w:pPr>
        <w:spacing w:line="240" w:lineRule="auto" w:before="0"/>
        <w:rPr>
          <w:rFonts w:ascii="宋体" w:hAnsi="宋体" w:cs="宋体" w:eastAsia="宋体" w:hint="default"/>
          <w:sz w:val="15"/>
          <w:szCs w:val="15"/>
        </w:rPr>
      </w:pPr>
    </w:p>
    <w:p>
      <w:pPr>
        <w:pStyle w:val="BodyText"/>
        <w:spacing w:line="240" w:lineRule="auto"/>
        <w:ind w:left="575" w:right="1126"/>
        <w:jc w:val="left"/>
      </w:pPr>
      <w:r>
        <w:rPr>
          <w:spacing w:val="-3"/>
        </w:rPr>
        <w:t>①根据类似交易中出售此类资产或处置组的惯例，在当前状况下即可立即出售；</w:t>
      </w:r>
    </w:p>
    <w:p>
      <w:pPr>
        <w:spacing w:line="240" w:lineRule="auto" w:before="0"/>
        <w:rPr>
          <w:rFonts w:ascii="宋体" w:hAnsi="宋体" w:cs="宋体" w:eastAsia="宋体" w:hint="default"/>
          <w:sz w:val="15"/>
          <w:szCs w:val="15"/>
        </w:rPr>
      </w:pPr>
    </w:p>
    <w:p>
      <w:pPr>
        <w:pStyle w:val="BodyText"/>
        <w:spacing w:line="316" w:lineRule="auto"/>
        <w:ind w:right="1126" w:firstLine="422"/>
        <w:jc w:val="left"/>
      </w:pPr>
      <w:r>
        <w:rPr>
          <w:spacing w:val="-2"/>
        </w:rPr>
        <w:t>②出售极可能发生，即公司已经就一项出售计划作出决议且获得确定的购买承诺，预计出售将在一年内完成。有关规</w:t>
      </w:r>
      <w:r>
        <w:rPr>
          <w:w w:val="101"/>
        </w:rPr>
        <w:t> </w:t>
      </w:r>
      <w:r>
        <w:rPr>
          <w:spacing w:val="-3"/>
        </w:rPr>
        <w:t>定要求公司相关权力机构或者监管部门批准后方可出售的，已经获得批准。</w:t>
      </w:r>
    </w:p>
    <w:p>
      <w:pPr>
        <w:pStyle w:val="BodyText"/>
        <w:spacing w:line="319" w:lineRule="auto" w:before="139"/>
        <w:ind w:right="1126" w:firstLine="422"/>
        <w:jc w:val="left"/>
      </w:pPr>
      <w:r>
        <w:rPr>
          <w:spacing w:val="-2"/>
        </w:rPr>
        <w:t>确定的购买承诺，是指公司与其他方签订的具有法律约束力的购买协议，该协议包含交易价格、时间和足够严厉的违</w:t>
      </w:r>
      <w:r>
        <w:rPr>
          <w:w w:val="101"/>
        </w:rPr>
        <w:t> </w:t>
      </w:r>
      <w:r>
        <w:rPr>
          <w:spacing w:val="-3"/>
        </w:rPr>
        <w:t>约惩罚等重要条款，使协议出现重大调整或者撤销的可能性极小。</w:t>
      </w:r>
    </w:p>
    <w:p>
      <w:pPr>
        <w:pStyle w:val="Heading3"/>
        <w:spacing w:line="240" w:lineRule="auto" w:before="111"/>
        <w:ind w:right="1126"/>
        <w:jc w:val="left"/>
        <w:rPr>
          <w:b w:val="0"/>
          <w:bCs w:val="0"/>
        </w:rPr>
      </w:pPr>
      <w:r>
        <w:rPr/>
        <w:t>（</w:t>
      </w:r>
      <w:r>
        <w:rPr>
          <w:rFonts w:ascii="Times New Roman" w:hAnsi="Times New Roman" w:cs="Times New Roman" w:eastAsia="Times New Roman" w:hint="default"/>
        </w:rPr>
        <w:t>2</w:t>
      </w:r>
      <w:r>
        <w:rPr/>
        <w:t>）持有待售的非流动资产或处置组的会计处理方法</w:t>
      </w:r>
      <w:r>
        <w:rPr>
          <w:b w:val="0"/>
          <w:bCs w:val="0"/>
        </w:rPr>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b/>
          <w:bCs/>
          <w:sz w:val="26"/>
          <w:szCs w:val="26"/>
        </w:rPr>
      </w:pPr>
    </w:p>
    <w:p>
      <w:pPr>
        <w:pStyle w:val="BodyText"/>
        <w:spacing w:line="316" w:lineRule="auto" w:before="46"/>
        <w:ind w:right="1124" w:firstLine="422"/>
        <w:jc w:val="both"/>
      </w:pPr>
      <w:r>
        <w:rPr>
          <w:spacing w:val="-2"/>
        </w:rPr>
        <w:t>公司初始计量或在资产负债表日重新计量持有待售的非流动资产或处置组时，其账面价值高于公允价值减去出售费用</w:t>
      </w:r>
      <w:r>
        <w:rPr>
          <w:w w:val="101"/>
        </w:rPr>
        <w:t> </w:t>
      </w:r>
      <w:r>
        <w:rPr>
          <w:spacing w:val="-4"/>
        </w:rPr>
        <w:t>后的净额的，将账面价值减记至公允价值减去出售费用后的净额，减记的金额确认为资产减值损失，计入当期损益，同时计</w:t>
      </w:r>
      <w:r>
        <w:rPr>
          <w:spacing w:val="40"/>
        </w:rPr>
        <w:t> </w:t>
      </w:r>
      <w:r>
        <w:rPr>
          <w:spacing w:val="40"/>
        </w:rPr>
      </w:r>
      <w:r>
        <w:rPr>
          <w:spacing w:val="-3"/>
        </w:rPr>
        <w:t>提持有待售资产减值准备。</w:t>
      </w:r>
    </w:p>
    <w:p>
      <w:pPr>
        <w:pStyle w:val="BodyText"/>
        <w:spacing w:line="316" w:lineRule="auto" w:before="139"/>
        <w:ind w:right="1124" w:firstLine="292"/>
        <w:jc w:val="both"/>
      </w:pPr>
      <w:r>
        <w:rPr>
          <w:spacing w:val="-3"/>
        </w:rPr>
        <w:t>①对于持有待售的固定资产，应当调整该项固定资产的预计净残值，使该项固定资产的预计净残值能够反映其公允价值</w:t>
      </w:r>
      <w:r>
        <w:rPr>
          <w:w w:val="101"/>
        </w:rPr>
        <w:t> </w:t>
      </w:r>
      <w:r>
        <w:rPr>
          <w:spacing w:val="-4"/>
        </w:rPr>
        <w:t>减去处置费用后的金额，但不得超过符合持有待售条件时该项固定资产的原账面价值，原账面价值高于调整后预计净残值的</w:t>
      </w:r>
      <w:r>
        <w:rPr>
          <w:spacing w:val="44"/>
        </w:rPr>
        <w:t> </w:t>
      </w:r>
      <w:r>
        <w:rPr>
          <w:spacing w:val="44"/>
        </w:rPr>
      </w:r>
      <w:r>
        <w:rPr>
          <w:spacing w:val="-4"/>
        </w:rPr>
        <w:t>差额，应作为资产减值损失计入当期损益。持有待售的固定资产不计提折旧，按照账面价值与公允价值减去处置费用后的净</w:t>
      </w:r>
      <w:r>
        <w:rPr>
          <w:spacing w:val="43"/>
        </w:rPr>
        <w:t> </w:t>
      </w:r>
      <w:r>
        <w:rPr>
          <w:spacing w:val="43"/>
        </w:rPr>
      </w:r>
      <w:r>
        <w:rPr/>
        <w:t>额孰低进行计量。</w:t>
      </w:r>
    </w:p>
    <w:p>
      <w:pPr>
        <w:pStyle w:val="BodyText"/>
        <w:spacing w:line="240" w:lineRule="auto" w:before="139"/>
        <w:ind w:left="446" w:right="1126"/>
        <w:jc w:val="left"/>
      </w:pPr>
      <w:r>
        <w:rPr>
          <w:spacing w:val="-3"/>
        </w:rPr>
        <w:t>②对于持有待售的联营企业或合营企业的权益性投资，自划分至持有待售之日起，停止按权益法核算。</w:t>
      </w:r>
    </w:p>
    <w:p>
      <w:pPr>
        <w:spacing w:line="240" w:lineRule="auto" w:before="1"/>
        <w:rPr>
          <w:rFonts w:ascii="宋体" w:hAnsi="宋体" w:cs="宋体" w:eastAsia="宋体" w:hint="default"/>
          <w:sz w:val="15"/>
          <w:szCs w:val="15"/>
        </w:rPr>
      </w:pPr>
    </w:p>
    <w:p>
      <w:pPr>
        <w:pStyle w:val="BodyText"/>
        <w:spacing w:line="316" w:lineRule="auto"/>
        <w:ind w:right="1128" w:firstLine="292"/>
        <w:jc w:val="both"/>
      </w:pPr>
      <w:r>
        <w:rPr>
          <w:spacing w:val="-3"/>
        </w:rPr>
        <w:t>③对于出售的对子公司的投资将导致本公司丧失对子公司的控制权的，无论出售后本公司是否保留少数股东权益，本公</w:t>
      </w:r>
      <w:r>
        <w:rPr>
          <w:w w:val="101"/>
        </w:rPr>
        <w:t> </w:t>
      </w:r>
      <w:r>
        <w:rPr>
          <w:spacing w:val="-4"/>
          <w:w w:val="101"/>
        </w:rPr>
        <w:t>司在拟出售的对子公司投资满足持有待售类别划分条件时，在母公司个别财务报表中将对子公司投资整体划分为持有待售类</w:t>
      </w:r>
      <w:r>
        <w:rPr>
          <w:w w:val="101"/>
        </w:rPr>
        <w:t> </w:t>
      </w:r>
      <w:r>
        <w:rPr>
          <w:spacing w:val="-3"/>
        </w:rPr>
        <w:t>别，在合并财务报表中将子公司所有资产和负债划分为持有待售类别。</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3</w:t>
      </w:r>
      <w:r>
        <w:rPr/>
        <w:t>）不再满足持有待售确认条件时的会计处理</w:t>
      </w:r>
      <w:r>
        <w:rPr>
          <w:b w:val="0"/>
          <w:bCs w:val="0"/>
        </w:rPr>
      </w:r>
    </w:p>
    <w:p>
      <w:pPr>
        <w:pStyle w:val="BodyText"/>
        <w:spacing w:line="300" w:lineRule="auto" w:before="167"/>
        <w:ind w:right="1181" w:firstLine="494"/>
        <w:jc w:val="both"/>
      </w:pPr>
      <w:r>
        <w:rPr>
          <w:rFonts w:ascii="Times New Roman" w:hAnsi="Times New Roman" w:cs="Times New Roman" w:eastAsia="Times New Roman" w:hint="default"/>
          <w:spacing w:val="-3"/>
        </w:rPr>
        <w:t>1</w:t>
      </w:r>
      <w:r>
        <w:rPr>
          <w:spacing w:val="-3"/>
        </w:rPr>
        <w:t>）某项资产或处置组被划归为持有待售，但后来不再满足持有待售固定资产确认条件的，本公司停止将其划归为持</w:t>
      </w:r>
      <w:r>
        <w:rPr>
          <w:w w:val="101"/>
        </w:rPr>
        <w:t> </w:t>
      </w:r>
      <w:r>
        <w:rPr>
          <w:spacing w:val="-3"/>
        </w:rPr>
        <w:t>有待售，并按照下列两项金额中较低者计量：</w:t>
      </w:r>
    </w:p>
    <w:p>
      <w:pPr>
        <w:pStyle w:val="BodyText"/>
        <w:spacing w:line="316" w:lineRule="auto" w:before="151"/>
        <w:ind w:right="1126" w:firstLine="422"/>
        <w:jc w:val="left"/>
      </w:pPr>
      <w:r>
        <w:rPr>
          <w:spacing w:val="-4"/>
        </w:rPr>
        <w:t>①该资产或处置组被划归为持有待售之前的账面价值，按照其假定在没有被划归为持有待售的情况下原应确认的折旧、</w:t>
      </w:r>
      <w:r>
        <w:rPr>
          <w:w w:val="101"/>
        </w:rPr>
        <w:t> </w:t>
      </w:r>
      <w:r>
        <w:rPr>
          <w:spacing w:val="-3"/>
        </w:rPr>
        <w:t>摊销或减值进行调整后的金额；</w:t>
      </w:r>
    </w:p>
    <w:p>
      <w:pPr>
        <w:pStyle w:val="BodyText"/>
        <w:spacing w:line="240" w:lineRule="auto" w:before="139"/>
        <w:ind w:left="580" w:right="1126"/>
        <w:jc w:val="left"/>
      </w:pPr>
      <w:r>
        <w:rPr>
          <w:spacing w:val="-3"/>
        </w:rPr>
        <w:t>②决定不再出售之日的再收回金额。</w:t>
      </w:r>
    </w:p>
    <w:p>
      <w:pPr>
        <w:spacing w:line="240" w:lineRule="auto" w:before="1"/>
        <w:rPr>
          <w:rFonts w:ascii="宋体" w:hAnsi="宋体" w:cs="宋体" w:eastAsia="宋体" w:hint="default"/>
          <w:sz w:val="15"/>
          <w:szCs w:val="15"/>
        </w:rPr>
      </w:pPr>
    </w:p>
    <w:p>
      <w:pPr>
        <w:pStyle w:val="BodyText"/>
        <w:spacing w:line="300" w:lineRule="auto"/>
        <w:ind w:right="1205" w:firstLine="470"/>
        <w:jc w:val="both"/>
      </w:pPr>
      <w:r>
        <w:rPr>
          <w:rFonts w:ascii="Times New Roman" w:hAnsi="Times New Roman" w:cs="Times New Roman" w:eastAsia="Times New Roman" w:hint="default"/>
          <w:spacing w:val="-3"/>
        </w:rPr>
        <w:t>2</w:t>
      </w:r>
      <w:r>
        <w:rPr>
          <w:spacing w:val="-3"/>
        </w:rPr>
        <w:t>）已划分为持有待售的对联营企业或合营企业的权益性投资，不再符合持有待售资产分类条件的，本公司从其被分</w:t>
      </w:r>
      <w:r>
        <w:rPr>
          <w:w w:val="101"/>
        </w:rPr>
        <w:t> </w:t>
      </w:r>
      <w:r>
        <w:rPr>
          <w:spacing w:val="-3"/>
        </w:rPr>
        <w:t>类为持有待售资产之日起采用权益法进行追溯调整。</w:t>
      </w:r>
    </w:p>
    <w:p>
      <w:pPr>
        <w:pStyle w:val="Heading3"/>
        <w:spacing w:line="240" w:lineRule="auto" w:before="126"/>
        <w:ind w:right="1126"/>
        <w:jc w:val="left"/>
        <w:rPr>
          <w:b w:val="0"/>
          <w:bCs w:val="0"/>
        </w:rPr>
      </w:pPr>
      <w:r>
        <w:rPr/>
        <w:t>（</w:t>
      </w:r>
      <w:r>
        <w:rPr>
          <w:rFonts w:ascii="宋体" w:hAnsi="宋体" w:cs="宋体" w:eastAsia="宋体" w:hint="default"/>
        </w:rPr>
        <w:t>4</w:t>
      </w:r>
      <w:r>
        <w:rPr/>
        <w:t>）其他持有待售非流动资产的会计处理</w:t>
      </w:r>
      <w:r>
        <w:rPr>
          <w:b w:val="0"/>
          <w:bCs w:val="0"/>
        </w:rPr>
      </w:r>
    </w:p>
    <w:p>
      <w:pPr>
        <w:spacing w:line="240" w:lineRule="auto" w:before="13"/>
        <w:rPr>
          <w:rFonts w:ascii="宋体" w:hAnsi="宋体" w:cs="宋体" w:eastAsia="宋体" w:hint="default"/>
          <w:b/>
          <w:bCs/>
          <w:sz w:val="13"/>
          <w:szCs w:val="13"/>
        </w:rPr>
      </w:pPr>
    </w:p>
    <w:p>
      <w:pPr>
        <w:pStyle w:val="BodyText"/>
        <w:spacing w:line="309" w:lineRule="auto"/>
        <w:ind w:right="1123" w:firstLine="422"/>
        <w:jc w:val="both"/>
      </w:pPr>
      <w:r>
        <w:rPr>
          <w:spacing w:val="-2"/>
        </w:rPr>
        <w:t>符合持有待售条件的无形资产等其他非流动资产，比照上述原则处理，此处所指其他非流动资产不包括递延所得税资</w:t>
      </w:r>
      <w:r>
        <w:rPr>
          <w:w w:val="101"/>
        </w:rPr>
        <w:t> </w:t>
      </w:r>
      <w:r>
        <w:rPr>
          <w:spacing w:val="-4"/>
        </w:rPr>
        <w:t>产、职工薪酬形成的资产、《企业会计准则第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金融工具确认和计量》规范的金融资产、以公允价值计量的投资性房</w:t>
      </w:r>
      <w:r>
        <w:rPr>
          <w:spacing w:val="46"/>
        </w:rPr>
        <w:t> </w:t>
      </w:r>
      <w:r>
        <w:rPr>
          <w:spacing w:val="46"/>
        </w:rPr>
      </w:r>
      <w:r>
        <w:rPr>
          <w:spacing w:val="-3"/>
        </w:rPr>
        <w:t>地产和生物资产、保险合同中产生的合同权利。</w:t>
      </w:r>
    </w:p>
    <w:p>
      <w:pPr>
        <w:spacing w:line="240" w:lineRule="auto" w:before="0"/>
        <w:rPr>
          <w:rFonts w:ascii="宋体" w:hAnsi="宋体" w:cs="宋体" w:eastAsia="宋体" w:hint="default"/>
          <w:sz w:val="23"/>
          <w:szCs w:val="23"/>
        </w:rPr>
      </w:pPr>
    </w:p>
    <w:p>
      <w:pPr>
        <w:pStyle w:val="Heading3"/>
        <w:spacing w:line="240" w:lineRule="auto"/>
        <w:ind w:right="1126"/>
        <w:jc w:val="left"/>
        <w:rPr>
          <w:b w:val="0"/>
          <w:bCs w:val="0"/>
        </w:rPr>
      </w:pPr>
      <w:bookmarkStart w:name="14、长期股权投资" w:id="204"/>
      <w:bookmarkEnd w:id="20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r>
        <w:rPr/>
        <w:t>（</w:t>
      </w:r>
      <w:r>
        <w:rPr>
          <w:rFonts w:ascii="Times New Roman" w:hAnsi="Times New Roman" w:cs="Times New Roman" w:eastAsia="Times New Roman" w:hint="default"/>
        </w:rPr>
        <w:t>1</w:t>
      </w:r>
      <w:r>
        <w:rPr/>
        <w:t>）长期股权投资的分类及其判断依据</w:t>
      </w:r>
      <w:r>
        <w:rPr>
          <w:b w:val="0"/>
          <w:bCs w:val="0"/>
        </w:rPr>
      </w:r>
    </w:p>
    <w:p>
      <w:pPr>
        <w:pStyle w:val="BodyText"/>
        <w:spacing w:line="432" w:lineRule="exact" w:before="31"/>
        <w:ind w:left="575" w:right="1126" w:firstLine="48"/>
        <w:jc w:val="left"/>
      </w:pPr>
      <w:r>
        <w:rPr>
          <w:rFonts w:ascii="Times New Roman" w:hAnsi="Times New Roman" w:cs="Times New Roman" w:eastAsia="Times New Roman" w:hint="default"/>
          <w:spacing w:val="-3"/>
        </w:rPr>
        <w:t>1</w:t>
      </w:r>
      <w:r>
        <w:rPr>
          <w:spacing w:val="-3"/>
        </w:rPr>
        <w:t>）长期股权投资的分类</w:t>
      </w:r>
      <w:r>
        <w:rPr>
          <w:w w:val="101"/>
        </w:rPr>
        <w:t> </w:t>
      </w:r>
      <w:r>
        <w:rPr>
          <w:spacing w:val="-2"/>
        </w:rPr>
        <w:t>长期股权投资分为三类，即是指投资方对被投资单位实施控制、重大影响的权益性投资，以及对其合营企业的权益性</w:t>
      </w:r>
    </w:p>
    <w:p>
      <w:pPr>
        <w:pStyle w:val="BodyText"/>
        <w:spacing w:line="240" w:lineRule="auto" w:before="15"/>
        <w:ind w:right="1126"/>
        <w:jc w:val="left"/>
      </w:pPr>
      <w:r>
        <w:rPr/>
        <w:t>投资。</w:t>
      </w:r>
    </w:p>
    <w:p>
      <w:pPr>
        <w:spacing w:line="240" w:lineRule="auto" w:before="0"/>
        <w:rPr>
          <w:rFonts w:ascii="宋体" w:hAnsi="宋体" w:cs="宋体" w:eastAsia="宋体" w:hint="default"/>
          <w:sz w:val="15"/>
          <w:szCs w:val="15"/>
        </w:rPr>
      </w:pPr>
    </w:p>
    <w:p>
      <w:pPr>
        <w:pStyle w:val="BodyText"/>
        <w:spacing w:line="240" w:lineRule="auto"/>
        <w:ind w:left="623" w:right="1126"/>
        <w:jc w:val="left"/>
      </w:pPr>
      <w:r>
        <w:rPr>
          <w:rFonts w:ascii="Times New Roman" w:hAnsi="Times New Roman" w:cs="Times New Roman" w:eastAsia="Times New Roman" w:hint="default"/>
          <w:spacing w:val="-3"/>
        </w:rPr>
        <w:t>2</w:t>
      </w:r>
      <w:r>
        <w:rPr>
          <w:spacing w:val="-3"/>
        </w:rPr>
        <w:t>）长期股权投资类别的判断依据</w:t>
      </w:r>
    </w:p>
    <w:p>
      <w:pPr>
        <w:spacing w:line="240" w:lineRule="auto" w:before="0"/>
        <w:rPr>
          <w:rFonts w:ascii="宋体" w:hAnsi="宋体" w:cs="宋体" w:eastAsia="宋体" w:hint="default"/>
          <w:sz w:val="14"/>
          <w:szCs w:val="14"/>
        </w:rPr>
      </w:pPr>
    </w:p>
    <w:p>
      <w:pPr>
        <w:pStyle w:val="BodyText"/>
        <w:spacing w:line="240" w:lineRule="auto"/>
        <w:ind w:left="580" w:right="1126"/>
        <w:jc w:val="left"/>
      </w:pPr>
      <w:r>
        <w:rPr>
          <w:spacing w:val="-3"/>
        </w:rPr>
        <w:t>①确定对被投资单位控制的依据详见本附注五、</w:t>
      </w:r>
      <w:r>
        <w:rPr>
          <w:rFonts w:ascii="Times New Roman" w:hAnsi="Times New Roman" w:cs="Times New Roman" w:eastAsia="Times New Roman" w:hint="default"/>
          <w:spacing w:val="-3"/>
        </w:rPr>
        <w:t>6</w:t>
      </w:r>
      <w:r>
        <w:rPr>
          <w:spacing w:val="-3"/>
        </w:rPr>
        <w:t>；</w:t>
      </w:r>
    </w:p>
    <w:p>
      <w:pPr>
        <w:pStyle w:val="BodyText"/>
        <w:spacing w:line="432" w:lineRule="exact" w:before="47"/>
        <w:ind w:left="575" w:right="1126" w:firstLine="4"/>
        <w:jc w:val="left"/>
      </w:pPr>
      <w:r>
        <w:rPr>
          <w:spacing w:val="-3"/>
        </w:rPr>
        <w:t>②确定对被投资单位具有重大影响的依据：</w:t>
      </w:r>
      <w:r>
        <w:rPr>
          <w:spacing w:val="-37"/>
        </w:rPr>
        <w:t> </w:t>
      </w:r>
      <w:r>
        <w:rPr>
          <w:spacing w:val="-37"/>
        </w:rPr>
      </w:r>
      <w:r>
        <w:rPr>
          <w:spacing w:val="-2"/>
        </w:rPr>
        <w:t>重大影响，是指对一个企业的财务和经营决策有参与决策的权力，但并不能够控制或者与其他方一起共同控制这些政</w:t>
      </w:r>
    </w:p>
    <w:p>
      <w:pPr>
        <w:pStyle w:val="BodyText"/>
        <w:spacing w:line="240" w:lineRule="auto" w:before="15"/>
        <w:ind w:right="1126"/>
        <w:jc w:val="left"/>
      </w:pPr>
      <w:r>
        <w:rPr/>
        <w:t>策的制定。</w:t>
      </w:r>
    </w:p>
    <w:p>
      <w:pPr>
        <w:spacing w:line="240" w:lineRule="auto" w:before="1"/>
        <w:rPr>
          <w:rFonts w:ascii="宋体" w:hAnsi="宋体" w:cs="宋体" w:eastAsia="宋体" w:hint="default"/>
          <w:sz w:val="15"/>
          <w:szCs w:val="15"/>
        </w:rPr>
      </w:pPr>
    </w:p>
    <w:p>
      <w:pPr>
        <w:pStyle w:val="BodyText"/>
        <w:spacing w:line="240" w:lineRule="auto"/>
        <w:ind w:left="575" w:right="1126"/>
        <w:jc w:val="left"/>
      </w:pPr>
      <w:r>
        <w:rPr>
          <w:spacing w:val="-3"/>
        </w:rPr>
        <w:t>公司通常通过以下一种或几种情形判断是否对被投资单位具有重大影响：</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rFonts w:ascii="Times New Roman" w:hAnsi="Times New Roman" w:cs="Times New Roman" w:eastAsia="Times New Roman" w:hint="default"/>
          <w:spacing w:val="-3"/>
        </w:rPr>
        <w:t>A.</w:t>
      </w:r>
      <w:r>
        <w:rPr>
          <w:spacing w:val="-3"/>
        </w:rPr>
        <w:t>在被投资单位的董事会或类似权力机构中派有代表。在这种情况下，由于在被投资单位的董事会或类似权力机构中派</w:t>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6"/>
        <w:jc w:val="left"/>
      </w:pPr>
      <w:r>
        <w:rPr>
          <w:spacing w:val="-4"/>
        </w:rPr>
        <w:t>有代表，并相应享有实质性的参与决策权，投资方可以通过该代表参与被投资单位财务和经营政策的制定，达到对被投资单</w:t>
      </w:r>
      <w:r>
        <w:rPr>
          <w:spacing w:val="43"/>
        </w:rPr>
        <w:t> </w:t>
      </w:r>
      <w:r>
        <w:rPr>
          <w:spacing w:val="43"/>
        </w:rPr>
      </w:r>
      <w:r>
        <w:rPr/>
        <w:t>位施加重大影响。</w:t>
      </w:r>
    </w:p>
    <w:p>
      <w:pPr>
        <w:pStyle w:val="BodyText"/>
        <w:spacing w:line="300" w:lineRule="auto" w:before="139"/>
        <w:ind w:right="1126" w:firstLine="292"/>
        <w:jc w:val="left"/>
      </w:pPr>
      <w:r>
        <w:rPr>
          <w:rFonts w:ascii="Times New Roman" w:hAnsi="Times New Roman" w:cs="Times New Roman" w:eastAsia="Times New Roman" w:hint="default"/>
          <w:spacing w:val="-3"/>
        </w:rPr>
        <w:t>B.</w:t>
      </w:r>
      <w:r>
        <w:rPr>
          <w:spacing w:val="-3"/>
        </w:rPr>
        <w:t>参与被投资单位财务和经营政策制定过程。这种情况下，在制定政策过程中可以为其自身利益提出建议和意见，从而</w:t>
      </w:r>
      <w:r>
        <w:rPr>
          <w:w w:val="101"/>
        </w:rPr>
        <w:t> </w:t>
      </w:r>
      <w:r>
        <w:rPr>
          <w:spacing w:val="-3"/>
        </w:rPr>
        <w:t>可以对被投资单位施加重大影响。</w:t>
      </w:r>
    </w:p>
    <w:p>
      <w:pPr>
        <w:pStyle w:val="BodyText"/>
        <w:spacing w:line="300" w:lineRule="auto" w:before="151"/>
        <w:ind w:right="1126" w:firstLine="220"/>
        <w:jc w:val="left"/>
      </w:pPr>
      <w:r>
        <w:rPr>
          <w:rFonts w:ascii="Times New Roman" w:hAnsi="Times New Roman" w:cs="Times New Roman" w:eastAsia="Times New Roman" w:hint="default"/>
          <w:spacing w:val="-3"/>
        </w:rPr>
        <w:t>C.</w:t>
      </w:r>
      <w:r>
        <w:rPr>
          <w:spacing w:val="-3"/>
        </w:rPr>
        <w:t>与被投资单位之间发生重要交易。有关的交易因对被投资单位的日常经营具有重要性，进而一定程度上可以影响到被</w:t>
      </w:r>
      <w:r>
        <w:rPr>
          <w:w w:val="101"/>
        </w:rPr>
        <w:t> </w:t>
      </w:r>
      <w:r>
        <w:rPr>
          <w:spacing w:val="-3"/>
        </w:rPr>
        <w:t>投资单位的生产经营决策。</w:t>
      </w:r>
    </w:p>
    <w:p>
      <w:pPr>
        <w:pStyle w:val="BodyText"/>
        <w:spacing w:line="300" w:lineRule="auto" w:before="151"/>
        <w:ind w:right="1126" w:firstLine="240"/>
        <w:jc w:val="left"/>
      </w:pPr>
      <w:r>
        <w:rPr>
          <w:rFonts w:ascii="Times New Roman" w:hAnsi="Times New Roman" w:cs="Times New Roman" w:eastAsia="Times New Roman" w:hint="default"/>
          <w:spacing w:val="-3"/>
        </w:rPr>
        <w:t>D.</w:t>
      </w:r>
      <w:r>
        <w:rPr>
          <w:spacing w:val="-3"/>
        </w:rPr>
        <w:t>向被投资单位派出管理人员。在这种情况下，管理人员有权力主导被投资单位的相关活动，从而能够对被投资单位施</w:t>
      </w:r>
      <w:r>
        <w:rPr>
          <w:w w:val="101"/>
        </w:rPr>
        <w:t> </w:t>
      </w:r>
      <w:r>
        <w:rPr/>
        <w:t>加重大影响。</w:t>
      </w:r>
    </w:p>
    <w:p>
      <w:pPr>
        <w:pStyle w:val="BodyText"/>
        <w:spacing w:line="300" w:lineRule="auto" w:before="152"/>
        <w:ind w:right="1126" w:firstLine="240"/>
        <w:jc w:val="left"/>
      </w:pPr>
      <w:r>
        <w:rPr>
          <w:rFonts w:ascii="Times New Roman" w:hAnsi="Times New Roman" w:cs="Times New Roman" w:eastAsia="Times New Roman" w:hint="default"/>
          <w:spacing w:val="-3"/>
        </w:rPr>
        <w:t>E.</w:t>
      </w:r>
      <w:r>
        <w:rPr>
          <w:spacing w:val="-3"/>
        </w:rPr>
        <w:t>向被投资单位提供关键技术资料。因被投资单位的生产经营需要依赖投资方的技术或技术资料，表明投资方对被投资</w:t>
      </w:r>
      <w:r>
        <w:rPr>
          <w:w w:val="101"/>
        </w:rPr>
        <w:t> </w:t>
      </w:r>
      <w:r>
        <w:rPr>
          <w:spacing w:val="-3"/>
        </w:rPr>
        <w:t>单位具有重大影响。</w:t>
      </w:r>
    </w:p>
    <w:p>
      <w:pPr>
        <w:pStyle w:val="BodyText"/>
        <w:spacing w:line="316" w:lineRule="auto" w:before="151"/>
        <w:ind w:right="1126" w:firstLine="422"/>
        <w:jc w:val="left"/>
      </w:pPr>
      <w:r>
        <w:rPr>
          <w:spacing w:val="-3"/>
        </w:rPr>
        <w:t>公司在判断是否对被投资方具有重大影响时，不限于是否存在上述一种或多种情形，还需要综合考虑所有事实和情况</w:t>
      </w:r>
      <w:r>
        <w:rPr>
          <w:w w:val="101"/>
        </w:rPr>
        <w:t> </w:t>
      </w:r>
      <w:r>
        <w:rPr>
          <w:spacing w:val="-3"/>
        </w:rPr>
        <w:t>来做出综合的判断。</w:t>
      </w:r>
    </w:p>
    <w:p>
      <w:pPr>
        <w:pStyle w:val="BodyText"/>
        <w:spacing w:line="240" w:lineRule="auto" w:before="139"/>
        <w:ind w:left="575" w:right="1126"/>
        <w:jc w:val="left"/>
      </w:pPr>
      <w:r>
        <w:rPr>
          <w:spacing w:val="-3"/>
        </w:rPr>
        <w:t>投资方对被投资单位具有重大影响的权益性投资，即对联营企业投资。</w:t>
      </w:r>
    </w:p>
    <w:p>
      <w:pPr>
        <w:spacing w:line="240" w:lineRule="auto" w:before="0"/>
        <w:rPr>
          <w:rFonts w:ascii="宋体" w:hAnsi="宋体" w:cs="宋体" w:eastAsia="宋体" w:hint="default"/>
          <w:sz w:val="15"/>
          <w:szCs w:val="15"/>
        </w:rPr>
      </w:pPr>
    </w:p>
    <w:p>
      <w:pPr>
        <w:pStyle w:val="BodyText"/>
        <w:spacing w:line="439" w:lineRule="auto"/>
        <w:ind w:left="575" w:right="2204" w:firstLine="4"/>
        <w:jc w:val="left"/>
      </w:pPr>
      <w:r>
        <w:rPr>
          <w:spacing w:val="-3"/>
        </w:rPr>
        <w:t>③确定被投资单位是否为合营企业的依据：</w:t>
      </w:r>
      <w:r>
        <w:rPr>
          <w:spacing w:val="-37"/>
        </w:rPr>
        <w:t> </w:t>
      </w:r>
      <w:r>
        <w:rPr>
          <w:spacing w:val="-37"/>
        </w:rPr>
      </w:r>
      <w:r>
        <w:rPr>
          <w:spacing w:val="-3"/>
        </w:rPr>
        <w:t>本公司的合营企业是指本公司仅对合营安排的净资产享有权利。</w:t>
      </w:r>
      <w:r>
        <w:rPr>
          <w:spacing w:val="-9"/>
        </w:rPr>
        <w:t> </w:t>
      </w:r>
      <w:r>
        <w:rPr>
          <w:spacing w:val="-9"/>
        </w:rPr>
      </w:r>
      <w:r>
        <w:rPr>
          <w:spacing w:val="-3"/>
        </w:rPr>
        <w:t>合营安排的定义、分类以及共同控制的判断标准详见本附注五、</w:t>
      </w:r>
      <w:r>
        <w:rPr>
          <w:rFonts w:ascii="Times New Roman" w:hAnsi="Times New Roman" w:cs="Times New Roman" w:eastAsia="Times New Roman" w:hint="default"/>
          <w:spacing w:val="-3"/>
        </w:rPr>
        <w:t>7</w:t>
      </w:r>
      <w:r>
        <w:rPr>
          <w:spacing w:val="-3"/>
        </w:rPr>
        <w:t>。</w:t>
      </w:r>
    </w:p>
    <w:p>
      <w:pPr>
        <w:pStyle w:val="Heading3"/>
        <w:spacing w:line="288" w:lineRule="exact"/>
        <w:ind w:right="1126"/>
        <w:jc w:val="left"/>
        <w:rPr>
          <w:b w:val="0"/>
          <w:bCs w:val="0"/>
        </w:rPr>
      </w:pPr>
      <w:r>
        <w:rPr/>
        <w:t>（</w:t>
      </w:r>
      <w:r>
        <w:rPr>
          <w:rFonts w:ascii="Times New Roman" w:hAnsi="Times New Roman" w:cs="Times New Roman" w:eastAsia="Times New Roman" w:hint="default"/>
        </w:rPr>
        <w:t>2</w:t>
      </w:r>
      <w:r>
        <w:rPr/>
        <w:t>）长期股权投资初始成本的确定</w:t>
      </w:r>
      <w:r>
        <w:rPr>
          <w:b w:val="0"/>
          <w:bCs w:val="0"/>
        </w:rPr>
      </w:r>
    </w:p>
    <w:p>
      <w:pPr>
        <w:pStyle w:val="BodyText"/>
        <w:spacing w:line="240" w:lineRule="auto" w:before="94"/>
        <w:ind w:left="575" w:right="1126"/>
        <w:jc w:val="left"/>
      </w:pPr>
      <w:r>
        <w:rPr>
          <w:rFonts w:ascii="Times New Roman" w:hAnsi="Times New Roman" w:cs="Times New Roman" w:eastAsia="Times New Roman" w:hint="default"/>
        </w:rPr>
        <w:t>1</w:t>
      </w:r>
      <w:r>
        <w:rPr/>
        <w:t>）企业合并形成的长期股权投资</w:t>
      </w:r>
    </w:p>
    <w:p>
      <w:pPr>
        <w:spacing w:line="240" w:lineRule="auto" w:before="13"/>
        <w:rPr>
          <w:rFonts w:ascii="宋体" w:hAnsi="宋体" w:cs="宋体" w:eastAsia="宋体" w:hint="default"/>
          <w:sz w:val="13"/>
          <w:szCs w:val="13"/>
        </w:rPr>
      </w:pPr>
    </w:p>
    <w:p>
      <w:pPr>
        <w:pStyle w:val="BodyText"/>
        <w:spacing w:line="316" w:lineRule="auto"/>
        <w:ind w:right="1126" w:firstLine="422"/>
        <w:jc w:val="left"/>
      </w:pPr>
      <w:r>
        <w:rPr>
          <w:spacing w:val="-2"/>
        </w:rPr>
        <w:t>同一控制下的企业合并：公司以支付现金、转让非现金资产或承担债务方式以及以发行权益性证券作为合并对价的，</w:t>
      </w:r>
      <w:r>
        <w:rPr>
          <w:w w:val="101"/>
        </w:rPr>
        <w:t> </w:t>
      </w:r>
      <w:r>
        <w:rPr>
          <w:spacing w:val="-3"/>
        </w:rPr>
        <w:t>在合并日按照取得被合并方所有者权益在最终控制方合并财务报表中的账面价值的份额作为长期股权投资的初始投资成本。</w:t>
      </w:r>
      <w:r>
        <w:rPr>
          <w:spacing w:val="76"/>
        </w:rPr>
        <w:t> </w:t>
      </w:r>
      <w:r>
        <w:rPr>
          <w:spacing w:val="76"/>
        </w:rPr>
      </w:r>
      <w:r>
        <w:rPr>
          <w:spacing w:val="-4"/>
        </w:rPr>
        <w:t>长期股权投资初始投资成本与支付合并对价之间的差额，调整资本公积（资本溢价或股本溢价）；资本公积（资本溢价或股</w:t>
      </w:r>
      <w:r>
        <w:rPr>
          <w:spacing w:val="40"/>
        </w:rPr>
        <w:t> </w:t>
      </w:r>
      <w:r>
        <w:rPr>
          <w:spacing w:val="40"/>
        </w:rPr>
      </w:r>
      <w:r>
        <w:rPr>
          <w:spacing w:val="-4"/>
        </w:rPr>
        <w:t>本溢价）不足冲减的，调整留存收益。合并方以发行权益性证券作为合并对价的，按照发行股份的面值总额作为股本，长期</w:t>
      </w:r>
      <w:r>
        <w:rPr>
          <w:spacing w:val="41"/>
        </w:rPr>
        <w:t> </w:t>
      </w:r>
      <w:r>
        <w:rPr>
          <w:spacing w:val="41"/>
        </w:rPr>
      </w:r>
      <w:r>
        <w:rPr>
          <w:spacing w:val="-4"/>
        </w:rPr>
        <w:t>股权投资初始投资成本与所发行股份面值总额之间的差额，调整资本公（资本溢价或股本溢价）；资本公积（资本溢价或股</w:t>
      </w:r>
      <w:r>
        <w:rPr>
          <w:spacing w:val="40"/>
        </w:rPr>
        <w:t> </w:t>
      </w:r>
      <w:r>
        <w:rPr>
          <w:spacing w:val="40"/>
        </w:rPr>
      </w:r>
      <w:r>
        <w:rPr>
          <w:spacing w:val="-3"/>
        </w:rPr>
        <w:t>本溢价）不足冲减的，调整留存收益。</w:t>
      </w:r>
    </w:p>
    <w:p>
      <w:pPr>
        <w:pStyle w:val="BodyText"/>
        <w:spacing w:line="319" w:lineRule="auto" w:before="139"/>
        <w:ind w:right="1037" w:firstLine="422"/>
        <w:jc w:val="both"/>
      </w:pPr>
      <w:r>
        <w:rPr>
          <w:spacing w:val="-2"/>
        </w:rPr>
        <w:t>非同一控制下的企业合并：公司按照购买日确定的合并成本作为长期股权投资的初始投资成本。合并成本为购买日购</w:t>
      </w:r>
      <w:r>
        <w:rPr>
          <w:w w:val="101"/>
        </w:rPr>
        <w:t> </w:t>
      </w:r>
      <w:r>
        <w:rPr>
          <w:spacing w:val="-4"/>
        </w:rPr>
        <w:t>买方为取得对被购买方的控制权而付出的资产、发生或承担的负债以及发行的权益性证券的公允价值。购买方作为合并对价</w:t>
      </w:r>
      <w:r>
        <w:rPr>
          <w:spacing w:val="43"/>
        </w:rPr>
        <w:t> </w:t>
      </w:r>
      <w:r>
        <w:rPr>
          <w:spacing w:val="43"/>
        </w:rPr>
      </w:r>
      <w:r>
        <w:rPr>
          <w:spacing w:val="-4"/>
        </w:rPr>
        <w:t>发行的权益性证券或债务性证券的交易费用，计入权益性证券或债务性证券的初始确认金额。通过多次交易分步实现的非同</w:t>
      </w:r>
      <w:r>
        <w:rPr>
          <w:spacing w:val="44"/>
        </w:rPr>
        <w:t> </w:t>
      </w:r>
      <w:r>
        <w:rPr>
          <w:spacing w:val="44"/>
        </w:rPr>
      </w:r>
      <w:r>
        <w:rPr>
          <w:spacing w:val="-4"/>
        </w:rPr>
        <w:t>一控制下企业合并，以购买日之前所持被购买方的股权投资的账面价值与购买日新增投资成本之和，作为该项投资的初始投</w:t>
      </w:r>
      <w:r>
        <w:rPr>
          <w:spacing w:val="44"/>
        </w:rPr>
        <w:t> </w:t>
      </w:r>
      <w:r>
        <w:rPr>
          <w:spacing w:val="44"/>
        </w:rPr>
      </w:r>
      <w:r>
        <w:rPr>
          <w:spacing w:val="-6"/>
          <w:w w:val="101"/>
        </w:rPr>
        <w:t>资成本。本公司将合并协议约定的或有对价作为企业合并转移对价的一部分，按照其在购买日的公允价值计入企业合并成本。</w:t>
      </w:r>
      <w:r>
        <w:rPr>
          <w:spacing w:val="-6"/>
        </w:rPr>
      </w:r>
    </w:p>
    <w:p>
      <w:pPr>
        <w:pStyle w:val="BodyText"/>
        <w:spacing w:line="319" w:lineRule="auto" w:before="137"/>
        <w:ind w:right="1126" w:firstLine="422"/>
        <w:jc w:val="left"/>
      </w:pPr>
      <w:r>
        <w:rPr>
          <w:spacing w:val="-2"/>
        </w:rPr>
        <w:t>合并方或购买方为企业合并而发生的审计、法律服务、评估咨询等中介费用以及其他相关管理费用于发生时计入当期</w:t>
      </w:r>
      <w:r>
        <w:rPr>
          <w:w w:val="101"/>
        </w:rPr>
        <w:t> </w:t>
      </w:r>
      <w:r>
        <w:rPr/>
        <w:t>损益。</w:t>
      </w:r>
    </w:p>
    <w:p>
      <w:pPr>
        <w:pStyle w:val="BodyText"/>
        <w:spacing w:line="432" w:lineRule="exact" w:before="6"/>
        <w:ind w:left="575" w:right="1126" w:hanging="130"/>
        <w:jc w:val="left"/>
      </w:pPr>
      <w:r>
        <w:rPr>
          <w:rFonts w:ascii="Times New Roman" w:hAnsi="Times New Roman" w:cs="Times New Roman" w:eastAsia="Times New Roman" w:hint="default"/>
          <w:spacing w:val="-3"/>
        </w:rPr>
        <w:t>2</w:t>
      </w:r>
      <w:r>
        <w:rPr>
          <w:spacing w:val="-3"/>
        </w:rPr>
        <w:t>）其他方式取得的长期股权投资</w:t>
      </w:r>
      <w:r>
        <w:rPr>
          <w:spacing w:val="-46"/>
        </w:rPr>
        <w:t> </w:t>
      </w:r>
      <w:r>
        <w:rPr>
          <w:spacing w:val="-46"/>
        </w:rPr>
      </w:r>
      <w:r>
        <w:rPr>
          <w:spacing w:val="-2"/>
        </w:rPr>
        <w:t>以支付现金方式取得的长期股权投资，按照实际支付的购买价款作为初始投资成本。初始投资成本包括与取得长期股</w:t>
      </w:r>
    </w:p>
    <w:p>
      <w:pPr>
        <w:pStyle w:val="BodyText"/>
        <w:spacing w:line="439" w:lineRule="auto" w:before="10"/>
        <w:ind w:left="575" w:right="1126" w:hanging="423"/>
        <w:jc w:val="left"/>
      </w:pPr>
      <w:r>
        <w:rPr>
          <w:spacing w:val="-3"/>
        </w:rPr>
        <w:t>权投资直接相关的费用、税金及其他必要支出。</w:t>
      </w:r>
      <w:r>
        <w:rPr>
          <w:spacing w:val="-27"/>
        </w:rPr>
        <w:t> </w:t>
      </w:r>
      <w:r>
        <w:rPr>
          <w:spacing w:val="-27"/>
        </w:rPr>
      </w:r>
      <w:r>
        <w:rPr>
          <w:spacing w:val="-3"/>
        </w:rPr>
        <w:t>以发行权益性证券取得的长期股权投资，按照发行权益性证券的公允价值作为初始投资成本。</w:t>
      </w:r>
    </w:p>
    <w:p>
      <w:pPr>
        <w:pStyle w:val="BodyText"/>
        <w:spacing w:line="316" w:lineRule="auto" w:before="47"/>
        <w:ind w:right="1126" w:firstLine="422"/>
        <w:jc w:val="left"/>
      </w:pPr>
      <w:r>
        <w:rPr>
          <w:spacing w:val="-2"/>
        </w:rPr>
        <w:t>在非货币性资产交换具备商业实质和换入资产或换出资产的公允价值能够可靠计量的前提下，非货币性资产交换换入</w:t>
      </w:r>
      <w:r>
        <w:rPr>
          <w:w w:val="101"/>
        </w:rPr>
        <w:t> </w:t>
      </w:r>
      <w:r>
        <w:rPr>
          <w:spacing w:val="-4"/>
        </w:rPr>
        <w:t>的长期股权投资以换出资产的公允价值为基础确定其初始投资成本，除非有确凿证据表明换入资产的公允价值更加可靠；不</w:t>
      </w:r>
    </w:p>
    <w:p>
      <w:pPr>
        <w:spacing w:after="0" w:line="316" w:lineRule="auto"/>
        <w:jc w:val="left"/>
        <w:sectPr>
          <w:footerReference w:type="default" r:id="rId47"/>
          <w:pgSz w:w="11910" w:h="16840"/>
          <w:pgMar w:footer="1474" w:header="871" w:top="1060" w:bottom="1660" w:left="980" w:right="0"/>
          <w:pgNumType w:start="114"/>
        </w:sectPr>
      </w:pPr>
    </w:p>
    <w:p>
      <w:pPr>
        <w:spacing w:line="240" w:lineRule="auto" w:before="1"/>
        <w:rPr>
          <w:rFonts w:ascii="宋体" w:hAnsi="宋体" w:cs="宋体" w:eastAsia="宋体" w:hint="default"/>
          <w:sz w:val="26"/>
          <w:szCs w:val="26"/>
        </w:rPr>
      </w:pPr>
    </w:p>
    <w:p>
      <w:pPr>
        <w:pStyle w:val="BodyText"/>
        <w:spacing w:line="439" w:lineRule="auto" w:before="46"/>
        <w:ind w:left="575" w:right="1126" w:hanging="423"/>
        <w:jc w:val="left"/>
      </w:pPr>
      <w:r>
        <w:rPr>
          <w:spacing w:val="-3"/>
        </w:rPr>
        <w:t>满足上述前提的非货币性资产交换，以换出资产的账面价值和应支付的相关税费作为换入长期股权投资的初始投资成本。</w:t>
      </w:r>
      <w:r>
        <w:rPr>
          <w:spacing w:val="67"/>
        </w:rPr>
        <w:t> </w:t>
      </w:r>
      <w:r>
        <w:rPr>
          <w:spacing w:val="67"/>
        </w:rPr>
      </w:r>
      <w:r>
        <w:rPr>
          <w:spacing w:val="-3"/>
        </w:rPr>
        <w:t>通过债务重组取得的长期股权投资，其初始投资成本按照公允价值为基础确定。</w:t>
      </w:r>
    </w:p>
    <w:p>
      <w:pPr>
        <w:pStyle w:val="Heading3"/>
        <w:spacing w:line="240" w:lineRule="auto" w:before="27"/>
        <w:ind w:right="1126"/>
        <w:jc w:val="left"/>
        <w:rPr>
          <w:b w:val="0"/>
          <w:bCs w:val="0"/>
        </w:rPr>
      </w:pPr>
      <w:r>
        <w:rPr/>
        <w:t>（</w:t>
      </w:r>
      <w:r>
        <w:rPr>
          <w:rFonts w:ascii="Times New Roman" w:hAnsi="Times New Roman" w:cs="Times New Roman" w:eastAsia="Times New Roman" w:hint="default"/>
        </w:rPr>
        <w:t>3</w:t>
      </w:r>
      <w:r>
        <w:rPr/>
        <w:t>）长期股权投资的后续计量及损益确认方法</w:t>
      </w:r>
      <w:r>
        <w:rPr>
          <w:b w:val="0"/>
          <w:bCs w:val="0"/>
        </w:rPr>
      </w:r>
    </w:p>
    <w:p>
      <w:pPr>
        <w:pStyle w:val="BodyText"/>
        <w:spacing w:line="432" w:lineRule="exact" w:before="26"/>
        <w:ind w:left="575" w:right="1126"/>
        <w:jc w:val="left"/>
      </w:pPr>
      <w:r>
        <w:rPr>
          <w:spacing w:val="-3"/>
        </w:rPr>
        <w:t>本公司能够对被投资单位实施控制的长期股权投资采用成本法核算。 </w:t>
      </w:r>
      <w:r>
        <w:rPr>
          <w:spacing w:val="-2"/>
        </w:rPr>
        <w:t>采用成本法核算的长期股权投资按照初始投资成本计价。追加或收回投资调整长期股权投资的成本。被投资单位宣告</w:t>
      </w:r>
    </w:p>
    <w:p>
      <w:pPr>
        <w:pStyle w:val="BodyText"/>
        <w:spacing w:line="240" w:lineRule="auto" w:before="15"/>
        <w:ind w:right="1126"/>
        <w:jc w:val="left"/>
      </w:pPr>
      <w:r>
        <w:rPr>
          <w:spacing w:val="-3"/>
        </w:rPr>
        <w:t>分派的现金股利或利润，确认为当期投资收益。</w:t>
      </w:r>
    </w:p>
    <w:p>
      <w:pPr>
        <w:spacing w:line="240" w:lineRule="auto" w:before="0"/>
        <w:rPr>
          <w:rFonts w:ascii="宋体" w:hAnsi="宋体" w:cs="宋体" w:eastAsia="宋体" w:hint="default"/>
          <w:sz w:val="15"/>
          <w:szCs w:val="15"/>
        </w:rPr>
      </w:pPr>
    </w:p>
    <w:p>
      <w:pPr>
        <w:pStyle w:val="BodyText"/>
        <w:spacing w:line="319" w:lineRule="auto"/>
        <w:ind w:right="1124" w:firstLine="422"/>
        <w:jc w:val="both"/>
      </w:pPr>
      <w:r>
        <w:rPr>
          <w:spacing w:val="-2"/>
        </w:rPr>
        <w:t>对合营企业和联营企业的长期股权投资，采用权益法核算。初始投资成本大于投资时应享有被投资单位可辨认净资产</w:t>
      </w:r>
      <w:r>
        <w:rPr>
          <w:w w:val="101"/>
        </w:rPr>
        <w:t> </w:t>
      </w:r>
      <w:r>
        <w:rPr>
          <w:spacing w:val="-4"/>
        </w:rPr>
        <w:t>公允价值份额的差额，不调整长期股权投资的初始投资成本；初始投资成本小于投资时应享有被投资单位可辨认净资产公允</w:t>
      </w:r>
      <w:r>
        <w:rPr>
          <w:spacing w:val="38"/>
        </w:rPr>
        <w:t> </w:t>
      </w:r>
      <w:r>
        <w:rPr>
          <w:spacing w:val="38"/>
        </w:rPr>
      </w:r>
      <w:r>
        <w:rPr>
          <w:spacing w:val="-3"/>
        </w:rPr>
        <w:t>价值份额的差额，计入当期损益，同时调整长期股权投资的成本。</w:t>
      </w:r>
    </w:p>
    <w:p>
      <w:pPr>
        <w:pStyle w:val="BodyText"/>
        <w:spacing w:line="319" w:lineRule="auto" w:before="137"/>
        <w:ind w:right="1124" w:firstLine="422"/>
        <w:jc w:val="both"/>
      </w:pPr>
      <w:r>
        <w:rPr>
          <w:spacing w:val="-2"/>
        </w:rPr>
        <w:t>本公司取得长期股权投资后，按照应享有或应分担的被投资单位实现的净损益和其他综合收益的份额，分别确认投资</w:t>
      </w:r>
      <w:r>
        <w:rPr>
          <w:w w:val="101"/>
        </w:rPr>
        <w:t> </w:t>
      </w:r>
      <w:r>
        <w:rPr>
          <w:spacing w:val="-4"/>
        </w:rPr>
        <w:t>收益和其他综合收益，同时调整长期股权投资的账面价值；本公司按照被投资单位宣告分派的利润或现金股利计算应享有的</w:t>
      </w:r>
      <w:r>
        <w:rPr>
          <w:spacing w:val="38"/>
        </w:rPr>
        <w:t> </w:t>
      </w:r>
      <w:r>
        <w:rPr>
          <w:spacing w:val="38"/>
        </w:rPr>
      </w:r>
      <w:r>
        <w:rPr>
          <w:spacing w:val="-4"/>
        </w:rPr>
        <w:t>部分，相应减少长期股权投资的账面价值； 本公司对于被投资单位除净损益、其他综合收益和利润分配以外所有者权益的</w:t>
      </w:r>
      <w:r>
        <w:rPr>
          <w:spacing w:val="-44"/>
        </w:rPr>
        <w:t> </w:t>
      </w:r>
      <w:r>
        <w:rPr>
          <w:spacing w:val="-44"/>
        </w:rPr>
      </w:r>
      <w:r>
        <w:rPr>
          <w:spacing w:val="-3"/>
        </w:rPr>
        <w:t>其他变动，调整长期股权投资的账面价值并计入所有者权益。</w:t>
      </w:r>
    </w:p>
    <w:p>
      <w:pPr>
        <w:pStyle w:val="BodyText"/>
        <w:spacing w:line="321" w:lineRule="auto" w:before="137"/>
        <w:ind w:right="1124" w:firstLine="422"/>
        <w:jc w:val="both"/>
      </w:pPr>
      <w:r>
        <w:rPr>
          <w:spacing w:val="-2"/>
        </w:rPr>
        <w:t>本公司在确认应享有被投资单位净损益的份额时，以取得投资时被投资单位可辨认净资产的公允价值为基础，对被投</w:t>
      </w:r>
      <w:r>
        <w:rPr>
          <w:w w:val="101"/>
        </w:rPr>
        <w:t> </w:t>
      </w:r>
      <w:r>
        <w:rPr>
          <w:spacing w:val="-3"/>
        </w:rPr>
        <w:t>资单位的净利润进行调整后确认。</w:t>
      </w:r>
    </w:p>
    <w:p>
      <w:pPr>
        <w:pStyle w:val="BodyText"/>
        <w:spacing w:line="321" w:lineRule="auto" w:before="58"/>
        <w:ind w:right="1124" w:firstLine="422"/>
        <w:jc w:val="both"/>
      </w:pPr>
      <w:r>
        <w:rPr>
          <w:spacing w:val="-2"/>
        </w:rPr>
        <w:t>被投资单位采用的会计政策及会计期间与本公司不一致的，按照本公司的会计政策及会计期间对被投资单位的财务报</w:t>
      </w:r>
      <w:r>
        <w:rPr>
          <w:w w:val="101"/>
        </w:rPr>
        <w:t> </w:t>
      </w:r>
      <w:r>
        <w:rPr>
          <w:spacing w:val="-3"/>
        </w:rPr>
        <w:t>表进行调整，并据以确认投资收益和其他综合收益等。</w:t>
      </w:r>
    </w:p>
    <w:p>
      <w:pPr>
        <w:pStyle w:val="BodyText"/>
        <w:spacing w:line="321" w:lineRule="auto" w:before="63"/>
        <w:ind w:right="1122" w:firstLine="422"/>
        <w:jc w:val="both"/>
      </w:pPr>
      <w:r>
        <w:rPr>
          <w:spacing w:val="-2"/>
        </w:rPr>
        <w:t>本公司确认被投资单位发生的净亏损，以长期股权投资的账面价值以及其他实质上构成对被投资单位净投资的长期权</w:t>
      </w:r>
      <w:r>
        <w:rPr>
          <w:w w:val="101"/>
        </w:rPr>
        <w:t> </w:t>
      </w:r>
      <w:r>
        <w:rPr>
          <w:spacing w:val="-3"/>
        </w:rPr>
        <w:t>益减记至零为限，本公司负有承担额外损失义务的除外。</w:t>
      </w:r>
    </w:p>
    <w:p>
      <w:pPr>
        <w:pStyle w:val="BodyText"/>
        <w:spacing w:line="367" w:lineRule="auto" w:before="63"/>
        <w:ind w:left="575" w:right="1126"/>
        <w:jc w:val="left"/>
      </w:pPr>
      <w:r>
        <w:rPr>
          <w:spacing w:val="-3"/>
        </w:rPr>
        <w:t>被投资单位以后实现净利润的，本公司在其收益分享额弥补未确认的亏损分担额后，恢复确认收益分享额。</w:t>
      </w:r>
      <w:r>
        <w:rPr>
          <w:spacing w:val="48"/>
        </w:rPr>
        <w:t> </w:t>
      </w:r>
      <w:r>
        <w:rPr>
          <w:spacing w:val="48"/>
        </w:rPr>
      </w:r>
      <w:r>
        <w:rPr>
          <w:spacing w:val="-2"/>
        </w:rPr>
        <w:t>本公司计算确认应享有或应分担被投资单位的净损益时，与联营企业、合营企业之间发生的未实现内部交易损益按照</w:t>
      </w:r>
    </w:p>
    <w:p>
      <w:pPr>
        <w:pStyle w:val="BodyText"/>
        <w:spacing w:line="222" w:lineRule="exact"/>
        <w:ind w:right="1126"/>
        <w:jc w:val="left"/>
      </w:pPr>
      <w:r>
        <w:rPr>
          <w:spacing w:val="-3"/>
        </w:rPr>
        <w:t>应享有的比例计算归属于本公司的部分，予以抵销，在此基础上确认投资收益。</w:t>
      </w:r>
    </w:p>
    <w:p>
      <w:pPr>
        <w:pStyle w:val="BodyText"/>
        <w:spacing w:line="304" w:lineRule="auto" w:before="119"/>
        <w:ind w:right="1122" w:firstLine="422"/>
        <w:jc w:val="both"/>
      </w:pPr>
      <w:r>
        <w:rPr>
          <w:spacing w:val="-4"/>
        </w:rPr>
        <w:t>本公司与被投资单位发生的未实现内部交易损失，按照《企业会计准则第</w:t>
      </w:r>
      <w:r>
        <w:rPr>
          <w:rFonts w:ascii="Times New Roman" w:hAnsi="Times New Roman" w:cs="Times New Roman" w:eastAsia="Times New Roman" w:hint="default"/>
          <w:spacing w:val="-4"/>
        </w:rPr>
        <w:t>8</w:t>
      </w:r>
      <w:r>
        <w:rPr>
          <w:spacing w:val="-4"/>
        </w:rPr>
        <w:t>号</w:t>
      </w:r>
      <w:r>
        <w:rPr>
          <w:rFonts w:ascii="Times New Roman" w:hAnsi="Times New Roman" w:cs="Times New Roman" w:eastAsia="Times New Roman" w:hint="default"/>
          <w:spacing w:val="-4"/>
        </w:rPr>
        <w:t>——</w:t>
      </w:r>
      <w:r>
        <w:rPr>
          <w:spacing w:val="-4"/>
        </w:rPr>
        <w:t>资产减值》等的有关规定属于资产减</w:t>
      </w:r>
      <w:r>
        <w:rPr>
          <w:w w:val="101"/>
        </w:rPr>
        <w:t> </w:t>
      </w:r>
      <w:r>
        <w:rPr>
          <w:spacing w:val="-3"/>
        </w:rPr>
        <w:t>值损失的，全额确认交易损失。</w:t>
      </w:r>
    </w:p>
    <w:p>
      <w:pPr>
        <w:pStyle w:val="BodyText"/>
        <w:spacing w:line="307" w:lineRule="auto" w:before="71"/>
        <w:ind w:right="1124" w:firstLine="422"/>
        <w:jc w:val="both"/>
      </w:pPr>
      <w:r>
        <w:rPr>
          <w:spacing w:val="-2"/>
        </w:rPr>
        <w:t>本公司因追加投资等原因能够对被投资单位施加重大影响或实施共同控制但不构成控制的，按照《企业会计准则第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rFonts w:ascii="Times New Roman" w:hAnsi="Times New Roman" w:cs="Times New Roman" w:eastAsia="Times New Roman" w:hint="default"/>
          <w:spacing w:val="-5"/>
          <w:w w:val="101"/>
        </w:rPr>
        <w:t> </w:t>
      </w:r>
      <w:r>
        <w:rPr>
          <w:spacing w:val="-4"/>
        </w:rPr>
        <w:t>号</w:t>
      </w:r>
      <w:r>
        <w:rPr>
          <w:rFonts w:ascii="Times New Roman" w:hAnsi="Times New Roman" w:cs="Times New Roman" w:eastAsia="Times New Roman" w:hint="default"/>
          <w:spacing w:val="-4"/>
        </w:rPr>
        <w:t>——</w:t>
      </w:r>
      <w:r>
        <w:rPr>
          <w:spacing w:val="-4"/>
        </w:rPr>
        <w:t>金融工具确认和计量》确定的原持有的股权投资的公允价值加上新增投资成本之和，作为改按权益法核算的初始投资</w:t>
      </w:r>
      <w:r>
        <w:rPr>
          <w:spacing w:val="44"/>
        </w:rPr>
        <w:t> </w:t>
      </w:r>
      <w:r>
        <w:rPr>
          <w:spacing w:val="44"/>
        </w:rPr>
      </w:r>
      <w:r>
        <w:rPr>
          <w:spacing w:val="-4"/>
        </w:rPr>
        <w:t>成本。原持有的股权投资分类为可供出售金融资产的，其公允价值与账面价值之间的差额，以及原计入其他综合收益的累计</w:t>
      </w:r>
      <w:r>
        <w:rPr>
          <w:spacing w:val="43"/>
        </w:rPr>
        <w:t> </w:t>
      </w:r>
      <w:r>
        <w:rPr>
          <w:spacing w:val="43"/>
        </w:rPr>
      </w:r>
      <w:r>
        <w:rPr>
          <w:spacing w:val="-3"/>
        </w:rPr>
        <w:t>公允价值变动转入改按权益法核算的当期损益。</w:t>
      </w:r>
    </w:p>
    <w:p>
      <w:pPr>
        <w:pStyle w:val="BodyText"/>
        <w:spacing w:line="314" w:lineRule="auto" w:before="74"/>
        <w:ind w:right="1124" w:firstLine="422"/>
        <w:jc w:val="both"/>
      </w:pPr>
      <w:r>
        <w:rPr>
          <w:spacing w:val="-2"/>
        </w:rPr>
        <w:t>本公司因处置部分股权投资等原因丧失了对被投资单位的共同控制或重大影响的，处置后的剩余股权改按《企业会计</w:t>
      </w:r>
      <w:r>
        <w:rPr>
          <w:w w:val="101"/>
        </w:rPr>
        <w:t> </w:t>
      </w:r>
      <w:r>
        <w:rPr>
          <w:spacing w:val="-4"/>
        </w:rPr>
        <w:t>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金融工具确认和计量》核算，其在丧失共同控制或重大影响之日的公允价值与账面价值之间的差额计入当期</w:t>
      </w:r>
      <w:r>
        <w:rPr>
          <w:spacing w:val="43"/>
        </w:rPr>
        <w:t> </w:t>
      </w:r>
      <w:r>
        <w:rPr>
          <w:spacing w:val="43"/>
        </w:rPr>
      </w:r>
      <w:r>
        <w:rPr>
          <w:spacing w:val="-4"/>
        </w:rPr>
        <w:t>损益。原股权投资因采用权益法核算而确认的其他综合收益，在终止采用权益法核算时采用与被投资单位直接处置相关资产</w:t>
      </w:r>
      <w:r>
        <w:rPr>
          <w:spacing w:val="39"/>
        </w:rPr>
        <w:t> </w:t>
      </w:r>
      <w:r>
        <w:rPr>
          <w:spacing w:val="39"/>
        </w:rPr>
      </w:r>
      <w:r>
        <w:rPr>
          <w:spacing w:val="-3"/>
        </w:rPr>
        <w:t>或负债相同的基础进行会计处理。</w:t>
      </w:r>
    </w:p>
    <w:p>
      <w:pPr>
        <w:pStyle w:val="BodyText"/>
        <w:spacing w:line="314" w:lineRule="auto" w:before="64"/>
        <w:ind w:right="0" w:firstLine="422"/>
        <w:jc w:val="left"/>
      </w:pPr>
      <w:r>
        <w:rPr>
          <w:spacing w:val="-2"/>
        </w:rPr>
        <w:t>本公司因处置部分权益性投资等原因丧失了对被投资单位的控制的，在编制个别财务报表时，处置后的剩余股权能够</w:t>
      </w:r>
      <w:r>
        <w:rPr>
          <w:w w:val="101"/>
        </w:rPr>
        <w:t> </w:t>
      </w:r>
      <w:r>
        <w:rPr>
          <w:spacing w:val="-6"/>
          <w:w w:val="101"/>
        </w:rPr>
        <w:t>对被投资单位实施共同控制或施加重大影响的，改按权益法核算，并对该剩余股权视同自取得时即采用权益法核算进行调整；</w:t>
      </w:r>
      <w:r>
        <w:rPr>
          <w:spacing w:val="-71"/>
          <w:w w:val="101"/>
        </w:rPr>
        <w:t> </w:t>
      </w:r>
      <w:r>
        <w:rPr>
          <w:spacing w:val="-71"/>
          <w:w w:val="101"/>
        </w:rPr>
      </w:r>
      <w:r>
        <w:rPr>
          <w:spacing w:val="-6"/>
          <w:w w:val="101"/>
        </w:rPr>
        <w:t>处置后的剩余股权不能对被投资单位实施共同控制或施加重大影响的，改按《企业会计准则第</w:t>
      </w:r>
      <w:r>
        <w:rPr>
          <w:rFonts w:ascii="Times New Roman" w:hAnsi="Times New Roman" w:cs="Times New Roman" w:eastAsia="Times New Roman" w:hint="default"/>
          <w:spacing w:val="-6"/>
          <w:w w:val="101"/>
        </w:rPr>
        <w:t>22</w:t>
      </w:r>
      <w:r>
        <w:rPr>
          <w:spacing w:val="-6"/>
          <w:w w:val="101"/>
        </w:rPr>
        <w:t>号</w:t>
      </w:r>
      <w:r>
        <w:rPr>
          <w:rFonts w:ascii="Times New Roman" w:hAnsi="Times New Roman" w:cs="Times New Roman" w:eastAsia="Times New Roman" w:hint="default"/>
          <w:spacing w:val="-6"/>
          <w:w w:val="101"/>
        </w:rPr>
        <w:t>——</w:t>
      </w:r>
      <w:r>
        <w:rPr>
          <w:spacing w:val="-6"/>
          <w:w w:val="101"/>
        </w:rPr>
        <w:t>金融工具确认和计量》</w:t>
      </w:r>
      <w:r>
        <w:rPr>
          <w:spacing w:val="-64"/>
          <w:w w:val="101"/>
        </w:rPr>
        <w:t> </w:t>
      </w:r>
      <w:r>
        <w:rPr>
          <w:spacing w:val="-64"/>
          <w:w w:val="101"/>
        </w:rPr>
      </w:r>
      <w:r>
        <w:rPr>
          <w:spacing w:val="-3"/>
        </w:rPr>
        <w:t>的有关规定进行会计处理。</w:t>
      </w:r>
    </w:p>
    <w:p>
      <w:pPr>
        <w:pStyle w:val="BodyText"/>
        <w:spacing w:line="321" w:lineRule="auto" w:before="68"/>
        <w:ind w:right="1124" w:firstLine="422"/>
        <w:jc w:val="both"/>
      </w:pPr>
      <w:r>
        <w:rPr>
          <w:spacing w:val="-2"/>
        </w:rPr>
        <w:t>处置长期股权投资，其账面价值与实际取得价款之间的差额，计入当期损益。采用权益法核算的长期股权投资，在处</w:t>
      </w:r>
      <w:r>
        <w:rPr>
          <w:w w:val="101"/>
        </w:rPr>
        <w:t> </w:t>
      </w:r>
      <w:r>
        <w:rPr>
          <w:spacing w:val="-4"/>
        </w:rPr>
        <w:t>置该项投资时，采用与被投资单位直接处置相关资产或负债相同的基础，按相应比例对原计入其他综合收益的部分进行会计</w:t>
      </w:r>
      <w:r>
        <w:rPr>
          <w:spacing w:val="44"/>
        </w:rPr>
        <w:t> </w:t>
      </w:r>
      <w:r>
        <w:rPr>
          <w:spacing w:val="44"/>
        </w:rPr>
      </w:r>
      <w:r>
        <w:rPr/>
        <w:t>处理。</w:t>
      </w:r>
    </w:p>
    <w:p>
      <w:pPr>
        <w:spacing w:after="0" w:line="321" w:lineRule="auto"/>
        <w:jc w:val="both"/>
        <w:sectPr>
          <w:pgSz w:w="11910" w:h="16840"/>
          <w:pgMar w:header="871" w:footer="1474" w:top="1060" w:bottom="16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26"/>
        <w:jc w:val="left"/>
        <w:rPr>
          <w:b w:val="0"/>
          <w:bCs w:val="0"/>
        </w:rPr>
      </w:pPr>
      <w:bookmarkStart w:name="15、固定资产" w:id="205"/>
      <w:bookmarkEnd w:id="205"/>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确认条件" w:id="206"/>
      <w:bookmarkEnd w:id="20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26"/>
          <w:szCs w:val="26"/>
        </w:rPr>
      </w:pPr>
    </w:p>
    <w:p>
      <w:pPr>
        <w:pStyle w:val="BodyText"/>
        <w:spacing w:line="312" w:lineRule="auto"/>
        <w:ind w:right="1126" w:firstLine="633"/>
        <w:jc w:val="both"/>
      </w:pPr>
      <w:r>
        <w:rPr>
          <w:spacing w:val="-3"/>
        </w:rPr>
        <w:t>固定资产指为生产商品、提供劳务、出租或经营管理而持有，并且使用寿命超过一个会计年度的有形资产。固定资</w:t>
      </w:r>
      <w:r>
        <w:rPr>
          <w:w w:val="101"/>
        </w:rPr>
        <w:t> </w:t>
      </w:r>
      <w:r>
        <w:rPr>
          <w:spacing w:val="-6"/>
          <w:w w:val="101"/>
        </w:rPr>
        <w:t>产分类为：房屋及建筑物、运输设备、电子设备、其他设备。固定资产在同时满足下列条件时予以确认：（</w:t>
      </w:r>
      <w:r>
        <w:rPr>
          <w:rFonts w:ascii="Times New Roman" w:hAnsi="Times New Roman" w:cs="Times New Roman" w:eastAsia="Times New Roman" w:hint="default"/>
          <w:spacing w:val="-6"/>
          <w:w w:val="101"/>
        </w:rPr>
        <w:t>1</w:t>
      </w:r>
      <w:r>
        <w:rPr>
          <w:spacing w:val="-6"/>
          <w:w w:val="101"/>
        </w:rPr>
        <w:t>）与该固定资产</w:t>
      </w:r>
      <w:r>
        <w:rPr>
          <w:spacing w:val="-71"/>
          <w:w w:val="101"/>
        </w:rPr>
        <w:t> </w:t>
      </w:r>
      <w:r>
        <w:rPr>
          <w:spacing w:val="-71"/>
          <w:w w:val="101"/>
        </w:rPr>
      </w:r>
      <w:r>
        <w:rPr>
          <w:spacing w:val="-5"/>
          <w:w w:val="101"/>
        </w:rPr>
        <w:t>有关的经济利益很可能流入企业；（</w:t>
      </w:r>
      <w:r>
        <w:rPr>
          <w:rFonts w:ascii="Times New Roman" w:hAnsi="Times New Roman" w:cs="Times New Roman" w:eastAsia="Times New Roman" w:hint="default"/>
          <w:spacing w:val="-5"/>
          <w:w w:val="101"/>
        </w:rPr>
        <w:t>2</w:t>
      </w:r>
      <w:r>
        <w:rPr>
          <w:spacing w:val="-5"/>
          <w:w w:val="101"/>
        </w:rPr>
        <w:t>）该固定资产的成本能够可靠地计量。</w:t>
      </w:r>
      <w:r>
        <w:rPr>
          <w:spacing w:val="-5"/>
        </w:rPr>
      </w:r>
    </w:p>
    <w:p>
      <w:pPr>
        <w:spacing w:line="240" w:lineRule="auto" w:before="9"/>
        <w:rPr>
          <w:rFonts w:ascii="宋体" w:hAnsi="宋体" w:cs="宋体" w:eastAsia="宋体" w:hint="default"/>
          <w:sz w:val="20"/>
          <w:szCs w:val="20"/>
        </w:rPr>
      </w:pPr>
    </w:p>
    <w:p>
      <w:pPr>
        <w:pStyle w:val="Heading3"/>
        <w:spacing w:line="240" w:lineRule="auto"/>
        <w:ind w:right="1126"/>
        <w:jc w:val="left"/>
        <w:rPr>
          <w:b w:val="0"/>
          <w:bCs w:val="0"/>
        </w:rPr>
      </w:pPr>
      <w:bookmarkStart w:name="（2）折旧方法" w:id="207"/>
      <w:bookmarkEnd w:id="20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9.5-19.00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6"/>
        <w:rPr>
          <w:rFonts w:ascii="宋体" w:hAnsi="宋体" w:cs="宋体" w:eastAsia="宋体" w:hint="default"/>
          <w:b/>
          <w:bCs/>
          <w:sz w:val="6"/>
          <w:szCs w:val="6"/>
        </w:rPr>
      </w:pPr>
    </w:p>
    <w:p>
      <w:pPr>
        <w:pStyle w:val="BodyText"/>
        <w:spacing w:line="316" w:lineRule="auto" w:before="46"/>
        <w:ind w:right="1126" w:firstLine="422"/>
        <w:jc w:val="left"/>
      </w:pPr>
      <w:r>
        <w:rPr>
          <w:spacing w:val="-2"/>
        </w:rPr>
        <w:t>固定资产折旧采用年限平均法分类计提，根据固定资产类别、预计使用寿命和预计净残值率确定折旧率。如固定资产</w:t>
      </w:r>
      <w:r>
        <w:rPr>
          <w:w w:val="101"/>
        </w:rPr>
        <w:t> </w:t>
      </w:r>
      <w:r>
        <w:rPr>
          <w:spacing w:val="-3"/>
        </w:rPr>
        <w:t>各组成部分的使用寿命不同或者以不同方式为企业提供经济利益，则选择不同折旧率或折旧方法，分别计提折旧。</w:t>
      </w:r>
    </w:p>
    <w:p>
      <w:pPr>
        <w:pStyle w:val="BodyText"/>
        <w:spacing w:line="316" w:lineRule="auto" w:before="139"/>
        <w:ind w:right="1126" w:firstLine="422"/>
        <w:jc w:val="left"/>
      </w:pPr>
      <w:r>
        <w:rPr>
          <w:spacing w:val="-2"/>
        </w:rPr>
        <w:t>预计净残值是指假定固定资产预计使用寿命已满并处于使用寿命终了时的预期状态，本公司目前从该项资产处置中获</w:t>
      </w:r>
      <w:r>
        <w:rPr>
          <w:w w:val="101"/>
        </w:rPr>
        <w:t> </w:t>
      </w:r>
      <w:r>
        <w:rPr>
          <w:spacing w:val="-3"/>
        </w:rPr>
        <w:t>得的扣除预计处置费用后的金额。</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3）融资租入固定资产的认定依据、计价和折旧方法" w:id="208"/>
      <w:bookmarkEnd w:id="20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04" w:right="1126"/>
        <w:jc w:val="left"/>
      </w:pPr>
      <w:r>
        <w:rPr>
          <w:spacing w:val="-3"/>
        </w:rPr>
        <w:t>公司与租赁方所签订的租赁协议条款中规定了下列条件之一的，确认为融资租入资产：</w:t>
      </w:r>
    </w:p>
    <w:p>
      <w:pPr>
        <w:pStyle w:val="BodyText"/>
        <w:spacing w:line="240" w:lineRule="auto" w:before="115"/>
        <w:ind w:left="513" w:right="1126"/>
        <w:jc w:val="left"/>
      </w:pPr>
      <w:r>
        <w:rPr>
          <w:spacing w:val="-3"/>
        </w:rPr>
        <w:t>①租赁期满后租赁资产的所有权归属于本公司；</w:t>
      </w:r>
    </w:p>
    <w:p>
      <w:pPr>
        <w:pStyle w:val="BodyText"/>
        <w:spacing w:line="240" w:lineRule="auto" w:before="119"/>
        <w:ind w:left="513" w:right="1126"/>
        <w:jc w:val="left"/>
      </w:pPr>
      <w:r>
        <w:rPr>
          <w:spacing w:val="-3"/>
        </w:rPr>
        <w:t>②公司具有购买资产的选择权，购买价款远低于行使选择权时该资产的公允价值；</w:t>
      </w:r>
    </w:p>
    <w:p>
      <w:pPr>
        <w:pStyle w:val="BodyText"/>
        <w:spacing w:line="240" w:lineRule="auto" w:before="115"/>
        <w:ind w:left="513" w:right="1126"/>
        <w:jc w:val="left"/>
      </w:pPr>
      <w:r>
        <w:rPr>
          <w:spacing w:val="-3"/>
        </w:rPr>
        <w:t>③租赁期占所租赁资产使用寿命的大部分；</w:t>
      </w:r>
    </w:p>
    <w:p>
      <w:pPr>
        <w:pStyle w:val="BodyText"/>
        <w:spacing w:line="357" w:lineRule="auto" w:before="115"/>
        <w:ind w:left="513" w:right="1126"/>
        <w:jc w:val="left"/>
      </w:pPr>
      <w:r>
        <w:rPr>
          <w:spacing w:val="-3"/>
        </w:rPr>
        <w:t>④租赁开始日的最低租赁付款额现值，与该资产的公允价值不存在较大的差异。</w:t>
      </w:r>
      <w:r>
        <w:rPr>
          <w:spacing w:val="13"/>
        </w:rPr>
        <w:t> </w:t>
      </w:r>
      <w:r>
        <w:rPr>
          <w:spacing w:val="13"/>
        </w:rPr>
      </w:r>
      <w:r>
        <w:rPr>
          <w:spacing w:val="-4"/>
        </w:rPr>
        <w:t>在承租开始日，将租赁资产公允价值与最低租赁付款额现值两者中较低者作为租入资产的入账价值，将最低租赁付款额</w:t>
      </w:r>
    </w:p>
    <w:p>
      <w:pPr>
        <w:pStyle w:val="BodyText"/>
        <w:spacing w:line="352" w:lineRule="auto"/>
        <w:ind w:left="513" w:right="1126" w:hanging="360"/>
        <w:jc w:val="left"/>
      </w:pPr>
      <w:r>
        <w:rPr>
          <w:spacing w:val="-3"/>
        </w:rPr>
        <w:t>作为长期应付款的入账价值，其差额作为未确认的融资费。</w:t>
      </w:r>
      <w:r>
        <w:rPr>
          <w:spacing w:val="-10"/>
        </w:rPr>
        <w:t> </w:t>
      </w:r>
      <w:r>
        <w:rPr>
          <w:spacing w:val="-10"/>
        </w:rPr>
      </w:r>
      <w:r>
        <w:rPr>
          <w:spacing w:val="-4"/>
        </w:rPr>
        <w:t>融资租赁方式租入的固定资产，能合理确定租赁期届满时将会取得租赁资产所有权的，在租赁资产尚可使用年限内计提</w:t>
      </w:r>
    </w:p>
    <w:p>
      <w:pPr>
        <w:pStyle w:val="BodyText"/>
        <w:spacing w:line="321" w:lineRule="auto"/>
        <w:ind w:right="1126"/>
        <w:jc w:val="left"/>
      </w:pPr>
      <w:r>
        <w:rPr>
          <w:spacing w:val="-4"/>
        </w:rPr>
        <w:t>折旧；无法合理确定租赁期届满时能够取得租赁资产所有权的，在租赁期与租赁资产尚可使用年限两者中较短的期间内计提</w:t>
      </w:r>
      <w:r>
        <w:rPr>
          <w:spacing w:val="43"/>
        </w:rPr>
        <w:t> </w:t>
      </w:r>
      <w:r>
        <w:rPr>
          <w:spacing w:val="43"/>
        </w:rPr>
      </w:r>
      <w:r>
        <w:rPr/>
        <w:t>折旧。</w:t>
      </w:r>
    </w:p>
    <w:p>
      <w:pPr>
        <w:pStyle w:val="BodyText"/>
        <w:spacing w:line="240" w:lineRule="auto" w:before="53"/>
        <w:ind w:left="513" w:right="1126"/>
        <w:jc w:val="left"/>
      </w:pPr>
      <w:r>
        <w:rPr>
          <w:spacing w:val="-3"/>
        </w:rPr>
        <w:t>固定资产减值测试见本附注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19</w:t>
      </w:r>
      <w:r>
        <w:rPr>
          <w:spacing w:val="-3"/>
        </w:rPr>
        <w:t>、长期资产减值</w:t>
      </w:r>
      <w:r>
        <w:rPr>
          <w:rFonts w:ascii="Times New Roman" w:hAnsi="Times New Roman" w:cs="Times New Roman" w:eastAsia="Times New Roman" w:hint="default"/>
          <w:spacing w:val="-3"/>
        </w:rPr>
        <w:t>”</w:t>
      </w:r>
      <w:r>
        <w:rPr>
          <w:spacing w:val="-3"/>
        </w:rPr>
        <w:t>。</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16、在建工程" w:id="209"/>
      <w:bookmarkEnd w:id="209"/>
      <w:r>
        <w:rPr>
          <w:b w:val="0"/>
          <w:bCs w:val="0"/>
        </w:rPr>
      </w:r>
      <w:r>
        <w:rPr>
          <w:rFonts w:ascii="Times New Roman" w:hAnsi="Times New Roman" w:cs="Times New Roman" w:eastAsia="Times New Roman" w:hint="default"/>
        </w:rPr>
        <w:t>16</w:t>
      </w:r>
      <w:r>
        <w:rPr/>
        <w:t>、在建工程</w:t>
      </w:r>
      <w:r>
        <w:rPr>
          <w:b w:val="0"/>
          <w:bCs w:val="0"/>
        </w:rPr>
      </w:r>
    </w:p>
    <w:p>
      <w:pPr>
        <w:pStyle w:val="BodyText"/>
        <w:spacing w:line="430" w:lineRule="atLeast" w:before="154"/>
        <w:ind w:left="575" w:right="1126"/>
        <w:jc w:val="left"/>
      </w:pPr>
      <w:r>
        <w:rPr>
          <w:spacing w:val="-3"/>
        </w:rPr>
        <w:t>在建工程以立项项目分类核算。</w:t>
      </w:r>
      <w:r>
        <w:rPr>
          <w:spacing w:val="-45"/>
        </w:rPr>
        <w:t> </w:t>
      </w:r>
      <w:r>
        <w:rPr>
          <w:spacing w:val="-45"/>
        </w:rPr>
      </w:r>
      <w:r>
        <w:rPr>
          <w:spacing w:val="-2"/>
        </w:rPr>
        <w:t>在建工程项目按建造该项资产达到预定可使用状态前所发生的全部支出，作为固定资产的入账价值。所建造的固定资</w:t>
      </w:r>
    </w:p>
    <w:p>
      <w:pPr>
        <w:pStyle w:val="BodyText"/>
        <w:spacing w:line="316" w:lineRule="auto" w:before="77"/>
        <w:ind w:right="1126"/>
        <w:jc w:val="left"/>
      </w:pPr>
      <w:r>
        <w:rPr>
          <w:spacing w:val="-4"/>
        </w:rPr>
        <w:t>产在建工程已达到预定可使用状态，但尚未办理竣工决算的，自达到预定可使用状态之日起，根据工程预算、造价或者工程</w:t>
      </w:r>
      <w:r>
        <w:rPr>
          <w:spacing w:val="40"/>
        </w:rPr>
        <w:t> </w:t>
      </w:r>
      <w:r>
        <w:rPr>
          <w:spacing w:val="40"/>
        </w:rPr>
      </w:r>
      <w:r>
        <w:rPr>
          <w:spacing w:val="-4"/>
        </w:rPr>
        <w:t>实际成本等，按估计的价值转入固定资产，并按本公司固定资产折旧政策计提固定资产的折旧，待办理竣工决算后，再按实</w:t>
      </w:r>
    </w:p>
    <w:p>
      <w:pPr>
        <w:spacing w:after="0" w:line="316"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439" w:lineRule="auto" w:before="46"/>
        <w:ind w:left="575" w:right="2204" w:hanging="423"/>
        <w:jc w:val="left"/>
      </w:pPr>
      <w:r>
        <w:rPr>
          <w:spacing w:val="-3"/>
        </w:rPr>
        <w:t>际成本调整原来的暂估价值，但不调整原已计提的折旧额。</w:t>
      </w:r>
      <w:r>
        <w:rPr>
          <w:spacing w:val="-10"/>
        </w:rPr>
        <w:t> </w:t>
      </w:r>
      <w:r>
        <w:rPr>
          <w:spacing w:val="-10"/>
        </w:rPr>
      </w:r>
      <w:r>
        <w:rPr>
          <w:spacing w:val="-3"/>
        </w:rPr>
        <w:t>在建工程减值测试见本附注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19</w:t>
      </w:r>
      <w:r>
        <w:rPr>
          <w:spacing w:val="-3"/>
        </w:rPr>
        <w:t>、长期资产减值</w:t>
      </w:r>
      <w:r>
        <w:rPr>
          <w:rFonts w:ascii="Times New Roman" w:hAnsi="Times New Roman" w:cs="Times New Roman" w:eastAsia="Times New Roman" w:hint="default"/>
          <w:spacing w:val="-3"/>
        </w:rPr>
        <w:t>”</w:t>
      </w:r>
      <w:r>
        <w:rPr>
          <w:spacing w:val="-3"/>
        </w:rPr>
        <w:t>。</w:t>
      </w:r>
    </w:p>
    <w:p>
      <w:pPr>
        <w:spacing w:line="240" w:lineRule="auto" w:before="5"/>
        <w:rPr>
          <w:rFonts w:ascii="宋体" w:hAnsi="宋体" w:cs="宋体" w:eastAsia="宋体" w:hint="default"/>
          <w:sz w:val="13"/>
          <w:szCs w:val="13"/>
        </w:rPr>
      </w:pPr>
    </w:p>
    <w:p>
      <w:pPr>
        <w:pStyle w:val="Heading3"/>
        <w:spacing w:line="240" w:lineRule="auto"/>
        <w:ind w:right="1126"/>
        <w:jc w:val="left"/>
        <w:rPr>
          <w:b w:val="0"/>
          <w:bCs w:val="0"/>
        </w:rPr>
      </w:pPr>
      <w:bookmarkStart w:name="17、借款费用" w:id="210"/>
      <w:bookmarkEnd w:id="210"/>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pStyle w:val="BodyText"/>
        <w:spacing w:line="432" w:lineRule="exact" w:before="31"/>
        <w:ind w:left="575" w:right="1126"/>
        <w:jc w:val="left"/>
      </w:pPr>
      <w:r>
        <w:rPr>
          <w:spacing w:val="-3"/>
        </w:rPr>
        <w:t>借款费用，包括借款利息、折价或者溢价的摊销、辅助费用以及因外币借款而发生的汇兑差额等。</w:t>
      </w:r>
      <w:r>
        <w:rPr>
          <w:spacing w:val="37"/>
        </w:rPr>
        <w:t> </w:t>
      </w:r>
      <w:r>
        <w:rPr>
          <w:spacing w:val="37"/>
        </w:rPr>
      </w:r>
      <w:r>
        <w:rPr>
          <w:spacing w:val="-2"/>
        </w:rPr>
        <w:t>公司发生的借款费用，可直接归属于符合资本化条件的资产的购建或者生产的，予以资本化，计入相关资产成本；其</w:t>
      </w:r>
    </w:p>
    <w:p>
      <w:pPr>
        <w:pStyle w:val="BodyText"/>
        <w:spacing w:line="240" w:lineRule="auto" w:before="15"/>
        <w:ind w:right="1126"/>
        <w:jc w:val="left"/>
      </w:pPr>
      <w:r>
        <w:rPr>
          <w:spacing w:val="-3"/>
        </w:rPr>
        <w:t>他借款费用，在发生时根据其发生额确认为费用，计入当期损益。</w:t>
      </w:r>
    </w:p>
    <w:p>
      <w:pPr>
        <w:spacing w:line="240" w:lineRule="auto" w:before="0"/>
        <w:rPr>
          <w:rFonts w:ascii="宋体" w:hAnsi="宋体" w:cs="宋体" w:eastAsia="宋体" w:hint="default"/>
          <w:sz w:val="15"/>
          <w:szCs w:val="15"/>
        </w:rPr>
      </w:pPr>
    </w:p>
    <w:p>
      <w:pPr>
        <w:pStyle w:val="BodyText"/>
        <w:spacing w:line="316" w:lineRule="auto"/>
        <w:ind w:right="1126" w:firstLine="422"/>
        <w:jc w:val="left"/>
      </w:pPr>
      <w:r>
        <w:rPr>
          <w:spacing w:val="-2"/>
        </w:rPr>
        <w:t>符合资本化条件的资产，是指需要经过相当长时间的购建或者生产活动才能达到预定可使用或者可销售状态的固定资</w:t>
      </w:r>
      <w:r>
        <w:rPr>
          <w:w w:val="101"/>
        </w:rPr>
        <w:t> </w:t>
      </w:r>
      <w:r>
        <w:rPr>
          <w:spacing w:val="-3"/>
        </w:rPr>
        <w:t>产、投资性房地产和存货等资产。</w:t>
      </w:r>
    </w:p>
    <w:p>
      <w:pPr>
        <w:pStyle w:val="BodyText"/>
        <w:spacing w:line="240" w:lineRule="auto" w:before="139"/>
        <w:ind w:left="575" w:right="1126"/>
        <w:jc w:val="left"/>
      </w:pPr>
      <w:r>
        <w:rPr>
          <w:spacing w:val="-3"/>
        </w:rPr>
        <w:t>借款费用同时满足下列条件时开始资本化：</w:t>
      </w:r>
    </w:p>
    <w:p>
      <w:pPr>
        <w:spacing w:line="240" w:lineRule="auto" w:before="1"/>
        <w:rPr>
          <w:rFonts w:ascii="宋体" w:hAnsi="宋体" w:cs="宋体" w:eastAsia="宋体" w:hint="default"/>
          <w:sz w:val="15"/>
          <w:szCs w:val="15"/>
        </w:rPr>
      </w:pPr>
    </w:p>
    <w:p>
      <w:pPr>
        <w:pStyle w:val="BodyText"/>
        <w:spacing w:line="316" w:lineRule="auto"/>
        <w:ind w:right="1126" w:firstLine="292"/>
        <w:jc w:val="left"/>
      </w:pPr>
      <w:r>
        <w:rPr>
          <w:spacing w:val="-3"/>
        </w:rPr>
        <w:t>①资产支出已经发生，资产支出包括为购建或者生产符合资本化条件的资产而以支付现金、转移非现金资产或者承担带</w:t>
      </w:r>
      <w:r>
        <w:rPr>
          <w:w w:val="101"/>
        </w:rPr>
        <w:t> </w:t>
      </w:r>
      <w:r>
        <w:rPr>
          <w:spacing w:val="-3"/>
        </w:rPr>
        <w:t>息债务形式发生的支出；</w:t>
      </w:r>
    </w:p>
    <w:p>
      <w:pPr>
        <w:pStyle w:val="BodyText"/>
        <w:spacing w:line="240" w:lineRule="auto" w:before="139"/>
        <w:ind w:left="446" w:right="1126"/>
        <w:jc w:val="left"/>
      </w:pPr>
      <w:r>
        <w:rPr>
          <w:spacing w:val="-3"/>
        </w:rPr>
        <w:t>②借款费用已经发生；</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③为使资产达到预定可使用或者可销售状态所必要的购建或者生产活动已经开始。</w:t>
      </w:r>
    </w:p>
    <w:p>
      <w:pPr>
        <w:spacing w:line="240" w:lineRule="auto" w:before="1"/>
        <w:rPr>
          <w:rFonts w:ascii="宋体" w:hAnsi="宋体" w:cs="宋体" w:eastAsia="宋体" w:hint="default"/>
          <w:sz w:val="13"/>
          <w:szCs w:val="13"/>
        </w:rPr>
      </w:pPr>
    </w:p>
    <w:p>
      <w:pPr>
        <w:pStyle w:val="Heading3"/>
        <w:spacing w:line="240" w:lineRule="auto"/>
        <w:ind w:right="1126"/>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pStyle w:val="BodyText"/>
        <w:spacing w:line="439" w:lineRule="auto" w:before="166"/>
        <w:ind w:left="575" w:right="1126"/>
        <w:jc w:val="left"/>
      </w:pPr>
      <w:r>
        <w:rPr>
          <w:spacing w:val="-3"/>
        </w:rPr>
        <w:t>资本化期间，指从借款费用开始资本化时点到停止资本化时点的期间，借款费用暂停资本化的期间不包括在内。</w:t>
      </w:r>
      <w:r>
        <w:rPr>
          <w:spacing w:val="55"/>
        </w:rPr>
        <w:t> </w:t>
      </w:r>
      <w:r>
        <w:rPr>
          <w:spacing w:val="55"/>
        </w:rPr>
      </w:r>
      <w:r>
        <w:rPr>
          <w:spacing w:val="-3"/>
        </w:rPr>
        <w:t>当购建或者生产符合资本化条件的资产达到预定可使用或者可销售状态时，借款费用停止资本化。</w:t>
      </w:r>
      <w:r>
        <w:rPr>
          <w:spacing w:val="37"/>
        </w:rPr>
        <w:t> </w:t>
      </w:r>
      <w:r>
        <w:rPr>
          <w:spacing w:val="37"/>
        </w:rPr>
      </w:r>
      <w:r>
        <w:rPr>
          <w:spacing w:val="-3"/>
        </w:rPr>
        <w:t>当购建或者生产符合资本化条件的资产中部分项目分别完工且可单独使用时，该部分资产借款费用停止资本化。</w:t>
      </w:r>
    </w:p>
    <w:p>
      <w:pPr>
        <w:pStyle w:val="BodyText"/>
        <w:spacing w:line="316" w:lineRule="auto" w:before="47"/>
        <w:ind w:right="1126" w:firstLine="422"/>
        <w:jc w:val="left"/>
      </w:pPr>
      <w:r>
        <w:rPr>
          <w:spacing w:val="-2"/>
        </w:rPr>
        <w:t>购建或者生产的资产的各部分分别完工，但必须等到整体完工后才可使用或可对外销售的，在该资产整体完工时停止</w:t>
      </w:r>
      <w:r>
        <w:rPr>
          <w:w w:val="101"/>
        </w:rPr>
        <w:t> </w:t>
      </w:r>
      <w:r>
        <w:rPr/>
        <w:t>借款费用资本化。</w:t>
      </w:r>
    </w:p>
    <w:p>
      <w:pPr>
        <w:pStyle w:val="Heading3"/>
        <w:spacing w:line="240" w:lineRule="auto" w:before="113"/>
        <w:ind w:right="1126"/>
        <w:jc w:val="left"/>
        <w:rPr>
          <w:b w:val="0"/>
          <w:bCs w:val="0"/>
        </w:rPr>
      </w:pPr>
      <w:r>
        <w:rPr/>
        <w:t>（</w:t>
      </w:r>
      <w:r>
        <w:rPr>
          <w:rFonts w:ascii="Times New Roman" w:hAnsi="Times New Roman" w:cs="Times New Roman" w:eastAsia="Times New Roman" w:hint="default"/>
        </w:rPr>
        <w:t>3</w:t>
      </w:r>
      <w:r>
        <w:rPr/>
        <w:t>）借款费用暂停资本化期间</w:t>
      </w:r>
      <w:r>
        <w:rPr>
          <w:b w:val="0"/>
          <w:bCs w:val="0"/>
        </w:rPr>
      </w:r>
    </w:p>
    <w:p>
      <w:pPr>
        <w:pStyle w:val="BodyText"/>
        <w:spacing w:line="309" w:lineRule="auto" w:before="166"/>
        <w:ind w:right="0" w:firstLine="422"/>
        <w:jc w:val="left"/>
      </w:pPr>
      <w:r>
        <w:rPr>
          <w:spacing w:val="-6"/>
          <w:w w:val="101"/>
        </w:rPr>
        <w:t>符合资本化条件的资产在购建或生产过程中发生的非正常中断、且中断时间连续超过</w:t>
      </w:r>
      <w:r>
        <w:rPr>
          <w:rFonts w:ascii="Times New Roman" w:hAnsi="Times New Roman" w:cs="Times New Roman" w:eastAsia="Times New Roman" w:hint="default"/>
          <w:spacing w:val="-6"/>
          <w:w w:val="101"/>
        </w:rPr>
        <w:t>3</w:t>
      </w:r>
      <w:r>
        <w:rPr>
          <w:spacing w:val="-6"/>
          <w:w w:val="101"/>
        </w:rPr>
        <w:t>个月的，则借款费用暂停资本化；</w:t>
      </w:r>
      <w:r>
        <w:rPr>
          <w:w w:val="101"/>
        </w:rPr>
        <w:t> </w:t>
      </w:r>
      <w:r>
        <w:rPr>
          <w:spacing w:val="-4"/>
          <w:w w:val="101"/>
        </w:rPr>
        <w:t>该项中断如是所购建或生产的符合资本化条件的资产达到预定可使用状态或者可销售状态必要的程序，则借款费用继续资本</w:t>
      </w:r>
      <w:r>
        <w:rPr>
          <w:w w:val="101"/>
        </w:rPr>
        <w:t> </w:t>
      </w:r>
      <w:r>
        <w:rPr>
          <w:spacing w:val="-3"/>
        </w:rPr>
        <w:t>化。在中断期间发生的借款费用确认为当期损益，直至资产的购建或者生产活动重新开始后借款费用继续资本化。</w:t>
      </w:r>
    </w:p>
    <w:p>
      <w:pPr>
        <w:pStyle w:val="Heading3"/>
        <w:spacing w:line="240" w:lineRule="auto" w:before="119"/>
        <w:ind w:right="1126"/>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pStyle w:val="BodyText"/>
        <w:spacing w:line="316" w:lineRule="auto" w:before="166"/>
        <w:ind w:right="939" w:firstLine="422"/>
        <w:jc w:val="left"/>
      </w:pPr>
      <w:r>
        <w:rPr/>
        <w:t>对于为购建或者生产符合资本化条件的资产而借入的专门借款，以专门借款当期实际发生的借款费用及其辅助费，减</w:t>
      </w:r>
      <w:r>
        <w:rPr>
          <w:w w:val="101"/>
        </w:rPr>
        <w:t> </w:t>
      </w:r>
      <w:r>
        <w:rPr>
          <w:spacing w:val="-4"/>
          <w:w w:val="101"/>
        </w:rPr>
        <w:t>去尚未动用的借款资金存入银行取得的利息收入或进行暂时性投资取得的投资收益后的金额，来确定借款费用的资本化金额。</w:t>
      </w:r>
      <w:r>
        <w:rPr>
          <w:spacing w:val="-4"/>
        </w:rPr>
      </w:r>
    </w:p>
    <w:p>
      <w:pPr>
        <w:pStyle w:val="BodyText"/>
        <w:spacing w:line="316" w:lineRule="auto" w:before="139"/>
        <w:ind w:right="1122" w:firstLine="422"/>
        <w:jc w:val="both"/>
      </w:pPr>
      <w:r>
        <w:rPr>
          <w:spacing w:val="-2"/>
        </w:rPr>
        <w:t>对于为购建或者生产符合资本化条件的资产而占用的一般借款，根据累计资产支出超过专门借款部分的资产支出加权</w:t>
      </w:r>
      <w:r>
        <w:rPr>
          <w:w w:val="101"/>
        </w:rPr>
        <w:t> </w:t>
      </w:r>
      <w:r>
        <w:rPr>
          <w:spacing w:val="-4"/>
        </w:rPr>
        <w:t>平均数乘以所占用一般借款的资本化率，计算确定一般借款应予资本化的利息金额。资本化率根据一般借款加权平均利率计</w:t>
      </w:r>
      <w:r>
        <w:rPr>
          <w:spacing w:val="42"/>
        </w:rPr>
        <w:t> </w:t>
      </w:r>
      <w:r>
        <w:rPr>
          <w:spacing w:val="42"/>
        </w:rPr>
      </w:r>
      <w:r>
        <w:rPr/>
        <w:t>算确定。</w:t>
      </w:r>
    </w:p>
    <w:p>
      <w:pPr>
        <w:pStyle w:val="BodyText"/>
        <w:spacing w:line="240" w:lineRule="auto" w:before="139"/>
        <w:ind w:left="575" w:right="1126"/>
        <w:jc w:val="left"/>
      </w:pPr>
      <w:r>
        <w:rPr>
          <w:spacing w:val="-3"/>
        </w:rPr>
        <w:t>借款存在折价或者溢价的，按照实际利率法确定每一会计期间应摊销的折价或者溢价金额，调整每期利息金额。</w:t>
      </w:r>
    </w:p>
    <w:p>
      <w:pPr>
        <w:spacing w:after="0" w:line="240" w:lineRule="auto"/>
        <w:jc w:val="left"/>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18、无形资产" w:id="211"/>
      <w:bookmarkEnd w:id="211"/>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计价方法、使用寿命、减值测试" w:id="212"/>
      <w:bookmarkEnd w:id="21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18" w:right="1126"/>
        <w:jc w:val="left"/>
        <w:rPr>
          <w:b w:val="0"/>
          <w:bCs w:val="0"/>
        </w:rPr>
      </w:pPr>
      <w:r>
        <w:rPr>
          <w:rFonts w:ascii="Times New Roman" w:hAnsi="Times New Roman" w:cs="Times New Roman" w:eastAsia="Times New Roman" w:hint="default"/>
        </w:rPr>
        <w:t>1</w:t>
      </w:r>
      <w:r>
        <w:rPr/>
        <w:t>）取得无形资产时按成本进行初始计量</w:t>
      </w:r>
      <w:r>
        <w:rPr>
          <w:b w:val="0"/>
          <w:bCs w:val="0"/>
        </w:rPr>
      </w:r>
    </w:p>
    <w:p>
      <w:pPr>
        <w:pStyle w:val="BodyText"/>
        <w:spacing w:line="316" w:lineRule="auto" w:before="166"/>
        <w:ind w:right="1124" w:firstLine="422"/>
        <w:jc w:val="both"/>
      </w:pPr>
      <w:r>
        <w:rPr>
          <w:spacing w:val="-2"/>
        </w:rPr>
        <w:t>外购无形资产的成本，包括购买价款、相关税费以及直接归属于使该项资产达到预定用途所发生的其他支出。购买无</w:t>
      </w:r>
      <w:r>
        <w:rPr>
          <w:w w:val="101"/>
        </w:rPr>
        <w:t> </w:t>
      </w:r>
      <w:r>
        <w:rPr>
          <w:spacing w:val="-3"/>
        </w:rPr>
        <w:t>形资产的价款超过正常信用条件延期支付，实质上具有融资性质的，无形资产的成本以购买价款的现值为基础确定。</w:t>
      </w:r>
    </w:p>
    <w:p>
      <w:pPr>
        <w:pStyle w:val="BodyText"/>
        <w:spacing w:line="319" w:lineRule="auto" w:before="139"/>
        <w:ind w:right="1124" w:firstLine="422"/>
        <w:jc w:val="both"/>
      </w:pPr>
      <w:r>
        <w:rPr>
          <w:spacing w:val="-2"/>
        </w:rPr>
        <w:t>债务重组取得债务人用以抵债的无形资产，以该无形资产的公允价值为基础确定其入账价值，并将重组债务的账面价</w:t>
      </w:r>
      <w:r>
        <w:rPr>
          <w:w w:val="101"/>
        </w:rPr>
        <w:t> </w:t>
      </w:r>
      <w:r>
        <w:rPr>
          <w:spacing w:val="-3"/>
        </w:rPr>
        <w:t>值与该用以抵债的无形资产公允价值之间的差额，计入当期损益；</w:t>
      </w:r>
    </w:p>
    <w:p>
      <w:pPr>
        <w:pStyle w:val="BodyText"/>
        <w:spacing w:line="316" w:lineRule="auto" w:before="137"/>
        <w:ind w:right="1123" w:firstLine="422"/>
        <w:jc w:val="both"/>
      </w:pPr>
      <w:r>
        <w:rPr>
          <w:spacing w:val="-2"/>
        </w:rPr>
        <w:t>在非货币性资产交换具备商业实质且换入资产或换出资产的公允价值能够可靠计量的前提下，非货币性资产交换换入</w:t>
      </w:r>
      <w:r>
        <w:rPr>
          <w:w w:val="101"/>
        </w:rPr>
        <w:t> </w:t>
      </w:r>
      <w:r>
        <w:rPr>
          <w:spacing w:val="-4"/>
        </w:rPr>
        <w:t>的无形资产以换出资产的公允价值为基础确定其入账价值，除非有确凿证据表明换入资产的公允价值更加可靠；不满足上述</w:t>
      </w:r>
      <w:r>
        <w:rPr>
          <w:spacing w:val="42"/>
        </w:rPr>
        <w:t> </w:t>
      </w:r>
      <w:r>
        <w:rPr>
          <w:spacing w:val="42"/>
        </w:rPr>
      </w:r>
      <w:r>
        <w:rPr>
          <w:spacing w:val="-3"/>
        </w:rPr>
        <w:t>前提的非货币性资产交换，以换出资产的账面价值和应支付的相关税费作为换入无形资产的成本，不确认损益。</w:t>
      </w:r>
    </w:p>
    <w:p>
      <w:pPr>
        <w:pStyle w:val="BodyText"/>
        <w:spacing w:line="319" w:lineRule="auto" w:before="139"/>
        <w:ind w:right="1124" w:firstLine="422"/>
        <w:jc w:val="both"/>
      </w:pPr>
      <w:r>
        <w:rPr>
          <w:spacing w:val="-2"/>
        </w:rPr>
        <w:t>以同一控制下的企业吸收合并方式取得的无形资产按被合并方的账面价值确定其入账价值；以非同一控制下的企业吸</w:t>
      </w:r>
      <w:r>
        <w:rPr>
          <w:w w:val="101"/>
        </w:rPr>
        <w:t> </w:t>
      </w:r>
      <w:r>
        <w:rPr>
          <w:spacing w:val="-3"/>
        </w:rPr>
        <w:t>收合并方式取得的无形资产按公允价值确定其入账价值。</w:t>
      </w:r>
    </w:p>
    <w:p>
      <w:pPr>
        <w:pStyle w:val="BodyText"/>
        <w:spacing w:line="316" w:lineRule="auto" w:before="137"/>
        <w:ind w:right="1124" w:firstLine="422"/>
        <w:jc w:val="both"/>
      </w:pPr>
      <w:r>
        <w:rPr>
          <w:spacing w:val="-2"/>
        </w:rPr>
        <w:t>内部自行开发的无形资产，其成本包括：开发该无形资产时耗用的材料、劳务成本、注册费、在开发过程中使用的其</w:t>
      </w:r>
      <w:r>
        <w:rPr>
          <w:w w:val="101"/>
        </w:rPr>
        <w:t> </w:t>
      </w:r>
      <w:r>
        <w:rPr>
          <w:spacing w:val="-3"/>
        </w:rPr>
        <w:t>他专利权和特许权的摊销以及满足资本化条件的利息费用，以及为使该无形资产达到预定用途前所发生的其他直接费用。</w:t>
      </w:r>
    </w:p>
    <w:p>
      <w:pPr>
        <w:pStyle w:val="Heading3"/>
        <w:spacing w:line="240" w:lineRule="auto" w:before="113"/>
        <w:ind w:left="518" w:right="1126"/>
        <w:jc w:val="left"/>
        <w:rPr>
          <w:b w:val="0"/>
          <w:bCs w:val="0"/>
        </w:rPr>
      </w:pPr>
      <w:r>
        <w:rPr>
          <w:rFonts w:ascii="Times New Roman" w:hAnsi="Times New Roman" w:cs="Times New Roman" w:eastAsia="Times New Roman" w:hint="default"/>
        </w:rPr>
        <w:t>2</w:t>
      </w:r>
      <w:r>
        <w:rPr/>
        <w:t>）后续计量</w:t>
      </w:r>
      <w:r>
        <w:rPr>
          <w:b w:val="0"/>
          <w:bCs w:val="0"/>
        </w:rPr>
      </w:r>
    </w:p>
    <w:p>
      <w:pPr>
        <w:pStyle w:val="BodyText"/>
        <w:spacing w:line="432" w:lineRule="exact" w:before="31"/>
        <w:ind w:left="575" w:right="1126"/>
        <w:jc w:val="left"/>
      </w:pPr>
      <w:r>
        <w:rPr>
          <w:spacing w:val="-3"/>
        </w:rPr>
        <w:t>在取得无形资产时分析判断其使用寿命。</w:t>
      </w:r>
      <w:r>
        <w:rPr>
          <w:spacing w:val="-33"/>
        </w:rPr>
        <w:t> </w:t>
      </w:r>
      <w:r>
        <w:rPr>
          <w:spacing w:val="-33"/>
        </w:rPr>
      </w:r>
      <w:r>
        <w:rPr>
          <w:spacing w:val="-2"/>
        </w:rPr>
        <w:t>对于使用寿命有限的无形资产，在为企业带来经济利益的期限内按直线法摊销；无法预见无形资产为企业带来经济利</w:t>
      </w:r>
    </w:p>
    <w:p>
      <w:pPr>
        <w:pStyle w:val="BodyText"/>
        <w:spacing w:line="439" w:lineRule="auto" w:before="15"/>
        <w:ind w:left="518" w:right="2204" w:hanging="365"/>
        <w:jc w:val="left"/>
      </w:pPr>
      <w:r>
        <w:rPr>
          <w:spacing w:val="-3"/>
        </w:rPr>
        <w:t>益期限的，视为使用寿命不确定的无形资产，不予摊销。</w:t>
      </w:r>
      <w:r>
        <w:rPr>
          <w:spacing w:val="-15"/>
        </w:rPr>
        <w:t> </w:t>
      </w:r>
      <w:r>
        <w:rPr>
          <w:spacing w:val="-15"/>
        </w:rPr>
      </w:r>
      <w:r>
        <w:rPr>
          <w:spacing w:val="-3"/>
        </w:rPr>
        <w:t>无形资产减值测试见本附注</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19</w:t>
      </w:r>
      <w:r>
        <w:rPr>
          <w:spacing w:val="-3"/>
        </w:rPr>
        <w:t>、长期资产减值</w:t>
      </w:r>
      <w:r>
        <w:rPr>
          <w:rFonts w:ascii="Times New Roman" w:hAnsi="Times New Roman" w:cs="Times New Roman" w:eastAsia="Times New Roman" w:hint="default"/>
          <w:spacing w:val="-3"/>
        </w:rPr>
        <w:t>”</w:t>
      </w:r>
      <w:r>
        <w:rPr>
          <w:spacing w:val="-3"/>
        </w:rPr>
        <w:t>。</w:t>
      </w:r>
    </w:p>
    <w:p>
      <w:pPr>
        <w:pStyle w:val="Heading3"/>
        <w:spacing w:line="283" w:lineRule="exact"/>
        <w:ind w:left="518" w:right="1126"/>
        <w:jc w:val="left"/>
        <w:rPr>
          <w:b w:val="0"/>
          <w:bCs w:val="0"/>
        </w:rPr>
      </w:pPr>
      <w:r>
        <w:rPr>
          <w:rFonts w:ascii="Times New Roman" w:hAnsi="Times New Roman" w:cs="Times New Roman" w:eastAsia="Times New Roman" w:hint="default"/>
        </w:rPr>
        <w:t>3</w:t>
      </w:r>
      <w:r>
        <w:rPr/>
        <w:t>）使用寿命有限的无形资产的使用寿命估计情况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2967"/>
        <w:gridCol w:w="3448"/>
        <w:gridCol w:w="3246"/>
      </w:tblGrid>
      <w:tr>
        <w:trPr>
          <w:trHeight w:val="341" w:hRule="exact"/>
        </w:trPr>
        <w:tc>
          <w:tcPr>
            <w:tcW w:w="29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24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1" w:hRule="exac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办公软件</w:t>
            </w:r>
          </w:p>
        </w:tc>
        <w:tc>
          <w:tcPr>
            <w:tcW w:w="3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32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6"/>
          <w:szCs w:val="6"/>
        </w:rPr>
      </w:pPr>
    </w:p>
    <w:p>
      <w:pPr>
        <w:spacing w:line="427" w:lineRule="auto" w:before="46"/>
        <w:ind w:left="518" w:right="1126" w:firstLine="57"/>
        <w:jc w:val="left"/>
        <w:rPr>
          <w:rFonts w:ascii="宋体" w:hAnsi="宋体" w:cs="宋体" w:eastAsia="宋体" w:hint="default"/>
          <w:sz w:val="21"/>
          <w:szCs w:val="21"/>
        </w:rPr>
      </w:pPr>
      <w:r>
        <w:rPr>
          <w:rFonts w:ascii="宋体" w:hAnsi="宋体" w:cs="宋体" w:eastAsia="宋体" w:hint="default"/>
          <w:spacing w:val="-3"/>
          <w:sz w:val="18"/>
          <w:szCs w:val="18"/>
        </w:rPr>
        <w:t>每期末，对使用寿命有限的无形资产的使用寿命及摊销方法进行复核。</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经复核，本年期末无形资产的使用寿命及摊销方法与以前估计未有不同。</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）使用寿命不确定的无形资产的判断依据</w:t>
      </w:r>
      <w:r>
        <w:rPr>
          <w:rFonts w:ascii="宋体" w:hAnsi="宋体" w:cs="宋体" w:eastAsia="宋体" w:hint="default"/>
          <w:sz w:val="21"/>
          <w:szCs w:val="21"/>
        </w:rPr>
      </w:r>
    </w:p>
    <w:p>
      <w:pPr>
        <w:pStyle w:val="BodyText"/>
        <w:spacing w:line="235" w:lineRule="exact"/>
        <w:ind w:left="575" w:right="1126"/>
        <w:jc w:val="left"/>
      </w:pPr>
      <w:r>
        <w:rPr>
          <w:spacing w:val="-3"/>
        </w:rPr>
        <w:t>截至资产负债表日</w:t>
      </w:r>
      <w:r>
        <w:rPr>
          <w:rFonts w:ascii="Times New Roman" w:hAnsi="Times New Roman" w:cs="Times New Roman" w:eastAsia="Times New Roman" w:hint="default"/>
          <w:spacing w:val="-3"/>
        </w:rPr>
        <w:t>,</w:t>
      </w:r>
      <w:r>
        <w:rPr>
          <w:spacing w:val="-3"/>
        </w:rPr>
        <w:t>本公司没有使用寿命不确定的无形资产。</w:t>
      </w:r>
    </w:p>
    <w:p>
      <w:pPr>
        <w:spacing w:line="240" w:lineRule="auto" w:before="13"/>
        <w:rPr>
          <w:rFonts w:ascii="宋体" w:hAnsi="宋体" w:cs="宋体" w:eastAsia="宋体" w:hint="default"/>
          <w:sz w:val="25"/>
          <w:szCs w:val="25"/>
        </w:rPr>
      </w:pPr>
    </w:p>
    <w:p>
      <w:pPr>
        <w:pStyle w:val="Heading3"/>
        <w:spacing w:line="240" w:lineRule="auto"/>
        <w:ind w:right="1126"/>
        <w:jc w:val="left"/>
        <w:rPr>
          <w:b w:val="0"/>
          <w:bCs w:val="0"/>
        </w:rPr>
      </w:pPr>
      <w:bookmarkStart w:name="（2）内部研究开发支出会计政策" w:id="213"/>
      <w:bookmarkEnd w:id="21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spacing w:line="415" w:lineRule="auto" w:before="0"/>
        <w:ind w:left="446" w:right="2204" w:firstLine="5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划分内部研究开发项目的研究阶段和开发阶段具体标准</w:t>
      </w:r>
      <w:r>
        <w:rPr>
          <w:rFonts w:ascii="宋体" w:hAnsi="宋体" w:cs="宋体" w:eastAsia="宋体" w:hint="default"/>
          <w:b/>
          <w:bCs/>
          <w:w w:val="100"/>
          <w:sz w:val="18"/>
          <w:szCs w:val="18"/>
        </w:rPr>
        <w:t> </w:t>
      </w:r>
      <w:r>
        <w:rPr>
          <w:rFonts w:ascii="宋体" w:hAnsi="宋体" w:cs="宋体" w:eastAsia="宋体" w:hint="default"/>
          <w:spacing w:val="-3"/>
          <w:sz w:val="18"/>
          <w:szCs w:val="18"/>
        </w:rPr>
        <w:t>内部研究开发项目的支出分为研究阶段支出和开发阶段支出。</w:t>
      </w:r>
    </w:p>
    <w:p>
      <w:pPr>
        <w:pStyle w:val="BodyText"/>
        <w:spacing w:line="240" w:lineRule="auto" w:before="65"/>
        <w:ind w:left="575" w:right="1126"/>
        <w:jc w:val="left"/>
      </w:pPr>
      <w:r>
        <w:rPr>
          <w:spacing w:val="-3"/>
        </w:rPr>
        <w:t>研究阶段：为获取并理解新的科学或技术知识等而进行的独创性的有计划调查、研究活动的阶段。</w:t>
      </w:r>
    </w:p>
    <w:p>
      <w:pPr>
        <w:spacing w:line="240" w:lineRule="auto" w:before="1"/>
        <w:rPr>
          <w:rFonts w:ascii="宋体" w:hAnsi="宋体" w:cs="宋体" w:eastAsia="宋体" w:hint="default"/>
          <w:sz w:val="15"/>
          <w:szCs w:val="15"/>
        </w:rPr>
      </w:pPr>
    </w:p>
    <w:p>
      <w:pPr>
        <w:pStyle w:val="BodyText"/>
        <w:spacing w:line="316" w:lineRule="auto"/>
        <w:ind w:right="1126" w:firstLine="422"/>
        <w:jc w:val="left"/>
      </w:pPr>
      <w:r>
        <w:rPr>
          <w:spacing w:val="-2"/>
        </w:rPr>
        <w:t>开发阶段：在进行商业性生产或使用前，将研究成果或其他知识应用于某项计划或设计，以生产出新的或具有实质性</w:t>
      </w:r>
      <w:r>
        <w:rPr>
          <w:w w:val="101"/>
        </w:rPr>
        <w:t> </w:t>
      </w:r>
      <w:r>
        <w:rPr>
          <w:spacing w:val="-3"/>
        </w:rPr>
        <w:t>改进的材料、装置、产品等活动的阶段。</w:t>
      </w:r>
    </w:p>
    <w:p>
      <w:pPr>
        <w:spacing w:after="0" w:line="316"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spacing w:line="415" w:lineRule="auto" w:before="46"/>
        <w:ind w:left="446" w:right="2204" w:firstLine="1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）开发阶段支出符合资本化的具体标准</w:t>
      </w:r>
      <w:r>
        <w:rPr>
          <w:rFonts w:ascii="宋体" w:hAnsi="宋体" w:cs="宋体" w:eastAsia="宋体" w:hint="default"/>
          <w:b/>
          <w:bCs/>
          <w:w w:val="100"/>
          <w:sz w:val="18"/>
          <w:szCs w:val="18"/>
        </w:rPr>
        <w:t> </w:t>
      </w:r>
      <w:r>
        <w:rPr>
          <w:rFonts w:ascii="宋体" w:hAnsi="宋体" w:cs="宋体" w:eastAsia="宋体" w:hint="default"/>
          <w:spacing w:val="-3"/>
          <w:sz w:val="18"/>
          <w:szCs w:val="18"/>
        </w:rPr>
        <w:t>内部研究开发项目开发阶段的支出，同时满足下列条件时确认为无形资产：</w:t>
      </w:r>
    </w:p>
    <w:p>
      <w:pPr>
        <w:pStyle w:val="BodyText"/>
        <w:spacing w:line="240" w:lineRule="auto" w:before="65"/>
        <w:ind w:left="446" w:right="1126"/>
        <w:jc w:val="left"/>
      </w:pPr>
      <w:r>
        <w:rPr>
          <w:spacing w:val="-3"/>
        </w:rPr>
        <w:t>①完成该无形资产以使其能够使用或出售在技术上具有可行性；</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②具有完成该无形资产并使用或出售的意图；</w:t>
      </w:r>
    </w:p>
    <w:p>
      <w:pPr>
        <w:spacing w:line="240" w:lineRule="auto" w:before="0"/>
        <w:rPr>
          <w:rFonts w:ascii="宋体" w:hAnsi="宋体" w:cs="宋体" w:eastAsia="宋体" w:hint="default"/>
          <w:sz w:val="15"/>
          <w:szCs w:val="15"/>
        </w:rPr>
      </w:pPr>
    </w:p>
    <w:p>
      <w:pPr>
        <w:pStyle w:val="BodyText"/>
        <w:spacing w:line="316" w:lineRule="auto"/>
        <w:ind w:right="1126" w:firstLine="292"/>
        <w:jc w:val="left"/>
      </w:pPr>
      <w:r>
        <w:rPr>
          <w:spacing w:val="-3"/>
        </w:rPr>
        <w:t>③无形资产产生经济利益的方式，包括能够证明运用该无形资产生产的产品存在市场或无形资产自身存在市场，无形资</w:t>
      </w:r>
      <w:r>
        <w:rPr>
          <w:w w:val="101"/>
        </w:rPr>
        <w:t> </w:t>
      </w:r>
      <w:r>
        <w:rPr>
          <w:spacing w:val="-3"/>
        </w:rPr>
        <w:t>产将在内部使用的，能够证明其有用性；</w:t>
      </w:r>
    </w:p>
    <w:p>
      <w:pPr>
        <w:pStyle w:val="BodyText"/>
        <w:spacing w:line="240" w:lineRule="auto" w:before="139"/>
        <w:ind w:left="446" w:right="1126"/>
        <w:jc w:val="left"/>
      </w:pPr>
      <w:r>
        <w:rPr>
          <w:spacing w:val="-3"/>
        </w:rPr>
        <w:t>④有足够的技术、财务资源和其他资源支持，以完成该无形资产的开发，并有能力使用或出售该无形资产；</w:t>
      </w:r>
    </w:p>
    <w:p>
      <w:pPr>
        <w:spacing w:line="240" w:lineRule="auto" w:before="1"/>
        <w:rPr>
          <w:rFonts w:ascii="宋体" w:hAnsi="宋体" w:cs="宋体" w:eastAsia="宋体" w:hint="default"/>
          <w:sz w:val="15"/>
          <w:szCs w:val="15"/>
        </w:rPr>
      </w:pPr>
    </w:p>
    <w:p>
      <w:pPr>
        <w:pStyle w:val="BodyText"/>
        <w:spacing w:line="439" w:lineRule="auto"/>
        <w:ind w:left="446" w:right="1126"/>
        <w:jc w:val="left"/>
      </w:pPr>
      <w:r>
        <w:rPr>
          <w:spacing w:val="-3"/>
        </w:rPr>
        <w:t>⑤归属于该无形资产开发阶段的支出能够可靠地计量。</w:t>
      </w:r>
      <w:r>
        <w:rPr>
          <w:spacing w:val="-21"/>
        </w:rPr>
        <w:t> </w:t>
      </w:r>
      <w:r>
        <w:rPr>
          <w:spacing w:val="-21"/>
        </w:rPr>
      </w:r>
      <w:r>
        <w:rPr>
          <w:spacing w:val="-3"/>
        </w:rPr>
        <w:t>开发阶段的支出，若不满足上列条件的，于发生时计入当期损益。研究阶段的支出，在发生时计入当期损益。</w:t>
      </w:r>
    </w:p>
    <w:p>
      <w:pPr>
        <w:spacing w:line="240" w:lineRule="auto" w:before="8"/>
        <w:rPr>
          <w:rFonts w:ascii="宋体" w:hAnsi="宋体" w:cs="宋体" w:eastAsia="宋体" w:hint="default"/>
          <w:sz w:val="15"/>
          <w:szCs w:val="15"/>
        </w:rPr>
      </w:pPr>
    </w:p>
    <w:p>
      <w:pPr>
        <w:pStyle w:val="Heading3"/>
        <w:spacing w:line="240" w:lineRule="auto"/>
        <w:ind w:right="1126"/>
        <w:jc w:val="left"/>
        <w:rPr>
          <w:b w:val="0"/>
          <w:bCs w:val="0"/>
        </w:rPr>
      </w:pPr>
      <w:bookmarkStart w:name="19、长期资产减值" w:id="214"/>
      <w:bookmarkEnd w:id="214"/>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2" w:firstLine="422"/>
        <w:jc w:val="both"/>
      </w:pPr>
      <w:r>
        <w:rPr>
          <w:spacing w:val="-2"/>
        </w:rPr>
        <w:t>在每个资产负债表日判断长期股权投资、采用成本模式计量的投资性房地产、固定资产、在建工程、采用成本模式计</w:t>
      </w:r>
      <w:r>
        <w:rPr>
          <w:w w:val="101"/>
        </w:rPr>
        <w:t> </w:t>
      </w:r>
      <w:r>
        <w:rPr>
          <w:spacing w:val="-4"/>
        </w:rPr>
        <w:t>量的生物性资产、油气资产使用寿命确定的无形资产等是否存在减值迹象，对存在减值迹象的，估计其可收回金额，可收回</w:t>
      </w:r>
      <w:r>
        <w:rPr>
          <w:spacing w:val="40"/>
        </w:rPr>
        <w:t> </w:t>
      </w:r>
      <w:r>
        <w:rPr>
          <w:spacing w:val="40"/>
        </w:rPr>
      </w:r>
      <w:r>
        <w:rPr>
          <w:spacing w:val="-4"/>
        </w:rPr>
        <w:t>金额低于其账面价值的，将资产的账面价值减记至可收回金额，减记的金额确认相应的减值损失，计入当期损益，同时计提</w:t>
      </w:r>
      <w:r>
        <w:rPr>
          <w:spacing w:val="40"/>
        </w:rPr>
        <w:t> </w:t>
      </w:r>
      <w:r>
        <w:rPr>
          <w:spacing w:val="40"/>
        </w:rPr>
      </w:r>
      <w:r>
        <w:rPr/>
        <w:t>相应的减值准备。</w:t>
      </w:r>
    </w:p>
    <w:p>
      <w:pPr>
        <w:pStyle w:val="BodyText"/>
        <w:spacing w:line="316" w:lineRule="auto" w:before="139"/>
        <w:ind w:right="1124" w:firstLine="422"/>
        <w:jc w:val="both"/>
      </w:pPr>
      <w:r>
        <w:rPr>
          <w:spacing w:val="-2"/>
        </w:rPr>
        <w:t>资产可收回金额的估计，根据其公允价值减去处置费用后的净额与其预计未来现金流量的现值两者之间较高者确定。</w:t>
      </w:r>
      <w:r>
        <w:rPr>
          <w:w w:val="101"/>
        </w:rPr>
        <w:t> </w:t>
      </w:r>
      <w:r>
        <w:rPr>
          <w:spacing w:val="-4"/>
        </w:rPr>
        <w:t>企业以单项资产为基础估计其可收回金额，在难以对单项资产可回收金额进行估计的情况下，以资产所属的资产组为基础确</w:t>
      </w:r>
      <w:r>
        <w:rPr>
          <w:spacing w:val="43"/>
        </w:rPr>
        <w:t> </w:t>
      </w:r>
      <w:r>
        <w:rPr>
          <w:spacing w:val="43"/>
        </w:rPr>
      </w:r>
      <w:r>
        <w:rPr>
          <w:spacing w:val="-3"/>
        </w:rPr>
        <w:t>定资产组的可收回金额。</w:t>
      </w:r>
    </w:p>
    <w:p>
      <w:pPr>
        <w:pStyle w:val="BodyText"/>
        <w:spacing w:line="316" w:lineRule="auto" w:before="139"/>
        <w:ind w:right="1124" w:firstLine="422"/>
        <w:jc w:val="both"/>
      </w:pPr>
      <w:r>
        <w:rPr>
          <w:spacing w:val="-2"/>
        </w:rPr>
        <w:t>资产减值损失确认后，减值资产的折旧或者摊销费用在未来期间做相应调整，使资产在剩余寿命内，系统地分摊调整</w:t>
      </w:r>
      <w:r>
        <w:rPr>
          <w:w w:val="101"/>
        </w:rPr>
        <w:t> </w:t>
      </w:r>
      <w:r>
        <w:rPr>
          <w:spacing w:val="-3"/>
        </w:rPr>
        <w:t>后的资产账面价值。</w:t>
      </w:r>
    </w:p>
    <w:p>
      <w:pPr>
        <w:pStyle w:val="BodyText"/>
        <w:spacing w:line="240" w:lineRule="auto" w:before="139"/>
        <w:ind w:left="0" w:right="1124"/>
        <w:jc w:val="right"/>
      </w:pPr>
      <w:r>
        <w:rPr>
          <w:spacing w:val="-3"/>
        </w:rPr>
        <w:t>对于使用寿命不确定的无形资产、尚未达到使用状态的无形资产以及合并所形成的商誉每年年度终了进行减值测试。</w:t>
      </w:r>
    </w:p>
    <w:p>
      <w:pPr>
        <w:spacing w:line="240" w:lineRule="auto" w:before="0"/>
        <w:rPr>
          <w:rFonts w:ascii="宋体" w:hAnsi="宋体" w:cs="宋体" w:eastAsia="宋体" w:hint="default"/>
          <w:sz w:val="15"/>
          <w:szCs w:val="15"/>
        </w:rPr>
      </w:pPr>
    </w:p>
    <w:p>
      <w:pPr>
        <w:pStyle w:val="BodyText"/>
        <w:spacing w:line="316" w:lineRule="auto"/>
        <w:ind w:right="939" w:firstLine="422"/>
        <w:jc w:val="left"/>
      </w:pPr>
      <w:r>
        <w:rPr/>
        <w:t>关于商誉减值测试，对于因企业合并形成的商誉的账面价值，自购买日起按照合理的方法分摊至相关的资产组；难以</w:t>
      </w:r>
      <w:r>
        <w:rPr>
          <w:w w:val="101"/>
        </w:rPr>
        <w:t> </w:t>
      </w:r>
      <w:r>
        <w:rPr>
          <w:spacing w:val="-4"/>
        </w:rPr>
        <w:t>分摊至相关的资产组的，将其分摊至相关的资产组组合。在将商誉的账面价值分摊至相关的资产组或者资产组组合时，按照</w:t>
      </w:r>
      <w:r>
        <w:rPr>
          <w:spacing w:val="43"/>
        </w:rPr>
        <w:t> </w:t>
      </w:r>
      <w:r>
        <w:rPr>
          <w:spacing w:val="43"/>
        </w:rPr>
      </w:r>
      <w:r>
        <w:rPr>
          <w:spacing w:val="-4"/>
          <w:w w:val="101"/>
        </w:rPr>
        <w:t>各资产组或者资产组组合的公允价值占相关资产组或者资产组组合公允价值总额的比例进行分摊。公允价值难以可靠计量的，</w:t>
      </w:r>
      <w:r>
        <w:rPr>
          <w:spacing w:val="-88"/>
          <w:w w:val="101"/>
        </w:rPr>
        <w:t> </w:t>
      </w:r>
      <w:r>
        <w:rPr>
          <w:spacing w:val="-88"/>
          <w:w w:val="101"/>
        </w:rPr>
      </w:r>
      <w:r>
        <w:rPr>
          <w:spacing w:val="-3"/>
        </w:rPr>
        <w:t>按照各资产组或者资产组组合的账面价值占相关资产组或者资产组组合账面价值总额的比例进行分摊。</w:t>
      </w:r>
    </w:p>
    <w:p>
      <w:pPr>
        <w:pStyle w:val="BodyText"/>
        <w:spacing w:line="316" w:lineRule="auto" w:before="139"/>
        <w:ind w:right="1126" w:firstLine="422"/>
        <w:jc w:val="left"/>
      </w:pPr>
      <w:r>
        <w:rPr>
          <w:spacing w:val="-4"/>
        </w:rPr>
        <w:t>在对包含商誉的相关资产组或者资产组组合进行减值测试时，如与商誉相关的资产组或者资产组组合存在减值迹象的，</w:t>
      </w:r>
      <w:r>
        <w:rPr>
          <w:w w:val="101"/>
        </w:rPr>
        <w:t> </w:t>
      </w:r>
      <w:r>
        <w:rPr>
          <w:spacing w:val="-8"/>
          <w:w w:val="101"/>
        </w:rPr>
        <w:t>先对不包含商誉的资产组或者资产组组合进行减值测试，计算可收回金额，并与相关账面价值相比较，确认相应的减值损失。</w:t>
      </w:r>
      <w:r>
        <w:rPr>
          <w:spacing w:val="-53"/>
          <w:w w:val="101"/>
        </w:rPr>
        <w:t> </w:t>
      </w:r>
      <w:r>
        <w:rPr>
          <w:spacing w:val="-53"/>
          <w:w w:val="101"/>
        </w:rPr>
      </w:r>
      <w:r>
        <w:rPr>
          <w:spacing w:val="-4"/>
        </w:rPr>
        <w:t>再对包含商誉的资产组或者资产组组合进行减值测试，比较这些相关资产组或者资产组组合的账面价值（包括所分摊的商誉</w:t>
      </w:r>
      <w:r>
        <w:rPr>
          <w:spacing w:val="42"/>
        </w:rPr>
        <w:t> </w:t>
      </w:r>
      <w:r>
        <w:rPr>
          <w:spacing w:val="42"/>
        </w:rPr>
      </w:r>
      <w:r>
        <w:rPr>
          <w:spacing w:val="-3"/>
        </w:rPr>
        <w:t>的账面价值部分）与其可收回金额，如相关资产组或者资产组组合的可收回金额低于其账面价值的，确认商誉的减值损失。</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20、长期待摊费用" w:id="215"/>
      <w:bookmarkEnd w:id="215"/>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right="1118" w:firstLine="422"/>
        <w:jc w:val="both"/>
      </w:pPr>
      <w:r>
        <w:rPr>
          <w:spacing w:val="-4"/>
        </w:rPr>
        <w:t>对于已经发生但应由本期和以后各期负担的分摊期限在</w:t>
      </w:r>
      <w:r>
        <w:rPr>
          <w:rFonts w:ascii="Times New Roman" w:hAnsi="Times New Roman" w:cs="Times New Roman" w:eastAsia="Times New Roman" w:hint="default"/>
          <w:spacing w:val="-4"/>
        </w:rPr>
        <w:t>1</w:t>
      </w:r>
      <w:r>
        <w:rPr>
          <w:spacing w:val="-4"/>
        </w:rPr>
        <w:t>年以上的各项费用，包括经营租入固定资产改良支出，作为长</w:t>
      </w:r>
      <w:r>
        <w:rPr>
          <w:w w:val="101"/>
        </w:rPr>
        <w:t> </w:t>
      </w:r>
      <w:r>
        <w:rPr>
          <w:spacing w:val="-4"/>
        </w:rPr>
        <w:t>期待摊费用按预计受益年限分期摊销。如果长期待摊费用项目不能使以后会计期间受益的，则将其尚未摊销的摊余价值全部</w:t>
      </w:r>
      <w:r>
        <w:rPr>
          <w:spacing w:val="44"/>
        </w:rPr>
        <w:t> </w:t>
      </w:r>
      <w:r>
        <w:rPr>
          <w:spacing w:val="44"/>
        </w:rPr>
      </w:r>
      <w:r>
        <w:rPr>
          <w:spacing w:val="-3"/>
        </w:rPr>
        <w:t>转入当期损益。</w:t>
      </w:r>
    </w:p>
    <w:p>
      <w:pPr>
        <w:spacing w:after="0" w:line="309" w:lineRule="auto"/>
        <w:jc w:val="both"/>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both"/>
        <w:rPr>
          <w:b w:val="0"/>
          <w:bCs w:val="0"/>
        </w:rPr>
      </w:pPr>
      <w:bookmarkStart w:name="21、职工薪酬" w:id="216"/>
      <w:bookmarkEnd w:id="216"/>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17"/>
      <w:bookmarkEnd w:id="21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575" w:right="1126"/>
        <w:jc w:val="left"/>
      </w:pPr>
      <w:r>
        <w:rPr>
          <w:spacing w:val="-3"/>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2）离职后福利的会计处理方法" w:id="218"/>
      <w:bookmarkEnd w:id="21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30" w:lineRule="atLeast" w:before="150"/>
        <w:ind w:left="575" w:right="1126"/>
        <w:jc w:val="left"/>
      </w:pPr>
      <w:r>
        <w:rPr>
          <w:spacing w:val="-3"/>
        </w:rPr>
        <w:t>离职后福利计划分类为设定提存计划和设定受益计划。</w:t>
      </w:r>
      <w:r>
        <w:rPr>
          <w:spacing w:val="-15"/>
        </w:rPr>
        <w:t> </w:t>
      </w:r>
      <w:r>
        <w:rPr>
          <w:spacing w:val="-15"/>
        </w:rPr>
      </w:r>
      <w:r>
        <w:rPr>
          <w:spacing w:val="-2"/>
        </w:rPr>
        <w:t>在职工为公司提供服务的会计期间，将根据设定提存计划计算的应缴存金额确认为负债，并计入当期损益或相关资产</w:t>
      </w:r>
    </w:p>
    <w:p>
      <w:pPr>
        <w:pStyle w:val="BodyText"/>
        <w:spacing w:line="316" w:lineRule="auto" w:before="76"/>
        <w:ind w:right="1124"/>
        <w:jc w:val="both"/>
      </w:pPr>
      <w:r>
        <w:rPr>
          <w:spacing w:val="-4"/>
        </w:rPr>
        <w:t>成本。根据设定提存计划，预期不会在职工提供相关服务的年度报告期结束后十二个月内支付全部应缴存金额的，根据资产</w:t>
      </w:r>
      <w:r>
        <w:rPr>
          <w:spacing w:val="43"/>
        </w:rPr>
        <w:t> </w:t>
      </w:r>
      <w:r>
        <w:rPr>
          <w:spacing w:val="43"/>
        </w:rPr>
      </w:r>
      <w:r>
        <w:rPr>
          <w:spacing w:val="-4"/>
          <w:w w:val="101"/>
        </w:rPr>
        <w:t>负债表日与设定受益计划义务期限和币种相匹配的国债或活跃市场上的高质量公司债券的市场收益率，将全部应缴存金额以</w:t>
      </w:r>
      <w:r>
        <w:rPr>
          <w:w w:val="101"/>
        </w:rPr>
        <w:t> </w:t>
      </w:r>
      <w:r>
        <w:rPr>
          <w:spacing w:val="-3"/>
        </w:rPr>
        <w:t>折现后的金额计量应付职工薪酬。</w:t>
      </w:r>
    </w:p>
    <w:p>
      <w:pPr>
        <w:pStyle w:val="BodyText"/>
        <w:spacing w:line="316" w:lineRule="auto" w:before="139"/>
        <w:ind w:right="1124" w:firstLine="422"/>
        <w:jc w:val="both"/>
      </w:pPr>
      <w:r>
        <w:rPr>
          <w:spacing w:val="-2"/>
        </w:rPr>
        <w:t>公司根据资产负债表日与设定受益计划义务期限和币种相匹配的国债或活跃市场上的高质量公司债券的市场收益率对</w:t>
      </w:r>
      <w:r>
        <w:rPr>
          <w:w w:val="101"/>
        </w:rPr>
        <w:t> </w:t>
      </w:r>
      <w:r>
        <w:rPr>
          <w:spacing w:val="-3"/>
        </w:rPr>
        <w:t>所有设定受益计划义务予以折现，包括预期在职工提供服务的年度报告期间结束后的十二个月内支付的义务。</w:t>
      </w:r>
    </w:p>
    <w:p>
      <w:pPr>
        <w:pStyle w:val="BodyText"/>
        <w:spacing w:line="319" w:lineRule="auto" w:before="139"/>
        <w:ind w:right="1124" w:firstLine="422"/>
        <w:jc w:val="both"/>
      </w:pPr>
      <w:r>
        <w:rPr>
          <w:spacing w:val="-2"/>
        </w:rPr>
        <w:t>设定受益计划存在资产的，将设定受益计划义务现值减去设定受益计划资产公允价值所形成的赤字或盈余确认为一项</w:t>
      </w:r>
      <w:r>
        <w:rPr>
          <w:w w:val="101"/>
        </w:rPr>
        <w:t> </w:t>
      </w:r>
      <w:r>
        <w:rPr>
          <w:spacing w:val="-4"/>
        </w:rPr>
        <w:t>设定受益计划净负债或净资产。设定受益计划存在盈余的，企业以设定受益计划的盈余和资产上限两项的孰低者计量设定受</w:t>
      </w:r>
      <w:r>
        <w:rPr>
          <w:spacing w:val="38"/>
        </w:rPr>
        <w:t> </w:t>
      </w:r>
      <w:r>
        <w:rPr>
          <w:spacing w:val="38"/>
        </w:rPr>
      </w:r>
      <w:r>
        <w:rPr>
          <w:spacing w:val="-4"/>
        </w:rPr>
        <w:t>益计划净资产。其中，资产上限，是指企业可从设定受益计划退款或减少未来对设定受益计划缴存资金而获得的经济利益的</w:t>
      </w:r>
      <w:r>
        <w:rPr>
          <w:spacing w:val="38"/>
        </w:rPr>
        <w:t> </w:t>
      </w:r>
      <w:r>
        <w:rPr>
          <w:spacing w:val="38"/>
        </w:rPr>
      </w:r>
      <w:r>
        <w:rPr/>
        <w:t>现值。</w:t>
      </w:r>
    </w:p>
    <w:p>
      <w:pPr>
        <w:pStyle w:val="BodyText"/>
        <w:spacing w:line="316" w:lineRule="auto" w:before="137"/>
        <w:ind w:right="1123" w:firstLine="422"/>
        <w:jc w:val="both"/>
      </w:pPr>
      <w:r>
        <w:rPr>
          <w:spacing w:val="-2"/>
        </w:rPr>
        <w:t>报告期末，将设定受益计划产生的职工薪酬成本中的服务成本和设定受益计划净负债或净资产的利息净额部分计入当</w:t>
      </w:r>
      <w:r>
        <w:rPr>
          <w:w w:val="101"/>
        </w:rPr>
        <w:t> </w:t>
      </w:r>
      <w:r>
        <w:rPr>
          <w:spacing w:val="-4"/>
        </w:rPr>
        <w:t>期损益或资产成本；重新计量设定受益计划净负债或净资产所产生的变动。计入其他综合收益，并且在后续会计期间不允许</w:t>
      </w:r>
      <w:r>
        <w:rPr>
          <w:spacing w:val="44"/>
        </w:rPr>
        <w:t> </w:t>
      </w:r>
      <w:r>
        <w:rPr>
          <w:spacing w:val="44"/>
        </w:rPr>
      </w:r>
      <w:r>
        <w:rPr>
          <w:spacing w:val="-3"/>
        </w:rPr>
        <w:t>转回至损益，可以在权益范围内转移。</w:t>
      </w:r>
    </w:p>
    <w:p>
      <w:pPr>
        <w:pStyle w:val="BodyText"/>
        <w:spacing w:line="432" w:lineRule="exact" w:before="3"/>
        <w:ind w:left="575" w:right="1126"/>
        <w:jc w:val="left"/>
      </w:pPr>
      <w:r>
        <w:rPr>
          <w:spacing w:val="-3"/>
        </w:rPr>
        <w:t>在设定受益计划下，在修改设定受益计划与确认相关重组费用或辞退福利孰早日将过去服务成本确认为当期费用。</w:t>
      </w:r>
      <w:r>
        <w:rPr>
          <w:spacing w:val="54"/>
        </w:rPr>
        <w:t> </w:t>
      </w:r>
      <w:r>
        <w:rPr>
          <w:spacing w:val="54"/>
        </w:rPr>
      </w:r>
      <w:r>
        <w:rPr>
          <w:spacing w:val="-2"/>
        </w:rPr>
        <w:t>企业在设定受益计划结算时，确认结算利得或损失。该利得或损失是在结算日确定的设定受益计划义务现值与结算价</w:t>
      </w:r>
    </w:p>
    <w:p>
      <w:pPr>
        <w:pStyle w:val="BodyText"/>
        <w:spacing w:line="240" w:lineRule="auto" w:before="15"/>
        <w:ind w:right="0"/>
        <w:jc w:val="both"/>
      </w:pPr>
      <w:r>
        <w:rPr/>
        <w:t>格的差。</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辞退福利的会计处理方法" w:id="219"/>
      <w:bookmarkEnd w:id="21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5" w:right="1126"/>
        <w:jc w:val="left"/>
      </w:pPr>
      <w:r>
        <w:rPr>
          <w:spacing w:val="-3"/>
        </w:rPr>
        <w:t>在下列两者孰早日确认辞退福利产生的职工薪酬负债，并计入当期损益：</w:t>
      </w:r>
    </w:p>
    <w:p>
      <w:pPr>
        <w:spacing w:line="240" w:lineRule="auto" w:before="0"/>
        <w:rPr>
          <w:rFonts w:ascii="宋体" w:hAnsi="宋体" w:cs="宋体" w:eastAsia="宋体" w:hint="default"/>
          <w:sz w:val="15"/>
          <w:szCs w:val="15"/>
        </w:rPr>
      </w:pPr>
    </w:p>
    <w:p>
      <w:pPr>
        <w:pStyle w:val="BodyText"/>
        <w:spacing w:line="240" w:lineRule="auto"/>
        <w:ind w:left="446" w:right="1126"/>
        <w:jc w:val="left"/>
      </w:pPr>
      <w:r>
        <w:rPr>
          <w:spacing w:val="-3"/>
        </w:rPr>
        <w:t>①企业不能单方面撤回因解除劳动关系计划或裁减建议所提供的辞退福利时；</w:t>
      </w:r>
    </w:p>
    <w:p>
      <w:pPr>
        <w:pStyle w:val="BodyText"/>
        <w:spacing w:line="430" w:lineRule="atLeast" w:before="2"/>
        <w:ind w:left="575" w:right="1126" w:hanging="130"/>
        <w:jc w:val="left"/>
      </w:pPr>
      <w:r>
        <w:rPr>
          <w:spacing w:val="-3"/>
        </w:rPr>
        <w:t>②企业确认与涉及支付辞退福利的重组相关的成本或费用时。</w:t>
      </w:r>
      <w:r>
        <w:rPr>
          <w:spacing w:val="-15"/>
        </w:rPr>
        <w:t> </w:t>
      </w:r>
      <w:r>
        <w:rPr>
          <w:spacing w:val="-15"/>
        </w:rPr>
      </w:r>
      <w:r>
        <w:rPr>
          <w:spacing w:val="-2"/>
        </w:rPr>
        <w:t>辞退福利预期在其确认的年度报告期结束后十二个月内完全支付的，适用短期薪酬的相关规定；辞退福利预期在年度</w:t>
      </w:r>
    </w:p>
    <w:p>
      <w:pPr>
        <w:pStyle w:val="BodyText"/>
        <w:spacing w:line="240" w:lineRule="auto" w:before="77"/>
        <w:ind w:right="0"/>
        <w:jc w:val="both"/>
      </w:pPr>
      <w:r>
        <w:rPr>
          <w:spacing w:val="-3"/>
        </w:rPr>
        <w:t>报告期结束后十二个月内不能完全支付的，适用其他长期职工福利的有关规定。</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4）其他长期职工福利的会计处理方法" w:id="220"/>
      <w:bookmarkEnd w:id="22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23" w:firstLine="422"/>
        <w:jc w:val="both"/>
      </w:pPr>
      <w:r>
        <w:rPr>
          <w:spacing w:val="-4"/>
        </w:rPr>
        <w:t>其他长期职工福利，符合设定提存计划条件的，根据上述</w:t>
      </w:r>
      <w:r>
        <w:rPr>
          <w:rFonts w:ascii="Times New Roman" w:hAnsi="Times New Roman" w:cs="Times New Roman" w:eastAsia="Times New Roman" w:hint="default"/>
          <w:spacing w:val="-4"/>
        </w:rPr>
        <w:t>2</w:t>
      </w:r>
      <w:r>
        <w:rPr>
          <w:spacing w:val="-4"/>
        </w:rPr>
        <w:t>、处理。不符合设定提存计划的，适用关于设定受益计划的</w:t>
      </w:r>
      <w:r>
        <w:rPr>
          <w:w w:val="101"/>
        </w:rPr>
        <w:t> </w:t>
      </w:r>
      <w:r>
        <w:rPr>
          <w:spacing w:val="-4"/>
        </w:rPr>
        <w:t>有关规定，确认和计量其他长期职工福利净负债或净资产。在报告期末，将其他长期职工福利中的服务成本、净负债或净资</w:t>
      </w:r>
      <w:r>
        <w:rPr>
          <w:spacing w:val="40"/>
        </w:rPr>
        <w:t> </w:t>
      </w:r>
      <w:r>
        <w:rPr>
          <w:spacing w:val="40"/>
        </w:rPr>
      </w:r>
      <w:r>
        <w:rPr>
          <w:spacing w:val="-3"/>
        </w:rPr>
        <w:t>产的利息净额、重新计量其他长期职工福利净负债或净资产所产生的变动的总净额计入当期损益或相关资产成本。</w:t>
      </w:r>
    </w:p>
    <w:p>
      <w:pPr>
        <w:spacing w:after="0" w:line="309" w:lineRule="auto"/>
        <w:jc w:val="both"/>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both"/>
        <w:rPr>
          <w:b w:val="0"/>
          <w:bCs w:val="0"/>
        </w:rPr>
      </w:pPr>
      <w:bookmarkStart w:name="22、预计负债" w:id="221"/>
      <w:bookmarkEnd w:id="221"/>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4" w:firstLine="422"/>
        <w:jc w:val="both"/>
      </w:pPr>
      <w:r>
        <w:rPr>
          <w:spacing w:val="-2"/>
        </w:rPr>
        <w:t>涉及诉讼、债务担保、亏损合同、重组事项时，如该等事项很可能需要未来以交付资产或提供劳务、其金额能够可靠</w:t>
      </w:r>
      <w:r>
        <w:rPr>
          <w:w w:val="101"/>
        </w:rPr>
        <w:t> </w:t>
      </w:r>
      <w:r>
        <w:rPr>
          <w:spacing w:val="-3"/>
        </w:rPr>
        <w:t>计量的，确认为预计负债。</w:t>
      </w:r>
    </w:p>
    <w:p>
      <w:pPr>
        <w:pStyle w:val="BodyText"/>
        <w:spacing w:line="316" w:lineRule="auto" w:before="137"/>
        <w:ind w:right="1124" w:firstLine="422"/>
        <w:jc w:val="both"/>
      </w:pPr>
      <w:r>
        <w:rPr>
          <w:spacing w:val="-2"/>
        </w:rPr>
        <w:t>预计负债按照履行相关现时义务所需支出的最佳估计数进行初始计量，并综合考虑与或有事项有关的风险、不确定性</w:t>
      </w:r>
      <w:r>
        <w:rPr>
          <w:w w:val="101"/>
        </w:rPr>
        <w:t> </w:t>
      </w:r>
      <w:r>
        <w:rPr>
          <w:spacing w:val="-4"/>
        </w:rPr>
        <w:t>和货币时间价值等因素。货币时间价值影响重大的，通过对相关未来现金流出进行折现后确定最佳估计数；因随着时间推移</w:t>
      </w:r>
      <w:r>
        <w:rPr>
          <w:spacing w:val="43"/>
        </w:rPr>
        <w:t> </w:t>
      </w:r>
      <w:r>
        <w:rPr>
          <w:spacing w:val="43"/>
        </w:rPr>
      </w:r>
      <w:r>
        <w:rPr>
          <w:spacing w:val="-3"/>
        </w:rPr>
        <w:t>所进行的折现还原而导致的预计负债账面价值的增加金额，确认为利息费用。</w:t>
      </w:r>
    </w:p>
    <w:p>
      <w:pPr>
        <w:pStyle w:val="BodyText"/>
        <w:spacing w:line="240" w:lineRule="auto" w:before="139"/>
        <w:ind w:left="575" w:right="1126"/>
        <w:jc w:val="left"/>
      </w:pPr>
      <w:r>
        <w:rPr>
          <w:spacing w:val="-3"/>
        </w:rPr>
        <w:t>于资产负债表日，对预计负债的账面价值进行复核并作适当调整，以反映当前的最佳估计数。</w:t>
      </w:r>
    </w:p>
    <w:p>
      <w:pPr>
        <w:pStyle w:val="BodyText"/>
        <w:spacing w:line="420" w:lineRule="atLeast" w:before="26"/>
        <w:ind w:left="575" w:right="1126"/>
        <w:jc w:val="left"/>
      </w:pPr>
      <w:r>
        <w:rPr>
          <w:rFonts w:ascii="Times New Roman" w:hAnsi="Times New Roman" w:cs="Times New Roman" w:eastAsia="Times New Roman" w:hint="default"/>
          <w:b/>
          <w:bCs/>
        </w:rPr>
        <w:t>1</w:t>
      </w:r>
      <w:r>
        <w:rPr>
          <w:rFonts w:ascii="宋体" w:hAnsi="宋体" w:cs="宋体" w:eastAsia="宋体" w:hint="default"/>
          <w:b/>
          <w:bCs/>
        </w:rPr>
        <w:t>）亏损合同</w:t>
      </w:r>
      <w:r>
        <w:rPr>
          <w:rFonts w:ascii="宋体" w:hAnsi="宋体" w:cs="宋体" w:eastAsia="宋体" w:hint="default"/>
          <w:b/>
          <w:bCs/>
          <w:spacing w:val="-87"/>
        </w:rPr>
        <w:t> </w:t>
      </w:r>
      <w:r>
        <w:rPr>
          <w:spacing w:val="-2"/>
        </w:rPr>
        <w:t>亏损合同是履行合同义务不可避免会发生的成本超过预期经济利益的合同。待执行合同变成亏损合同，且该亏损合同</w:t>
      </w:r>
    </w:p>
    <w:p>
      <w:pPr>
        <w:pStyle w:val="BodyText"/>
        <w:spacing w:line="316" w:lineRule="auto" w:before="76"/>
        <w:ind w:right="1124"/>
        <w:jc w:val="both"/>
      </w:pPr>
      <w:r>
        <w:rPr>
          <w:spacing w:val="-4"/>
        </w:rPr>
        <w:t>产生的义务满足上述预计负债的确认条件的，将合同预计损失超过合同标的资产已确认的减值损失（如有）的部分，确认为</w:t>
      </w:r>
      <w:r>
        <w:rPr>
          <w:spacing w:val="40"/>
        </w:rPr>
        <w:t> </w:t>
      </w:r>
      <w:r>
        <w:rPr>
          <w:spacing w:val="40"/>
        </w:rPr>
      </w:r>
      <w:r>
        <w:rPr/>
        <w:t>预计负债。</w:t>
      </w:r>
    </w:p>
    <w:p>
      <w:pPr>
        <w:pStyle w:val="BodyText"/>
        <w:spacing w:line="432" w:lineRule="exact" w:before="4"/>
        <w:ind w:left="575" w:right="1126"/>
        <w:jc w:val="left"/>
      </w:pPr>
      <w:r>
        <w:rPr>
          <w:rFonts w:ascii="Times New Roman" w:hAnsi="Times New Roman" w:cs="Times New Roman" w:eastAsia="Times New Roman" w:hint="default"/>
          <w:b/>
          <w:bCs/>
        </w:rPr>
        <w:t>2</w:t>
      </w:r>
      <w:r>
        <w:rPr>
          <w:rFonts w:ascii="宋体" w:hAnsi="宋体" w:cs="宋体" w:eastAsia="宋体" w:hint="default"/>
          <w:b/>
          <w:bCs/>
        </w:rPr>
        <w:t>）重组义务</w:t>
      </w:r>
      <w:r>
        <w:rPr>
          <w:rFonts w:ascii="宋体" w:hAnsi="宋体" w:cs="宋体" w:eastAsia="宋体" w:hint="default"/>
          <w:b/>
          <w:bCs/>
          <w:spacing w:val="-87"/>
        </w:rPr>
        <w:t> </w:t>
      </w:r>
      <w:r>
        <w:rPr>
          <w:spacing w:val="-2"/>
        </w:rPr>
        <w:t>对于有详细、正式并且已经对外公告的重组计划，在满足前述预计负债的确认条件的情况下，按照与重组有关的直接</w:t>
      </w:r>
    </w:p>
    <w:p>
      <w:pPr>
        <w:pStyle w:val="BodyText"/>
        <w:spacing w:line="316" w:lineRule="auto" w:before="15"/>
        <w:ind w:right="1037"/>
        <w:jc w:val="both"/>
      </w:pPr>
      <w:r>
        <w:rPr>
          <w:spacing w:val="-3"/>
        </w:rPr>
        <w:t>支出确定预计负债金额。对于出售部分业务的重组义务，只有在本公司承诺出售部分业务（即签订了约束性出售协议时），</w:t>
      </w:r>
      <w:r>
        <w:rPr>
          <w:spacing w:val="76"/>
        </w:rPr>
        <w:t> </w:t>
      </w:r>
      <w:r>
        <w:rPr>
          <w:spacing w:val="76"/>
        </w:rPr>
      </w:r>
      <w:r>
        <w:rPr>
          <w:spacing w:val="-3"/>
        </w:rPr>
        <w:t>才确认与重组相关的义务。</w:t>
      </w:r>
    </w:p>
    <w:p>
      <w:pPr>
        <w:pStyle w:val="BodyText"/>
        <w:spacing w:line="432" w:lineRule="exact" w:before="3"/>
        <w:ind w:left="575" w:right="1126"/>
        <w:jc w:val="left"/>
      </w:pPr>
      <w:r>
        <w:rPr>
          <w:rFonts w:ascii="Times New Roman" w:hAnsi="Times New Roman" w:cs="Times New Roman" w:eastAsia="Times New Roman" w:hint="default"/>
          <w:b/>
          <w:bCs/>
        </w:rPr>
        <w:t>3</w:t>
      </w:r>
      <w:r>
        <w:rPr>
          <w:rFonts w:ascii="宋体" w:hAnsi="宋体" w:cs="宋体" w:eastAsia="宋体" w:hint="default"/>
          <w:b/>
          <w:bCs/>
        </w:rPr>
        <w:t>）质量保证及维修</w:t>
      </w:r>
      <w:r>
        <w:rPr>
          <w:rFonts w:ascii="宋体" w:hAnsi="宋体" w:cs="宋体" w:eastAsia="宋体" w:hint="default"/>
          <w:b/>
          <w:bCs/>
          <w:spacing w:val="-86"/>
        </w:rPr>
        <w:t> </w:t>
      </w:r>
      <w:r>
        <w:rPr>
          <w:rFonts w:ascii="宋体" w:hAnsi="宋体" w:cs="宋体" w:eastAsia="宋体" w:hint="default"/>
          <w:b/>
          <w:bCs/>
          <w:spacing w:val="-86"/>
        </w:rPr>
      </w:r>
      <w:r>
        <w:rPr>
          <w:spacing w:val="-2"/>
        </w:rPr>
        <w:t>本公司会就出售、维修及改造所售商品向客户提供的售后质量维修承诺预计负债。预计负债时已考虑本公司近期的维</w:t>
      </w:r>
    </w:p>
    <w:p>
      <w:pPr>
        <w:pStyle w:val="BodyText"/>
        <w:spacing w:line="240" w:lineRule="auto" w:before="15"/>
        <w:ind w:right="0"/>
        <w:jc w:val="both"/>
      </w:pPr>
      <w:r>
        <w:rPr>
          <w:spacing w:val="-3"/>
        </w:rPr>
        <w:t>修经验数据，但近期的维修经验可能无法反映将来的维修情况。这项准备的任何增加或减少，均可能影响未来年度的损益。</w:t>
      </w:r>
    </w:p>
    <w:p>
      <w:pPr>
        <w:pStyle w:val="BodyText"/>
        <w:spacing w:line="420" w:lineRule="atLeast" w:before="25"/>
        <w:ind w:left="575" w:right="1126"/>
        <w:jc w:val="left"/>
      </w:pPr>
      <w:r>
        <w:rPr>
          <w:rFonts w:ascii="Times New Roman" w:hAnsi="Times New Roman" w:cs="Times New Roman" w:eastAsia="Times New Roman" w:hint="default"/>
          <w:b/>
          <w:bCs/>
        </w:rPr>
        <w:t>4</w:t>
      </w:r>
      <w:r>
        <w:rPr>
          <w:rFonts w:ascii="宋体" w:hAnsi="宋体" w:cs="宋体" w:eastAsia="宋体" w:hint="default"/>
          <w:b/>
          <w:bCs/>
        </w:rPr>
        <w:t>）回购担保</w:t>
      </w:r>
      <w:r>
        <w:rPr>
          <w:rFonts w:ascii="宋体" w:hAnsi="宋体" w:cs="宋体" w:eastAsia="宋体" w:hint="default"/>
          <w:b/>
          <w:bCs/>
          <w:spacing w:val="-87"/>
        </w:rPr>
        <w:t> </w:t>
      </w:r>
      <w:r>
        <w:rPr>
          <w:spacing w:val="-2"/>
        </w:rPr>
        <w:t>本公司会为有融资需求的客户向融资机构提供设备回购担保，并根据可能发生的回购担保损失确认预计负债。预计负</w:t>
      </w:r>
    </w:p>
    <w:p>
      <w:pPr>
        <w:pStyle w:val="BodyText"/>
        <w:spacing w:line="316" w:lineRule="auto" w:before="77"/>
        <w:ind w:right="1124"/>
        <w:jc w:val="both"/>
      </w:pPr>
      <w:r>
        <w:rPr>
          <w:spacing w:val="-4"/>
        </w:rPr>
        <w:t>债时已考虑了本公司历史上实际履行回购担保的比例、履行回购担保后实际发生损失比例等数据、并评估不同客户的支付能</w:t>
      </w:r>
      <w:r>
        <w:rPr>
          <w:spacing w:val="42"/>
        </w:rPr>
        <w:t> </w:t>
      </w:r>
      <w:r>
        <w:rPr>
          <w:spacing w:val="42"/>
        </w:rPr>
      </w:r>
      <w:r>
        <w:rPr>
          <w:spacing w:val="-4"/>
        </w:rPr>
        <w:t>力。由于历史数据或评估数据均可能无法反映将来的回购损失情况，这项准备的任何增加或减少，均可能影响未来年度的损</w:t>
      </w:r>
      <w:r>
        <w:rPr>
          <w:spacing w:val="43"/>
        </w:rPr>
        <w:t> </w:t>
      </w:r>
      <w:r>
        <w:rPr>
          <w:spacing w:val="43"/>
        </w:rPr>
      </w:r>
      <w:r>
        <w:rPr/>
        <w:t>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23、股份支付" w:id="222"/>
      <w:bookmarkEnd w:id="222"/>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）股份支付的种类及会计处理</w:t>
      </w:r>
      <w:r>
        <w:rPr>
          <w:b w:val="0"/>
          <w:bCs w:val="0"/>
        </w:rPr>
      </w:r>
    </w:p>
    <w:p>
      <w:pPr>
        <w:pStyle w:val="BodyText"/>
        <w:spacing w:line="316" w:lineRule="auto" w:before="166"/>
        <w:ind w:right="1124" w:firstLine="422"/>
        <w:jc w:val="both"/>
      </w:pPr>
      <w:r>
        <w:rPr>
          <w:spacing w:val="-2"/>
        </w:rPr>
        <w:t>股份支付是公司为了获取职工提供服务而授予权益工具或者承担以权益工具为基础确定的负债的交易。股份支付分为</w:t>
      </w:r>
      <w:r>
        <w:rPr>
          <w:w w:val="101"/>
        </w:rPr>
        <w:t> </w:t>
      </w:r>
      <w:r>
        <w:rPr>
          <w:spacing w:val="-3"/>
        </w:rPr>
        <w:t>以权益结算的股份支付和以现金结算的股份支付。</w:t>
      </w:r>
    </w:p>
    <w:p>
      <w:pPr>
        <w:spacing w:line="432" w:lineRule="exact" w:before="3"/>
        <w:ind w:left="575" w:right="112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）以权益结算的股份支付</w:t>
      </w:r>
      <w:r>
        <w:rPr>
          <w:rFonts w:ascii="宋体" w:hAnsi="宋体" w:cs="宋体" w:eastAsia="宋体" w:hint="default"/>
          <w:b/>
          <w:bCs/>
          <w:w w:val="100"/>
          <w:sz w:val="18"/>
          <w:szCs w:val="18"/>
        </w:rPr>
        <w:t> </w:t>
      </w:r>
      <w:r>
        <w:rPr>
          <w:rFonts w:ascii="宋体" w:hAnsi="宋体" w:cs="宋体" w:eastAsia="宋体" w:hint="default"/>
          <w:spacing w:val="-2"/>
          <w:sz w:val="18"/>
          <w:szCs w:val="18"/>
        </w:rPr>
        <w:t>股票期权计划为用以换取职工提供服务的权益结算的股份支付，以授予职工的权益工具在授予日的公允价值计量。在</w:t>
      </w:r>
    </w:p>
    <w:p>
      <w:pPr>
        <w:pStyle w:val="BodyText"/>
        <w:spacing w:line="316" w:lineRule="auto" w:before="15"/>
        <w:ind w:right="1124"/>
        <w:jc w:val="both"/>
      </w:pPr>
      <w:r>
        <w:rPr>
          <w:spacing w:val="-4"/>
        </w:rPr>
        <w:t>完成等待期内的服务或达到规定业绩条件才可行权，在等待期内以对可行权权益工具数量的最佳估计为基础，按照权益工具</w:t>
      </w:r>
      <w:r>
        <w:rPr>
          <w:spacing w:val="44"/>
        </w:rPr>
        <w:t> </w:t>
      </w:r>
      <w:r>
        <w:rPr>
          <w:spacing w:val="44"/>
        </w:rPr>
      </w:r>
      <w:r>
        <w:rPr>
          <w:spacing w:val="-3"/>
        </w:rPr>
        <w:t>授予日的公允价值，将当期取得的服务计入相关成本或费用，相应增加资本公积。</w:t>
      </w:r>
    </w:p>
    <w:p>
      <w:pPr>
        <w:spacing w:line="432" w:lineRule="exact" w:before="3"/>
        <w:ind w:left="575" w:right="1126" w:hanging="11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）以现金结算的股份支付</w:t>
      </w:r>
      <w:r>
        <w:rPr>
          <w:rFonts w:ascii="宋体" w:hAnsi="宋体" w:cs="宋体" w:eastAsia="宋体" w:hint="default"/>
          <w:b/>
          <w:bCs/>
          <w:w w:val="100"/>
          <w:sz w:val="18"/>
          <w:szCs w:val="18"/>
        </w:rPr>
        <w:t> </w:t>
      </w:r>
      <w:r>
        <w:rPr>
          <w:rFonts w:ascii="宋体" w:hAnsi="宋体" w:cs="宋体" w:eastAsia="宋体" w:hint="default"/>
          <w:spacing w:val="-2"/>
          <w:sz w:val="18"/>
          <w:szCs w:val="18"/>
        </w:rPr>
        <w:t>股票增值权计划为以现金结算的股份支付，按照公司承担的以本公司股份数量为基础确定的负债的公允价值计量。该</w:t>
      </w:r>
    </w:p>
    <w:p>
      <w:pPr>
        <w:pStyle w:val="BodyText"/>
        <w:spacing w:line="316" w:lineRule="auto" w:before="15"/>
        <w:ind w:right="1124"/>
        <w:jc w:val="both"/>
      </w:pPr>
      <w:r>
        <w:rPr>
          <w:spacing w:val="-4"/>
          <w:w w:val="101"/>
        </w:rPr>
        <w:t>以现金结算的股份支付须完成等待期内的服务或达到规定业绩条件以后才可行权，在等待期的每个资产负债表日以对可行权</w:t>
      </w:r>
      <w:r>
        <w:rPr>
          <w:w w:val="101"/>
        </w:rPr>
        <w:t> </w:t>
      </w:r>
      <w:r>
        <w:rPr>
          <w:spacing w:val="-4"/>
        </w:rPr>
        <w:t>情况的最佳估计为基础，按照公司承担负债的公允价值金额，将当期取得的服务计入成本或费用，相应增加负债。在相关负</w:t>
      </w:r>
    </w:p>
    <w:p>
      <w:pPr>
        <w:spacing w:after="0" w:line="316" w:lineRule="auto"/>
        <w:jc w:val="both"/>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1126"/>
        <w:jc w:val="left"/>
      </w:pPr>
      <w:r>
        <w:rPr>
          <w:spacing w:val="-3"/>
        </w:rPr>
        <w:t>债结算前的每个资产负债表日以及结算日，对负债的公允价值重新计量，其变动计入当期损益。</w:t>
      </w:r>
    </w:p>
    <w:p>
      <w:pPr>
        <w:spacing w:line="240" w:lineRule="auto" w:before="1"/>
        <w:rPr>
          <w:rFonts w:ascii="宋体" w:hAnsi="宋体" w:cs="宋体" w:eastAsia="宋体" w:hint="default"/>
          <w:sz w:val="13"/>
          <w:szCs w:val="13"/>
        </w:rPr>
      </w:pPr>
    </w:p>
    <w:p>
      <w:pPr>
        <w:pStyle w:val="Heading3"/>
        <w:spacing w:line="240" w:lineRule="auto"/>
        <w:ind w:right="1126"/>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pStyle w:val="BodyText"/>
        <w:spacing w:line="316" w:lineRule="auto" w:before="167"/>
        <w:ind w:right="1124" w:firstLine="422"/>
        <w:jc w:val="both"/>
      </w:pPr>
      <w:r>
        <w:rPr>
          <w:spacing w:val="-2"/>
        </w:rPr>
        <w:t>对于授予职工的股份，其公允价值按公司股份的市场价格计量，同时考虑授予股份所依据的条款和条件（不包括市场</w:t>
      </w:r>
      <w:r>
        <w:rPr>
          <w:w w:val="101"/>
        </w:rPr>
        <w:t> </w:t>
      </w:r>
      <w:r>
        <w:rPr>
          <w:spacing w:val="-3"/>
        </w:rPr>
        <w:t>条件之外的可行权条件）进行调整。</w:t>
      </w:r>
    </w:p>
    <w:p>
      <w:pPr>
        <w:pStyle w:val="BodyText"/>
        <w:spacing w:line="240" w:lineRule="auto" w:before="139"/>
        <w:ind w:left="575" w:right="1126"/>
        <w:jc w:val="left"/>
      </w:pPr>
      <w:r>
        <w:rPr>
          <w:spacing w:val="-3"/>
        </w:rPr>
        <w:t>对于授予职工的股票期权，通过期权定价模型估计所授予的期权的公允价值。</w:t>
      </w:r>
    </w:p>
    <w:p>
      <w:pPr>
        <w:spacing w:line="240" w:lineRule="auto" w:before="1"/>
        <w:rPr>
          <w:rFonts w:ascii="宋体" w:hAnsi="宋体" w:cs="宋体" w:eastAsia="宋体" w:hint="default"/>
          <w:sz w:val="13"/>
          <w:szCs w:val="13"/>
        </w:rPr>
      </w:pPr>
    </w:p>
    <w:p>
      <w:pPr>
        <w:pStyle w:val="Heading3"/>
        <w:spacing w:line="240" w:lineRule="auto"/>
        <w:ind w:right="1126"/>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pStyle w:val="BodyText"/>
        <w:spacing w:line="319" w:lineRule="auto" w:before="166"/>
        <w:ind w:right="1124" w:firstLine="422"/>
        <w:jc w:val="both"/>
      </w:pPr>
      <w:r>
        <w:rPr>
          <w:spacing w:val="-2"/>
        </w:rPr>
        <w:t>在等待期内每个资产负债表日，根据最新取得的可行权职工人数变动等后续信息做出最佳估计，修正预计可行权的权</w:t>
      </w:r>
      <w:r>
        <w:rPr>
          <w:w w:val="101"/>
        </w:rPr>
        <w:t> </w:t>
      </w:r>
      <w:r>
        <w:rPr/>
        <w:t>益工具数量。</w:t>
      </w:r>
    </w:p>
    <w:p>
      <w:pPr>
        <w:pStyle w:val="Heading3"/>
        <w:spacing w:line="240" w:lineRule="auto" w:before="111"/>
        <w:ind w:right="1126"/>
        <w:jc w:val="left"/>
        <w:rPr>
          <w:b w:val="0"/>
          <w:bCs w:val="0"/>
        </w:rPr>
      </w:pPr>
      <w:r>
        <w:rPr/>
        <w:t>（</w:t>
      </w:r>
      <w:r>
        <w:rPr>
          <w:rFonts w:ascii="Times New Roman" w:hAnsi="Times New Roman" w:cs="Times New Roman" w:eastAsia="Times New Roman" w:hint="default"/>
        </w:rPr>
        <w:t>4</w:t>
      </w:r>
      <w:r>
        <w:rPr/>
        <w:t>）修改和终止股份支付计划的处理</w:t>
      </w:r>
      <w:r>
        <w:rPr>
          <w:b w:val="0"/>
          <w:bCs w:val="0"/>
        </w:rPr>
      </w:r>
    </w:p>
    <w:p>
      <w:pPr>
        <w:pStyle w:val="BodyText"/>
        <w:spacing w:line="316" w:lineRule="auto" w:before="166"/>
        <w:ind w:right="1124" w:firstLine="422"/>
        <w:jc w:val="both"/>
      </w:pPr>
      <w:r>
        <w:rPr>
          <w:spacing w:val="-2"/>
        </w:rPr>
        <w:t>如果股份支付计划的修改增加了所授予的权益工具的公允价值，应按照权益工具公允价值的增加相应地确认取得服务</w:t>
      </w:r>
      <w:r>
        <w:rPr>
          <w:w w:val="101"/>
        </w:rPr>
        <w:t> </w:t>
      </w:r>
      <w:r>
        <w:rPr/>
        <w:t>的增加。</w:t>
      </w:r>
    </w:p>
    <w:p>
      <w:pPr>
        <w:pStyle w:val="BodyText"/>
        <w:spacing w:line="316" w:lineRule="auto" w:before="139"/>
        <w:ind w:right="1124" w:firstLine="422"/>
        <w:jc w:val="both"/>
      </w:pPr>
      <w:r>
        <w:rPr>
          <w:spacing w:val="-2"/>
        </w:rPr>
        <w:t>如果股份支付计划的修改增加了所授予的权益工具的数量，应将增加的权益工具的公允价值相应地确认为取得服务的</w:t>
      </w:r>
      <w:r>
        <w:rPr>
          <w:w w:val="101"/>
        </w:rPr>
        <w:t> </w:t>
      </w:r>
      <w:r>
        <w:rPr/>
        <w:t>增加。</w:t>
      </w:r>
    </w:p>
    <w:p>
      <w:pPr>
        <w:pStyle w:val="BodyText"/>
        <w:spacing w:line="316" w:lineRule="auto" w:before="139"/>
        <w:ind w:right="1124" w:firstLine="422"/>
        <w:jc w:val="both"/>
      </w:pPr>
      <w:r>
        <w:rPr>
          <w:spacing w:val="-2"/>
        </w:rPr>
        <w:t>如果按照有利于职工的方式修改可行权条件，如缩短等待期、变更或取消业绩条件（而非市场条件），公司在处理可</w:t>
      </w:r>
      <w:r>
        <w:rPr>
          <w:w w:val="101"/>
        </w:rPr>
        <w:t> </w:t>
      </w:r>
      <w:r>
        <w:rPr>
          <w:spacing w:val="-3"/>
        </w:rPr>
        <w:t>行权条件时，考虑修改后的可行权条件。</w:t>
      </w:r>
    </w:p>
    <w:p>
      <w:pPr>
        <w:pStyle w:val="BodyText"/>
        <w:spacing w:line="319" w:lineRule="auto" w:before="139"/>
        <w:ind w:right="1124" w:firstLine="422"/>
        <w:jc w:val="both"/>
      </w:pPr>
      <w:r>
        <w:rPr>
          <w:spacing w:val="-2"/>
        </w:rPr>
        <w:t>如果以减少股份支付公允价值总额的方式或其他不利于职工的方式修改条款和条件，仍应继续对取得的服务进行会计</w:t>
      </w:r>
      <w:r>
        <w:rPr>
          <w:w w:val="101"/>
        </w:rPr>
        <w:t> </w:t>
      </w:r>
      <w:r>
        <w:rPr>
          <w:spacing w:val="-3"/>
        </w:rPr>
        <w:t>处理，如同该变更从未发生，除非取消了部分或全部已授予的权益工具。</w:t>
      </w:r>
    </w:p>
    <w:p>
      <w:pPr>
        <w:pStyle w:val="BodyText"/>
        <w:spacing w:line="316" w:lineRule="auto" w:before="137"/>
        <w:ind w:right="1122" w:firstLine="422"/>
        <w:jc w:val="both"/>
      </w:pPr>
      <w:r>
        <w:rPr>
          <w:spacing w:val="-2"/>
        </w:rPr>
        <w:t>在等待期内如果取消了授予的权益工具，对取消所授予的权益性工具作为加速行权处理，剩余等待期内应确认的金额</w:t>
      </w:r>
      <w:r>
        <w:rPr>
          <w:w w:val="101"/>
        </w:rPr>
        <w:t> </w:t>
      </w:r>
      <w:r>
        <w:rPr>
          <w:spacing w:val="-4"/>
        </w:rPr>
        <w:t>立即计入当期损益，同时确认资本公积。职工或其他方能够选择满足非可行权条件但在等待期内未满足的，将其作为授予权</w:t>
      </w:r>
      <w:r>
        <w:rPr>
          <w:spacing w:val="45"/>
        </w:rPr>
        <w:t> </w:t>
      </w:r>
      <w:r>
        <w:rPr>
          <w:spacing w:val="45"/>
        </w:rPr>
      </w:r>
      <w:r>
        <w:rPr>
          <w:spacing w:val="-3"/>
        </w:rPr>
        <w:t>益工具的取消处理。</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24、优先股、永续债等其他金融工具" w:id="223"/>
      <w:bookmarkEnd w:id="223"/>
      <w:r>
        <w:rPr>
          <w:b w:val="0"/>
          <w:bCs w:val="0"/>
        </w:rPr>
      </w:r>
      <w:r>
        <w:rPr>
          <w:rFonts w:ascii="Times New Roman" w:hAnsi="Times New Roman" w:cs="Times New Roman" w:eastAsia="Times New Roman" w:hint="default"/>
        </w:rPr>
        <w:t>24</w:t>
      </w:r>
      <w:r>
        <w:rPr/>
        <w:t>、优先股、永续债等其他金融工具</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r>
        <w:rPr/>
        <w:t>（</w:t>
      </w:r>
      <w:r>
        <w:rPr>
          <w:rFonts w:ascii="Times New Roman" w:hAnsi="Times New Roman" w:cs="Times New Roman" w:eastAsia="Times New Roman" w:hint="default"/>
        </w:rPr>
        <w:t>1</w:t>
      </w:r>
      <w:r>
        <w:rPr/>
        <w:t>）永续债和优先股等的区分</w:t>
      </w:r>
      <w:r>
        <w:rPr>
          <w:b w:val="0"/>
          <w:bCs w:val="0"/>
        </w:rPr>
      </w:r>
    </w:p>
    <w:p>
      <w:pPr>
        <w:pStyle w:val="BodyText"/>
        <w:spacing w:line="240" w:lineRule="auto" w:before="166"/>
        <w:ind w:left="575" w:right="1126"/>
        <w:jc w:val="left"/>
      </w:pPr>
      <w:r>
        <w:rPr>
          <w:spacing w:val="-3"/>
        </w:rPr>
        <w:t>本公司发行的永续债和优先股等金融工具，同时符合以下条件的，作为权益工具：</w:t>
      </w:r>
    </w:p>
    <w:p>
      <w:pPr>
        <w:spacing w:line="240" w:lineRule="auto" w:before="1"/>
        <w:rPr>
          <w:rFonts w:ascii="宋体" w:hAnsi="宋体" w:cs="宋体" w:eastAsia="宋体" w:hint="default"/>
          <w:sz w:val="15"/>
          <w:szCs w:val="15"/>
        </w:rPr>
      </w:pPr>
    </w:p>
    <w:p>
      <w:pPr>
        <w:pStyle w:val="BodyText"/>
        <w:spacing w:line="300" w:lineRule="auto"/>
        <w:ind w:right="1124" w:firstLine="571"/>
        <w:jc w:val="both"/>
      </w:pPr>
      <w:r>
        <w:rPr>
          <w:rFonts w:ascii="Times New Roman" w:hAnsi="Times New Roman" w:cs="Times New Roman" w:eastAsia="Times New Roman" w:hint="default"/>
          <w:spacing w:val="-3"/>
        </w:rPr>
        <w:t>1</w:t>
      </w:r>
      <w:r>
        <w:rPr>
          <w:spacing w:val="-3"/>
        </w:rPr>
        <w:t>）该金融工具不包括交付现金或其他金融资产给其他方，或在潜在不利条件下与其他方交换金融资产或金融负债的</w:t>
      </w:r>
      <w:r>
        <w:rPr>
          <w:w w:val="101"/>
        </w:rPr>
        <w:t> </w:t>
      </w:r>
      <w:r>
        <w:rPr/>
        <w:t>合同义务；</w:t>
      </w:r>
    </w:p>
    <w:p>
      <w:pPr>
        <w:pStyle w:val="BodyText"/>
        <w:spacing w:line="309" w:lineRule="auto" w:before="151"/>
        <w:ind w:right="1124" w:firstLine="571"/>
        <w:jc w:val="both"/>
      </w:pPr>
      <w:r>
        <w:rPr>
          <w:rFonts w:ascii="Times New Roman" w:hAnsi="Times New Roman" w:cs="Times New Roman" w:eastAsia="Times New Roman" w:hint="default"/>
          <w:spacing w:val="-3"/>
        </w:rPr>
        <w:t>2</w:t>
      </w:r>
      <w:r>
        <w:rPr>
          <w:spacing w:val="-3"/>
        </w:rPr>
        <w:t>）如将来须用或可用企业自身权益工具结算该金融工具的，如该金融工具为非衍生工具，则不包括交付可变数量的</w:t>
      </w:r>
      <w:r>
        <w:rPr>
          <w:w w:val="101"/>
        </w:rPr>
        <w:t> </w:t>
      </w:r>
      <w:r>
        <w:rPr>
          <w:spacing w:val="-5"/>
        </w:rPr>
        <w:t>自身权益工具进行结算的合同义务；如为衍生工具，则本公司只能通过以固定数量的自身权益工具交换固定金额的现金或其</w:t>
      </w:r>
      <w:r>
        <w:rPr>
          <w:spacing w:val="6"/>
        </w:rPr>
        <w:t> </w:t>
      </w:r>
      <w:r>
        <w:rPr>
          <w:spacing w:val="6"/>
        </w:rPr>
      </w:r>
      <w:r>
        <w:rPr>
          <w:spacing w:val="-3"/>
        </w:rPr>
        <w:t>他金融资产结算该金融工具。</w:t>
      </w:r>
    </w:p>
    <w:p>
      <w:pPr>
        <w:pStyle w:val="BodyText"/>
        <w:spacing w:line="432" w:lineRule="exact" w:before="9"/>
        <w:ind w:left="575" w:right="1126"/>
        <w:jc w:val="left"/>
      </w:pPr>
      <w:r>
        <w:rPr>
          <w:spacing w:val="-3"/>
        </w:rPr>
        <w:t>除按上述条件可归类为权益工具的金融工具以外，本公司发行的其他金融工具应归类为金融负债。</w:t>
      </w:r>
      <w:r>
        <w:rPr>
          <w:spacing w:val="37"/>
        </w:rPr>
        <w:t> </w:t>
      </w:r>
      <w:r>
        <w:rPr>
          <w:spacing w:val="37"/>
        </w:rPr>
      </w:r>
      <w:r>
        <w:rPr>
          <w:spacing w:val="-2"/>
        </w:rPr>
        <w:t>本公司发行的金融工具为复合金融工具的，按照负债成分的公允价值确认为一项负债，按实际收到的金额扣除负债成</w:t>
      </w:r>
    </w:p>
    <w:p>
      <w:pPr>
        <w:pStyle w:val="BodyText"/>
        <w:spacing w:line="300" w:lineRule="auto" w:before="15"/>
        <w:ind w:right="1126"/>
        <w:jc w:val="left"/>
      </w:pPr>
      <w:r>
        <w:rPr>
          <w:spacing w:val="-4"/>
        </w:rPr>
        <w:t>分的公允价值后的金额，确认为</w:t>
      </w:r>
      <w:r>
        <w:rPr>
          <w:rFonts w:ascii="Times New Roman" w:hAnsi="Times New Roman" w:cs="Times New Roman" w:eastAsia="Times New Roman" w:hint="default"/>
          <w:spacing w:val="-4"/>
        </w:rPr>
        <w:t>“</w:t>
      </w:r>
      <w:r>
        <w:rPr>
          <w:spacing w:val="-4"/>
        </w:rPr>
        <w:t>其他权益工具</w:t>
      </w:r>
      <w:r>
        <w:rPr>
          <w:rFonts w:ascii="Times New Roman" w:hAnsi="Times New Roman" w:cs="Times New Roman" w:eastAsia="Times New Roman" w:hint="default"/>
          <w:spacing w:val="-4"/>
        </w:rPr>
        <w:t>”</w:t>
      </w:r>
      <w:r>
        <w:rPr>
          <w:spacing w:val="-4"/>
        </w:rPr>
        <w:t>。发行复合金融工具发生的交易费用，在负债成分和权益成分之间按照各自</w:t>
      </w:r>
      <w:r>
        <w:rPr>
          <w:spacing w:val="64"/>
        </w:rPr>
        <w:t> </w:t>
      </w:r>
      <w:r>
        <w:rPr>
          <w:spacing w:val="64"/>
        </w:rPr>
      </w:r>
      <w:r>
        <w:rPr>
          <w:spacing w:val="-3"/>
        </w:rPr>
        <w:t>占总发行价款的比例进行分摊。</w:t>
      </w:r>
    </w:p>
    <w:p>
      <w:pPr>
        <w:pStyle w:val="Heading3"/>
        <w:spacing w:line="240" w:lineRule="auto" w:before="126"/>
        <w:ind w:right="1126"/>
        <w:jc w:val="left"/>
        <w:rPr>
          <w:b w:val="0"/>
          <w:bCs w:val="0"/>
        </w:rPr>
      </w:pPr>
      <w:r>
        <w:rPr/>
        <w:t>（</w:t>
      </w:r>
      <w:r>
        <w:rPr>
          <w:rFonts w:ascii="Times New Roman" w:hAnsi="Times New Roman" w:cs="Times New Roman" w:eastAsia="Times New Roman" w:hint="default"/>
        </w:rPr>
        <w:t>2</w:t>
      </w:r>
      <w:r>
        <w:rPr/>
        <w:t>）永续债和优先股等的会计处理方法</w:t>
      </w:r>
      <w:r>
        <w:rPr>
          <w:b w:val="0"/>
          <w:bCs w:val="0"/>
        </w:rPr>
      </w:r>
    </w:p>
    <w:p>
      <w:pPr>
        <w:pStyle w:val="BodyText"/>
        <w:spacing w:line="316" w:lineRule="auto" w:before="167"/>
        <w:ind w:right="1124" w:firstLine="422"/>
        <w:jc w:val="both"/>
      </w:pPr>
      <w:r>
        <w:rPr>
          <w:spacing w:val="-2"/>
        </w:rPr>
        <w:t>归类为金融负债的永续债和优先股等金融工具，其相关利息、股利（或股息）、利得或损失，以及赎回或再融资产生</w:t>
      </w:r>
      <w:r>
        <w:rPr>
          <w:w w:val="101"/>
        </w:rPr>
        <w:t> </w:t>
      </w:r>
      <w:r>
        <w:rPr>
          <w:spacing w:val="-3"/>
        </w:rPr>
        <w:t>的利得或损失等，除符合资本化条件的借款费用（参见本附注五、</w:t>
      </w:r>
      <w:r>
        <w:rPr>
          <w:rFonts w:ascii="Times New Roman" w:hAnsi="Times New Roman" w:cs="Times New Roman" w:eastAsia="Times New Roman" w:hint="default"/>
          <w:spacing w:val="-3"/>
        </w:rPr>
        <w:t>17</w:t>
      </w:r>
      <w:r>
        <w:rPr>
          <w:spacing w:val="-3"/>
        </w:rPr>
        <w:t>、借款费用）以外，均计入当期损益。</w:t>
      </w:r>
    </w:p>
    <w:p>
      <w:pPr>
        <w:spacing w:after="0" w:line="316" w:lineRule="auto"/>
        <w:jc w:val="both"/>
        <w:sectPr>
          <w:footerReference w:type="default" r:id="rId48"/>
          <w:pgSz w:w="11910" w:h="16840"/>
          <w:pgMar w:footer="1474" w:header="871" w:top="1060" w:bottom="1660" w:left="980" w:right="0"/>
          <w:pgNumType w:start="122"/>
        </w:sectPr>
      </w:pPr>
    </w:p>
    <w:p>
      <w:pPr>
        <w:spacing w:line="240" w:lineRule="auto" w:before="1"/>
        <w:rPr>
          <w:rFonts w:ascii="宋体" w:hAnsi="宋体" w:cs="宋体" w:eastAsia="宋体" w:hint="default"/>
          <w:sz w:val="26"/>
          <w:szCs w:val="26"/>
        </w:rPr>
      </w:pPr>
    </w:p>
    <w:p>
      <w:pPr>
        <w:pStyle w:val="BodyText"/>
        <w:spacing w:line="316" w:lineRule="auto" w:before="46"/>
        <w:ind w:right="1124" w:firstLine="422"/>
        <w:jc w:val="both"/>
      </w:pPr>
      <w:r>
        <w:rPr>
          <w:spacing w:val="-2"/>
        </w:rPr>
        <w:t>归类为权益工具的永续债和优先股等金融工具，其发行（含再融资）、回购、出售或注销时，本公司作为权益的变动</w:t>
      </w:r>
      <w:r>
        <w:rPr>
          <w:w w:val="101"/>
        </w:rPr>
        <w:t> </w:t>
      </w:r>
      <w:r>
        <w:rPr>
          <w:spacing w:val="-3"/>
        </w:rPr>
        <w:t>处理，相关交易费用亦从权益中扣减。本公司对权益工具持有方的分配作为利润分配处理。</w:t>
      </w:r>
    </w:p>
    <w:p>
      <w:pPr>
        <w:pStyle w:val="BodyText"/>
        <w:spacing w:line="240" w:lineRule="auto" w:before="139"/>
        <w:ind w:left="575" w:right="1126"/>
        <w:jc w:val="left"/>
      </w:pPr>
      <w:r>
        <w:rPr>
          <w:spacing w:val="-3"/>
        </w:rPr>
        <w:t>本公司不确认权益工具的公允价值变动。</w:t>
      </w:r>
    </w:p>
    <w:p>
      <w:pPr>
        <w:spacing w:line="240" w:lineRule="auto" w:before="0"/>
        <w:rPr>
          <w:rFonts w:ascii="宋体" w:hAnsi="宋体" w:cs="宋体" w:eastAsia="宋体" w:hint="default"/>
          <w:sz w:val="18"/>
          <w:szCs w:val="18"/>
        </w:rPr>
      </w:pPr>
    </w:p>
    <w:p>
      <w:pPr>
        <w:pStyle w:val="Heading3"/>
        <w:spacing w:line="240" w:lineRule="auto" w:before="118"/>
        <w:ind w:right="1126"/>
        <w:jc w:val="left"/>
        <w:rPr>
          <w:b w:val="0"/>
          <w:bCs w:val="0"/>
        </w:rPr>
      </w:pPr>
      <w:bookmarkStart w:name="25、收入" w:id="224"/>
      <w:bookmarkEnd w:id="224"/>
      <w:r>
        <w:rPr>
          <w:b w:val="0"/>
          <w:bCs w:val="0"/>
        </w:rPr>
      </w:r>
      <w:r>
        <w:rPr>
          <w:rFonts w:ascii="Times New Roman" w:hAnsi="Times New Roman" w:cs="Times New Roman" w:eastAsia="Times New Roman" w:hint="default"/>
        </w:rPr>
        <w:t>25</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6"/>
        <w:jc w:val="left"/>
      </w:pPr>
      <w:r>
        <w:rPr/>
        <w:t>是否已执行新收入准则</w:t>
      </w:r>
    </w:p>
    <w:p>
      <w:pPr>
        <w:pStyle w:val="BodyText"/>
        <w:spacing w:line="240" w:lineRule="auto" w:before="119"/>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Heading3"/>
        <w:spacing w:line="240" w:lineRule="auto" w:before="153"/>
        <w:ind w:right="1126"/>
        <w:jc w:val="left"/>
        <w:rPr>
          <w:b w:val="0"/>
          <w:bCs w:val="0"/>
        </w:rPr>
      </w:pPr>
      <w:r>
        <w:rPr/>
        <w:t>（</w:t>
      </w:r>
      <w:r>
        <w:rPr>
          <w:rFonts w:ascii="Times New Roman" w:hAnsi="Times New Roman" w:cs="Times New Roman" w:eastAsia="Times New Roman" w:hint="default"/>
        </w:rPr>
        <w:t>1</w:t>
      </w:r>
      <w:r>
        <w:rPr/>
        <w:t>）收入确认总体原则</w:t>
      </w:r>
      <w:r>
        <w:rPr>
          <w:b w:val="0"/>
          <w:bCs w:val="0"/>
        </w:rPr>
      </w:r>
    </w:p>
    <w:p>
      <w:pPr>
        <w:pStyle w:val="BodyText"/>
        <w:spacing w:line="432" w:lineRule="exact" w:before="31"/>
        <w:ind w:left="575" w:right="1126"/>
        <w:jc w:val="left"/>
      </w:pPr>
      <w:r>
        <w:rPr>
          <w:rFonts w:ascii="Times New Roman" w:hAnsi="Times New Roman" w:cs="Times New Roman" w:eastAsia="Times New Roman" w:hint="default"/>
        </w:rPr>
        <w:t>1</w:t>
      </w:r>
      <w:r>
        <w:rPr/>
        <w:t>）商品销售收入</w:t>
      </w:r>
      <w:r>
        <w:rPr>
          <w:spacing w:val="-87"/>
        </w:rPr>
        <w:t> </w:t>
      </w:r>
      <w:r>
        <w:rPr>
          <w:spacing w:val="-87"/>
        </w:rPr>
      </w:r>
      <w:r>
        <w:rPr>
          <w:spacing w:val="-2"/>
        </w:rPr>
        <w:t>公司已将商品所有权上的主要风险和报酬转移给购买方；既没有保留与所有权相联系的继续管理权，也没有对已售出</w:t>
      </w:r>
    </w:p>
    <w:p>
      <w:pPr>
        <w:pStyle w:val="BodyText"/>
        <w:spacing w:line="319" w:lineRule="auto" w:before="15"/>
        <w:ind w:right="1126"/>
        <w:jc w:val="left"/>
      </w:pPr>
      <w:r>
        <w:rPr>
          <w:spacing w:val="-4"/>
        </w:rPr>
        <w:t>的商品实施有效控制；收入的金额能够可靠地计量；相关的经济利益很可能流入企业；相关的已发生或将发生的成本能够可</w:t>
      </w:r>
      <w:r>
        <w:rPr>
          <w:spacing w:val="43"/>
        </w:rPr>
        <w:t> </w:t>
      </w:r>
      <w:r>
        <w:rPr>
          <w:spacing w:val="43"/>
        </w:rPr>
      </w:r>
      <w:r>
        <w:rPr>
          <w:spacing w:val="-3"/>
        </w:rPr>
        <w:t>靠地计量时，确认商品销售收入实现。</w:t>
      </w:r>
    </w:p>
    <w:p>
      <w:pPr>
        <w:pStyle w:val="BodyText"/>
        <w:spacing w:line="432" w:lineRule="exact" w:before="1"/>
        <w:ind w:left="575" w:right="1126"/>
        <w:jc w:val="left"/>
      </w:pPr>
      <w:r>
        <w:rPr>
          <w:rFonts w:ascii="Times New Roman" w:hAnsi="Times New Roman" w:cs="Times New Roman" w:eastAsia="Times New Roman" w:hint="default"/>
        </w:rPr>
        <w:t>2</w:t>
      </w:r>
      <w:r>
        <w:rPr/>
        <w:t>）提供劳务收入</w:t>
      </w:r>
      <w:r>
        <w:rPr>
          <w:spacing w:val="-87"/>
        </w:rPr>
        <w:t> </w:t>
      </w:r>
      <w:r>
        <w:rPr>
          <w:spacing w:val="-87"/>
        </w:rPr>
      </w:r>
      <w:r>
        <w:rPr>
          <w:spacing w:val="-2"/>
        </w:rPr>
        <w:t>在提供劳务交易的结果能够可靠估计的情况下，于资产负债表日按照完工百分比法确认提供的劳务收入。劳务交易的</w:t>
      </w:r>
    </w:p>
    <w:p>
      <w:pPr>
        <w:pStyle w:val="BodyText"/>
        <w:spacing w:line="240" w:lineRule="auto" w:before="15"/>
        <w:ind w:right="1126"/>
        <w:jc w:val="left"/>
      </w:pPr>
      <w:r>
        <w:rPr>
          <w:spacing w:val="-3"/>
        </w:rPr>
        <w:t>完工进度按已经发生的劳务成本占估计总成本的比例确定。</w:t>
      </w:r>
    </w:p>
    <w:p>
      <w:pPr>
        <w:spacing w:line="240" w:lineRule="auto" w:before="0"/>
        <w:rPr>
          <w:rFonts w:ascii="宋体" w:hAnsi="宋体" w:cs="宋体" w:eastAsia="宋体" w:hint="default"/>
          <w:sz w:val="15"/>
          <w:szCs w:val="15"/>
        </w:rPr>
      </w:pPr>
    </w:p>
    <w:p>
      <w:pPr>
        <w:pStyle w:val="BodyText"/>
        <w:spacing w:line="240" w:lineRule="auto"/>
        <w:ind w:left="575" w:right="1126"/>
        <w:jc w:val="left"/>
      </w:pPr>
      <w:r>
        <w:rPr>
          <w:spacing w:val="-4"/>
        </w:rPr>
        <w:t>提供劳务交易的结果能够可靠估计是指同时满足：①收入的金额能够可靠地计量；②相关的经济利益很可能流入企业；</w:t>
      </w:r>
    </w:p>
    <w:p>
      <w:pPr>
        <w:pStyle w:val="BodyText"/>
        <w:spacing w:line="240" w:lineRule="auto" w:before="77"/>
        <w:ind w:right="1126"/>
        <w:jc w:val="left"/>
      </w:pPr>
      <w:r>
        <w:rPr>
          <w:spacing w:val="-3"/>
        </w:rPr>
        <w:t>③交易的完工程度能够可靠地确定； </w:t>
      </w:r>
      <w:r>
        <w:rPr>
          <w:spacing w:val="10"/>
        </w:rPr>
        <w:t> </w:t>
      </w:r>
      <w:r>
        <w:rPr>
          <w:spacing w:val="-3"/>
        </w:rPr>
        <w:t>④交易中已发生和将发生的成本能够可靠地计量。</w:t>
      </w:r>
    </w:p>
    <w:p>
      <w:pPr>
        <w:spacing w:line="240" w:lineRule="auto" w:before="0"/>
        <w:rPr>
          <w:rFonts w:ascii="宋体" w:hAnsi="宋体" w:cs="宋体" w:eastAsia="宋体" w:hint="default"/>
          <w:sz w:val="15"/>
          <w:szCs w:val="15"/>
        </w:rPr>
      </w:pPr>
    </w:p>
    <w:p>
      <w:pPr>
        <w:pStyle w:val="BodyText"/>
        <w:spacing w:line="316" w:lineRule="auto"/>
        <w:ind w:right="1124" w:firstLine="422"/>
        <w:jc w:val="both"/>
      </w:pPr>
      <w:r>
        <w:rPr>
          <w:spacing w:val="-2"/>
        </w:rPr>
        <w:t>如果提供劳务交易的结果不能够可靠估计，则按已经发生并预计能够得到补偿的劳务成本金额确认提供的劳务收入，</w:t>
      </w:r>
      <w:r>
        <w:rPr>
          <w:w w:val="101"/>
        </w:rPr>
        <w:t> </w:t>
      </w:r>
      <w:r>
        <w:rPr>
          <w:spacing w:val="-3"/>
        </w:rPr>
        <w:t>并将已发生的劳务成本作为当期费用。已经发生的劳务成本如预计不能得到补偿的，则不确认收入。</w:t>
      </w:r>
    </w:p>
    <w:p>
      <w:pPr>
        <w:pStyle w:val="BodyText"/>
        <w:spacing w:line="319" w:lineRule="auto" w:before="139"/>
        <w:ind w:right="1124" w:firstLine="422"/>
        <w:jc w:val="both"/>
      </w:pPr>
      <w:r>
        <w:rPr>
          <w:spacing w:val="-2"/>
        </w:rPr>
        <w:t>本公司与其他企业签订的合同或协议包括销售商品和提供劳务时，如销售商品部分和提供劳务部分能够区分并单独计</w:t>
      </w:r>
      <w:r>
        <w:rPr>
          <w:w w:val="101"/>
        </w:rPr>
        <w:t> </w:t>
      </w:r>
      <w:r>
        <w:rPr>
          <w:spacing w:val="-4"/>
        </w:rPr>
        <w:t>量的，将销售商品部分和提供劳务部分分别处理；如销售商品部分和提供劳务部分不能够区分，或虽能区分但不能够单独计</w:t>
      </w:r>
      <w:r>
        <w:rPr>
          <w:spacing w:val="43"/>
        </w:rPr>
        <w:t> </w:t>
      </w:r>
      <w:r>
        <w:rPr>
          <w:spacing w:val="43"/>
        </w:rPr>
      </w:r>
      <w:r>
        <w:rPr>
          <w:spacing w:val="-3"/>
        </w:rPr>
        <w:t>量的，将该合同全部作为销售商品处理。</w:t>
      </w:r>
    </w:p>
    <w:p>
      <w:pPr>
        <w:pStyle w:val="BodyText"/>
        <w:spacing w:line="424" w:lineRule="auto" w:before="137"/>
        <w:ind w:left="575" w:right="5660"/>
        <w:jc w:val="left"/>
      </w:pPr>
      <w:r>
        <w:rPr>
          <w:rFonts w:ascii="Times New Roman" w:hAnsi="Times New Roman" w:cs="Times New Roman" w:eastAsia="Times New Roman" w:hint="default"/>
        </w:rPr>
        <w:t>3</w:t>
      </w:r>
      <w:r>
        <w:rPr/>
        <w:t>）使用费收入</w:t>
      </w:r>
      <w:r>
        <w:rPr>
          <w:spacing w:val="-85"/>
        </w:rPr>
        <w:t> </w:t>
      </w:r>
      <w:r>
        <w:rPr>
          <w:spacing w:val="-85"/>
        </w:rPr>
      </w:r>
      <w:r>
        <w:rPr>
          <w:spacing w:val="-3"/>
        </w:rPr>
        <w:t>根据有关合同或协议，按权责发生制确认收入。</w:t>
      </w:r>
      <w:r>
        <w:rPr>
          <w:spacing w:val="-27"/>
        </w:rPr>
        <w:t> </w:t>
      </w:r>
      <w:r>
        <w:rPr>
          <w:spacing w:val="-27"/>
        </w:rPr>
      </w:r>
      <w:r>
        <w:rPr>
          <w:rFonts w:ascii="Times New Roman" w:hAnsi="Times New Roman" w:cs="Times New Roman" w:eastAsia="Times New Roman" w:hint="default"/>
        </w:rPr>
        <w:t>4</w:t>
      </w:r>
      <w:r>
        <w:rPr/>
        <w:t>）利息收入</w:t>
      </w:r>
      <w:r>
        <w:rPr>
          <w:spacing w:val="-87"/>
        </w:rPr>
        <w:t> </w:t>
      </w:r>
      <w:r>
        <w:rPr>
          <w:spacing w:val="-87"/>
        </w:rPr>
      </w:r>
      <w:r>
        <w:rPr>
          <w:spacing w:val="-3"/>
        </w:rPr>
        <w:t>按照他人使用本公司货币资金的时间和实际利率计算确定。</w:t>
      </w:r>
    </w:p>
    <w:p>
      <w:pPr>
        <w:pStyle w:val="Heading3"/>
        <w:spacing w:line="240" w:lineRule="auto" w:before="32"/>
        <w:ind w:right="1126"/>
        <w:jc w:val="left"/>
        <w:rPr>
          <w:b w:val="0"/>
          <w:bCs w:val="0"/>
        </w:rPr>
      </w:pPr>
      <w:r>
        <w:rPr/>
        <w:t>（</w:t>
      </w:r>
      <w:r>
        <w:rPr>
          <w:rFonts w:ascii="Times New Roman" w:hAnsi="Times New Roman" w:cs="Times New Roman" w:eastAsia="Times New Roman" w:hint="default"/>
        </w:rPr>
        <w:t>2</w:t>
      </w:r>
      <w:r>
        <w:rPr/>
        <w:t>）除上述收入确认的总体原则外，各类不同业务类型的收入确认具体方法如下：</w:t>
      </w:r>
      <w:r>
        <w:rPr>
          <w:b w:val="0"/>
          <w:bCs w:val="0"/>
        </w:rPr>
      </w:r>
    </w:p>
    <w:p>
      <w:pPr>
        <w:pStyle w:val="BodyText"/>
        <w:spacing w:line="300" w:lineRule="auto" w:before="166"/>
        <w:ind w:right="1124" w:firstLine="412"/>
        <w:jc w:val="both"/>
      </w:pPr>
      <w:r>
        <w:rPr>
          <w:rFonts w:ascii="Times New Roman" w:hAnsi="Times New Roman" w:cs="Times New Roman" w:eastAsia="Times New Roman" w:hint="default"/>
          <w:spacing w:val="-4"/>
        </w:rPr>
        <w:t>1</w:t>
      </w:r>
      <w:r>
        <w:rPr>
          <w:spacing w:val="-4"/>
        </w:rPr>
        <w:t>）智能终端产品分销业务：根据客户订单发货，经客户检验签收后确认收入。同时公司结合不同厂家的销售政策，以</w:t>
      </w:r>
      <w:r>
        <w:rPr>
          <w:w w:val="101"/>
        </w:rPr>
        <w:t> </w:t>
      </w:r>
      <w:r>
        <w:rPr/>
        <w:t>资产负债表日前</w:t>
      </w:r>
      <w:r>
        <w:rPr>
          <w:spacing w:val="54"/>
        </w:rPr>
        <w:t> </w:t>
      </w:r>
      <w:r>
        <w:rPr>
          <w:rFonts w:ascii="Times New Roman" w:hAnsi="Times New Roman" w:cs="Times New Roman" w:eastAsia="Times New Roman" w:hint="default"/>
          <w:spacing w:val="-3"/>
        </w:rPr>
        <w:t>36</w:t>
      </w:r>
      <w:r>
        <w:rPr>
          <w:rFonts w:ascii="Times New Roman" w:hAnsi="Times New Roman" w:cs="Times New Roman" w:eastAsia="Times New Roman" w:hint="default"/>
          <w:spacing w:val="38"/>
        </w:rPr>
        <w:t> </w:t>
      </w:r>
      <w:r>
        <w:rPr/>
        <w:t>个月实际支付价保与收入的比例乘以截止月份的收入作为资产负债表日应计提的价保冲减当期营业收</w:t>
      </w:r>
      <w:r>
        <w:rPr>
          <w:spacing w:val="-78"/>
        </w:rPr>
        <w:t> </w:t>
      </w:r>
      <w:r>
        <w:rPr>
          <w:spacing w:val="-78"/>
        </w:rPr>
      </w:r>
      <w:r>
        <w:rPr>
          <w:spacing w:val="-3"/>
        </w:rPr>
        <w:t>入。对没有完整控制权、没有承担主要存货风险的商品销售，公司按净额法确认收入。</w:t>
      </w:r>
    </w:p>
    <w:p>
      <w:pPr>
        <w:pStyle w:val="BodyText"/>
        <w:spacing w:line="240" w:lineRule="auto" w:before="151"/>
        <w:ind w:left="609" w:right="1126"/>
        <w:jc w:val="left"/>
      </w:pPr>
      <w:r>
        <w:rPr>
          <w:rFonts w:ascii="Times New Roman" w:hAnsi="Times New Roman" w:cs="Times New Roman" w:eastAsia="Times New Roman" w:hint="default"/>
          <w:spacing w:val="-3"/>
        </w:rPr>
        <w:t>2</w:t>
      </w:r>
      <w:r>
        <w:rPr>
          <w:spacing w:val="-3"/>
        </w:rPr>
        <w:t>）煤等商品贸易业务：根据客户订单发货，在货权转移时确认收入。</w:t>
      </w:r>
    </w:p>
    <w:p>
      <w:pPr>
        <w:spacing w:line="240" w:lineRule="auto" w:before="13"/>
        <w:rPr>
          <w:rFonts w:ascii="宋体" w:hAnsi="宋体" w:cs="宋体" w:eastAsia="宋体" w:hint="default"/>
          <w:sz w:val="13"/>
          <w:szCs w:val="13"/>
        </w:rPr>
      </w:pPr>
    </w:p>
    <w:p>
      <w:pPr>
        <w:pStyle w:val="BodyText"/>
        <w:spacing w:line="300" w:lineRule="auto"/>
        <w:ind w:right="1124" w:firstLine="436"/>
        <w:jc w:val="both"/>
      </w:pPr>
      <w:r>
        <w:rPr>
          <w:rFonts w:ascii="Times New Roman" w:hAnsi="Times New Roman" w:cs="Times New Roman" w:eastAsia="Times New Roman" w:hint="default"/>
          <w:spacing w:val="-4"/>
        </w:rPr>
        <w:t>3</w:t>
      </w:r>
      <w:r>
        <w:rPr>
          <w:spacing w:val="-4"/>
        </w:rPr>
        <w:t>）手机数字业务：取得运营商提供的对账结算凭据并经业务部门核对后确认收入，如果运营商超过对账结算期仍未提</w:t>
      </w:r>
      <w:r>
        <w:rPr>
          <w:w w:val="101"/>
        </w:rPr>
        <w:t> </w:t>
      </w:r>
      <w:r>
        <w:rPr>
          <w:spacing w:val="-3"/>
        </w:rPr>
        <w:t>供结算数据，在相关收入能够可靠计量的情况下， </w:t>
      </w:r>
      <w:r>
        <w:rPr>
          <w:spacing w:val="-1"/>
        </w:rPr>
        <w:t> </w:t>
      </w:r>
      <w:r>
        <w:rPr>
          <w:spacing w:val="-3"/>
        </w:rPr>
        <w:t>根据系统数估算确认收入。</w:t>
      </w:r>
    </w:p>
    <w:p>
      <w:pPr>
        <w:pStyle w:val="BodyText"/>
        <w:spacing w:line="300" w:lineRule="auto" w:before="152"/>
        <w:ind w:right="1127" w:firstLine="436"/>
        <w:jc w:val="both"/>
      </w:pPr>
      <w:r>
        <w:rPr>
          <w:rFonts w:ascii="Times New Roman" w:hAnsi="Times New Roman" w:cs="Times New Roman" w:eastAsia="Times New Roman" w:hint="default"/>
          <w:spacing w:val="-4"/>
        </w:rPr>
        <w:t>4</w:t>
      </w:r>
      <w:r>
        <w:rPr>
          <w:spacing w:val="-4"/>
        </w:rPr>
        <w:t>）移动转售业务：语音通话费，月租费及短信、炫铃、个性化彩铃、来电显示、秘书服务等增值业务在提供服务后根</w:t>
      </w:r>
      <w:r>
        <w:rPr>
          <w:w w:val="101"/>
        </w:rPr>
        <w:t> </w:t>
      </w:r>
      <w:r>
        <w:rPr>
          <w:spacing w:val="-3"/>
        </w:rPr>
        <w:t>据计费结算系统计算确认收入。</w:t>
      </w:r>
    </w:p>
    <w:p>
      <w:pPr>
        <w:spacing w:after="0" w:line="300" w:lineRule="auto"/>
        <w:jc w:val="both"/>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24" w:firstLine="436"/>
        <w:jc w:val="both"/>
      </w:pPr>
      <w:r>
        <w:rPr>
          <w:rFonts w:ascii="Times New Roman" w:hAnsi="Times New Roman" w:cs="Times New Roman" w:eastAsia="Times New Roman" w:hint="default"/>
          <w:spacing w:val="-2"/>
        </w:rPr>
        <w:t>5</w:t>
      </w:r>
      <w:r>
        <w:rPr>
          <w:spacing w:val="-2"/>
        </w:rPr>
        <w:t>）保理业务：</w:t>
      </w:r>
      <w:r>
        <w:rPr>
          <w:spacing w:val="12"/>
        </w:rPr>
        <w:t> </w:t>
      </w:r>
      <w:r>
        <w:rPr>
          <w:spacing w:val="-2"/>
        </w:rPr>
        <w:t>在相关的保理利息收入金额能够可靠地计量，相关的经济利益可以收到时，按保理合同约定的利率及</w:t>
      </w:r>
      <w:r>
        <w:rPr>
          <w:w w:val="101"/>
        </w:rPr>
        <w:t> </w:t>
      </w:r>
      <w:r>
        <w:rPr>
          <w:spacing w:val="-3"/>
        </w:rPr>
        <w:t>投放的保理本金计算当期应确认的保理收入。</w:t>
      </w:r>
    </w:p>
    <w:p>
      <w:pPr>
        <w:spacing w:line="240" w:lineRule="auto" w:before="8"/>
        <w:rPr>
          <w:rFonts w:ascii="宋体" w:hAnsi="宋体" w:cs="宋体" w:eastAsia="宋体" w:hint="default"/>
          <w:sz w:val="23"/>
          <w:szCs w:val="23"/>
        </w:rPr>
      </w:pPr>
    </w:p>
    <w:p>
      <w:pPr>
        <w:pStyle w:val="Heading3"/>
        <w:spacing w:line="240" w:lineRule="auto"/>
        <w:ind w:right="1126"/>
        <w:jc w:val="left"/>
        <w:rPr>
          <w:b w:val="0"/>
          <w:bCs w:val="0"/>
        </w:rPr>
      </w:pPr>
      <w:bookmarkStart w:name="26、政府补助" w:id="225"/>
      <w:bookmarkEnd w:id="225"/>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5" w:right="0"/>
        <w:jc w:val="left"/>
      </w:pPr>
      <w:r>
        <w:rPr>
          <w:w w:val="101"/>
        </w:rPr>
        <w:t>政</w:t>
      </w:r>
      <w:r>
        <w:rPr>
          <w:spacing w:val="-5"/>
          <w:w w:val="101"/>
        </w:rPr>
        <w:t>府</w:t>
      </w:r>
      <w:r>
        <w:rPr>
          <w:w w:val="101"/>
        </w:rPr>
        <w:t>补助</w:t>
      </w:r>
      <w:r>
        <w:rPr>
          <w:spacing w:val="-77"/>
          <w:w w:val="101"/>
        </w:rPr>
        <w:t>，</w:t>
      </w:r>
      <w:r>
        <w:rPr>
          <w:w w:val="101"/>
        </w:rPr>
        <w:t>是</w:t>
      </w:r>
      <w:r>
        <w:rPr>
          <w:spacing w:val="-5"/>
          <w:w w:val="101"/>
        </w:rPr>
        <w:t>公</w:t>
      </w:r>
      <w:r>
        <w:rPr>
          <w:w w:val="101"/>
        </w:rPr>
        <w:t>司</w:t>
      </w:r>
      <w:r>
        <w:rPr>
          <w:spacing w:val="-5"/>
          <w:w w:val="101"/>
        </w:rPr>
        <w:t>从</w:t>
      </w:r>
      <w:r>
        <w:rPr>
          <w:w w:val="101"/>
        </w:rPr>
        <w:t>政</w:t>
      </w:r>
      <w:r>
        <w:rPr>
          <w:spacing w:val="-5"/>
          <w:w w:val="101"/>
        </w:rPr>
        <w:t>府</w:t>
      </w:r>
      <w:r>
        <w:rPr>
          <w:w w:val="101"/>
        </w:rPr>
        <w:t>无</w:t>
      </w:r>
      <w:r>
        <w:rPr>
          <w:spacing w:val="-5"/>
          <w:w w:val="101"/>
        </w:rPr>
        <w:t>偿</w:t>
      </w:r>
      <w:r>
        <w:rPr>
          <w:w w:val="101"/>
        </w:rPr>
        <w:t>取</w:t>
      </w:r>
      <w:r>
        <w:rPr>
          <w:spacing w:val="-5"/>
          <w:w w:val="101"/>
        </w:rPr>
        <w:t>得</w:t>
      </w:r>
      <w:r>
        <w:rPr>
          <w:w w:val="101"/>
        </w:rPr>
        <w:t>货</w:t>
      </w:r>
      <w:r>
        <w:rPr>
          <w:spacing w:val="-5"/>
          <w:w w:val="101"/>
        </w:rPr>
        <w:t>币</w:t>
      </w:r>
      <w:r>
        <w:rPr>
          <w:w w:val="101"/>
        </w:rPr>
        <w:t>性</w:t>
      </w:r>
      <w:r>
        <w:rPr>
          <w:spacing w:val="-5"/>
          <w:w w:val="101"/>
        </w:rPr>
        <w:t>资</w:t>
      </w:r>
      <w:r>
        <w:rPr>
          <w:w w:val="101"/>
        </w:rPr>
        <w:t>产</w:t>
      </w:r>
      <w:r>
        <w:rPr>
          <w:spacing w:val="-5"/>
          <w:w w:val="101"/>
        </w:rPr>
        <w:t>或</w:t>
      </w:r>
      <w:r>
        <w:rPr>
          <w:w w:val="101"/>
        </w:rPr>
        <w:t>非</w:t>
      </w:r>
      <w:r>
        <w:rPr>
          <w:spacing w:val="-5"/>
          <w:w w:val="101"/>
        </w:rPr>
        <w:t>货</w:t>
      </w:r>
      <w:r>
        <w:rPr>
          <w:w w:val="101"/>
        </w:rPr>
        <w:t>币</w:t>
      </w:r>
      <w:r>
        <w:rPr>
          <w:spacing w:val="-5"/>
          <w:w w:val="101"/>
        </w:rPr>
        <w:t>性</w:t>
      </w:r>
      <w:r>
        <w:rPr>
          <w:w w:val="101"/>
        </w:rPr>
        <w:t>资</w:t>
      </w:r>
      <w:r>
        <w:rPr>
          <w:spacing w:val="-5"/>
          <w:w w:val="101"/>
        </w:rPr>
        <w:t>产</w:t>
      </w:r>
      <w:r>
        <w:rPr>
          <w:spacing w:val="-77"/>
          <w:w w:val="101"/>
        </w:rPr>
        <w:t>。</w:t>
      </w:r>
      <w:r>
        <w:rPr>
          <w:w w:val="101"/>
        </w:rPr>
        <w:t>分</w:t>
      </w:r>
      <w:r>
        <w:rPr>
          <w:spacing w:val="-5"/>
          <w:w w:val="101"/>
        </w:rPr>
        <w:t>为</w:t>
      </w:r>
      <w:r>
        <w:rPr>
          <w:w w:val="101"/>
        </w:rPr>
        <w:t>与</w:t>
      </w:r>
      <w:r>
        <w:rPr>
          <w:spacing w:val="-5"/>
          <w:w w:val="101"/>
        </w:rPr>
        <w:t>资</w:t>
      </w:r>
      <w:r>
        <w:rPr>
          <w:w w:val="101"/>
        </w:rPr>
        <w:t>产</w:t>
      </w:r>
      <w:r>
        <w:rPr>
          <w:spacing w:val="-5"/>
          <w:w w:val="101"/>
        </w:rPr>
        <w:t>相</w:t>
      </w:r>
      <w:r>
        <w:rPr>
          <w:w w:val="101"/>
        </w:rPr>
        <w:t>关</w:t>
      </w:r>
      <w:r>
        <w:rPr>
          <w:spacing w:val="-5"/>
          <w:w w:val="101"/>
        </w:rPr>
        <w:t>的</w:t>
      </w:r>
      <w:r>
        <w:rPr>
          <w:w w:val="101"/>
        </w:rPr>
        <w:t>政</w:t>
      </w:r>
      <w:r>
        <w:rPr>
          <w:spacing w:val="-5"/>
          <w:w w:val="101"/>
        </w:rPr>
        <w:t>府</w:t>
      </w:r>
      <w:r>
        <w:rPr>
          <w:w w:val="101"/>
        </w:rPr>
        <w:t>补</w:t>
      </w:r>
      <w:r>
        <w:rPr>
          <w:spacing w:val="-5"/>
          <w:w w:val="101"/>
        </w:rPr>
        <w:t>助</w:t>
      </w:r>
      <w:r>
        <w:rPr>
          <w:w w:val="101"/>
        </w:rPr>
        <w:t>和</w:t>
      </w:r>
      <w:r>
        <w:rPr>
          <w:spacing w:val="-5"/>
          <w:w w:val="101"/>
        </w:rPr>
        <w:t>与</w:t>
      </w:r>
      <w:r>
        <w:rPr>
          <w:w w:val="101"/>
        </w:rPr>
        <w:t>收</w:t>
      </w:r>
      <w:r>
        <w:rPr>
          <w:spacing w:val="-5"/>
          <w:w w:val="101"/>
        </w:rPr>
        <w:t>益</w:t>
      </w:r>
      <w:r>
        <w:rPr>
          <w:w w:val="101"/>
        </w:rPr>
        <w:t>相</w:t>
      </w:r>
      <w:r>
        <w:rPr>
          <w:spacing w:val="-5"/>
          <w:w w:val="101"/>
        </w:rPr>
        <w:t>关</w:t>
      </w:r>
      <w:r>
        <w:rPr>
          <w:w w:val="101"/>
        </w:rPr>
        <w:t>的</w:t>
      </w:r>
      <w:r>
        <w:rPr>
          <w:spacing w:val="-5"/>
          <w:w w:val="101"/>
        </w:rPr>
        <w:t>政</w:t>
      </w:r>
      <w:r>
        <w:rPr>
          <w:w w:val="101"/>
        </w:rPr>
        <w:t>府</w:t>
      </w:r>
      <w:r>
        <w:rPr>
          <w:spacing w:val="-5"/>
          <w:w w:val="101"/>
        </w:rPr>
        <w:t>补</w:t>
      </w:r>
      <w:r>
        <w:rPr>
          <w:w w:val="101"/>
        </w:rPr>
        <w:t>助。</w:t>
      </w:r>
      <w:r>
        <w:rPr/>
      </w:r>
    </w:p>
    <w:p>
      <w:pPr>
        <w:spacing w:line="240" w:lineRule="auto" w:before="1"/>
        <w:rPr>
          <w:rFonts w:ascii="宋体" w:hAnsi="宋体" w:cs="宋体" w:eastAsia="宋体" w:hint="default"/>
          <w:sz w:val="13"/>
          <w:szCs w:val="13"/>
        </w:rPr>
      </w:pPr>
    </w:p>
    <w:p>
      <w:pPr>
        <w:pStyle w:val="Heading3"/>
        <w:spacing w:line="240" w:lineRule="auto"/>
        <w:ind w:right="1126"/>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pStyle w:val="BodyText"/>
        <w:spacing w:line="432" w:lineRule="exact" w:before="31"/>
        <w:ind w:left="575" w:right="1126"/>
        <w:jc w:val="left"/>
      </w:pPr>
      <w:r>
        <w:rPr>
          <w:spacing w:val="-3"/>
        </w:rPr>
        <w:t>公司取得的、用于购建或以其他方式形成长期资产的政府补助作为与资产相关的政府补助。</w:t>
      </w:r>
      <w:r>
        <w:rPr>
          <w:spacing w:val="25"/>
        </w:rPr>
        <w:t> </w:t>
      </w:r>
      <w:r>
        <w:rPr>
          <w:spacing w:val="25"/>
        </w:rPr>
      </w:r>
      <w:r>
        <w:rPr>
          <w:spacing w:val="-2"/>
        </w:rPr>
        <w:t>与资产相关的政府补助，确认为递延收益，并在相关资产使用寿命内按照合理、系统的方法分期计入损益。按照名义</w:t>
      </w:r>
    </w:p>
    <w:p>
      <w:pPr>
        <w:pStyle w:val="BodyText"/>
        <w:spacing w:line="240" w:lineRule="auto" w:before="15"/>
        <w:ind w:right="1126"/>
        <w:jc w:val="left"/>
      </w:pPr>
      <w:r>
        <w:rPr>
          <w:spacing w:val="-3"/>
        </w:rPr>
        <w:t>金额计量的政府补助，直接计入当期损益。</w:t>
      </w:r>
    </w:p>
    <w:p>
      <w:pPr>
        <w:spacing w:line="240" w:lineRule="auto" w:before="0"/>
        <w:rPr>
          <w:rFonts w:ascii="宋体" w:hAnsi="宋体" w:cs="宋体" w:eastAsia="宋体" w:hint="default"/>
          <w:sz w:val="15"/>
          <w:szCs w:val="15"/>
        </w:rPr>
      </w:pPr>
    </w:p>
    <w:p>
      <w:pPr>
        <w:pStyle w:val="BodyText"/>
        <w:spacing w:line="316" w:lineRule="auto"/>
        <w:ind w:right="1124" w:firstLine="422"/>
        <w:jc w:val="both"/>
      </w:pPr>
      <w:r>
        <w:rPr>
          <w:spacing w:val="-2"/>
        </w:rPr>
        <w:t>相关资产在使用寿命结束前被出售、转让、报废或发生毁损的，将尚未分配的相关递延收益余额转入资产处置当期的</w:t>
      </w:r>
      <w:r>
        <w:rPr>
          <w:w w:val="101"/>
        </w:rPr>
        <w:t> </w:t>
      </w:r>
      <w:r>
        <w:rPr/>
        <w:t>损益。</w:t>
      </w:r>
    </w:p>
    <w:p>
      <w:pPr>
        <w:pStyle w:val="Heading3"/>
        <w:spacing w:line="240" w:lineRule="auto" w:before="114"/>
        <w:ind w:right="1126"/>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240" w:lineRule="auto" w:before="166"/>
        <w:ind w:left="575" w:right="0"/>
        <w:jc w:val="left"/>
      </w:pPr>
      <w:r>
        <w:rPr>
          <w:w w:val="101"/>
        </w:rPr>
        <w:t>公</w:t>
      </w:r>
      <w:r>
        <w:rPr>
          <w:spacing w:val="-5"/>
          <w:w w:val="101"/>
        </w:rPr>
        <w:t>司</w:t>
      </w:r>
      <w:r>
        <w:rPr>
          <w:w w:val="101"/>
        </w:rPr>
        <w:t>取</w:t>
      </w:r>
      <w:r>
        <w:rPr>
          <w:spacing w:val="-5"/>
          <w:w w:val="101"/>
        </w:rPr>
        <w:t>得</w:t>
      </w:r>
      <w:r>
        <w:rPr>
          <w:w w:val="101"/>
        </w:rPr>
        <w:t>的</w:t>
      </w:r>
      <w:r>
        <w:rPr>
          <w:spacing w:val="-5"/>
          <w:w w:val="101"/>
        </w:rPr>
        <w:t>与</w:t>
      </w:r>
      <w:r>
        <w:rPr>
          <w:w w:val="101"/>
        </w:rPr>
        <w:t>资</w:t>
      </w:r>
      <w:r>
        <w:rPr>
          <w:spacing w:val="-5"/>
          <w:w w:val="101"/>
        </w:rPr>
        <w:t>产</w:t>
      </w:r>
      <w:r>
        <w:rPr>
          <w:w w:val="101"/>
        </w:rPr>
        <w:t>相</w:t>
      </w:r>
      <w:r>
        <w:rPr>
          <w:spacing w:val="-5"/>
          <w:w w:val="101"/>
        </w:rPr>
        <w:t>关</w:t>
      </w:r>
      <w:r>
        <w:rPr>
          <w:w w:val="101"/>
        </w:rPr>
        <w:t>之</w:t>
      </w:r>
      <w:r>
        <w:rPr>
          <w:spacing w:val="-5"/>
          <w:w w:val="101"/>
        </w:rPr>
        <w:t>外</w:t>
      </w:r>
      <w:r>
        <w:rPr>
          <w:w w:val="101"/>
        </w:rPr>
        <w:t>的</w:t>
      </w:r>
      <w:r>
        <w:rPr>
          <w:spacing w:val="-5"/>
          <w:w w:val="101"/>
        </w:rPr>
        <w:t>其</w:t>
      </w:r>
      <w:r>
        <w:rPr>
          <w:w w:val="101"/>
        </w:rPr>
        <w:t>他</w:t>
      </w:r>
      <w:r>
        <w:rPr>
          <w:spacing w:val="-5"/>
          <w:w w:val="101"/>
        </w:rPr>
        <w:t>政</w:t>
      </w:r>
      <w:r>
        <w:rPr>
          <w:w w:val="101"/>
        </w:rPr>
        <w:t>府</w:t>
      </w:r>
      <w:r>
        <w:rPr>
          <w:spacing w:val="-5"/>
          <w:w w:val="101"/>
        </w:rPr>
        <w:t>补</w:t>
      </w:r>
      <w:r>
        <w:rPr>
          <w:w w:val="101"/>
        </w:rPr>
        <w:t>助</w:t>
      </w:r>
      <w:r>
        <w:rPr>
          <w:spacing w:val="-5"/>
          <w:w w:val="101"/>
        </w:rPr>
        <w:t>作</w:t>
      </w:r>
      <w:r>
        <w:rPr>
          <w:w w:val="101"/>
        </w:rPr>
        <w:t>为</w:t>
      </w:r>
      <w:r>
        <w:rPr>
          <w:spacing w:val="-5"/>
          <w:w w:val="101"/>
        </w:rPr>
        <w:t>与</w:t>
      </w:r>
      <w:r>
        <w:rPr>
          <w:w w:val="101"/>
        </w:rPr>
        <w:t>收</w:t>
      </w:r>
      <w:r>
        <w:rPr>
          <w:spacing w:val="-5"/>
          <w:w w:val="101"/>
        </w:rPr>
        <w:t>益</w:t>
      </w:r>
      <w:r>
        <w:rPr>
          <w:w w:val="101"/>
        </w:rPr>
        <w:t>相</w:t>
      </w:r>
      <w:r>
        <w:rPr>
          <w:spacing w:val="-5"/>
          <w:w w:val="101"/>
        </w:rPr>
        <w:t>关的</w:t>
      </w:r>
      <w:r>
        <w:rPr>
          <w:w w:val="101"/>
        </w:rPr>
        <w:t>政</w:t>
      </w:r>
      <w:r>
        <w:rPr>
          <w:spacing w:val="-5"/>
          <w:w w:val="101"/>
        </w:rPr>
        <w:t>府</w:t>
      </w:r>
      <w:r>
        <w:rPr>
          <w:w w:val="101"/>
        </w:rPr>
        <w:t>补助</w:t>
      </w:r>
      <w:r>
        <w:rPr>
          <w:spacing w:val="-77"/>
          <w:w w:val="101"/>
        </w:rPr>
        <w:t>。</w:t>
      </w:r>
      <w:r>
        <w:rPr>
          <w:w w:val="101"/>
        </w:rPr>
        <w:t>与</w:t>
      </w:r>
      <w:r>
        <w:rPr>
          <w:spacing w:val="-5"/>
          <w:w w:val="101"/>
        </w:rPr>
        <w:t>收</w:t>
      </w:r>
      <w:r>
        <w:rPr>
          <w:w w:val="101"/>
        </w:rPr>
        <w:t>益</w:t>
      </w:r>
      <w:r>
        <w:rPr>
          <w:spacing w:val="-5"/>
          <w:w w:val="101"/>
        </w:rPr>
        <w:t>相</w:t>
      </w:r>
      <w:r>
        <w:rPr>
          <w:w w:val="101"/>
        </w:rPr>
        <w:t>关</w:t>
      </w:r>
      <w:r>
        <w:rPr>
          <w:spacing w:val="-5"/>
          <w:w w:val="101"/>
        </w:rPr>
        <w:t>的</w:t>
      </w:r>
      <w:r>
        <w:rPr>
          <w:w w:val="101"/>
        </w:rPr>
        <w:t>政</w:t>
      </w:r>
      <w:r>
        <w:rPr>
          <w:spacing w:val="-5"/>
          <w:w w:val="101"/>
        </w:rPr>
        <w:t>府</w:t>
      </w:r>
      <w:r>
        <w:rPr>
          <w:w w:val="101"/>
        </w:rPr>
        <w:t>补</w:t>
      </w:r>
      <w:r>
        <w:rPr>
          <w:spacing w:val="-5"/>
          <w:w w:val="101"/>
        </w:rPr>
        <w:t>助</w:t>
      </w:r>
      <w:r>
        <w:rPr>
          <w:spacing w:val="-73"/>
          <w:w w:val="101"/>
        </w:rPr>
        <w:t>，</w:t>
      </w:r>
      <w:r>
        <w:rPr>
          <w:spacing w:val="-5"/>
          <w:w w:val="101"/>
        </w:rPr>
        <w:t>分</w:t>
      </w:r>
      <w:r>
        <w:rPr>
          <w:w w:val="101"/>
        </w:rPr>
        <w:t>别</w:t>
      </w:r>
      <w:r>
        <w:rPr>
          <w:spacing w:val="-5"/>
          <w:w w:val="101"/>
        </w:rPr>
        <w:t>下</w:t>
      </w:r>
      <w:r>
        <w:rPr>
          <w:w w:val="101"/>
        </w:rPr>
        <w:t>列</w:t>
      </w:r>
      <w:r>
        <w:rPr>
          <w:spacing w:val="-5"/>
          <w:w w:val="101"/>
        </w:rPr>
        <w:t>情</w:t>
      </w:r>
      <w:r>
        <w:rPr>
          <w:w w:val="101"/>
        </w:rPr>
        <w:t>况</w:t>
      </w:r>
      <w:r>
        <w:rPr>
          <w:spacing w:val="-5"/>
          <w:w w:val="101"/>
        </w:rPr>
        <w:t>处</w:t>
      </w:r>
      <w:r>
        <w:rPr>
          <w:w w:val="101"/>
        </w:rPr>
        <w:t>理：</w:t>
      </w:r>
      <w:r>
        <w:rPr/>
      </w:r>
    </w:p>
    <w:p>
      <w:pPr>
        <w:spacing w:line="240" w:lineRule="auto" w:before="0"/>
        <w:rPr>
          <w:rFonts w:ascii="宋体" w:hAnsi="宋体" w:cs="宋体" w:eastAsia="宋体" w:hint="default"/>
          <w:sz w:val="15"/>
          <w:szCs w:val="15"/>
        </w:rPr>
      </w:pPr>
    </w:p>
    <w:p>
      <w:pPr>
        <w:pStyle w:val="BodyText"/>
        <w:spacing w:line="300" w:lineRule="auto"/>
        <w:ind w:right="1124" w:firstLine="422"/>
        <w:jc w:val="both"/>
      </w:pPr>
      <w:r>
        <w:rPr>
          <w:rFonts w:ascii="Times New Roman" w:hAnsi="Times New Roman" w:cs="Times New Roman" w:eastAsia="Times New Roman" w:hint="default"/>
          <w:spacing w:val="-4"/>
        </w:rPr>
        <w:t>1</w:t>
      </w:r>
      <w:r>
        <w:rPr>
          <w:spacing w:val="-4"/>
        </w:rPr>
        <w:t>）用于补偿公司以后期间的相关成本费用或损失的，确认为递延收益，并在确认相关成本费用或损失的期间，计入当</w:t>
      </w:r>
      <w:r>
        <w:rPr>
          <w:w w:val="101"/>
        </w:rPr>
        <w:t> </w:t>
      </w:r>
      <w:r>
        <w:rPr/>
        <w:t>期损益。</w:t>
      </w:r>
    </w:p>
    <w:p>
      <w:pPr>
        <w:pStyle w:val="BodyText"/>
        <w:spacing w:line="432" w:lineRule="exact" w:before="16"/>
        <w:ind w:left="446" w:right="1126" w:firstLine="129"/>
        <w:jc w:val="left"/>
      </w:pPr>
      <w:r>
        <w:rPr>
          <w:rFonts w:ascii="Times New Roman" w:hAnsi="Times New Roman" w:cs="Times New Roman" w:eastAsia="Times New Roman" w:hint="default"/>
          <w:spacing w:val="-3"/>
        </w:rPr>
        <w:t>2</w:t>
      </w:r>
      <w:r>
        <w:rPr>
          <w:spacing w:val="-3"/>
        </w:rPr>
        <w:t>）用于补偿公司已发生的相关成本费用或损失的，直接计入当期损益。</w:t>
      </w:r>
      <w:r>
        <w:rPr>
          <w:w w:val="101"/>
        </w:rPr>
        <w:t> </w:t>
      </w:r>
      <w:r>
        <w:rPr>
          <w:spacing w:val="-3"/>
        </w:rPr>
        <w:t>对于同时包含与资产相关部分和与收益相关部分的政府补助，区分不同部分分别进行会计处理；难以区分的，整体归类</w:t>
      </w:r>
    </w:p>
    <w:p>
      <w:pPr>
        <w:pStyle w:val="BodyText"/>
        <w:spacing w:line="240" w:lineRule="auto" w:before="15"/>
        <w:ind w:right="1126"/>
        <w:jc w:val="left"/>
      </w:pPr>
      <w:r>
        <w:rPr>
          <w:spacing w:val="-3"/>
        </w:rPr>
        <w:t>为与收益相关的政府补助。</w:t>
      </w:r>
    </w:p>
    <w:p>
      <w:pPr>
        <w:spacing w:line="240" w:lineRule="auto" w:before="0"/>
        <w:rPr>
          <w:rFonts w:ascii="宋体" w:hAnsi="宋体" w:cs="宋体" w:eastAsia="宋体" w:hint="default"/>
          <w:sz w:val="15"/>
          <w:szCs w:val="15"/>
        </w:rPr>
      </w:pPr>
    </w:p>
    <w:p>
      <w:pPr>
        <w:pStyle w:val="BodyText"/>
        <w:spacing w:line="316" w:lineRule="auto"/>
        <w:ind w:right="1124" w:firstLine="422"/>
        <w:jc w:val="both"/>
      </w:pPr>
      <w:r>
        <w:rPr>
          <w:spacing w:val="-2"/>
        </w:rPr>
        <w:t>与公司日常活动相关的政府补助，按照经济业务实质，计入其他收益。与公司日常活动无关的政府补助，计入营业外</w:t>
      </w:r>
      <w:r>
        <w:rPr>
          <w:w w:val="101"/>
        </w:rPr>
        <w:t> </w:t>
      </w:r>
      <w:r>
        <w:rPr/>
        <w:t>收支。</w:t>
      </w:r>
    </w:p>
    <w:p>
      <w:pPr>
        <w:pStyle w:val="Heading3"/>
        <w:spacing w:line="240" w:lineRule="auto" w:before="114"/>
        <w:ind w:right="1126"/>
        <w:jc w:val="left"/>
        <w:rPr>
          <w:b w:val="0"/>
          <w:bCs w:val="0"/>
        </w:rPr>
      </w:pPr>
      <w:r>
        <w:rPr/>
        <w:t>（</w:t>
      </w:r>
      <w:r>
        <w:rPr>
          <w:rFonts w:ascii="Times New Roman" w:hAnsi="Times New Roman" w:cs="Times New Roman" w:eastAsia="Times New Roman" w:hint="default"/>
        </w:rPr>
        <w:t>3</w:t>
      </w:r>
      <w:r>
        <w:rPr/>
        <w:t>）政策性优惠贷款贴息的会计处理</w:t>
      </w:r>
      <w:r>
        <w:rPr>
          <w:b w:val="0"/>
          <w:bCs w:val="0"/>
        </w:rPr>
      </w:r>
    </w:p>
    <w:p>
      <w:pPr>
        <w:pStyle w:val="BodyText"/>
        <w:spacing w:line="300" w:lineRule="auto" w:before="166"/>
        <w:ind w:right="1122" w:firstLine="422"/>
        <w:jc w:val="both"/>
      </w:pPr>
      <w:r>
        <w:rPr>
          <w:rFonts w:ascii="Times New Roman" w:hAnsi="Times New Roman" w:cs="Times New Roman" w:eastAsia="Times New Roman" w:hint="default"/>
          <w:spacing w:val="-4"/>
        </w:rPr>
        <w:t>1</w:t>
      </w:r>
      <w:r>
        <w:rPr>
          <w:spacing w:val="-4"/>
        </w:rPr>
        <w:t>）财政将贴息资金拨付给贷款银行，由贷款银行以政策性优惠利率向公司提供贷款的，以实际收到的借款金额作为借</w:t>
      </w:r>
      <w:r>
        <w:rPr>
          <w:w w:val="101"/>
        </w:rPr>
        <w:t> </w:t>
      </w:r>
      <w:r>
        <w:rPr>
          <w:spacing w:val="-3"/>
        </w:rPr>
        <w:t>款的入账价值，按照借款本金和该政策性优惠利率计算相关借款费用。</w:t>
      </w:r>
    </w:p>
    <w:p>
      <w:pPr>
        <w:pStyle w:val="BodyText"/>
        <w:spacing w:line="432" w:lineRule="exact" w:before="16"/>
        <w:ind w:left="575" w:right="1126"/>
        <w:jc w:val="left"/>
      </w:pPr>
      <w:r>
        <w:rPr>
          <w:rFonts w:ascii="Times New Roman" w:hAnsi="Times New Roman" w:cs="Times New Roman" w:eastAsia="Times New Roman" w:hint="default"/>
          <w:spacing w:val="-3"/>
        </w:rPr>
        <w:t>2</w:t>
      </w:r>
      <w:r>
        <w:rPr>
          <w:spacing w:val="-3"/>
        </w:rPr>
        <w:t>）财政将贴息资金直接拨付给公司，公司将对应的贴息冲减相关借款费用。</w:t>
      </w:r>
      <w:r>
        <w:rPr>
          <w:spacing w:val="12"/>
        </w:rPr>
        <w:t> </w:t>
      </w:r>
      <w:r>
        <w:rPr>
          <w:spacing w:val="12"/>
        </w:rPr>
      </w:r>
      <w:r>
        <w:rPr>
          <w:spacing w:val="-2"/>
        </w:rPr>
        <w:t>政府补助在实际收到款项时按照到账的实际金额确认和计量。只有存在确凿证据表明该项补助是按照固定的定额标准</w:t>
      </w:r>
    </w:p>
    <w:p>
      <w:pPr>
        <w:pStyle w:val="BodyText"/>
        <w:spacing w:line="316" w:lineRule="auto" w:before="15"/>
        <w:ind w:right="1117"/>
        <w:jc w:val="left"/>
      </w:pPr>
      <w:r>
        <w:rPr>
          <w:spacing w:val="-4"/>
          <w:w w:val="101"/>
        </w:rPr>
        <w:t>拨付的以及有确凿证据表明能够符合财政扶持政策规定的相关条件且预计能够收到财政扶持资金时，可以按应收金额予以确</w:t>
      </w:r>
      <w:r>
        <w:rPr>
          <w:w w:val="101"/>
        </w:rPr>
        <w:t> </w:t>
      </w:r>
      <w:r>
        <w:rPr/>
        <w:t>认和计量。</w:t>
      </w:r>
    </w:p>
    <w:p>
      <w:pPr>
        <w:pStyle w:val="BodyText"/>
        <w:spacing w:line="316" w:lineRule="auto" w:before="139"/>
        <w:ind w:right="1124" w:firstLine="422"/>
        <w:jc w:val="both"/>
      </w:pPr>
      <w:r>
        <w:rPr>
          <w:spacing w:val="-2"/>
        </w:rPr>
        <w:t>已确认的政府补助需要退回的，公司在需要退回的当期进行会计处理，存在相关递延收益的，冲减相关递延收益账面</w:t>
      </w:r>
      <w:r>
        <w:rPr>
          <w:w w:val="101"/>
        </w:rPr>
        <w:t> </w:t>
      </w:r>
      <w:r>
        <w:rPr>
          <w:spacing w:val="-3"/>
        </w:rPr>
        <w:t>余额，超出部分计入当期损益。</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27、递延所得税资产/递延所得税负债" w:id="226"/>
      <w:bookmarkEnd w:id="226"/>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4" w:firstLine="422"/>
        <w:jc w:val="both"/>
      </w:pPr>
      <w:r>
        <w:rPr>
          <w:spacing w:val="-2"/>
        </w:rPr>
        <w:t>对于某些资产、负债项目的账面价值与其计税基础之间的差额，以及未作为资产和负债确认但按照税法规定可以确定</w:t>
      </w:r>
      <w:r>
        <w:rPr>
          <w:w w:val="101"/>
        </w:rPr>
        <w:t> </w:t>
      </w:r>
      <w:r>
        <w:rPr>
          <w:spacing w:val="-4"/>
          <w:w w:val="101"/>
        </w:rPr>
        <w:t>其计税基础的项目的账面价值与计税基础之间的差额产生的暂时性差异，采用资产负债表债务法确认递延所得税资产及递延</w:t>
      </w:r>
      <w:r>
        <w:rPr>
          <w:w w:val="101"/>
        </w:rPr>
        <w:t> </w:t>
      </w:r>
      <w:r>
        <w:rPr/>
        <w:t>所得税负债。</w:t>
      </w:r>
    </w:p>
    <w:p>
      <w:pPr>
        <w:pStyle w:val="BodyText"/>
        <w:spacing w:line="316" w:lineRule="auto" w:before="137"/>
        <w:ind w:right="1123" w:firstLine="422"/>
        <w:jc w:val="both"/>
      </w:pPr>
      <w:r>
        <w:rPr>
          <w:spacing w:val="-2"/>
        </w:rPr>
        <w:t>一般情况下所有暂时性差异均确认相关的递延所得税。但对于可抵扣暂时性差异，以很可能取得用来抵扣可抵扣暂时</w:t>
      </w:r>
      <w:r>
        <w:rPr>
          <w:w w:val="101"/>
        </w:rPr>
        <w:t> </w:t>
      </w:r>
      <w:r>
        <w:rPr>
          <w:spacing w:val="-4"/>
        </w:rPr>
        <w:t>性差异的应纳税所得额为限，确认相关的递延所得税资产。此外，与商誉的初始确认相关的，以及与既不是企业合并、发生</w:t>
      </w:r>
    </w:p>
    <w:p>
      <w:pPr>
        <w:spacing w:after="0" w:line="316" w:lineRule="auto"/>
        <w:jc w:val="both"/>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3"/>
        <w:jc w:val="both"/>
      </w:pPr>
      <w:r>
        <w:rPr>
          <w:spacing w:val="-4"/>
        </w:rPr>
        <w:t>时也不影响会计利润和应纳税所得额（或可抵扣亏损）的交易中产生的资产或负债的初始确认有关的暂时性差异，不予确认</w:t>
      </w:r>
      <w:r>
        <w:rPr>
          <w:spacing w:val="43"/>
        </w:rPr>
        <w:t> </w:t>
      </w:r>
      <w:r>
        <w:rPr>
          <w:spacing w:val="43"/>
        </w:rPr>
      </w:r>
      <w:r>
        <w:rPr>
          <w:spacing w:val="-3"/>
        </w:rPr>
        <w:t>有关的递延所得税资产或负债。</w:t>
      </w:r>
    </w:p>
    <w:p>
      <w:pPr>
        <w:pStyle w:val="BodyText"/>
        <w:spacing w:line="319" w:lineRule="auto" w:before="139"/>
        <w:ind w:right="1124" w:firstLine="422"/>
        <w:jc w:val="both"/>
      </w:pPr>
      <w:r>
        <w:rPr>
          <w:spacing w:val="-2"/>
        </w:rPr>
        <w:t>对于能够结转以后年度的可抵扣亏损及税款抵减，以很可能获得用来抵扣可抵扣亏损和税款抵减的未来应纳税所得额</w:t>
      </w:r>
      <w:r>
        <w:rPr>
          <w:w w:val="101"/>
        </w:rPr>
        <w:t> </w:t>
      </w:r>
      <w:r>
        <w:rPr>
          <w:spacing w:val="-3"/>
        </w:rPr>
        <w:t>为限，确认相应的递延所得税资产。</w:t>
      </w:r>
    </w:p>
    <w:p>
      <w:pPr>
        <w:pStyle w:val="BodyText"/>
        <w:spacing w:line="319" w:lineRule="auto" w:before="137"/>
        <w:ind w:right="1123" w:firstLine="422"/>
        <w:jc w:val="both"/>
      </w:pPr>
      <w:r>
        <w:rPr>
          <w:spacing w:val="-2"/>
        </w:rPr>
        <w:t>确认与子公司、联营企业及合营企业投资相关的应纳税暂时性差异产生的递延所得税负债，除非本公司能够控制暂时</w:t>
      </w:r>
      <w:r>
        <w:rPr>
          <w:w w:val="101"/>
        </w:rPr>
        <w:t> </w:t>
      </w:r>
      <w:r>
        <w:rPr>
          <w:spacing w:val="-4"/>
        </w:rPr>
        <w:t>性差异转回的时间，而且该暂时性差异在可预见的未来很可能不会转回。对于与子公司、联营企业及合营企业投资相关的可</w:t>
      </w:r>
      <w:r>
        <w:rPr>
          <w:spacing w:val="43"/>
        </w:rPr>
        <w:t> </w:t>
      </w:r>
      <w:r>
        <w:rPr>
          <w:spacing w:val="43"/>
        </w:rPr>
      </w:r>
      <w:r>
        <w:rPr>
          <w:spacing w:val="-4"/>
        </w:rPr>
        <w:t>抵扣暂时性差异，只有当暂时性差异在可预见的未来很可能转回，且未来很可能获得用来抵扣可抵扣暂时性差异的应纳税所</w:t>
      </w:r>
      <w:r>
        <w:rPr>
          <w:spacing w:val="43"/>
        </w:rPr>
        <w:t> </w:t>
      </w:r>
      <w:r>
        <w:rPr>
          <w:spacing w:val="43"/>
        </w:rPr>
      </w:r>
      <w:r>
        <w:rPr>
          <w:spacing w:val="-4"/>
        </w:rPr>
        <w:t>得额时，才确认递延所得税资产。资产负债表日，对于递延所得税资产和递延所得税负债，根据税法规定，按照预期收回相</w:t>
      </w:r>
      <w:r>
        <w:rPr>
          <w:spacing w:val="40"/>
        </w:rPr>
        <w:t> </w:t>
      </w:r>
      <w:r>
        <w:rPr>
          <w:spacing w:val="40"/>
        </w:rPr>
      </w:r>
      <w:r>
        <w:rPr>
          <w:spacing w:val="-3"/>
        </w:rPr>
        <w:t>关资产或清偿相关负债期间的适用税率计量。</w:t>
      </w:r>
    </w:p>
    <w:p>
      <w:pPr>
        <w:pStyle w:val="BodyText"/>
        <w:spacing w:line="316" w:lineRule="auto" w:before="137"/>
        <w:ind w:right="1124" w:firstLine="422"/>
        <w:jc w:val="both"/>
      </w:pPr>
      <w:r>
        <w:rPr>
          <w:spacing w:val="-2"/>
        </w:rPr>
        <w:t>除与直接计入其他综合收益或股东权益的交易和事项相关的当期所得税和递延所得税计入其他综合收益或股东权益，</w:t>
      </w:r>
      <w:r>
        <w:rPr>
          <w:w w:val="101"/>
        </w:rPr>
        <w:t> </w:t>
      </w:r>
      <w:r>
        <w:rPr>
          <w:spacing w:val="-3"/>
        </w:rPr>
        <w:t>以及企业合并产生的递延所得税调整商誉的账面价值外，其余当期所得税和递延所得税费用或收益计入当期损益。</w:t>
      </w:r>
    </w:p>
    <w:p>
      <w:pPr>
        <w:pStyle w:val="BodyText"/>
        <w:spacing w:line="316" w:lineRule="auto" w:before="139"/>
        <w:ind w:right="1122" w:firstLine="422"/>
        <w:jc w:val="both"/>
      </w:pPr>
      <w:r>
        <w:rPr>
          <w:spacing w:val="-2"/>
        </w:rPr>
        <w:t>资产负债表日，对递延所得税资产的账面价值进行复核，如果未来很可能无法获得足够的应纳税所得额用以抵扣递延</w:t>
      </w:r>
      <w:r>
        <w:rPr>
          <w:w w:val="101"/>
        </w:rPr>
        <w:t> </w:t>
      </w:r>
      <w:r>
        <w:rPr>
          <w:spacing w:val="-3"/>
        </w:rPr>
        <w:t>所得税资产的利益，则减记递延所得税资产的账面价值。在很可能获得足够的应纳税所得额时，减记的金额予以转回。</w:t>
      </w:r>
    </w:p>
    <w:p>
      <w:pPr>
        <w:pStyle w:val="BodyText"/>
        <w:spacing w:line="316" w:lineRule="auto" w:before="139"/>
        <w:ind w:right="1124" w:firstLine="422"/>
        <w:jc w:val="both"/>
      </w:pPr>
      <w:r>
        <w:rPr>
          <w:spacing w:val="-2"/>
        </w:rPr>
        <w:t>当拥有以净额结算的法定权利，且意图以净额结算或取得资产、清偿负债同时进行时，本公司当期所得税资产及当期</w:t>
      </w:r>
      <w:r>
        <w:rPr>
          <w:w w:val="101"/>
        </w:rPr>
        <w:t> </w:t>
      </w:r>
      <w:r>
        <w:rPr>
          <w:spacing w:val="-3"/>
        </w:rPr>
        <w:t>所得税负债以抵销后的净额列报。</w:t>
      </w:r>
    </w:p>
    <w:p>
      <w:pPr>
        <w:pStyle w:val="BodyText"/>
        <w:spacing w:line="319" w:lineRule="auto" w:before="139"/>
        <w:ind w:right="1124"/>
        <w:jc w:val="both"/>
      </w:pPr>
      <w:r>
        <w:rPr>
          <w:spacing w:val="-4"/>
          <w:w w:val="101"/>
        </w:rPr>
        <w:t>当拥有以净额结算当期所得税资产及当期所得税负债的法定权利，且递延所得税资产及递延所得税负债是与同一税收征管部</w:t>
      </w:r>
      <w:r>
        <w:rPr>
          <w:w w:val="101"/>
        </w:rPr>
        <w:t> </w:t>
      </w:r>
      <w:r>
        <w:rPr>
          <w:spacing w:val="-4"/>
          <w:w w:val="101"/>
        </w:rPr>
        <w:t>门对同一纳税主体征收的所得税相关或者是对不同的纳税主体相关，但在未来每一具有重要性的递延所得税资产及负债转回</w:t>
      </w:r>
      <w:r>
        <w:rPr>
          <w:w w:val="101"/>
        </w:rPr>
        <w:t> </w:t>
      </w:r>
      <w:r>
        <w:rPr>
          <w:spacing w:val="-4"/>
        </w:rPr>
        <w:t>的期间内，涉及的纳税主体意图以净额结算当期所得税资产和负债或是同时取得资产、清偿负债时，递延所得税资产及递延</w:t>
      </w:r>
      <w:r>
        <w:rPr>
          <w:spacing w:val="43"/>
        </w:rPr>
        <w:t> </w:t>
      </w:r>
      <w:r>
        <w:rPr>
          <w:spacing w:val="43"/>
        </w:rPr>
      </w:r>
      <w:r>
        <w:rPr>
          <w:spacing w:val="-3"/>
        </w:rPr>
        <w:t>所得税负债以抵销后的净额列报。</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28、租赁" w:id="227"/>
      <w:bookmarkEnd w:id="227"/>
      <w:r>
        <w:rPr>
          <w:b w:val="0"/>
          <w:bCs w:val="0"/>
        </w:rPr>
      </w:r>
      <w:r>
        <w:rPr>
          <w:rFonts w:ascii="Times New Roman" w:hAnsi="Times New Roman" w:cs="Times New Roman" w:eastAsia="Times New Roman" w:hint="default"/>
        </w:rPr>
        <w:t>28</w:t>
      </w:r>
      <w:r>
        <w:rPr/>
        <w:t>、租赁</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28"/>
      <w:bookmarkEnd w:id="22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0" w:firstLine="172"/>
        <w:jc w:val="both"/>
      </w:pPr>
      <w:r>
        <w:rPr>
          <w:spacing w:val="-4"/>
        </w:rPr>
        <w:t>①租入资产所支付的租赁费，在不扣除免租期的整个租赁期内，按直线法进行分摊，计入当期费用。支付的与租赁交易相</w:t>
      </w:r>
      <w:r>
        <w:rPr>
          <w:w w:val="101"/>
        </w:rPr>
        <w:t> </w:t>
      </w:r>
      <w:r>
        <w:rPr>
          <w:spacing w:val="-3"/>
        </w:rPr>
        <w:t>关的初始直接费用，计入当期费用。</w:t>
      </w:r>
    </w:p>
    <w:p>
      <w:pPr>
        <w:pStyle w:val="BodyText"/>
        <w:spacing w:line="316" w:lineRule="auto" w:before="139"/>
        <w:ind w:right="1126" w:firstLine="302"/>
        <w:jc w:val="left"/>
      </w:pPr>
      <w:r>
        <w:rPr>
          <w:spacing w:val="-3"/>
        </w:rPr>
        <w:t>资产出租方承担了应由承担的与租赁相关的费用时，将该部分费用从租金总额中扣除，按扣除后的租金费用在租赁期内</w:t>
      </w:r>
      <w:r>
        <w:rPr>
          <w:w w:val="101"/>
        </w:rPr>
        <w:t> </w:t>
      </w:r>
      <w:r>
        <w:rPr/>
        <w:t>分摊，计入当期费用。</w:t>
      </w:r>
    </w:p>
    <w:p>
      <w:pPr>
        <w:pStyle w:val="BodyText"/>
        <w:spacing w:line="316" w:lineRule="auto" w:before="139"/>
        <w:ind w:right="1124" w:firstLine="148"/>
        <w:jc w:val="both"/>
      </w:pPr>
      <w:r>
        <w:rPr>
          <w:spacing w:val="-4"/>
        </w:rPr>
        <w:t>②出租资产所收取的租赁费，在不扣除免租期的整个租赁期内，按直线法进行分摊，确认为租赁收入。支付的与租赁交易</w:t>
      </w:r>
      <w:r>
        <w:rPr>
          <w:spacing w:val="-84"/>
        </w:rPr>
        <w:t> </w:t>
      </w:r>
      <w:r>
        <w:rPr>
          <w:spacing w:val="-84"/>
        </w:rPr>
      </w:r>
      <w:r>
        <w:rPr>
          <w:spacing w:val="-4"/>
        </w:rPr>
        <w:t>相关的初始直接费用，计入当期费用；如金额较大的，则予以资本化，在整个租赁期间内按照与租赁收入确认相同的基础分</w:t>
      </w:r>
      <w:r>
        <w:rPr>
          <w:spacing w:val="40"/>
        </w:rPr>
        <w:t> </w:t>
      </w:r>
      <w:r>
        <w:rPr>
          <w:spacing w:val="40"/>
        </w:rPr>
      </w:r>
      <w:r>
        <w:rPr/>
        <w:t>期计入当期收益。</w:t>
      </w:r>
    </w:p>
    <w:p>
      <w:pPr>
        <w:pStyle w:val="BodyText"/>
        <w:spacing w:line="319" w:lineRule="auto" w:before="139"/>
        <w:ind w:right="1126" w:firstLine="302"/>
        <w:jc w:val="left"/>
      </w:pPr>
      <w:r>
        <w:rPr>
          <w:spacing w:val="-3"/>
        </w:rPr>
        <w:t>承担了应由承租方承担的与租赁相关的费用时，将该部分费用从租金收入总额中扣除，按扣除后的租金费用在租赁期内</w:t>
      </w:r>
      <w:r>
        <w:rPr>
          <w:w w:val="101"/>
        </w:rPr>
        <w:t> </w:t>
      </w:r>
      <w:r>
        <w:rPr/>
        <w:t>分配。</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2）融资租赁的会计处理方法" w:id="229"/>
      <w:bookmarkEnd w:id="22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firstLine="508"/>
        <w:jc w:val="both"/>
      </w:pPr>
      <w:r>
        <w:rPr>
          <w:spacing w:val="-4"/>
        </w:rPr>
        <w:t>①融资租入资产：公司在承租开始日，将租赁资产公允价值与最低租赁付款额现值两者中较低者作为租入资产的入账</w:t>
      </w:r>
      <w:r>
        <w:rPr>
          <w:w w:val="101"/>
        </w:rPr>
        <w:t> </w:t>
      </w:r>
      <w:r>
        <w:rPr>
          <w:spacing w:val="-3"/>
        </w:rPr>
        <w:t>价值，将最低租赁付款额作为长期应付款的入账价值，其差额作为未确认的融资费用。</w:t>
      </w:r>
    </w:p>
    <w:p>
      <w:pPr>
        <w:pStyle w:val="BodyText"/>
        <w:spacing w:line="316" w:lineRule="auto" w:before="139"/>
        <w:ind w:right="1126" w:firstLine="302"/>
        <w:jc w:val="left"/>
      </w:pPr>
      <w:r>
        <w:rPr>
          <w:spacing w:val="-3"/>
        </w:rPr>
        <w:t>采用实际利率法对未确认的融资费用，在资产租赁期间内摊销，计入财务费用。公司发生的初始直接费用，计入租入资</w:t>
      </w:r>
      <w:r>
        <w:rPr>
          <w:w w:val="101"/>
        </w:rPr>
        <w:t> </w:t>
      </w:r>
      <w:r>
        <w:rPr/>
        <w:t>产价值。</w:t>
      </w:r>
    </w:p>
    <w:p>
      <w:pPr>
        <w:spacing w:after="0" w:line="316" w:lineRule="auto"/>
        <w:jc w:val="left"/>
        <w:sectPr>
          <w:footerReference w:type="default" r:id="rId49"/>
          <w:pgSz w:w="11910" w:h="16840"/>
          <w:pgMar w:footer="1474" w:header="871" w:top="1060" w:bottom="1660" w:left="980" w:right="0"/>
          <w:pgNumType w:start="125"/>
        </w:sectPr>
      </w:pPr>
    </w:p>
    <w:p>
      <w:pPr>
        <w:spacing w:line="240" w:lineRule="auto" w:before="1"/>
        <w:rPr>
          <w:rFonts w:ascii="宋体" w:hAnsi="宋体" w:cs="宋体" w:eastAsia="宋体" w:hint="default"/>
          <w:sz w:val="26"/>
          <w:szCs w:val="26"/>
        </w:rPr>
      </w:pPr>
    </w:p>
    <w:p>
      <w:pPr>
        <w:pStyle w:val="BodyText"/>
        <w:spacing w:line="316" w:lineRule="auto" w:before="46"/>
        <w:ind w:right="1122" w:firstLine="436"/>
        <w:jc w:val="both"/>
      </w:pPr>
      <w:r>
        <w:rPr>
          <w:spacing w:val="-2"/>
        </w:rPr>
        <w:t>②融资租出资产：公司在租赁开始日，将应收融资租赁款，未担保余值之和与其现值的差额确认为未实现融资收益，</w:t>
      </w:r>
      <w:r>
        <w:rPr>
          <w:w w:val="101"/>
        </w:rPr>
        <w:t> </w:t>
      </w:r>
      <w:r>
        <w:rPr>
          <w:spacing w:val="-4"/>
        </w:rPr>
        <w:t>在将来收到租金的各期间内确认为租赁收入。公司发生的与出租交易相关的初始直接费用，计入应收融资租赁款的初始计量</w:t>
      </w:r>
      <w:r>
        <w:rPr>
          <w:spacing w:val="43"/>
        </w:rPr>
        <w:t> </w:t>
      </w:r>
      <w:r>
        <w:rPr>
          <w:spacing w:val="43"/>
        </w:rPr>
      </w:r>
      <w:r>
        <w:rPr>
          <w:spacing w:val="-3"/>
        </w:rPr>
        <w:t>中，并减少租赁期内确认的收益金额。</w:t>
      </w:r>
    </w:p>
    <w:p>
      <w:pPr>
        <w:spacing w:line="240" w:lineRule="auto" w:before="9"/>
        <w:rPr>
          <w:rFonts w:ascii="宋体" w:hAnsi="宋体" w:cs="宋体" w:eastAsia="宋体" w:hint="default"/>
          <w:sz w:val="22"/>
          <w:szCs w:val="22"/>
        </w:rPr>
      </w:pPr>
    </w:p>
    <w:p>
      <w:pPr>
        <w:pStyle w:val="Heading3"/>
        <w:spacing w:line="240" w:lineRule="auto"/>
        <w:ind w:right="1126"/>
        <w:jc w:val="left"/>
        <w:rPr>
          <w:b w:val="0"/>
          <w:bCs w:val="0"/>
        </w:rPr>
      </w:pPr>
      <w:bookmarkStart w:name="29、重要会计政策和会计估计变更" w:id="230"/>
      <w:bookmarkEnd w:id="230"/>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重要会计政策变更" w:id="231"/>
      <w:bookmarkEnd w:id="23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71"/>
        <w:gridCol w:w="2266"/>
        <w:gridCol w:w="5037"/>
      </w:tblGrid>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5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23" w:right="65"/>
              <w:jc w:val="left"/>
              <w:rPr>
                <w:rFonts w:ascii="宋体" w:hAnsi="宋体" w:cs="宋体" w:eastAsia="宋体" w:hint="default"/>
                <w:sz w:val="18"/>
                <w:szCs w:val="18"/>
              </w:rPr>
            </w:pPr>
            <w:r>
              <w:rPr>
                <w:rFonts w:ascii="宋体" w:hAnsi="宋体" w:cs="宋体" w:eastAsia="宋体" w:hint="default"/>
                <w:spacing w:val="-3"/>
                <w:sz w:val="18"/>
                <w:szCs w:val="18"/>
              </w:rPr>
              <w:t>经公司第四届董事会第二十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四次（定期）会议审议通过</w:t>
            </w:r>
          </w:p>
        </w:tc>
        <w:tc>
          <w:tcPr>
            <w:tcW w:w="5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金融工具确认和计量（</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w:t>
            </w:r>
            <w:r>
              <w:rPr>
                <w:rFonts w:ascii="宋体" w:hAnsi="宋体" w:cs="宋体" w:eastAsia="宋体" w:hint="default"/>
                <w:spacing w:val="-53"/>
                <w:sz w:val="18"/>
                <w:szCs w:val="18"/>
              </w:rPr>
              <w:t> </w:t>
            </w:r>
            <w:r>
              <w:rPr>
                <w:rFonts w:ascii="宋体" w:hAnsi="宋体" w:cs="宋体" w:eastAsia="宋体" w:hint="default"/>
                <w:spacing w:val="-16"/>
                <w:w w:val="101"/>
                <w:sz w:val="18"/>
                <w:szCs w:val="18"/>
              </w:rPr>
              <w:t>订）》（财会〔</w:t>
            </w:r>
            <w:r>
              <w:rPr>
                <w:rFonts w:ascii="Times New Roman" w:hAnsi="Times New Roman" w:cs="Times New Roman" w:eastAsia="Times New Roman" w:hint="default"/>
                <w:spacing w:val="-16"/>
                <w:w w:val="101"/>
                <w:sz w:val="18"/>
                <w:szCs w:val="18"/>
              </w:rPr>
              <w:t>2017</w:t>
            </w:r>
            <w:r>
              <w:rPr>
                <w:rFonts w:ascii="宋体" w:hAnsi="宋体" w:cs="宋体" w:eastAsia="宋体" w:hint="default"/>
                <w:spacing w:val="-16"/>
                <w:w w:val="101"/>
                <w:sz w:val="18"/>
                <w:szCs w:val="18"/>
              </w:rPr>
              <w:t>〕</w:t>
            </w:r>
            <w:r>
              <w:rPr>
                <w:rFonts w:ascii="Times New Roman" w:hAnsi="Times New Roman" w:cs="Times New Roman" w:eastAsia="Times New Roman" w:hint="default"/>
                <w:spacing w:val="-16"/>
                <w:w w:val="101"/>
                <w:sz w:val="18"/>
                <w:szCs w:val="18"/>
              </w:rPr>
              <w:t>7</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9"/>
                <w:w w:val="101"/>
                <w:sz w:val="18"/>
                <w:szCs w:val="18"/>
              </w:rPr>
              <w:t>号）、《企业会计准则第</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2"/>
                <w:w w:val="101"/>
                <w:sz w:val="18"/>
                <w:szCs w:val="18"/>
              </w:rPr>
              <w:t>号</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金融资</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w w:val="101"/>
                <w:sz w:val="18"/>
                <w:szCs w:val="18"/>
              </w:rPr>
              <w:t>产转移（</w:t>
            </w:r>
            <w:r>
              <w:rPr>
                <w:rFonts w:ascii="Times New Roman" w:hAnsi="Times New Roman" w:cs="Times New Roman" w:eastAsia="Times New Roman" w:hint="default"/>
                <w:spacing w:val="-3"/>
                <w:w w:val="101"/>
                <w:sz w:val="18"/>
                <w:szCs w:val="18"/>
              </w:rPr>
              <w:t>2017</w:t>
            </w:r>
            <w:r>
              <w:rPr>
                <w:rFonts w:ascii="Times New Roman" w:hAnsi="Times New Roman" w:cs="Times New Roman" w:eastAsia="Times New Roman" w:hint="default"/>
                <w:w w:val="101"/>
                <w:sz w:val="18"/>
                <w:szCs w:val="18"/>
              </w:rPr>
              <w:t> </w:t>
            </w:r>
            <w:r>
              <w:rPr>
                <w:rFonts w:ascii="宋体" w:hAnsi="宋体" w:cs="宋体" w:eastAsia="宋体" w:hint="default"/>
                <w:spacing w:val="-17"/>
                <w:w w:val="101"/>
                <w:sz w:val="18"/>
                <w:szCs w:val="18"/>
              </w:rPr>
              <w:t>年修订）》（财会〔</w:t>
            </w:r>
            <w:r>
              <w:rPr>
                <w:rFonts w:ascii="Times New Roman" w:hAnsi="Times New Roman" w:cs="Times New Roman" w:eastAsia="Times New Roman" w:hint="default"/>
                <w:spacing w:val="-17"/>
                <w:w w:val="101"/>
                <w:sz w:val="18"/>
                <w:szCs w:val="18"/>
              </w:rPr>
              <w:t>2017</w:t>
            </w:r>
            <w:r>
              <w:rPr>
                <w:rFonts w:ascii="宋体" w:hAnsi="宋体" w:cs="宋体" w:eastAsia="宋体" w:hint="default"/>
                <w:spacing w:val="-17"/>
                <w:w w:val="101"/>
                <w:sz w:val="18"/>
                <w:szCs w:val="18"/>
              </w:rPr>
              <w:t>〕</w:t>
            </w:r>
            <w:r>
              <w:rPr>
                <w:rFonts w:ascii="Times New Roman" w:hAnsi="Times New Roman" w:cs="Times New Roman" w:eastAsia="Times New Roman" w:hint="default"/>
                <w:spacing w:val="-17"/>
                <w:w w:val="101"/>
                <w:sz w:val="18"/>
                <w:szCs w:val="18"/>
              </w:rPr>
              <w:t>8</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20"/>
                <w:w w:val="101"/>
                <w:sz w:val="18"/>
                <w:szCs w:val="18"/>
              </w:rPr>
              <w:t>号）、《企业会计准则第</w:t>
            </w:r>
            <w:r>
              <w:rPr>
                <w:rFonts w:ascii="宋体" w:hAnsi="宋体" w:cs="宋体" w:eastAsia="宋体" w:hint="default"/>
                <w:w w:val="101"/>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
                <w:w w:val="101"/>
                <w:sz w:val="18"/>
                <w:szCs w:val="18"/>
              </w:rPr>
              <w:t>号</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套期会计（</w:t>
            </w:r>
            <w:r>
              <w:rPr>
                <w:rFonts w:ascii="Times New Roman" w:hAnsi="Times New Roman" w:cs="Times New Roman" w:eastAsia="Times New Roman" w:hint="default"/>
                <w:spacing w:val="-2"/>
                <w:w w:val="101"/>
                <w:sz w:val="18"/>
                <w:szCs w:val="18"/>
              </w:rPr>
              <w:t>2017 </w:t>
            </w:r>
            <w:r>
              <w:rPr>
                <w:rFonts w:ascii="宋体" w:hAnsi="宋体" w:cs="宋体" w:eastAsia="宋体" w:hint="default"/>
                <w:spacing w:val="-14"/>
                <w:w w:val="101"/>
                <w:sz w:val="18"/>
                <w:szCs w:val="18"/>
              </w:rPr>
              <w:t>年修订）》（财会〔</w:t>
            </w:r>
            <w:r>
              <w:rPr>
                <w:rFonts w:ascii="Times New Roman" w:hAnsi="Times New Roman" w:cs="Times New Roman" w:eastAsia="Times New Roman" w:hint="default"/>
                <w:spacing w:val="-14"/>
                <w:w w:val="101"/>
                <w:sz w:val="18"/>
                <w:szCs w:val="18"/>
              </w:rPr>
              <w:t>2017</w:t>
            </w:r>
            <w:r>
              <w:rPr>
                <w:rFonts w:ascii="宋体" w:hAnsi="宋体" w:cs="宋体" w:eastAsia="宋体" w:hint="default"/>
                <w:spacing w:val="-14"/>
                <w:w w:val="101"/>
                <w:sz w:val="18"/>
                <w:szCs w:val="18"/>
              </w:rPr>
              <w:t>〕</w:t>
            </w:r>
            <w:r>
              <w:rPr>
                <w:rFonts w:ascii="Times New Roman" w:hAnsi="Times New Roman" w:cs="Times New Roman" w:eastAsia="Times New Roman" w:hint="default"/>
                <w:spacing w:val="-14"/>
                <w:w w:val="101"/>
                <w:sz w:val="18"/>
                <w:szCs w:val="18"/>
              </w:rPr>
              <w:t>9</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38"/>
                <w:w w:val="101"/>
                <w:sz w:val="18"/>
                <w:szCs w:val="18"/>
              </w:rPr>
              <w:t>号）、《企</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2"/>
                <w:w w:val="101"/>
                <w:sz w:val="18"/>
                <w:szCs w:val="18"/>
              </w:rPr>
              <w:t>业会计准则第</w:t>
            </w:r>
            <w:r>
              <w:rPr>
                <w:rFonts w:ascii="宋体" w:hAnsi="宋体" w:cs="宋体" w:eastAsia="宋体" w:hint="default"/>
                <w:spacing w:val="-43"/>
                <w:w w:val="101"/>
                <w:sz w:val="18"/>
                <w:szCs w:val="18"/>
              </w:rPr>
              <w:t> </w:t>
            </w: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
                <w:w w:val="101"/>
                <w:sz w:val="18"/>
                <w:szCs w:val="18"/>
              </w:rPr>
              <w:t>号</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金融工具列报（</w:t>
            </w:r>
            <w:r>
              <w:rPr>
                <w:rFonts w:ascii="Times New Roman" w:hAnsi="Times New Roman" w:cs="Times New Roman" w:eastAsia="Times New Roman" w:hint="default"/>
                <w:spacing w:val="-3"/>
                <w:w w:val="101"/>
                <w:sz w:val="18"/>
                <w:szCs w:val="18"/>
              </w:rPr>
              <w:t>2017</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5"/>
                <w:w w:val="101"/>
                <w:sz w:val="18"/>
                <w:szCs w:val="18"/>
              </w:rPr>
              <w:t>年修订）》（财会</w:t>
            </w:r>
            <w:r>
              <w:rPr>
                <w:rFonts w:ascii="宋体" w:hAnsi="宋体" w:cs="宋体" w:eastAsia="宋体" w:hint="default"/>
                <w:spacing w:val="-25"/>
                <w:sz w:val="18"/>
                <w:szCs w:val="18"/>
              </w:rPr>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新财务报表格式</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5"/>
              <w:jc w:val="left"/>
              <w:rPr>
                <w:rFonts w:ascii="宋体" w:hAnsi="宋体" w:cs="宋体" w:eastAsia="宋体" w:hint="default"/>
                <w:sz w:val="18"/>
                <w:szCs w:val="18"/>
              </w:rPr>
            </w:pPr>
            <w:r>
              <w:rPr>
                <w:rFonts w:ascii="宋体" w:hAnsi="宋体" w:cs="宋体" w:eastAsia="宋体" w:hint="default"/>
                <w:spacing w:val="-3"/>
                <w:sz w:val="18"/>
                <w:szCs w:val="18"/>
              </w:rPr>
              <w:t>经公司第四届董事会第二十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八次（定期）会议审议通过</w:t>
            </w:r>
          </w:p>
        </w:tc>
        <w:tc>
          <w:tcPr>
            <w:tcW w:w="5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71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5"/>
              <w:jc w:val="left"/>
              <w:rPr>
                <w:rFonts w:ascii="宋体" w:hAnsi="宋体" w:cs="宋体" w:eastAsia="宋体" w:hint="default"/>
                <w:sz w:val="18"/>
                <w:szCs w:val="18"/>
              </w:rPr>
            </w:pPr>
            <w:r>
              <w:rPr>
                <w:rFonts w:ascii="宋体" w:hAnsi="宋体" w:cs="宋体" w:eastAsia="宋体" w:hint="default"/>
                <w:spacing w:val="-3"/>
                <w:sz w:val="18"/>
                <w:szCs w:val="18"/>
              </w:rPr>
              <w:t>经公司第四届董事会第二十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八次（定期）会议审议通过</w:t>
            </w:r>
          </w:p>
        </w:tc>
        <w:tc>
          <w:tcPr>
            <w:tcW w:w="5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5"/>
              <w:jc w:val="left"/>
              <w:rPr>
                <w:rFonts w:ascii="宋体" w:hAnsi="宋体" w:cs="宋体" w:eastAsia="宋体" w:hint="default"/>
                <w:sz w:val="18"/>
                <w:szCs w:val="18"/>
              </w:rPr>
            </w:pPr>
            <w:r>
              <w:rPr>
                <w:rFonts w:ascii="宋体" w:hAnsi="宋体" w:cs="宋体" w:eastAsia="宋体" w:hint="default"/>
                <w:spacing w:val="-3"/>
                <w:sz w:val="18"/>
                <w:szCs w:val="18"/>
              </w:rPr>
              <w:t>经公司第四届董事会第二十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八次（定期）会议审议通过</w:t>
            </w:r>
          </w:p>
        </w:tc>
        <w:tc>
          <w:tcPr>
            <w:tcW w:w="5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bl>
    <w:p>
      <w:pPr>
        <w:spacing w:line="240" w:lineRule="auto" w:before="3"/>
        <w:rPr>
          <w:rFonts w:ascii="宋体" w:hAnsi="宋体" w:cs="宋体" w:eastAsia="宋体" w:hint="default"/>
          <w:sz w:val="5"/>
          <w:szCs w:val="5"/>
        </w:rPr>
      </w:pPr>
    </w:p>
    <w:p>
      <w:pPr>
        <w:pStyle w:val="Heading3"/>
        <w:spacing w:line="240" w:lineRule="auto" w:before="36"/>
        <w:ind w:left="503" w:right="1126"/>
        <w:jc w:val="left"/>
        <w:rPr>
          <w:b w:val="0"/>
          <w:bCs w:val="0"/>
        </w:rPr>
      </w:pPr>
      <w:r>
        <w:rPr>
          <w:rFonts w:ascii="Times New Roman" w:hAnsi="Times New Roman" w:cs="Times New Roman" w:eastAsia="Times New Roman" w:hint="default"/>
        </w:rPr>
        <w:t>1</w:t>
      </w:r>
      <w:r>
        <w:rPr/>
        <w:t>）执行新金融工具准则导致的会计政策变更</w:t>
      </w:r>
      <w:r>
        <w:rPr>
          <w:b w:val="0"/>
          <w:bCs w:val="0"/>
        </w:rPr>
      </w:r>
    </w:p>
    <w:p>
      <w:pPr>
        <w:pStyle w:val="BodyText"/>
        <w:spacing w:line="300" w:lineRule="auto" w:before="167"/>
        <w:ind w:right="1122" w:firstLine="360"/>
        <w:jc w:val="both"/>
      </w:pPr>
      <w:r>
        <w:rPr>
          <w:spacing w:val="-4"/>
        </w:rPr>
        <w:t>财政部于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31</w:t>
      </w:r>
      <w:r>
        <w:rPr>
          <w:spacing w:val="-4"/>
        </w:rPr>
        <w:t>日分别发布了《企业会计准则第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rFonts w:ascii="Times New Roman" w:hAnsi="Times New Roman" w:cs="Times New Roman" w:eastAsia="Times New Roman" w:hint="default"/>
          <w:spacing w:val="-4"/>
        </w:rPr>
        <w:t>2017</w:t>
      </w:r>
      <w:r>
        <w:rPr>
          <w:spacing w:val="-4"/>
        </w:rPr>
        <w:t>年修订）》（财会〔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7</w:t>
      </w:r>
      <w:r>
        <w:rPr>
          <w:rFonts w:ascii="Times New Roman" w:hAnsi="Times New Roman" w:cs="Times New Roman" w:eastAsia="Times New Roman" w:hint="default"/>
          <w:w w:val="101"/>
        </w:rPr>
        <w:t> </w:t>
      </w:r>
      <w:r>
        <w:rPr>
          <w:spacing w:val="-3"/>
        </w:rPr>
        <w:t>号）、《企业会计准则第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w:t>
      </w:r>
      <w:r>
        <w:rPr>
          <w:rFonts w:ascii="Times New Roman" w:hAnsi="Times New Roman" w:cs="Times New Roman" w:eastAsia="Times New Roman" w:hint="default"/>
          <w:spacing w:val="-3"/>
        </w:rPr>
        <w:t>2017</w:t>
      </w:r>
      <w:r>
        <w:rPr>
          <w:spacing w:val="-3"/>
        </w:rPr>
        <w:t>年修订）》（财会〔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8</w:t>
      </w:r>
      <w:r>
        <w:rPr>
          <w:spacing w:val="-3"/>
        </w:rPr>
        <w:t>号）、《企业会计准则第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w:t>
      </w:r>
      <w:r>
        <w:rPr/>
        <w:t> </w:t>
      </w:r>
      <w:r>
        <w:rPr>
          <w:spacing w:val="-3"/>
        </w:rPr>
        <w:t>会计（</w:t>
      </w:r>
      <w:r>
        <w:rPr>
          <w:rFonts w:ascii="Times New Roman" w:hAnsi="Times New Roman" w:cs="Times New Roman" w:eastAsia="Times New Roman" w:hint="default"/>
          <w:spacing w:val="-3"/>
        </w:rPr>
        <w:t>2017</w:t>
      </w:r>
      <w:r>
        <w:rPr>
          <w:spacing w:val="-3"/>
        </w:rPr>
        <w:t>年修订）》（财会〔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9</w:t>
      </w:r>
      <w:r>
        <w:rPr>
          <w:spacing w:val="-3"/>
        </w:rPr>
        <w:t>号），于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w:t>
      </w:r>
      <w:r>
        <w:rPr>
          <w:spacing w:val="-3"/>
        </w:rPr>
        <w:t>日发布了《企业会计准则第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w:t>
      </w:r>
      <w:r>
        <w:rPr>
          <w:rFonts w:ascii="Times New Roman" w:hAnsi="Times New Roman" w:cs="Times New Roman" w:eastAsia="Times New Roman" w:hint="default"/>
          <w:spacing w:val="-3"/>
        </w:rPr>
        <w:t>2017</w:t>
      </w:r>
      <w:r>
        <w:rPr>
          <w:spacing w:val="-3"/>
        </w:rPr>
        <w:t>年修</w:t>
      </w:r>
      <w:r>
        <w:rPr>
          <w:spacing w:val="11"/>
        </w:rPr>
        <w:t> </w:t>
      </w:r>
      <w:r>
        <w:rPr>
          <w:spacing w:val="-4"/>
        </w:rPr>
        <w:t>订）》（财会〔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14</w:t>
      </w:r>
      <w:r>
        <w:rPr>
          <w:spacing w:val="-4"/>
        </w:rPr>
        <w:t>号）（上述准则统称</w:t>
      </w:r>
      <w:r>
        <w:rPr>
          <w:rFonts w:ascii="Times New Roman" w:hAnsi="Times New Roman" w:cs="Times New Roman" w:eastAsia="Times New Roman" w:hint="default"/>
          <w:spacing w:val="-4"/>
        </w:rPr>
        <w:t>“</w:t>
      </w:r>
      <w:r>
        <w:rPr>
          <w:spacing w:val="-4"/>
        </w:rPr>
        <w:t>新金融工具准则</w:t>
      </w:r>
      <w:r>
        <w:rPr>
          <w:rFonts w:ascii="Times New Roman" w:hAnsi="Times New Roman" w:cs="Times New Roman" w:eastAsia="Times New Roman" w:hint="default"/>
          <w:spacing w:val="-4"/>
        </w:rPr>
        <w:t>”</w:t>
      </w:r>
      <w:r>
        <w:rPr>
          <w:spacing w:val="-4"/>
        </w:rPr>
        <w:t>），要求境内上市企业自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日起执行新金融工具准</w:t>
      </w:r>
      <w:r>
        <w:rPr>
          <w:spacing w:val="2"/>
        </w:rPr>
        <w:t> </w:t>
      </w:r>
      <w:r>
        <w:rPr>
          <w:spacing w:val="2"/>
        </w:rPr>
      </w:r>
      <w:r>
        <w:rPr/>
        <w:t>则。</w:t>
      </w:r>
    </w:p>
    <w:p>
      <w:pPr>
        <w:pStyle w:val="BodyText"/>
        <w:spacing w:line="300" w:lineRule="auto" w:before="32"/>
        <w:ind w:right="1117" w:firstLine="422"/>
        <w:jc w:val="both"/>
      </w:pPr>
      <w:r>
        <w:rPr>
          <w:spacing w:val="-3"/>
        </w:rPr>
        <w:t>经本公司第四届董事会第二十四次会议于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12</w:t>
      </w:r>
      <w:r>
        <w:rPr>
          <w:spacing w:val="-3"/>
        </w:rPr>
        <w:t>日决议通过，本公司于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日起开始执行前述新金融工具</w:t>
      </w:r>
      <w:r>
        <w:rPr>
          <w:w w:val="101"/>
        </w:rPr>
        <w:t> </w:t>
      </w:r>
      <w:r>
        <w:rPr/>
        <w:t>准则。</w:t>
      </w:r>
    </w:p>
    <w:p>
      <w:pPr>
        <w:pStyle w:val="BodyText"/>
        <w:spacing w:line="319" w:lineRule="auto" w:before="31"/>
        <w:ind w:right="1123" w:firstLine="422"/>
        <w:jc w:val="both"/>
      </w:pPr>
      <w:r>
        <w:rPr>
          <w:spacing w:val="-2"/>
        </w:rPr>
        <w:t>在新金融工具准则下所有已确认金融资产，其后续均按摊余成本或公允价值计量。在新金融工具准则施行日，以本公</w:t>
      </w:r>
      <w:r>
        <w:rPr>
          <w:w w:val="101"/>
        </w:rPr>
        <w:t> </w:t>
      </w:r>
      <w:r>
        <w:rPr>
          <w:spacing w:val="-4"/>
          <w:w w:val="101"/>
        </w:rPr>
        <w:t>司该日既有事实和情况为基础评估管理金融资产的业务模式、以金融资产初始确认时的事实和情况为基础评估该金融资产上</w:t>
      </w:r>
      <w:r>
        <w:rPr>
          <w:w w:val="101"/>
        </w:rPr>
        <w:t> </w:t>
      </w:r>
      <w:r>
        <w:rPr>
          <w:spacing w:val="-4"/>
        </w:rPr>
        <w:t>的合同现金流量特征，将金融资产分为三类：按摊余成本计量、按公允价值计量且其变动计入其他综合收益及按公允价值计</w:t>
      </w:r>
      <w:r>
        <w:rPr>
          <w:spacing w:val="44"/>
        </w:rPr>
        <w:t> </w:t>
      </w:r>
      <w:r>
        <w:rPr>
          <w:spacing w:val="44"/>
        </w:rPr>
      </w:r>
      <w:r>
        <w:rPr>
          <w:spacing w:val="-4"/>
        </w:rPr>
        <w:t>量且其变动计入当期损益。其中，对于按公允价值计量且其变动计入其他综合收益的权益工具投资，当该金融资产终止确认</w:t>
      </w:r>
      <w:r>
        <w:rPr>
          <w:spacing w:val="43"/>
        </w:rPr>
        <w:t> </w:t>
      </w:r>
      <w:r>
        <w:rPr>
          <w:spacing w:val="43"/>
        </w:rPr>
      </w:r>
      <w:r>
        <w:rPr>
          <w:spacing w:val="-3"/>
        </w:rPr>
        <w:t>时，之前计入其他综合收益的累计利得或损失将从其他综合收益转入留存收益，不计入当期损益。</w:t>
      </w:r>
    </w:p>
    <w:p>
      <w:pPr>
        <w:pStyle w:val="BodyText"/>
        <w:spacing w:line="316" w:lineRule="auto" w:before="17"/>
        <w:ind w:right="1124" w:firstLine="422"/>
        <w:jc w:val="both"/>
      </w:pPr>
      <w:r>
        <w:rPr>
          <w:spacing w:val="-2"/>
        </w:rPr>
        <w:t>在新金融工具准则下，本公司以预期信用损失为基础，对以摊余成本计量的金融资产、以公允价值计量且其变动计入</w:t>
      </w:r>
      <w:r>
        <w:rPr>
          <w:w w:val="101"/>
        </w:rPr>
        <w:t> </w:t>
      </w:r>
      <w:r>
        <w:rPr>
          <w:spacing w:val="-3"/>
        </w:rPr>
        <w:t>其他综合收益的债务工具投资、租赁应收款、合同资产及财务担保合同计提减值准备并确认信用减值损失。</w:t>
      </w:r>
    </w:p>
    <w:p>
      <w:pPr>
        <w:pStyle w:val="BodyText"/>
        <w:spacing w:line="309" w:lineRule="auto" w:before="19"/>
        <w:ind w:right="1122" w:firstLine="422"/>
        <w:jc w:val="both"/>
      </w:pPr>
      <w:r>
        <w:rPr>
          <w:spacing w:val="-2"/>
        </w:rPr>
        <w:t>本公司追溯应用新金融工具准则，但对于分类和计量（含减值）涉及前期比较财务报表数据与新金融工具准则不一致</w:t>
      </w:r>
      <w:r>
        <w:rPr>
          <w:w w:val="101"/>
        </w:rPr>
        <w:t> </w:t>
      </w:r>
      <w:r>
        <w:rPr>
          <w:spacing w:val="-4"/>
        </w:rPr>
        <w:t>的，本公司选择不进行重述。因此，对于首次执行该准则的累积影响数，本公司调整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年年初留存收益或其他综合收益以</w:t>
      </w:r>
      <w:r>
        <w:rPr>
          <w:spacing w:val="49"/>
        </w:rPr>
        <w:t> </w:t>
      </w:r>
      <w:r>
        <w:rPr>
          <w:spacing w:val="49"/>
        </w:rPr>
      </w:r>
      <w:r>
        <w:rPr>
          <w:spacing w:val="-3"/>
        </w:rPr>
        <w:t>及财务报表其他相关项目金额，</w:t>
      </w:r>
      <w:r>
        <w:rPr>
          <w:rFonts w:ascii="Times New Roman" w:hAnsi="Times New Roman" w:cs="Times New Roman" w:eastAsia="Times New Roman" w:hint="default"/>
          <w:spacing w:val="-3"/>
        </w:rPr>
        <w:t>2018</w:t>
      </w:r>
      <w:r>
        <w:rPr>
          <w:spacing w:val="-3"/>
        </w:rPr>
        <w:t>年度的财务报表未予重述。</w:t>
      </w:r>
    </w:p>
    <w:p>
      <w:pPr>
        <w:pStyle w:val="BodyText"/>
        <w:spacing w:line="240" w:lineRule="auto" w:before="5"/>
        <w:ind w:left="575" w:right="1126"/>
        <w:jc w:val="left"/>
      </w:pPr>
      <w:r>
        <w:rPr>
          <w:spacing w:val="-3"/>
        </w:rPr>
        <w:t>执行新金融工具准则对本公司的主要变化和影响如下：</w:t>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19" w:firstLine="422"/>
        <w:jc w:val="both"/>
      </w:pPr>
      <w:r>
        <w:rPr>
          <w:rFonts w:ascii="Times New Roman" w:hAnsi="Times New Roman" w:cs="Times New Roman" w:eastAsia="Times New Roman" w:hint="default"/>
          <w:spacing w:val="-2"/>
        </w:rPr>
        <w:t>——</w:t>
      </w: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日及以后将持有的部分非交易性股权投资指定为以公允价值计量且其变动计入其他综合收益</w:t>
      </w:r>
      <w:r>
        <w:rPr>
          <w:w w:val="101"/>
        </w:rPr>
        <w:t> </w:t>
      </w:r>
      <w:r>
        <w:rPr>
          <w:spacing w:val="-3"/>
        </w:rPr>
        <w:t>的金融资产，列报为其他权益工具投资。</w:t>
      </w:r>
    </w:p>
    <w:p>
      <w:pPr>
        <w:pStyle w:val="BodyText"/>
        <w:spacing w:line="309" w:lineRule="auto" w:before="31"/>
        <w:ind w:right="1119" w:firstLine="422"/>
        <w:jc w:val="both"/>
      </w:pPr>
      <w:r>
        <w:rPr>
          <w:rFonts w:ascii="Times New Roman" w:hAnsi="Times New Roman" w:cs="Times New Roman" w:eastAsia="Times New Roman" w:hint="default"/>
          <w:spacing w:val="-2"/>
        </w:rPr>
        <w:t>——</w:t>
      </w: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日及以后将持有的除以摊余成本计量的金融资产和以公允价值计量且其变动计入其他综合收</w:t>
      </w:r>
      <w:r>
        <w:rPr>
          <w:w w:val="101"/>
        </w:rPr>
        <w:t> </w:t>
      </w:r>
      <w:r>
        <w:rPr>
          <w:spacing w:val="-4"/>
        </w:rPr>
        <w:t>益的金融资产之外的金融资产，分类为以公允价值计量且其变动计入当期损益的金融资产，列报为交易性金融资产、其他非</w:t>
      </w:r>
      <w:r>
        <w:rPr>
          <w:spacing w:val="43"/>
        </w:rPr>
        <w:t> </w:t>
      </w:r>
      <w:r>
        <w:rPr>
          <w:spacing w:val="43"/>
        </w:rPr>
      </w:r>
      <w:r>
        <w:rPr>
          <w:spacing w:val="-3"/>
        </w:rPr>
        <w:t>流动金融资产。</w:t>
      </w:r>
    </w:p>
    <w:p>
      <w:pPr>
        <w:pStyle w:val="BodyText"/>
        <w:spacing w:line="300" w:lineRule="auto" w:before="24"/>
        <w:ind w:right="1119" w:firstLine="422"/>
        <w:jc w:val="both"/>
      </w:pPr>
      <w:r>
        <w:rPr>
          <w:rFonts w:ascii="Times New Roman" w:hAnsi="Times New Roman" w:cs="Times New Roman" w:eastAsia="Times New Roman" w:hint="default"/>
          <w:spacing w:val="-2"/>
        </w:rPr>
        <w:t>——</w:t>
      </w:r>
      <w:r>
        <w:rPr>
          <w:spacing w:val="-2"/>
        </w:rPr>
        <w:t>本公司持有的某些理财产品、结构性存款等，其收益取决于标的资产的收益率，原分类为以摊余成本计量的金融</w:t>
      </w:r>
      <w:r>
        <w:rPr>
          <w:w w:val="101"/>
        </w:rPr>
        <w:t> </w:t>
      </w:r>
      <w:r>
        <w:rPr>
          <w:spacing w:val="-4"/>
        </w:rPr>
        <w:t>资产。由于其合同现金流量不仅仅为对本金和以未偿付本金为基础的利息的支付，本公司在</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日及以后将其重分类</w:t>
      </w:r>
      <w:r>
        <w:rPr>
          <w:spacing w:val="57"/>
        </w:rPr>
        <w:t> </w:t>
      </w:r>
      <w:r>
        <w:rPr>
          <w:spacing w:val="57"/>
        </w:rPr>
      </w:r>
      <w:r>
        <w:rPr>
          <w:spacing w:val="-3"/>
        </w:rPr>
        <w:t>为以公允价值计量且其变动计入当期损益的金融资产，列报为交易性金融资产。</w:t>
      </w:r>
    </w:p>
    <w:p>
      <w:pPr>
        <w:pStyle w:val="Heading5"/>
        <w:spacing w:line="240" w:lineRule="auto" w:before="13"/>
        <w:ind w:right="1126"/>
        <w:jc w:val="left"/>
        <w:rPr>
          <w:b w:val="0"/>
          <w:bCs w:val="0"/>
        </w:rPr>
      </w:pPr>
      <w:r>
        <w:rPr/>
        <w:t>①首次执行日前后金融资产分类和计量对比表</w:t>
      </w:r>
      <w:r>
        <w:rPr>
          <w:b w:val="0"/>
          <w:bCs w:val="0"/>
        </w:rPr>
      </w:r>
    </w:p>
    <w:p>
      <w:pPr>
        <w:pStyle w:val="Heading5"/>
        <w:spacing w:line="240" w:lineRule="auto" w:before="50"/>
        <w:ind w:right="1126"/>
        <w:jc w:val="left"/>
        <w:rPr>
          <w:b w:val="0"/>
          <w:bCs w:val="0"/>
        </w:rPr>
      </w:pPr>
      <w:r>
        <w:rPr>
          <w:rFonts w:ascii="Times New Roman" w:hAnsi="Times New Roman" w:cs="Times New Roman" w:eastAsia="Times New Roman" w:hint="default"/>
        </w:rPr>
        <w:t>a</w:t>
      </w:r>
      <w:r>
        <w:rPr/>
        <w:t>、对合并财务报表的影响</w:t>
      </w:r>
      <w:r>
        <w:rPr>
          <w:b w:val="0"/>
          <w:bCs w:val="0"/>
        </w:rPr>
      </w:r>
    </w:p>
    <w:p>
      <w:pPr>
        <w:spacing w:line="240" w:lineRule="auto" w:before="0"/>
        <w:rPr>
          <w:rFonts w:ascii="宋体" w:hAnsi="宋体" w:cs="宋体" w:eastAsia="宋体" w:hint="default"/>
          <w:b/>
          <w:bCs/>
          <w:sz w:val="4"/>
          <w:szCs w:val="4"/>
        </w:rPr>
      </w:pPr>
    </w:p>
    <w:tbl>
      <w:tblPr>
        <w:tblW w:w="0" w:type="auto"/>
        <w:jc w:val="left"/>
        <w:tblInd w:w="138" w:type="dxa"/>
        <w:tblLayout w:type="fixed"/>
        <w:tblCellMar>
          <w:top w:w="0" w:type="dxa"/>
          <w:left w:w="0" w:type="dxa"/>
          <w:bottom w:w="0" w:type="dxa"/>
          <w:right w:w="0" w:type="dxa"/>
        </w:tblCellMar>
        <w:tblLook w:val="01E0"/>
      </w:tblPr>
      <w:tblGrid>
        <w:gridCol w:w="1609"/>
        <w:gridCol w:w="1508"/>
        <w:gridCol w:w="1561"/>
        <w:gridCol w:w="1244"/>
        <w:gridCol w:w="2338"/>
        <w:gridCol w:w="1403"/>
      </w:tblGrid>
      <w:tr>
        <w:trPr>
          <w:trHeight w:val="331" w:hRule="exact"/>
        </w:trPr>
        <w:tc>
          <w:tcPr>
            <w:tcW w:w="4677"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日（变更前）</w:t>
            </w:r>
          </w:p>
        </w:tc>
        <w:tc>
          <w:tcPr>
            <w:tcW w:w="4984"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4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日（变更后）</w:t>
            </w:r>
          </w:p>
        </w:tc>
      </w:tr>
      <w:tr>
        <w:trPr>
          <w:trHeight w:val="341" w:hRule="exact"/>
        </w:trPr>
        <w:tc>
          <w:tcPr>
            <w:tcW w:w="160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40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3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6"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22" w:right="0"/>
              <w:jc w:val="left"/>
              <w:rPr>
                <w:rFonts w:ascii="Times New Roman" w:hAnsi="Times New Roman" w:cs="Times New Roman" w:eastAsia="Times New Roman" w:hint="default"/>
                <w:sz w:val="18"/>
                <w:szCs w:val="18"/>
              </w:rPr>
            </w:pPr>
            <w:r>
              <w:rPr>
                <w:rFonts w:ascii="Times New Roman"/>
                <w:spacing w:val="-1"/>
                <w:sz w:val="18"/>
              </w:rPr>
              <w:t>316,270,000.00</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0"/>
                <w:sz w:val="18"/>
                <w:szCs w:val="18"/>
              </w:rPr>
              <w:t> </w:t>
            </w:r>
            <w:r>
              <w:rPr>
                <w:rFonts w:ascii="宋体" w:hAnsi="宋体" w:cs="宋体" w:eastAsia="宋体" w:hint="default"/>
                <w:sz w:val="18"/>
                <w:szCs w:val="18"/>
              </w:rPr>
              <w:t>易</w:t>
            </w:r>
            <w:r>
              <w:rPr>
                <w:rFonts w:ascii="宋体" w:hAnsi="宋体" w:cs="宋体" w:eastAsia="宋体" w:hint="default"/>
                <w:spacing w:val="-60"/>
                <w:sz w:val="18"/>
                <w:szCs w:val="18"/>
              </w:rPr>
              <w:t> </w:t>
            </w:r>
            <w:r>
              <w:rPr>
                <w:rFonts w:ascii="宋体" w:hAnsi="宋体" w:cs="宋体" w:eastAsia="宋体" w:hint="default"/>
                <w:sz w:val="18"/>
                <w:szCs w:val="18"/>
              </w:rPr>
              <w:t>性</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w w:val="101"/>
                <w:sz w:val="18"/>
                <w:szCs w:val="18"/>
              </w:rPr>
              <w:t> </w:t>
            </w:r>
            <w:r>
              <w:rPr>
                <w:rFonts w:ascii="宋体" w:hAnsi="宋体" w:cs="宋体" w:eastAsia="宋体" w:hint="default"/>
                <w:sz w:val="18"/>
                <w:szCs w:val="18"/>
              </w:rPr>
              <w:t>产</w:t>
            </w:r>
          </w:p>
        </w:tc>
        <w:tc>
          <w:tcPr>
            <w:tcW w:w="2338" w:type="dxa"/>
            <w:vMerge w:val="restart"/>
            <w:tcBorders>
              <w:top w:val="single" w:sz="4" w:space="0" w:color="000000"/>
              <w:left w:val="single" w:sz="4" w:space="0" w:color="000000"/>
              <w:right w:val="single" w:sz="4" w:space="0" w:color="000000"/>
            </w:tcBorders>
          </w:tcPr>
          <w:p>
            <w:pPr>
              <w:pStyle w:val="TableParagraph"/>
              <w:spacing w:line="316" w:lineRule="auto" w:before="25"/>
              <w:ind w:left="9" w:right="0"/>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入当期损益</w:t>
            </w:r>
          </w:p>
        </w:tc>
        <w:tc>
          <w:tcPr>
            <w:tcW w:w="14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pacing w:val="-1"/>
                <w:sz w:val="18"/>
              </w:rPr>
              <w:t>884,238,239.73</w:t>
            </w:r>
          </w:p>
        </w:tc>
      </w:tr>
      <w:tr>
        <w:trPr>
          <w:trHeight w:val="341"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2" w:right="0"/>
              <w:jc w:val="left"/>
              <w:rPr>
                <w:rFonts w:ascii="Times New Roman" w:hAnsi="Times New Roman" w:cs="Times New Roman" w:eastAsia="Times New Roman" w:hint="default"/>
                <w:sz w:val="18"/>
                <w:szCs w:val="18"/>
              </w:rPr>
            </w:pPr>
            <w:r>
              <w:rPr>
                <w:rFonts w:ascii="Times New Roman"/>
                <w:spacing w:val="-1"/>
                <w:sz w:val="18"/>
              </w:rPr>
              <w:t>350,000,000.00</w:t>
            </w:r>
          </w:p>
        </w:tc>
        <w:tc>
          <w:tcPr>
            <w:tcW w:w="1244"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c>
          <w:tcPr>
            <w:tcW w:w="1403" w:type="dxa"/>
            <w:vMerge/>
            <w:tcBorders>
              <w:left w:val="single" w:sz="4" w:space="0" w:color="000000"/>
              <w:right w:val="single" w:sz="4" w:space="0" w:color="000000"/>
            </w:tcBorders>
          </w:tcPr>
          <w:p>
            <w:pPr/>
          </w:p>
        </w:tc>
      </w:tr>
      <w:tr>
        <w:trPr>
          <w:trHeight w:val="965"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9"/>
              <w:jc w:val="both"/>
              <w:rPr>
                <w:rFonts w:ascii="宋体" w:hAnsi="宋体" w:cs="宋体" w:eastAsia="宋体" w:hint="default"/>
                <w:sz w:val="18"/>
                <w:szCs w:val="18"/>
              </w:rPr>
            </w:pPr>
            <w:r>
              <w:rPr>
                <w:rFonts w:ascii="宋体" w:hAnsi="宋体" w:cs="宋体" w:eastAsia="宋体" w:hint="default"/>
                <w:spacing w:val="15"/>
                <w:sz w:val="18"/>
                <w:szCs w:val="18"/>
              </w:rPr>
              <w:t>以公允价值计量且</w:t>
            </w:r>
            <w:r>
              <w:rPr>
                <w:rFonts w:ascii="宋体" w:hAnsi="宋体" w:cs="宋体" w:eastAsia="宋体" w:hint="default"/>
                <w:spacing w:val="-58"/>
                <w:sz w:val="18"/>
                <w:szCs w:val="18"/>
              </w:rPr>
              <w:t> </w:t>
            </w:r>
            <w:r>
              <w:rPr>
                <w:rFonts w:ascii="宋体" w:hAnsi="宋体" w:cs="宋体" w:eastAsia="宋体" w:hint="default"/>
                <w:spacing w:val="15"/>
                <w:sz w:val="18"/>
                <w:szCs w:val="18"/>
              </w:rPr>
              <w:t>其变动计入当期损</w:t>
            </w:r>
            <w:r>
              <w:rPr>
                <w:rFonts w:ascii="宋体" w:hAnsi="宋体" w:cs="宋体" w:eastAsia="宋体" w:hint="default"/>
                <w:spacing w:val="-58"/>
                <w:sz w:val="18"/>
                <w:szCs w:val="18"/>
              </w:rPr>
              <w:t> </w:t>
            </w:r>
            <w:r>
              <w:rPr>
                <w:rFonts w:ascii="宋体" w:hAnsi="宋体" w:cs="宋体" w:eastAsia="宋体" w:hint="default"/>
                <w:sz w:val="18"/>
                <w:szCs w:val="18"/>
              </w:rPr>
              <w:t>益的金融资产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3"/>
                <w:sz w:val="18"/>
                <w:szCs w:val="18"/>
              </w:rPr>
              <w:t>以公允价值计量且</w:t>
            </w:r>
            <w:r>
              <w:rPr>
                <w:rFonts w:ascii="宋体" w:hAnsi="宋体" w:cs="宋体" w:eastAsia="宋体" w:hint="default"/>
                <w:spacing w:val="-63"/>
                <w:sz w:val="18"/>
                <w:szCs w:val="18"/>
              </w:rPr>
              <w:t> </w:t>
            </w:r>
            <w:r>
              <w:rPr>
                <w:rFonts w:ascii="宋体" w:hAnsi="宋体" w:cs="宋体" w:eastAsia="宋体" w:hint="default"/>
                <w:spacing w:val="3"/>
                <w:sz w:val="18"/>
                <w:szCs w:val="18"/>
              </w:rPr>
              <w:t>其变动计入当期损</w:t>
            </w:r>
            <w:r>
              <w:rPr>
                <w:rFonts w:ascii="宋体" w:hAnsi="宋体" w:cs="宋体" w:eastAsia="宋体" w:hint="default"/>
                <w:spacing w:val="-63"/>
                <w:sz w:val="18"/>
                <w:szCs w:val="18"/>
              </w:rPr>
              <w:t> </w:t>
            </w:r>
            <w:r>
              <w:rPr>
                <w:rFonts w:ascii="宋体" w:hAnsi="宋体" w:cs="宋体" w:eastAsia="宋体" w:hint="default"/>
                <w:sz w:val="18"/>
                <w:szCs w:val="18"/>
              </w:rPr>
              <w:t>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422" w:right="0"/>
              <w:jc w:val="left"/>
              <w:rPr>
                <w:rFonts w:ascii="Times New Roman" w:hAnsi="Times New Roman" w:cs="Times New Roman" w:eastAsia="Times New Roman" w:hint="default"/>
                <w:sz w:val="18"/>
                <w:szCs w:val="18"/>
              </w:rPr>
            </w:pPr>
            <w:r>
              <w:rPr>
                <w:rFonts w:ascii="Times New Roman"/>
                <w:spacing w:val="-1"/>
                <w:sz w:val="18"/>
              </w:rPr>
              <w:t>217,968,239.73</w:t>
            </w:r>
          </w:p>
        </w:tc>
        <w:tc>
          <w:tcPr>
            <w:tcW w:w="1244"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c>
          <w:tcPr>
            <w:tcW w:w="1403" w:type="dxa"/>
            <w:vMerge/>
            <w:tcBorders>
              <w:left w:val="single" w:sz="4" w:space="0" w:color="000000"/>
              <w:bottom w:val="single" w:sz="4" w:space="0" w:color="000000"/>
              <w:right w:val="single" w:sz="4" w:space="0" w:color="000000"/>
            </w:tcBorders>
          </w:tcPr>
          <w:p>
            <w:pPr/>
          </w:p>
        </w:tc>
      </w:tr>
      <w:tr>
        <w:trPr>
          <w:trHeight w:val="965"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5"/>
              <w:jc w:val="both"/>
              <w:rPr>
                <w:rFonts w:ascii="宋体" w:hAnsi="宋体" w:cs="宋体" w:eastAsia="宋体" w:hint="default"/>
                <w:sz w:val="18"/>
                <w:szCs w:val="18"/>
              </w:rPr>
            </w:pPr>
            <w:r>
              <w:rPr>
                <w:rFonts w:ascii="宋体" w:hAnsi="宋体" w:cs="宋体" w:eastAsia="宋体" w:hint="default"/>
                <w:spacing w:val="3"/>
                <w:sz w:val="18"/>
                <w:szCs w:val="18"/>
              </w:rPr>
              <w:t>以公允价值计量且</w:t>
            </w:r>
            <w:r>
              <w:rPr>
                <w:rFonts w:ascii="宋体" w:hAnsi="宋体" w:cs="宋体" w:eastAsia="宋体" w:hint="default"/>
                <w:spacing w:val="-63"/>
                <w:sz w:val="18"/>
                <w:szCs w:val="18"/>
              </w:rPr>
              <w:t> </w:t>
            </w:r>
            <w:r>
              <w:rPr>
                <w:rFonts w:ascii="宋体" w:hAnsi="宋体" w:cs="宋体" w:eastAsia="宋体" w:hint="default"/>
                <w:spacing w:val="3"/>
                <w:sz w:val="18"/>
                <w:szCs w:val="18"/>
              </w:rPr>
              <w:t>其变动计入其他综</w:t>
            </w:r>
            <w:r>
              <w:rPr>
                <w:rFonts w:ascii="宋体" w:hAnsi="宋体" w:cs="宋体" w:eastAsia="宋体" w:hint="default"/>
                <w:spacing w:val="-63"/>
                <w:sz w:val="18"/>
                <w:szCs w:val="18"/>
              </w:rPr>
              <w:t> </w:t>
            </w:r>
            <w:r>
              <w:rPr>
                <w:rFonts w:ascii="宋体" w:hAnsi="宋体" w:cs="宋体" w:eastAsia="宋体" w:hint="default"/>
                <w:spacing w:val="-8"/>
                <w:sz w:val="18"/>
                <w:szCs w:val="18"/>
              </w:rPr>
              <w:t>合收益（权益工具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509" w:right="0"/>
              <w:jc w:val="left"/>
              <w:rPr>
                <w:rFonts w:ascii="Times New Roman" w:hAnsi="Times New Roman" w:cs="Times New Roman" w:eastAsia="Times New Roman" w:hint="default"/>
                <w:sz w:val="18"/>
                <w:szCs w:val="18"/>
              </w:rPr>
            </w:pPr>
            <w:r>
              <w:rPr>
                <w:rFonts w:ascii="Times New Roman"/>
                <w:spacing w:val="-1"/>
                <w:sz w:val="18"/>
              </w:rPr>
              <w:t>86,460,934.98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9" w:lineRule="auto"/>
              <w:ind w:left="4" w:right="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权</w:t>
            </w:r>
            <w:r>
              <w:rPr>
                <w:rFonts w:ascii="宋体" w:hAnsi="宋体" w:cs="宋体" w:eastAsia="宋体" w:hint="default"/>
                <w:spacing w:val="-65"/>
                <w:sz w:val="18"/>
                <w:szCs w:val="18"/>
              </w:rPr>
              <w:t> </w:t>
            </w:r>
            <w:r>
              <w:rPr>
                <w:rFonts w:ascii="宋体" w:hAnsi="宋体" w:cs="宋体" w:eastAsia="宋体" w:hint="default"/>
                <w:sz w:val="18"/>
                <w:szCs w:val="18"/>
              </w:rPr>
              <w:t>益</w:t>
            </w:r>
            <w:r>
              <w:rPr>
                <w:rFonts w:ascii="宋体" w:hAnsi="宋体" w:cs="宋体" w:eastAsia="宋体" w:hint="default"/>
                <w:spacing w:val="-60"/>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具</w:t>
            </w:r>
            <w:r>
              <w:rPr>
                <w:rFonts w:ascii="宋体" w:hAnsi="宋体" w:cs="宋体" w:eastAsia="宋体" w:hint="default"/>
                <w:w w:val="101"/>
                <w:sz w:val="18"/>
                <w:szCs w:val="18"/>
              </w:rPr>
              <w:t> </w:t>
            </w:r>
            <w:r>
              <w:rPr>
                <w:rFonts w:ascii="宋体" w:hAnsi="宋体" w:cs="宋体" w:eastAsia="宋体" w:hint="default"/>
                <w:sz w:val="18"/>
                <w:szCs w:val="18"/>
              </w:rPr>
              <w:t>投资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9" w:lineRule="auto"/>
              <w:ind w:left="9" w:right="0"/>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入其他综合收益</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86,460,934.98</w:t>
            </w:r>
          </w:p>
        </w:tc>
      </w:tr>
      <w:tr>
        <w:trPr>
          <w:trHeight w:val="658" w:hRule="exact"/>
        </w:trPr>
        <w:tc>
          <w:tcPr>
            <w:tcW w:w="16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 w:right="-5"/>
              <w:jc w:val="left"/>
              <w:rPr>
                <w:rFonts w:ascii="宋体" w:hAnsi="宋体" w:cs="宋体" w:eastAsia="宋体" w:hint="default"/>
                <w:sz w:val="18"/>
                <w:szCs w:val="18"/>
              </w:rPr>
            </w:pPr>
            <w:r>
              <w:rPr>
                <w:rFonts w:ascii="宋体" w:hAnsi="宋体" w:cs="宋体" w:eastAsia="宋体" w:hint="default"/>
                <w:spacing w:val="3"/>
                <w:sz w:val="18"/>
                <w:szCs w:val="18"/>
              </w:rPr>
              <w:t>以成本计量（权益</w:t>
            </w:r>
            <w:r>
              <w:rPr>
                <w:rFonts w:ascii="宋体" w:hAnsi="宋体" w:cs="宋体" w:eastAsia="宋体" w:hint="default"/>
                <w:spacing w:val="-63"/>
                <w:sz w:val="18"/>
                <w:szCs w:val="18"/>
              </w:rPr>
              <w:t> </w:t>
            </w:r>
            <w:r>
              <w:rPr>
                <w:rFonts w:ascii="宋体" w:hAnsi="宋体" w:cs="宋体" w:eastAsia="宋体" w:hint="default"/>
                <w:sz w:val="18"/>
                <w:szCs w:val="18"/>
              </w:rPr>
              <w:t>工具）</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pacing w:val="-1"/>
                <w:sz w:val="18"/>
              </w:rPr>
              <w:t>130,200,020.00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1"/>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60"/>
                <w:sz w:val="18"/>
                <w:szCs w:val="18"/>
              </w:rPr>
              <w:t> </w:t>
            </w:r>
            <w:r>
              <w:rPr>
                <w:rFonts w:ascii="宋体" w:hAnsi="宋体" w:cs="宋体" w:eastAsia="宋体" w:hint="default"/>
                <w:sz w:val="18"/>
                <w:szCs w:val="18"/>
              </w:rPr>
              <w:t>易</w:t>
            </w:r>
            <w:r>
              <w:rPr>
                <w:rFonts w:ascii="宋体" w:hAnsi="宋体" w:cs="宋体" w:eastAsia="宋体" w:hint="default"/>
                <w:spacing w:val="-60"/>
                <w:sz w:val="18"/>
                <w:szCs w:val="18"/>
              </w:rPr>
              <w:t> </w:t>
            </w:r>
            <w:r>
              <w:rPr>
                <w:rFonts w:ascii="宋体" w:hAnsi="宋体" w:cs="宋体" w:eastAsia="宋体" w:hint="default"/>
                <w:sz w:val="18"/>
                <w:szCs w:val="18"/>
              </w:rPr>
              <w:t>性</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w w:val="101"/>
                <w:sz w:val="18"/>
                <w:szCs w:val="18"/>
              </w:rPr>
              <w:t> </w:t>
            </w:r>
            <w:r>
              <w:rPr>
                <w:rFonts w:ascii="宋体" w:hAnsi="宋体" w:cs="宋体" w:eastAsia="宋体" w:hint="default"/>
                <w:sz w:val="18"/>
                <w:szCs w:val="18"/>
              </w:rPr>
              <w:t>产</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9" w:right="0"/>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入当期损益</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653" w:hRule="exact"/>
        </w:trPr>
        <w:tc>
          <w:tcPr>
            <w:tcW w:w="1609" w:type="dxa"/>
            <w:vMerge/>
            <w:tcBorders>
              <w:left w:val="single" w:sz="4" w:space="0" w:color="000000"/>
              <w:right w:val="single" w:sz="4" w:space="0" w:color="000000"/>
            </w:tcBorders>
          </w:tcPr>
          <w:p>
            <w:pPr/>
          </w:p>
        </w:tc>
        <w:tc>
          <w:tcPr>
            <w:tcW w:w="1508"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权</w:t>
            </w:r>
            <w:r>
              <w:rPr>
                <w:rFonts w:ascii="宋体" w:hAnsi="宋体" w:cs="宋体" w:eastAsia="宋体" w:hint="default"/>
                <w:spacing w:val="-65"/>
                <w:sz w:val="18"/>
                <w:szCs w:val="18"/>
              </w:rPr>
              <w:t> </w:t>
            </w:r>
            <w:r>
              <w:rPr>
                <w:rFonts w:ascii="宋体" w:hAnsi="宋体" w:cs="宋体" w:eastAsia="宋体" w:hint="default"/>
                <w:sz w:val="18"/>
                <w:szCs w:val="18"/>
              </w:rPr>
              <w:t>益</w:t>
            </w:r>
            <w:r>
              <w:rPr>
                <w:rFonts w:ascii="宋体" w:hAnsi="宋体" w:cs="宋体" w:eastAsia="宋体" w:hint="default"/>
                <w:spacing w:val="-60"/>
                <w:sz w:val="18"/>
                <w:szCs w:val="18"/>
              </w:rPr>
              <w:t> </w:t>
            </w:r>
            <w:r>
              <w:rPr>
                <w:rFonts w:ascii="宋体" w:hAnsi="宋体" w:cs="宋体" w:eastAsia="宋体" w:hint="default"/>
                <w:sz w:val="18"/>
                <w:szCs w:val="18"/>
              </w:rPr>
              <w:t>工</w:t>
            </w:r>
            <w:r>
              <w:rPr>
                <w:rFonts w:ascii="宋体" w:hAnsi="宋体" w:cs="宋体" w:eastAsia="宋体" w:hint="default"/>
                <w:spacing w:val="-65"/>
                <w:sz w:val="18"/>
                <w:szCs w:val="18"/>
              </w:rPr>
              <w:t> </w:t>
            </w:r>
            <w:r>
              <w:rPr>
                <w:rFonts w:ascii="宋体" w:hAnsi="宋体" w:cs="宋体" w:eastAsia="宋体" w:hint="default"/>
                <w:sz w:val="18"/>
                <w:szCs w:val="18"/>
              </w:rPr>
              <w:t>具</w:t>
            </w:r>
            <w:r>
              <w:rPr>
                <w:rFonts w:ascii="宋体" w:hAnsi="宋体" w:cs="宋体" w:eastAsia="宋体" w:hint="default"/>
                <w:w w:val="101"/>
                <w:sz w:val="18"/>
                <w:szCs w:val="18"/>
              </w:rPr>
              <w:t> </w:t>
            </w:r>
            <w:r>
              <w:rPr>
                <w:rFonts w:ascii="宋体" w:hAnsi="宋体" w:cs="宋体" w:eastAsia="宋体" w:hint="default"/>
                <w:sz w:val="18"/>
                <w:szCs w:val="18"/>
              </w:rPr>
              <w:t>投资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 w:right="0"/>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入其他综合收益</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200,020.00</w:t>
            </w:r>
          </w:p>
        </w:tc>
      </w:tr>
      <w:tr>
        <w:trPr>
          <w:trHeight w:val="653" w:hRule="exact"/>
        </w:trPr>
        <w:tc>
          <w:tcPr>
            <w:tcW w:w="1609"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65"/>
                <w:sz w:val="18"/>
                <w:szCs w:val="18"/>
              </w:rPr>
              <w:t> </w:t>
            </w:r>
            <w:r>
              <w:rPr>
                <w:rFonts w:ascii="宋体" w:hAnsi="宋体" w:cs="宋体" w:eastAsia="宋体" w:hint="default"/>
                <w:sz w:val="18"/>
                <w:szCs w:val="18"/>
              </w:rPr>
              <w:t>流</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w w:val="101"/>
                <w:sz w:val="18"/>
                <w:szCs w:val="18"/>
              </w:rPr>
              <w:t> </w:t>
            </w:r>
            <w:r>
              <w:rPr>
                <w:rFonts w:ascii="宋体" w:hAnsi="宋体" w:cs="宋体" w:eastAsia="宋体" w:hint="default"/>
                <w:sz w:val="18"/>
                <w:szCs w:val="18"/>
              </w:rPr>
              <w:t>融资产</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 w:right="0"/>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入当期损益</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Heading5"/>
        <w:spacing w:line="269" w:lineRule="exact"/>
        <w:ind w:right="1126"/>
        <w:jc w:val="left"/>
        <w:rPr>
          <w:b w:val="0"/>
          <w:bCs w:val="0"/>
        </w:rPr>
      </w:pPr>
      <w:r>
        <w:rPr>
          <w:rFonts w:ascii="Times New Roman" w:hAnsi="Times New Roman" w:cs="Times New Roman" w:eastAsia="Times New Roman" w:hint="default"/>
        </w:rPr>
        <w:t>b</w:t>
      </w:r>
      <w:r>
        <w:rPr/>
        <w:t>、对公司财务报表的影响</w:t>
      </w:r>
      <w:r>
        <w:rPr>
          <w:b w:val="0"/>
          <w:bCs w:val="0"/>
        </w:rPr>
      </w:r>
    </w:p>
    <w:p>
      <w:pPr>
        <w:spacing w:line="240" w:lineRule="auto" w:before="4"/>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1637"/>
        <w:gridCol w:w="1416"/>
        <w:gridCol w:w="1719"/>
        <w:gridCol w:w="1114"/>
        <w:gridCol w:w="2065"/>
        <w:gridCol w:w="1710"/>
      </w:tblGrid>
      <w:tr>
        <w:trPr>
          <w:trHeight w:val="346" w:hRule="exact"/>
        </w:trPr>
        <w:tc>
          <w:tcPr>
            <w:tcW w:w="4773"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1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日（变更前）</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14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日（变更后）</w:t>
            </w:r>
          </w:p>
        </w:tc>
      </w:tr>
      <w:tr>
        <w:trPr>
          <w:trHeight w:val="326" w:hRule="exact"/>
        </w:trPr>
        <w:tc>
          <w:tcPr>
            <w:tcW w:w="16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66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300,000,000.00</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交易性金融资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产</w:t>
            </w:r>
          </w:p>
        </w:tc>
        <w:tc>
          <w:tcPr>
            <w:tcW w:w="20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4"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计入当期损益</w:t>
            </w:r>
          </w:p>
        </w:tc>
        <w:tc>
          <w:tcPr>
            <w:tcW w:w="1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pacing w:val="-1"/>
                <w:sz w:val="18"/>
              </w:rPr>
              <w:t>517,968,239.73</w:t>
            </w:r>
          </w:p>
        </w:tc>
      </w:tr>
      <w:tr>
        <w:trPr>
          <w:trHeight w:val="96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4"/>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允</w:t>
            </w:r>
            <w:r>
              <w:rPr>
                <w:rFonts w:ascii="宋体" w:hAnsi="宋体" w:cs="宋体" w:eastAsia="宋体" w:hint="default"/>
                <w:spacing w:val="-64"/>
                <w:sz w:val="18"/>
                <w:szCs w:val="18"/>
              </w:rPr>
              <w:t> </w:t>
            </w:r>
            <w:r>
              <w:rPr>
                <w:rFonts w:ascii="宋体" w:hAnsi="宋体" w:cs="宋体" w:eastAsia="宋体" w:hint="default"/>
                <w:sz w:val="18"/>
                <w:szCs w:val="18"/>
              </w:rPr>
              <w:t>价</w:t>
            </w:r>
            <w:r>
              <w:rPr>
                <w:rFonts w:ascii="宋体" w:hAnsi="宋体" w:cs="宋体" w:eastAsia="宋体" w:hint="default"/>
                <w:spacing w:val="-64"/>
                <w:sz w:val="18"/>
                <w:szCs w:val="18"/>
              </w:rPr>
              <w:t> </w:t>
            </w:r>
            <w:r>
              <w:rPr>
                <w:rFonts w:ascii="宋体" w:hAnsi="宋体" w:cs="宋体" w:eastAsia="宋体" w:hint="default"/>
                <w:sz w:val="18"/>
                <w:szCs w:val="18"/>
              </w:rPr>
              <w:t>值</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pacing w:val="8"/>
                <w:sz w:val="18"/>
                <w:szCs w:val="18"/>
              </w:rPr>
              <w:t>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入</w:t>
            </w:r>
            <w:r>
              <w:rPr>
                <w:rFonts w:ascii="宋体" w:hAnsi="宋体" w:cs="宋体" w:eastAsia="宋体" w:hint="default"/>
                <w:spacing w:val="-64"/>
                <w:sz w:val="18"/>
                <w:szCs w:val="18"/>
              </w:rPr>
              <w:t> </w:t>
            </w:r>
            <w:r>
              <w:rPr>
                <w:rFonts w:ascii="宋体" w:hAnsi="宋体" w:cs="宋体" w:eastAsia="宋体" w:hint="default"/>
                <w:sz w:val="18"/>
                <w:szCs w:val="18"/>
              </w:rPr>
              <w:t>当</w:t>
            </w:r>
            <w:r>
              <w:rPr>
                <w:rFonts w:ascii="宋体" w:hAnsi="宋体" w:cs="宋体" w:eastAsia="宋体" w:hint="default"/>
                <w:spacing w:val="-64"/>
                <w:sz w:val="18"/>
                <w:szCs w:val="18"/>
              </w:rPr>
              <w:t> </w:t>
            </w:r>
            <w:r>
              <w:rPr>
                <w:rFonts w:ascii="宋体" w:hAnsi="宋体" w:cs="宋体" w:eastAsia="宋体" w:hint="default"/>
                <w:spacing w:val="8"/>
                <w:sz w:val="18"/>
                <w:szCs w:val="18"/>
              </w:rPr>
              <w:t>期损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益的金融资产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 w:right="-4"/>
              <w:jc w:val="both"/>
              <w:rPr>
                <w:rFonts w:ascii="宋体" w:hAnsi="宋体" w:cs="宋体" w:eastAsia="宋体" w:hint="default"/>
                <w:sz w:val="18"/>
                <w:szCs w:val="18"/>
              </w:rPr>
            </w:pPr>
            <w:r>
              <w:rPr>
                <w:rFonts w:ascii="宋体" w:hAnsi="宋体" w:cs="宋体" w:eastAsia="宋体" w:hint="default"/>
                <w:spacing w:val="8"/>
                <w:sz w:val="18"/>
                <w:szCs w:val="18"/>
              </w:rPr>
              <w:t>以公</w:t>
            </w:r>
            <w:r>
              <w:rPr>
                <w:rFonts w:ascii="宋体" w:hAnsi="宋体" w:cs="宋体" w:eastAsia="宋体" w:hint="default"/>
                <w:spacing w:val="-58"/>
                <w:sz w:val="18"/>
                <w:szCs w:val="18"/>
              </w:rPr>
              <w:t> </w:t>
            </w:r>
            <w:r>
              <w:rPr>
                <w:rFonts w:ascii="宋体" w:hAnsi="宋体" w:cs="宋体" w:eastAsia="宋体" w:hint="default"/>
                <w:spacing w:val="12"/>
                <w:sz w:val="18"/>
                <w:szCs w:val="18"/>
              </w:rPr>
              <w:t>允价值计</w:t>
            </w:r>
            <w:r>
              <w:rPr>
                <w:rFonts w:ascii="宋体" w:hAnsi="宋体" w:cs="宋体" w:eastAsia="宋体" w:hint="default"/>
                <w:spacing w:val="-58"/>
                <w:sz w:val="18"/>
                <w:szCs w:val="18"/>
              </w:rPr>
              <w:t> </w:t>
            </w:r>
            <w:r>
              <w:rPr>
                <w:rFonts w:ascii="宋体" w:hAnsi="宋体" w:cs="宋体" w:eastAsia="宋体" w:hint="default"/>
                <w:sz w:val="18"/>
                <w:szCs w:val="18"/>
              </w:rPr>
              <w:t>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且其</w:t>
            </w:r>
            <w:r>
              <w:rPr>
                <w:rFonts w:ascii="宋体" w:hAnsi="宋体" w:cs="宋体" w:eastAsia="宋体" w:hint="default"/>
                <w:spacing w:val="-58"/>
                <w:sz w:val="18"/>
                <w:szCs w:val="18"/>
              </w:rPr>
              <w:t> </w:t>
            </w:r>
            <w:r>
              <w:rPr>
                <w:rFonts w:ascii="宋体" w:hAnsi="宋体" w:cs="宋体" w:eastAsia="宋体" w:hint="default"/>
                <w:spacing w:val="12"/>
                <w:sz w:val="18"/>
                <w:szCs w:val="18"/>
              </w:rPr>
              <w:t>变动计入</w:t>
            </w:r>
            <w:r>
              <w:rPr>
                <w:rFonts w:ascii="宋体" w:hAnsi="宋体" w:cs="宋体" w:eastAsia="宋体" w:hint="default"/>
                <w:spacing w:val="-58"/>
                <w:sz w:val="18"/>
                <w:szCs w:val="18"/>
              </w:rPr>
              <w:t> </w:t>
            </w:r>
            <w:r>
              <w:rPr>
                <w:rFonts w:ascii="宋体" w:hAnsi="宋体" w:cs="宋体" w:eastAsia="宋体" w:hint="default"/>
                <w:sz w:val="18"/>
                <w:szCs w:val="18"/>
              </w:rPr>
              <w:t>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期损益</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217,968,239.73</w:t>
            </w:r>
          </w:p>
        </w:tc>
        <w:tc>
          <w:tcPr>
            <w:tcW w:w="1114" w:type="dxa"/>
            <w:vMerge/>
            <w:tcBorders>
              <w:left w:val="single" w:sz="4" w:space="0" w:color="000000"/>
              <w:bottom w:val="single" w:sz="4" w:space="0" w:color="000000"/>
              <w:right w:val="single" w:sz="4" w:space="0" w:color="000000"/>
            </w:tcBorders>
          </w:tcPr>
          <w:p>
            <w:pPr/>
          </w:p>
        </w:tc>
        <w:tc>
          <w:tcPr>
            <w:tcW w:w="2065"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65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350,000,000.00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交易性金融资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产</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计入当期损益</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pacing w:val="-1"/>
                <w:sz w:val="18"/>
              </w:rPr>
              <w:t>350,000,000.00</w:t>
            </w:r>
          </w:p>
        </w:tc>
      </w:tr>
    </w:tbl>
    <w:p>
      <w:pPr>
        <w:pStyle w:val="Heading5"/>
        <w:spacing w:line="285" w:lineRule="auto"/>
        <w:ind w:left="153" w:right="1126" w:firstLine="403"/>
        <w:jc w:val="left"/>
        <w:rPr>
          <w:b w:val="0"/>
          <w:bCs w:val="0"/>
        </w:rPr>
      </w:pPr>
      <w:r>
        <w:rPr>
          <w:spacing w:val="-2"/>
        </w:rPr>
        <w:t>②首次执行日，原金融资产账面价值调整为按照新金融工具准则的规定进行分类和计量的新金融</w:t>
      </w:r>
      <w:r>
        <w:rPr>
          <w:w w:val="100"/>
        </w:rPr>
        <w:t> </w:t>
      </w:r>
      <w:r>
        <w:rPr/>
        <w:t>资产账面价值的调节表</w:t>
      </w:r>
      <w:r>
        <w:rPr>
          <w:b w:val="0"/>
          <w:bCs w:val="0"/>
        </w:rPr>
      </w:r>
    </w:p>
    <w:p>
      <w:pPr>
        <w:pStyle w:val="Heading5"/>
        <w:spacing w:line="240" w:lineRule="auto" w:before="12"/>
        <w:ind w:right="1126"/>
        <w:jc w:val="left"/>
        <w:rPr>
          <w:b w:val="0"/>
          <w:bCs w:val="0"/>
        </w:rPr>
      </w:pPr>
      <w:r>
        <w:rPr>
          <w:rFonts w:ascii="Times New Roman" w:hAnsi="Times New Roman" w:cs="Times New Roman" w:eastAsia="Times New Roman" w:hint="default"/>
        </w:rPr>
        <w:t>a</w:t>
      </w:r>
      <w:r>
        <w:rPr/>
        <w:t>、对合并报表的影响</w:t>
      </w:r>
      <w:r>
        <w:rPr>
          <w:b w:val="0"/>
          <w:bCs w:val="0"/>
        </w:rPr>
      </w:r>
    </w:p>
    <w:p>
      <w:pPr>
        <w:spacing w:line="240" w:lineRule="auto" w:before="4"/>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131"/>
        <w:gridCol w:w="1719"/>
        <w:gridCol w:w="1719"/>
        <w:gridCol w:w="1412"/>
        <w:gridCol w:w="1681"/>
      </w:tblGrid>
      <w:tr>
        <w:trPr>
          <w:trHeight w:val="653"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0" w:lineRule="auto" w:before="20"/>
              <w:ind w:left="586" w:right="41" w:hanging="5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更前）</w:t>
            </w: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0" w:lineRule="auto" w:before="20"/>
              <w:ind w:left="653" w:right="22" w:hanging="63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日（变更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后）</w:t>
            </w:r>
          </w:p>
        </w:tc>
      </w:tr>
      <w:tr>
        <w:trPr>
          <w:trHeight w:val="326"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55" w:hRule="exact"/>
        </w:trPr>
        <w:tc>
          <w:tcPr>
            <w:tcW w:w="313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left="447" w:right="0"/>
              <w:jc w:val="left"/>
              <w:rPr>
                <w:rFonts w:ascii="Times New Roman" w:hAnsi="Times New Roman" w:cs="Times New Roman" w:eastAsia="Times New Roman" w:hint="default"/>
                <w:sz w:val="18"/>
                <w:szCs w:val="18"/>
              </w:rPr>
            </w:pPr>
            <w:r>
              <w:rPr>
                <w:rFonts w:ascii="Times New Roman"/>
                <w:spacing w:val="-2"/>
                <w:sz w:val="18"/>
              </w:rPr>
              <w:t>3,237,345,929.00</w:t>
            </w:r>
          </w:p>
        </w:tc>
        <w:tc>
          <w:tcPr>
            <w:tcW w:w="1719" w:type="dxa"/>
            <w:tcBorders>
              <w:top w:val="single" w:sz="8" w:space="0" w:color="000000"/>
              <w:left w:val="single" w:sz="4" w:space="0" w:color="000000"/>
              <w:bottom w:val="single" w:sz="4" w:space="0" w:color="000000"/>
              <w:right w:val="single" w:sz="4" w:space="0" w:color="000000"/>
            </w:tcBorders>
          </w:tcPr>
          <w:p>
            <w:pPr/>
          </w:p>
        </w:tc>
        <w:tc>
          <w:tcPr>
            <w:tcW w:w="1412" w:type="dxa"/>
            <w:tcBorders>
              <w:top w:val="single" w:sz="8" w:space="0" w:color="000000"/>
              <w:left w:val="single" w:sz="4" w:space="0" w:color="000000"/>
              <w:bottom w:val="single" w:sz="4" w:space="0" w:color="000000"/>
              <w:right w:val="single" w:sz="4" w:space="0" w:color="000000"/>
            </w:tcBorders>
          </w:tcPr>
          <w:p>
            <w:pPr/>
          </w:p>
        </w:tc>
        <w:tc>
          <w:tcPr>
            <w:tcW w:w="1681" w:type="dxa"/>
            <w:tcBorders>
              <w:top w:val="single" w:sz="8"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131"/>
        <w:gridCol w:w="1719"/>
        <w:gridCol w:w="1719"/>
        <w:gridCol w:w="1412"/>
        <w:gridCol w:w="1681"/>
      </w:tblGrid>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转出至交易性金融资产</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-316,270,000.00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31" w:type="dxa"/>
            <w:tcBorders>
              <w:top w:val="single" w:sz="4" w:space="0" w:color="000000"/>
              <w:left w:val="single" w:sz="4" w:space="0" w:color="000000"/>
              <w:bottom w:val="single" w:sz="10" w:space="0" w:color="D0CECE"/>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19" w:type="dxa"/>
            <w:tcBorders>
              <w:top w:val="single" w:sz="4" w:space="0" w:color="000000"/>
              <w:left w:val="single" w:sz="4" w:space="0" w:color="000000"/>
              <w:bottom w:val="single" w:sz="10" w:space="0" w:color="D0CECE"/>
              <w:right w:val="single" w:sz="4" w:space="0" w:color="000000"/>
            </w:tcBorders>
          </w:tcPr>
          <w:p>
            <w:pPr/>
          </w:p>
        </w:tc>
        <w:tc>
          <w:tcPr>
            <w:tcW w:w="1719" w:type="dxa"/>
            <w:tcBorders>
              <w:top w:val="single" w:sz="4" w:space="0" w:color="000000"/>
              <w:left w:val="single" w:sz="4" w:space="0" w:color="000000"/>
              <w:bottom w:val="single" w:sz="10" w:space="0" w:color="D0CECE"/>
              <w:right w:val="single" w:sz="4" w:space="0" w:color="000000"/>
            </w:tcBorders>
          </w:tcPr>
          <w:p>
            <w:pPr/>
          </w:p>
        </w:tc>
        <w:tc>
          <w:tcPr>
            <w:tcW w:w="1412" w:type="dxa"/>
            <w:tcBorders>
              <w:top w:val="single" w:sz="4" w:space="0" w:color="000000"/>
              <w:left w:val="single" w:sz="4" w:space="0" w:color="000000"/>
              <w:bottom w:val="single" w:sz="10" w:space="0" w:color="D0CECE"/>
              <w:right w:val="single" w:sz="4" w:space="0" w:color="000000"/>
            </w:tcBorders>
          </w:tcPr>
          <w:p>
            <w:pPr/>
          </w:p>
        </w:tc>
        <w:tc>
          <w:tcPr>
            <w:tcW w:w="1681" w:type="dxa"/>
            <w:tcBorders>
              <w:top w:val="single" w:sz="4" w:space="0" w:color="000000"/>
              <w:left w:val="single" w:sz="4" w:space="0" w:color="000000"/>
              <w:bottom w:val="single" w:sz="10" w:space="0" w:color="D0CECE"/>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2,921,075,929.00</w:t>
            </w:r>
          </w:p>
        </w:tc>
      </w:tr>
      <w:tr>
        <w:trPr>
          <w:trHeight w:val="326"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484,830,906.12</w:t>
            </w: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转出至交易性金融资产</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-350,000,000.00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134,830,906.12</w:t>
            </w:r>
          </w:p>
        </w:tc>
      </w:tr>
      <w:tr>
        <w:trPr>
          <w:trHeight w:val="331"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55" w:hRule="exact"/>
        </w:trPr>
        <w:tc>
          <w:tcPr>
            <w:tcW w:w="313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17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919,312,251.62</w:t>
            </w:r>
          </w:p>
        </w:tc>
        <w:tc>
          <w:tcPr>
            <w:tcW w:w="1719" w:type="dxa"/>
            <w:tcBorders>
              <w:top w:val="single" w:sz="8" w:space="0" w:color="000000"/>
              <w:left w:val="single" w:sz="4" w:space="0" w:color="000000"/>
              <w:bottom w:val="single" w:sz="4" w:space="0" w:color="000000"/>
              <w:right w:val="single" w:sz="4" w:space="0" w:color="000000"/>
            </w:tcBorders>
          </w:tcPr>
          <w:p>
            <w:pPr/>
          </w:p>
        </w:tc>
        <w:tc>
          <w:tcPr>
            <w:tcW w:w="1412" w:type="dxa"/>
            <w:tcBorders>
              <w:top w:val="single" w:sz="8" w:space="0" w:color="000000"/>
              <w:left w:val="single" w:sz="4" w:space="0" w:color="000000"/>
              <w:bottom w:val="single" w:sz="4" w:space="0" w:color="000000"/>
              <w:right w:val="single" w:sz="4" w:space="0" w:color="000000"/>
            </w:tcBorders>
          </w:tcPr>
          <w:p>
            <w:pPr/>
          </w:p>
        </w:tc>
        <w:tc>
          <w:tcPr>
            <w:tcW w:w="1681" w:type="dxa"/>
            <w:tcBorders>
              <w:top w:val="single" w:sz="8"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重新计量：预计信用损失准备</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-4,036,653.66</w:t>
            </w: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915,275,597.96</w:t>
            </w:r>
          </w:p>
        </w:tc>
      </w:tr>
      <w:tr>
        <w:trPr>
          <w:trHeight w:val="655"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2"/>
              <w:ind w:left="4" w:right="6"/>
              <w:jc w:val="left"/>
              <w:rPr>
                <w:rFonts w:ascii="宋体" w:hAnsi="宋体" w:cs="宋体" w:eastAsia="宋体" w:hint="default"/>
                <w:sz w:val="18"/>
                <w:szCs w:val="18"/>
              </w:rPr>
            </w:pPr>
            <w:r>
              <w:rPr>
                <w:rFonts w:ascii="宋体" w:hAnsi="宋体" w:cs="宋体" w:eastAsia="宋体" w:hint="default"/>
                <w:b/>
                <w:bCs/>
                <w:spacing w:val="10"/>
                <w:sz w:val="18"/>
                <w:szCs w:val="18"/>
              </w:rPr>
              <w:t>以公允价值计量且其变动计入当期损</w:t>
            </w:r>
            <w:r>
              <w:rPr>
                <w:rFonts w:ascii="宋体" w:hAnsi="宋体" w:cs="宋体" w:eastAsia="宋体" w:hint="default"/>
                <w:b/>
                <w:bCs/>
                <w:spacing w:val="-39"/>
                <w:sz w:val="18"/>
                <w:szCs w:val="18"/>
              </w:rPr>
              <w:t> </w:t>
            </w:r>
            <w:r>
              <w:rPr>
                <w:rFonts w:ascii="宋体" w:hAnsi="宋体" w:cs="宋体" w:eastAsia="宋体" w:hint="default"/>
                <w:b/>
                <w:bCs/>
                <w:spacing w:val="-39"/>
                <w:sz w:val="18"/>
                <w:szCs w:val="18"/>
              </w:rPr>
            </w:r>
            <w:r>
              <w:rPr>
                <w:rFonts w:ascii="宋体" w:hAnsi="宋体" w:cs="宋体" w:eastAsia="宋体" w:hint="default"/>
                <w:b/>
                <w:bCs/>
                <w:sz w:val="18"/>
                <w:szCs w:val="18"/>
              </w:rPr>
              <w:t>益：</w:t>
            </w:r>
            <w:r>
              <w:rPr>
                <w:rFonts w:ascii="宋体" w:hAnsi="宋体" w:cs="宋体" w:eastAsia="宋体" w:hint="default"/>
                <w:sz w:val="18"/>
                <w:szCs w:val="18"/>
              </w:rPr>
            </w: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653"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的金融资产（原准则）</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217,968,239.73</w:t>
            </w: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转入交易性金融资产</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-217,968,239.73</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自以公允价值计量且其变动计入当期损</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益的金融资产（原准则）转入</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217,968,239.73</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自以货币资金转入</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316,270,000.00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自可供出售金融资产（原准则）转入</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自其他流动资产转让</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350,000,000.00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重新计量：按公允价值重新计量</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994,238,239.73</w:t>
            </w: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自可供出售金融资产（原准则）转入</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653"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以公允价值计量且其变动计入其他综合</w:t>
            </w:r>
            <w:r>
              <w:rPr>
                <w:rFonts w:ascii="宋体" w:hAnsi="宋体" w:cs="宋体" w:eastAsia="宋体" w:hint="default"/>
                <w:b/>
                <w:bCs/>
                <w:spacing w:val="-54"/>
                <w:sz w:val="18"/>
                <w:szCs w:val="18"/>
              </w:rPr>
              <w:t> </w:t>
            </w:r>
            <w:r>
              <w:rPr>
                <w:rFonts w:ascii="宋体" w:hAnsi="宋体" w:cs="宋体" w:eastAsia="宋体" w:hint="default"/>
                <w:b/>
                <w:bCs/>
                <w:spacing w:val="-54"/>
                <w:sz w:val="18"/>
                <w:szCs w:val="18"/>
              </w:rPr>
            </w:r>
            <w:r>
              <w:rPr>
                <w:rFonts w:ascii="宋体" w:hAnsi="宋体" w:cs="宋体" w:eastAsia="宋体" w:hint="default"/>
                <w:b/>
                <w:bCs/>
                <w:sz w:val="18"/>
                <w:szCs w:val="18"/>
              </w:rPr>
              <w:t>收益：</w:t>
            </w:r>
            <w:r>
              <w:rPr>
                <w:rFonts w:ascii="宋体" w:hAnsi="宋体" w:cs="宋体" w:eastAsia="宋体" w:hint="default"/>
                <w:sz w:val="18"/>
                <w:szCs w:val="18"/>
              </w:rPr>
            </w: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可供出售金融资产（原准则）</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216,660,954.98</w:t>
            </w: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转出至其他债权投资</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转出至交易性金融资产</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转出至其他非流动金融资产</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转出至其他权益工具投资</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-86,660,954.98</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131"/>
        <w:gridCol w:w="1719"/>
        <w:gridCol w:w="1719"/>
        <w:gridCol w:w="1412"/>
        <w:gridCol w:w="1681"/>
      </w:tblGrid>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自可供出售金融资产（原准则）转入</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67" w:right="0"/>
              <w:jc w:val="left"/>
              <w:rPr>
                <w:rFonts w:ascii="Times New Roman" w:hAnsi="Times New Roman" w:cs="Times New Roman" w:eastAsia="Times New Roman" w:hint="default"/>
                <w:sz w:val="18"/>
                <w:szCs w:val="18"/>
              </w:rPr>
            </w:pPr>
            <w:r>
              <w:rPr>
                <w:rFonts w:ascii="Times New Roman"/>
                <w:spacing w:val="-1"/>
                <w:sz w:val="18"/>
              </w:rPr>
              <w:t>86,660,954.98</w:t>
            </w: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重新计量：按公允价值重新计量</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1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29" w:right="0"/>
              <w:jc w:val="left"/>
              <w:rPr>
                <w:rFonts w:ascii="Times New Roman" w:hAnsi="Times New Roman" w:cs="Times New Roman" w:eastAsia="Times New Roman" w:hint="default"/>
                <w:sz w:val="18"/>
                <w:szCs w:val="18"/>
              </w:rPr>
            </w:pPr>
            <w:r>
              <w:rPr>
                <w:rFonts w:ascii="Times New Roman"/>
                <w:spacing w:val="-1"/>
                <w:sz w:val="18"/>
              </w:rPr>
              <w:t>86,660,954.98</w:t>
            </w:r>
          </w:p>
        </w:tc>
      </w:tr>
    </w:tbl>
    <w:p>
      <w:pPr>
        <w:pStyle w:val="Heading5"/>
        <w:spacing w:line="269" w:lineRule="exact"/>
        <w:ind w:right="1126"/>
        <w:jc w:val="left"/>
        <w:rPr>
          <w:b w:val="0"/>
          <w:bCs w:val="0"/>
        </w:rPr>
      </w:pPr>
      <w:r>
        <w:rPr>
          <w:rFonts w:ascii="Times New Roman" w:hAnsi="Times New Roman" w:cs="Times New Roman" w:eastAsia="Times New Roman" w:hint="default"/>
        </w:rPr>
        <w:t>b</w:t>
      </w:r>
      <w:r>
        <w:rPr/>
        <w:t>、对公司财务报表的影响</w:t>
      </w:r>
      <w:r>
        <w:rPr>
          <w:b w:val="0"/>
          <w:bCs w:val="0"/>
        </w:rPr>
      </w:r>
    </w:p>
    <w:p>
      <w:pPr>
        <w:spacing w:line="240" w:lineRule="auto" w:before="4"/>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357"/>
        <w:gridCol w:w="1829"/>
        <w:gridCol w:w="1527"/>
        <w:gridCol w:w="1369"/>
        <w:gridCol w:w="1580"/>
      </w:tblGrid>
      <w:tr>
        <w:trPr>
          <w:trHeight w:val="653" w:hRule="exact"/>
        </w:trPr>
        <w:tc>
          <w:tcPr>
            <w:tcW w:w="3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0" w:lineRule="auto" w:before="20"/>
              <w:ind w:left="729" w:right="3" w:hanging="7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日（变更</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前）</w:t>
            </w:r>
          </w:p>
        </w:tc>
        <w:tc>
          <w:tcPr>
            <w:tcW w:w="15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58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0" w:lineRule="auto" w:before="20"/>
              <w:ind w:left="609" w:right="-5" w:hanging="60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日（变更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后）</w:t>
            </w: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182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6"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2,521,372,264.33</w:t>
            </w:r>
          </w:p>
        </w:tc>
        <w:tc>
          <w:tcPr>
            <w:tcW w:w="15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转出至交易性金融资产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57" w:type="dxa"/>
            <w:tcBorders>
              <w:top w:val="single" w:sz="4" w:space="0" w:color="000000"/>
              <w:left w:val="single" w:sz="4" w:space="0" w:color="000000"/>
              <w:bottom w:val="single" w:sz="4" w:space="0" w:color="D0CECE"/>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829" w:type="dxa"/>
            <w:tcBorders>
              <w:top w:val="single" w:sz="4" w:space="0" w:color="000000"/>
              <w:left w:val="single" w:sz="4" w:space="0" w:color="000000"/>
              <w:bottom w:val="single" w:sz="4" w:space="0" w:color="D0CECE"/>
              <w:right w:val="single" w:sz="4" w:space="0" w:color="000000"/>
            </w:tcBorders>
          </w:tcPr>
          <w:p>
            <w:pPr/>
          </w:p>
        </w:tc>
        <w:tc>
          <w:tcPr>
            <w:tcW w:w="1527" w:type="dxa"/>
            <w:tcBorders>
              <w:top w:val="single" w:sz="4" w:space="0" w:color="000000"/>
              <w:left w:val="single" w:sz="4" w:space="0" w:color="000000"/>
              <w:bottom w:val="single" w:sz="4" w:space="0" w:color="D0CECE"/>
              <w:right w:val="single" w:sz="4" w:space="0" w:color="000000"/>
            </w:tcBorders>
          </w:tcPr>
          <w:p>
            <w:pPr/>
          </w:p>
        </w:tc>
        <w:tc>
          <w:tcPr>
            <w:tcW w:w="1369" w:type="dxa"/>
            <w:tcBorders>
              <w:top w:val="single" w:sz="4" w:space="0" w:color="000000"/>
              <w:left w:val="single" w:sz="4" w:space="0" w:color="000000"/>
              <w:bottom w:val="single" w:sz="4" w:space="0" w:color="D0CECE"/>
              <w:right w:val="single" w:sz="4" w:space="0" w:color="000000"/>
            </w:tcBorders>
          </w:tcPr>
          <w:p>
            <w:pPr/>
          </w:p>
        </w:tc>
        <w:tc>
          <w:tcPr>
            <w:tcW w:w="1580" w:type="dxa"/>
            <w:tcBorders>
              <w:top w:val="single" w:sz="4" w:space="0" w:color="000000"/>
              <w:left w:val="single" w:sz="4" w:space="0" w:color="000000"/>
              <w:bottom w:val="single" w:sz="4" w:space="0" w:color="D0CECE"/>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2,221,372,264.33</w:t>
            </w:r>
          </w:p>
        </w:tc>
      </w:tr>
      <w:tr>
        <w:trPr>
          <w:trHeight w:val="326" w:hRule="exact"/>
        </w:trPr>
        <w:tc>
          <w:tcPr>
            <w:tcW w:w="3357"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6"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350,753,080.16</w:t>
            </w:r>
          </w:p>
        </w:tc>
        <w:tc>
          <w:tcPr>
            <w:tcW w:w="15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转出至交易性金融资产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753,080.16</w:t>
            </w:r>
          </w:p>
        </w:tc>
      </w:tr>
      <w:tr>
        <w:trPr>
          <w:trHeight w:val="326" w:hRule="exact"/>
        </w:trPr>
        <w:tc>
          <w:tcPr>
            <w:tcW w:w="3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w:t>
            </w:r>
            <w:r>
              <w:rPr>
                <w:rFonts w:ascii="宋体" w:hAnsi="宋体" w:cs="宋体" w:eastAsia="宋体" w:hint="default"/>
                <w:sz w:val="18"/>
                <w:szCs w:val="18"/>
              </w:rPr>
            </w:r>
          </w:p>
        </w:tc>
        <w:tc>
          <w:tcPr>
            <w:tcW w:w="182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672"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4" w:right="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r>
              <w:rPr>
                <w:rFonts w:ascii="宋体" w:hAnsi="宋体" w:cs="宋体" w:eastAsia="宋体" w:hint="default"/>
                <w:spacing w:val="-3"/>
                <w:sz w:val="18"/>
                <w:szCs w:val="18"/>
              </w:rPr>
              <w:t> </w:t>
            </w:r>
            <w:r>
              <w:rPr>
                <w:rFonts w:ascii="宋体" w:hAnsi="宋体" w:cs="宋体" w:eastAsia="宋体" w:hint="default"/>
                <w:spacing w:val="-3"/>
                <w:sz w:val="18"/>
                <w:szCs w:val="18"/>
              </w:rPr>
              <w:t>金融资产（原准则）</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217,968,239.73</w:t>
            </w:r>
          </w:p>
        </w:tc>
        <w:tc>
          <w:tcPr>
            <w:tcW w:w="15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转入交易性金融资产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-217,968,239.73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3357"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6"/>
              <w:jc w:val="left"/>
              <w:rPr>
                <w:rFonts w:ascii="宋体" w:hAnsi="宋体" w:cs="宋体" w:eastAsia="宋体" w:hint="default"/>
                <w:sz w:val="18"/>
                <w:szCs w:val="18"/>
              </w:rPr>
            </w:pPr>
            <w:r>
              <w:rPr>
                <w:rFonts w:ascii="宋体" w:hAnsi="宋体" w:cs="宋体" w:eastAsia="宋体" w:hint="default"/>
                <w:sz w:val="18"/>
                <w:szCs w:val="18"/>
              </w:rPr>
              <w:t>自以公允价值计量且其变动计入当期损益</w:t>
            </w:r>
            <w:r>
              <w:rPr>
                <w:rFonts w:ascii="宋体" w:hAnsi="宋体" w:cs="宋体" w:eastAsia="宋体" w:hint="default"/>
                <w:spacing w:val="-3"/>
                <w:sz w:val="18"/>
                <w:szCs w:val="18"/>
              </w:rPr>
              <w:t> </w:t>
            </w:r>
            <w:r>
              <w:rPr>
                <w:rFonts w:ascii="宋体" w:hAnsi="宋体" w:cs="宋体" w:eastAsia="宋体" w:hint="default"/>
                <w:spacing w:val="-3"/>
                <w:sz w:val="18"/>
                <w:szCs w:val="18"/>
              </w:rPr>
              <w:t>的金融资产（原准则）转入</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217,968,239.73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自以货币资金转入</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自其他流动资产转让</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350,000,000.00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867,968,239.73</w:t>
            </w:r>
          </w:p>
        </w:tc>
      </w:tr>
    </w:tbl>
    <w:p>
      <w:pPr>
        <w:pStyle w:val="Heading5"/>
        <w:spacing w:line="254" w:lineRule="exact"/>
        <w:ind w:right="1126"/>
        <w:jc w:val="left"/>
        <w:rPr>
          <w:b w:val="0"/>
          <w:bCs w:val="0"/>
        </w:rPr>
      </w:pPr>
      <w:r>
        <w:rPr/>
        <w:t>③首次执行日，金融资产减值准备调节表</w:t>
      </w:r>
      <w:r>
        <w:rPr>
          <w:b w:val="0"/>
          <w:bCs w:val="0"/>
        </w:rPr>
      </w:r>
    </w:p>
    <w:p>
      <w:pPr>
        <w:pStyle w:val="Heading5"/>
        <w:spacing w:line="240" w:lineRule="auto" w:before="50"/>
        <w:ind w:right="1126"/>
        <w:jc w:val="left"/>
        <w:rPr>
          <w:b w:val="0"/>
          <w:bCs w:val="0"/>
        </w:rPr>
      </w:pPr>
      <w:r>
        <w:rPr>
          <w:rFonts w:ascii="Times New Roman" w:hAnsi="Times New Roman" w:cs="Times New Roman" w:eastAsia="Times New Roman" w:hint="default"/>
        </w:rPr>
        <w:t>a</w:t>
      </w:r>
      <w:r>
        <w:rPr/>
        <w:t>、对合并报表的影响</w:t>
      </w:r>
      <w:r>
        <w:rPr>
          <w:b w:val="0"/>
          <w:bCs w:val="0"/>
        </w:rPr>
      </w:r>
    </w:p>
    <w:p>
      <w:pPr>
        <w:spacing w:line="240" w:lineRule="auto" w:before="5"/>
        <w:rPr>
          <w:rFonts w:ascii="宋体" w:hAnsi="宋体" w:cs="宋体" w:eastAsia="宋体" w:hint="default"/>
          <w:b/>
          <w:bCs/>
          <w:sz w:val="4"/>
          <w:szCs w:val="4"/>
        </w:rPr>
      </w:pPr>
    </w:p>
    <w:tbl>
      <w:tblPr>
        <w:tblW w:w="0" w:type="auto"/>
        <w:jc w:val="left"/>
        <w:tblInd w:w="138" w:type="dxa"/>
        <w:tblLayout w:type="fixed"/>
        <w:tblCellMar>
          <w:top w:w="0" w:type="dxa"/>
          <w:left w:w="0" w:type="dxa"/>
          <w:bottom w:w="0" w:type="dxa"/>
          <w:right w:w="0" w:type="dxa"/>
        </w:tblCellMar>
        <w:tblLook w:val="01E0"/>
      </w:tblPr>
      <w:tblGrid>
        <w:gridCol w:w="2588"/>
        <w:gridCol w:w="2065"/>
        <w:gridCol w:w="1661"/>
        <w:gridCol w:w="1522"/>
        <w:gridCol w:w="1825"/>
      </w:tblGrid>
      <w:tr>
        <w:trPr>
          <w:trHeight w:val="327" w:hRule="exact"/>
        </w:trPr>
        <w:tc>
          <w:tcPr>
            <w:tcW w:w="25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0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
              <w:ind w:left="9"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日（变更前</w:t>
            </w:r>
          </w:p>
        </w:tc>
        <w:tc>
          <w:tcPr>
            <w:tcW w:w="16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5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
              <w:ind w:left="39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
              <w:ind w:left="9"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w:t>
            </w:r>
            <w:r>
              <w:rPr>
                <w:rFonts w:ascii="Times New Roman" w:hAnsi="Times New Roman" w:cs="Times New Roman" w:eastAsia="Times New Roman" w:hint="default"/>
                <w:spacing w:val="-5"/>
                <w:w w:val="101"/>
                <w:sz w:val="18"/>
                <w:szCs w:val="18"/>
              </w:rPr>
              <w:t>9</w:t>
            </w:r>
            <w:r>
              <w:rPr>
                <w:rFonts w:ascii="宋体" w:hAnsi="宋体" w:cs="宋体" w:eastAsia="宋体" w:hint="default"/>
                <w:w w:val="101"/>
                <w:sz w:val="18"/>
                <w:szCs w:val="18"/>
              </w:rPr>
              <w:t>年</w:t>
            </w:r>
            <w:r>
              <w:rPr>
                <w:rFonts w:ascii="Times New Roman" w:hAnsi="Times New Roman" w:cs="Times New Roman" w:eastAsia="Times New Roman" w:hint="default"/>
                <w:w w:val="101"/>
                <w:sz w:val="18"/>
                <w:szCs w:val="18"/>
              </w:rPr>
              <w:t>1</w:t>
            </w:r>
            <w:r>
              <w:rPr>
                <w:rFonts w:ascii="宋体" w:hAnsi="宋体" w:cs="宋体" w:eastAsia="宋体" w:hint="default"/>
                <w:spacing w:val="-5"/>
                <w:w w:val="101"/>
                <w:sz w:val="18"/>
                <w:szCs w:val="18"/>
              </w:rPr>
              <w:t>月</w:t>
            </w:r>
            <w:r>
              <w:rPr>
                <w:rFonts w:ascii="Times New Roman" w:hAnsi="Times New Roman" w:cs="Times New Roman" w:eastAsia="Times New Roman" w:hint="default"/>
                <w:w w:val="101"/>
                <w:sz w:val="18"/>
                <w:szCs w:val="18"/>
              </w:rPr>
              <w:t>1</w:t>
            </w:r>
            <w:r>
              <w:rPr>
                <w:rFonts w:ascii="宋体" w:hAnsi="宋体" w:cs="宋体" w:eastAsia="宋体" w:hint="default"/>
                <w:spacing w:val="-92"/>
                <w:w w:val="101"/>
                <w:sz w:val="18"/>
                <w:szCs w:val="18"/>
              </w:rPr>
              <w:t>日</w:t>
            </w:r>
            <w:r>
              <w:rPr>
                <w:rFonts w:ascii="宋体" w:hAnsi="宋体" w:cs="宋体" w:eastAsia="宋体" w:hint="default"/>
                <w:w w:val="101"/>
                <w:sz w:val="18"/>
                <w:szCs w:val="18"/>
              </w:rPr>
              <w:t>（</w:t>
            </w:r>
            <w:r>
              <w:rPr>
                <w:rFonts w:ascii="宋体" w:hAnsi="宋体" w:cs="宋体" w:eastAsia="宋体" w:hint="default"/>
                <w:spacing w:val="-5"/>
                <w:w w:val="101"/>
                <w:sz w:val="18"/>
                <w:szCs w:val="18"/>
              </w:rPr>
              <w:t>变</w:t>
            </w:r>
            <w:r>
              <w:rPr>
                <w:rFonts w:ascii="宋体" w:hAnsi="宋体" w:cs="宋体" w:eastAsia="宋体" w:hint="default"/>
                <w:w w:val="101"/>
                <w:sz w:val="18"/>
                <w:szCs w:val="18"/>
              </w:rPr>
              <w:t>更后</w:t>
            </w:r>
            <w:r>
              <w:rPr>
                <w:rFonts w:ascii="宋体" w:hAnsi="宋体" w:cs="宋体" w:eastAsia="宋体" w:hint="default"/>
                <w:sz w:val="18"/>
                <w:szCs w:val="18"/>
              </w:rPr>
            </w:r>
          </w:p>
        </w:tc>
      </w:tr>
      <w:tr>
        <w:trPr>
          <w:trHeight w:val="326" w:hRule="exact"/>
        </w:trPr>
        <w:tc>
          <w:tcPr>
            <w:tcW w:w="25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摊余成本：</w:t>
            </w:r>
            <w:r>
              <w:rPr>
                <w:rFonts w:ascii="宋体" w:hAnsi="宋体" w:cs="宋体" w:eastAsia="宋体" w:hint="default"/>
                <w:sz w:val="18"/>
                <w:szCs w:val="18"/>
              </w:rPr>
            </w:r>
          </w:p>
        </w:tc>
        <w:tc>
          <w:tcPr>
            <w:tcW w:w="2065"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522"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825"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360"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发放贷款及垫款减值准备</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18" w:right="-4"/>
              <w:jc w:val="left"/>
              <w:rPr>
                <w:rFonts w:ascii="Times New Roman" w:hAnsi="Times New Roman" w:cs="Times New Roman" w:eastAsia="Times New Roman" w:hint="default"/>
                <w:sz w:val="18"/>
                <w:szCs w:val="18"/>
              </w:rPr>
            </w:pPr>
            <w:r>
              <w:rPr>
                <w:rFonts w:ascii="Times New Roman"/>
                <w:spacing w:val="-1"/>
                <w:sz w:val="18"/>
              </w:rPr>
              <w:t>32,245,363.77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61" w:right="0"/>
              <w:jc w:val="left"/>
              <w:rPr>
                <w:rFonts w:ascii="Times New Roman" w:hAnsi="Times New Roman" w:cs="Times New Roman" w:eastAsia="Times New Roman" w:hint="default"/>
                <w:sz w:val="18"/>
                <w:szCs w:val="18"/>
              </w:rPr>
            </w:pPr>
            <w:r>
              <w:rPr>
                <w:rFonts w:ascii="Times New Roman"/>
                <w:spacing w:val="-1"/>
                <w:sz w:val="18"/>
              </w:rPr>
              <w:t>4,036,653.66</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77" w:right="-4"/>
              <w:jc w:val="left"/>
              <w:rPr>
                <w:rFonts w:ascii="Times New Roman" w:hAnsi="Times New Roman" w:cs="Times New Roman" w:eastAsia="Times New Roman" w:hint="default"/>
                <w:sz w:val="18"/>
                <w:szCs w:val="18"/>
              </w:rPr>
            </w:pPr>
            <w:r>
              <w:rPr>
                <w:rFonts w:ascii="Times New Roman"/>
                <w:spacing w:val="-1"/>
                <w:sz w:val="18"/>
              </w:rPr>
              <w:t>36,282,017.43</w:t>
            </w:r>
          </w:p>
        </w:tc>
      </w:tr>
    </w:tbl>
    <w:p>
      <w:pPr>
        <w:pStyle w:val="Heading5"/>
        <w:spacing w:line="269" w:lineRule="exact"/>
        <w:ind w:right="1126"/>
        <w:jc w:val="left"/>
        <w:rPr>
          <w:b w:val="0"/>
          <w:bCs w:val="0"/>
        </w:rPr>
      </w:pPr>
      <w:r>
        <w:rPr>
          <w:rFonts w:ascii="Times New Roman" w:hAnsi="Times New Roman" w:cs="Times New Roman" w:eastAsia="Times New Roman" w:hint="default"/>
        </w:rPr>
        <w:t>b</w:t>
      </w:r>
      <w:r>
        <w:rPr/>
        <w:t>、对公司财务报表的影响</w:t>
      </w:r>
      <w:r>
        <w:rPr>
          <w:b w:val="0"/>
          <w:bCs w:val="0"/>
        </w:rPr>
      </w:r>
    </w:p>
    <w:p>
      <w:pPr>
        <w:pStyle w:val="Heading4"/>
        <w:spacing w:line="240" w:lineRule="auto" w:before="28"/>
        <w:ind w:left="575" w:right="1126"/>
        <w:jc w:val="left"/>
      </w:pPr>
      <w:r>
        <w:rPr/>
        <w:t>无。</w:t>
      </w:r>
    </w:p>
    <w:p>
      <w:pPr>
        <w:pStyle w:val="Heading5"/>
        <w:spacing w:line="240" w:lineRule="auto" w:before="44"/>
        <w:ind w:right="1126"/>
        <w:jc w:val="left"/>
        <w:rPr>
          <w:b w:val="0"/>
          <w:bCs w:val="0"/>
        </w:rPr>
      </w:pPr>
      <w:r>
        <w:rPr/>
        <w:t>④对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日留存收益和其他综合收益的影响</w:t>
      </w:r>
      <w:r>
        <w:rPr>
          <w:b w:val="0"/>
          <w:bCs w:val="0"/>
        </w:rPr>
      </w:r>
    </w:p>
    <w:p>
      <w:pPr>
        <w:spacing w:line="240" w:lineRule="auto" w:before="9"/>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3966"/>
        <w:gridCol w:w="2132"/>
        <w:gridCol w:w="1681"/>
        <w:gridCol w:w="1883"/>
      </w:tblGrid>
      <w:tr>
        <w:trPr>
          <w:trHeight w:val="336" w:hRule="exact"/>
        </w:trPr>
        <w:tc>
          <w:tcPr>
            <w:tcW w:w="396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left="431" w:right="0"/>
              <w:jc w:val="left"/>
              <w:rPr>
                <w:rFonts w:ascii="宋体" w:hAnsi="宋体" w:cs="宋体" w:eastAsia="宋体" w:hint="default"/>
                <w:sz w:val="18"/>
                <w:szCs w:val="18"/>
              </w:rPr>
            </w:pPr>
            <w:r>
              <w:rPr>
                <w:rFonts w:ascii="宋体" w:hAnsi="宋体" w:cs="宋体" w:eastAsia="宋体" w:hint="default"/>
                <w:spacing w:val="-3"/>
                <w:sz w:val="18"/>
                <w:szCs w:val="18"/>
              </w:rPr>
              <w:t>合并未分配利润</w:t>
            </w:r>
          </w:p>
        </w:tc>
        <w:tc>
          <w:tcPr>
            <w:tcW w:w="16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left="297" w:right="0"/>
              <w:jc w:val="left"/>
              <w:rPr>
                <w:rFonts w:ascii="宋体" w:hAnsi="宋体" w:cs="宋体" w:eastAsia="宋体" w:hint="default"/>
                <w:sz w:val="18"/>
                <w:szCs w:val="18"/>
              </w:rPr>
            </w:pPr>
            <w:r>
              <w:rPr>
                <w:rFonts w:ascii="宋体" w:hAnsi="宋体" w:cs="宋体" w:eastAsia="宋体" w:hint="default"/>
                <w:sz w:val="18"/>
                <w:szCs w:val="18"/>
              </w:rPr>
              <w:t>合并盈余公积</w:t>
            </w:r>
          </w:p>
        </w:tc>
        <w:tc>
          <w:tcPr>
            <w:tcW w:w="18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left="215" w:right="0"/>
              <w:jc w:val="left"/>
              <w:rPr>
                <w:rFonts w:ascii="宋体" w:hAnsi="宋体" w:cs="宋体" w:eastAsia="宋体" w:hint="default"/>
                <w:sz w:val="18"/>
                <w:szCs w:val="18"/>
              </w:rPr>
            </w:pPr>
            <w:r>
              <w:rPr>
                <w:rFonts w:ascii="宋体" w:hAnsi="宋体" w:cs="宋体" w:eastAsia="宋体" w:hint="default"/>
                <w:sz w:val="18"/>
                <w:szCs w:val="18"/>
              </w:rPr>
              <w:t>合并其他综合收益</w:t>
            </w:r>
          </w:p>
        </w:tc>
      </w:tr>
      <w:tr>
        <w:trPr>
          <w:trHeight w:val="341" w:hRule="exact"/>
        </w:trPr>
        <w:tc>
          <w:tcPr>
            <w:tcW w:w="396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32"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2"/>
                <w:sz w:val="18"/>
              </w:rPr>
              <w:t>1,776,746,860.02</w:t>
            </w:r>
          </w:p>
        </w:tc>
        <w:tc>
          <w:tcPr>
            <w:tcW w:w="16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264,724,184.43</w:t>
            </w:r>
          </w:p>
        </w:tc>
        <w:tc>
          <w:tcPr>
            <w:tcW w:w="18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2,451,085.97</w:t>
            </w:r>
          </w:p>
        </w:tc>
      </w:tr>
      <w:tr>
        <w:trPr>
          <w:trHeight w:val="653"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、将可供出售金融资产重分类为其他权益工具投</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资并重新计量</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307,212,902.91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-307,212,902.91</w:t>
            </w:r>
          </w:p>
        </w:tc>
      </w:tr>
      <w:tr>
        <w:trPr>
          <w:trHeight w:val="346"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、发放贷款及垫款减值的重新计量</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-1,544,020.02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r>
      <w:tr>
        <w:trPr>
          <w:trHeight w:val="341" w:hRule="exact"/>
        </w:trPr>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、将可供出售金融资产重分类为交易性金融资产</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3966"/>
        <w:gridCol w:w="2132"/>
        <w:gridCol w:w="1681"/>
        <w:gridCol w:w="1883"/>
      </w:tblGrid>
      <w:tr>
        <w:trPr>
          <w:trHeight w:val="346" w:hRule="exact"/>
        </w:trPr>
        <w:tc>
          <w:tcPr>
            <w:tcW w:w="3966" w:type="dxa"/>
            <w:tcBorders>
              <w:top w:val="single" w:sz="4" w:space="0" w:color="000000"/>
              <w:left w:val="single" w:sz="4" w:space="0" w:color="000000"/>
              <w:bottom w:val="single" w:sz="8" w:space="0" w:color="D0CECE"/>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并重新计量</w:t>
            </w:r>
          </w:p>
        </w:tc>
        <w:tc>
          <w:tcPr>
            <w:tcW w:w="2132"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96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59" w:right="0"/>
              <w:jc w:val="left"/>
              <w:rPr>
                <w:rFonts w:ascii="Times New Roman" w:hAnsi="Times New Roman" w:cs="Times New Roman" w:eastAsia="Times New Roman" w:hint="default"/>
                <w:sz w:val="18"/>
                <w:szCs w:val="18"/>
              </w:rPr>
            </w:pPr>
            <w:r>
              <w:rPr>
                <w:rFonts w:ascii="Times New Roman"/>
                <w:spacing w:val="-2"/>
                <w:sz w:val="18"/>
              </w:rPr>
              <w:t>2,089,915,742.91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47" w:right="-4"/>
              <w:jc w:val="left"/>
              <w:rPr>
                <w:rFonts w:ascii="Times New Roman" w:hAnsi="Times New Roman" w:cs="Times New Roman" w:eastAsia="Times New Roman" w:hint="default"/>
                <w:sz w:val="18"/>
                <w:szCs w:val="18"/>
              </w:rPr>
            </w:pPr>
            <w:r>
              <w:rPr>
                <w:rFonts w:ascii="Times New Roman"/>
                <w:spacing w:val="-1"/>
                <w:sz w:val="18"/>
              </w:rPr>
              <w:t>264,724,184.43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81" w:right="0"/>
              <w:jc w:val="left"/>
              <w:rPr>
                <w:rFonts w:ascii="Times New Roman" w:hAnsi="Times New Roman" w:cs="Times New Roman" w:eastAsia="Times New Roman" w:hint="default"/>
                <w:sz w:val="18"/>
                <w:szCs w:val="18"/>
              </w:rPr>
            </w:pPr>
            <w:r>
              <w:rPr>
                <w:rFonts w:ascii="Times New Roman"/>
                <w:spacing w:val="-1"/>
                <w:sz w:val="18"/>
              </w:rPr>
              <w:t>-304,761,816.94</w:t>
            </w:r>
          </w:p>
        </w:tc>
      </w:tr>
    </w:tbl>
    <w:p>
      <w:pPr>
        <w:spacing w:line="240" w:lineRule="auto" w:before="7"/>
        <w:rPr>
          <w:rFonts w:ascii="宋体" w:hAnsi="宋体" w:cs="宋体" w:eastAsia="宋体" w:hint="default"/>
          <w:b/>
          <w:bCs/>
          <w:sz w:val="5"/>
          <w:szCs w:val="5"/>
        </w:rPr>
      </w:pPr>
    </w:p>
    <w:p>
      <w:pPr>
        <w:pStyle w:val="Heading5"/>
        <w:spacing w:line="240" w:lineRule="auto" w:before="39"/>
        <w:ind w:left="494" w:right="1126"/>
        <w:jc w:val="left"/>
        <w:rPr>
          <w:b w:val="0"/>
          <w:bCs w:val="0"/>
        </w:rPr>
      </w:pPr>
      <w:r>
        <w:rPr>
          <w:rFonts w:ascii="Times New Roman" w:hAnsi="Times New Roman" w:cs="Times New Roman" w:eastAsia="Times New Roman" w:hint="default"/>
        </w:rPr>
        <w:t>2</w:t>
      </w:r>
      <w:r>
        <w:rPr/>
        <w:t>）其他会计政策变更</w:t>
      </w:r>
      <w:r>
        <w:rPr>
          <w:b w:val="0"/>
          <w:bCs w:val="0"/>
        </w:rPr>
      </w:r>
    </w:p>
    <w:p>
      <w:pPr>
        <w:pStyle w:val="BodyText"/>
        <w:spacing w:line="300" w:lineRule="auto" w:before="174"/>
        <w:ind w:right="1037" w:firstLine="480"/>
        <w:jc w:val="both"/>
      </w:pPr>
      <w:r>
        <w:rPr/>
        <w:t>①</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日，财政部颁布了《关于修订印发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spacing w:val="-3"/>
        </w:rPr>
        <w:t>年度一般企业财务报表格式的通知》（财会〔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w:t>
      </w:r>
      <w:r>
        <w:rPr>
          <w:w w:val="101"/>
        </w:rPr>
        <w:t> </w:t>
      </w:r>
      <w:r>
        <w:rPr>
          <w:spacing w:val="-3"/>
        </w:rPr>
        <w:t>经公司第四届董事会第二十八次（定期）会议于</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日批准，公司的会计政策按财会〔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rFonts w:ascii="Times New Roman" w:hAnsi="Times New Roman" w:cs="Times New Roman" w:eastAsia="Times New Roman" w:hint="default"/>
          <w:spacing w:val="39"/>
        </w:rPr>
        <w:t> </w:t>
      </w:r>
      <w:r>
        <w:rPr/>
        <w:t>号文件规定执行。</w:t>
      </w:r>
    </w:p>
    <w:p>
      <w:pPr>
        <w:pStyle w:val="BodyText"/>
        <w:spacing w:line="300" w:lineRule="auto" w:before="13"/>
        <w:ind w:right="1122" w:firstLine="556"/>
        <w:jc w:val="both"/>
      </w:pPr>
      <w:r>
        <w:rPr>
          <w:spacing w:val="-4"/>
        </w:rPr>
        <w:t>公司本次财务报表格式变更的主要内容为：资产负债表中</w:t>
      </w:r>
      <w:r>
        <w:rPr>
          <w:rFonts w:ascii="Times New Roman" w:hAnsi="Times New Roman" w:cs="Times New Roman" w:eastAsia="Times New Roman" w:hint="default"/>
          <w:spacing w:val="-4"/>
        </w:rPr>
        <w:t>“</w:t>
      </w:r>
      <w:r>
        <w:rPr>
          <w:spacing w:val="-4"/>
        </w:rPr>
        <w:t>应收票据及应收账款</w:t>
      </w:r>
      <w:r>
        <w:rPr>
          <w:rFonts w:ascii="Times New Roman" w:hAnsi="Times New Roman" w:cs="Times New Roman" w:eastAsia="Times New Roman" w:hint="default"/>
          <w:spacing w:val="-4"/>
        </w:rPr>
        <w:t>”</w:t>
      </w:r>
      <w:r>
        <w:rPr>
          <w:spacing w:val="-4"/>
        </w:rPr>
        <w:t>项目拆分为</w:t>
      </w:r>
      <w:r>
        <w:rPr>
          <w:rFonts w:ascii="Times New Roman" w:hAnsi="Times New Roman" w:cs="Times New Roman" w:eastAsia="Times New Roman" w:hint="default"/>
          <w:spacing w:val="-4"/>
        </w:rPr>
        <w:t>“</w:t>
      </w:r>
      <w:r>
        <w:rPr>
          <w:spacing w:val="-4"/>
        </w:rPr>
        <w:t>应收票据</w:t>
      </w:r>
      <w:r>
        <w:rPr>
          <w:rFonts w:ascii="Times New Roman" w:hAnsi="Times New Roman" w:cs="Times New Roman" w:eastAsia="Times New Roman" w:hint="default"/>
          <w:spacing w:val="-4"/>
        </w:rPr>
        <w:t>”</w:t>
      </w:r>
      <w:r>
        <w:rPr>
          <w:spacing w:val="-4"/>
        </w:rPr>
        <w:t>及</w:t>
      </w:r>
      <w:r>
        <w:rPr>
          <w:rFonts w:ascii="Times New Roman" w:hAnsi="Times New Roman" w:cs="Times New Roman" w:eastAsia="Times New Roman" w:hint="default"/>
          <w:spacing w:val="-4"/>
        </w:rPr>
        <w:t>“</w:t>
      </w:r>
      <w:r>
        <w:rPr>
          <w:spacing w:val="-4"/>
        </w:rPr>
        <w:t>应收账款</w:t>
      </w:r>
      <w:r>
        <w:rPr>
          <w:rFonts w:ascii="Times New Roman" w:hAnsi="Times New Roman" w:cs="Times New Roman" w:eastAsia="Times New Roman" w:hint="default"/>
          <w:spacing w:val="-4"/>
        </w:rPr>
        <w:t>”</w:t>
      </w:r>
      <w:r>
        <w:rPr>
          <w:rFonts w:ascii="Times New Roman" w:hAnsi="Times New Roman" w:cs="Times New Roman" w:eastAsia="Times New Roman" w:hint="default"/>
          <w:w w:val="101"/>
        </w:rPr>
        <w:t> </w:t>
      </w:r>
      <w:r>
        <w:rPr>
          <w:spacing w:val="-4"/>
        </w:rPr>
        <w:t>两个项目；</w:t>
      </w:r>
      <w:r>
        <w:rPr>
          <w:rFonts w:ascii="Times New Roman" w:hAnsi="Times New Roman" w:cs="Times New Roman" w:eastAsia="Times New Roman" w:hint="default"/>
          <w:spacing w:val="-4"/>
        </w:rPr>
        <w:t>“</w:t>
      </w:r>
      <w:r>
        <w:rPr>
          <w:spacing w:val="-4"/>
        </w:rPr>
        <w:t>应付票据及应付账款</w:t>
      </w:r>
      <w:r>
        <w:rPr>
          <w:rFonts w:ascii="Times New Roman" w:hAnsi="Times New Roman" w:cs="Times New Roman" w:eastAsia="Times New Roman" w:hint="default"/>
          <w:spacing w:val="-4"/>
        </w:rPr>
        <w:t>”</w:t>
      </w:r>
      <w:r>
        <w:rPr>
          <w:spacing w:val="-4"/>
        </w:rPr>
        <w:t>项目拆分为</w:t>
      </w:r>
      <w:r>
        <w:rPr>
          <w:rFonts w:ascii="Times New Roman" w:hAnsi="Times New Roman" w:cs="Times New Roman" w:eastAsia="Times New Roman" w:hint="default"/>
          <w:spacing w:val="-4"/>
        </w:rPr>
        <w:t>“</w:t>
      </w:r>
      <w:r>
        <w:rPr>
          <w:spacing w:val="-4"/>
        </w:rPr>
        <w:t>应付票据</w:t>
      </w:r>
      <w:r>
        <w:rPr>
          <w:rFonts w:ascii="Times New Roman" w:hAnsi="Times New Roman" w:cs="Times New Roman" w:eastAsia="Times New Roman" w:hint="default"/>
          <w:spacing w:val="-4"/>
        </w:rPr>
        <w:t>”</w:t>
      </w:r>
      <w:r>
        <w:rPr>
          <w:spacing w:val="-4"/>
        </w:rPr>
        <w:t>及</w:t>
      </w:r>
      <w:r>
        <w:rPr>
          <w:rFonts w:ascii="Times New Roman" w:hAnsi="Times New Roman" w:cs="Times New Roman" w:eastAsia="Times New Roman" w:hint="default"/>
          <w:spacing w:val="-4"/>
        </w:rPr>
        <w:t>“</w:t>
      </w:r>
      <w:r>
        <w:rPr>
          <w:spacing w:val="-4"/>
        </w:rPr>
        <w:t>应付账款</w:t>
      </w:r>
      <w:r>
        <w:rPr>
          <w:rFonts w:ascii="Times New Roman" w:hAnsi="Times New Roman" w:cs="Times New Roman" w:eastAsia="Times New Roman" w:hint="default"/>
          <w:spacing w:val="-4"/>
        </w:rPr>
        <w:t>”</w:t>
      </w:r>
      <w:r>
        <w:rPr>
          <w:spacing w:val="-4"/>
        </w:rPr>
        <w:t>两个项目；资产负债表中新增</w:t>
      </w:r>
      <w:r>
        <w:rPr>
          <w:rFonts w:ascii="Times New Roman" w:hAnsi="Times New Roman" w:cs="Times New Roman" w:eastAsia="Times New Roman" w:hint="default"/>
          <w:spacing w:val="-4"/>
        </w:rPr>
        <w:t>“</w:t>
      </w:r>
      <w:r>
        <w:rPr>
          <w:spacing w:val="-4"/>
        </w:rPr>
        <w:t>交易性金融资产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应</w:t>
      </w:r>
      <w:r>
        <w:rPr>
          <w:spacing w:val="57"/>
        </w:rPr>
        <w:t> </w:t>
      </w:r>
      <w:r>
        <w:rPr>
          <w:spacing w:val="-3"/>
        </w:rPr>
        <w:t>收款项融资</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债权投资</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其他债权投资</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其他权益工具投资</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其他非流动金融资产</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交易性金融负债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使用权</w:t>
      </w:r>
      <w:r>
        <w:rPr>
          <w:spacing w:val="83"/>
        </w:rPr>
        <w:t> </w:t>
      </w:r>
      <w:r>
        <w:rPr>
          <w:spacing w:val="83"/>
        </w:rPr>
      </w:r>
      <w:r>
        <w:rPr>
          <w:spacing w:val="-4"/>
        </w:rPr>
        <w:t>资产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租赁负债</w:t>
      </w:r>
      <w:r>
        <w:rPr>
          <w:rFonts w:ascii="Times New Roman" w:hAnsi="Times New Roman" w:cs="Times New Roman" w:eastAsia="Times New Roman" w:hint="default"/>
          <w:spacing w:val="-4"/>
        </w:rPr>
        <w:t>” </w:t>
      </w:r>
      <w:r>
        <w:rPr>
          <w:spacing w:val="-4"/>
        </w:rPr>
        <w:t>项目；资产负债表取消</w:t>
      </w:r>
      <w:r>
        <w:rPr>
          <w:rFonts w:ascii="Times New Roman" w:hAnsi="Times New Roman" w:cs="Times New Roman" w:eastAsia="Times New Roman" w:hint="default"/>
          <w:spacing w:val="-4"/>
        </w:rPr>
        <w:t>“</w:t>
      </w:r>
      <w:r>
        <w:rPr>
          <w:spacing w:val="-4"/>
        </w:rPr>
        <w:t>以公允价值计量且其变动计入当期损益的金融资产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可供出售金融资产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持</w:t>
      </w:r>
      <w:r>
        <w:rPr>
          <w:spacing w:val="-37"/>
        </w:rPr>
        <w:t> </w:t>
      </w:r>
      <w:r>
        <w:rPr>
          <w:spacing w:val="-3"/>
        </w:rPr>
        <w:t>有至到期投资</w:t>
      </w:r>
      <w:r>
        <w:rPr>
          <w:rFonts w:ascii="Times New Roman" w:hAnsi="Times New Roman" w:cs="Times New Roman" w:eastAsia="Times New Roman" w:hint="default"/>
          <w:spacing w:val="-3"/>
        </w:rPr>
        <w:t>”</w:t>
      </w:r>
      <w:r>
        <w:rPr>
          <w:spacing w:val="-3"/>
        </w:rPr>
        <w:t>等项目；利润表新增</w:t>
      </w:r>
      <w:r>
        <w:rPr>
          <w:rFonts w:ascii="Times New Roman" w:hAnsi="Times New Roman" w:cs="Times New Roman" w:eastAsia="Times New Roman" w:hint="default"/>
          <w:spacing w:val="-3"/>
        </w:rPr>
        <w:t>“</w:t>
      </w:r>
      <w:r>
        <w:rPr>
          <w:spacing w:val="-3"/>
        </w:rPr>
        <w:t>信用减值损失</w:t>
      </w:r>
      <w:r>
        <w:rPr>
          <w:rFonts w:ascii="Times New Roman" w:hAnsi="Times New Roman" w:cs="Times New Roman" w:eastAsia="Times New Roman" w:hint="default"/>
          <w:spacing w:val="-3"/>
        </w:rPr>
        <w:t>” </w:t>
      </w:r>
      <w:r>
        <w:rPr/>
        <w:t>项目； </w:t>
      </w:r>
      <w:r>
        <w:rPr>
          <w:spacing w:val="-4"/>
        </w:rPr>
        <w:t>将利润表</w:t>
      </w:r>
      <w:r>
        <w:rPr>
          <w:rFonts w:ascii="Times New Roman" w:hAnsi="Times New Roman" w:cs="Times New Roman" w:eastAsia="Times New Roman" w:hint="default"/>
          <w:spacing w:val="-4"/>
        </w:rPr>
        <w:t>“</w:t>
      </w:r>
      <w:r>
        <w:rPr>
          <w:spacing w:val="-4"/>
        </w:rPr>
        <w:t>减：资产减值损失</w:t>
      </w:r>
      <w:r>
        <w:rPr>
          <w:rFonts w:ascii="Times New Roman" w:hAnsi="Times New Roman" w:cs="Times New Roman" w:eastAsia="Times New Roman" w:hint="default"/>
          <w:spacing w:val="-4"/>
        </w:rPr>
        <w:t>” </w:t>
      </w:r>
      <w:r>
        <w:rPr>
          <w:spacing w:val="-4"/>
        </w:rPr>
        <w:t>调整为</w:t>
      </w:r>
      <w:r>
        <w:rPr>
          <w:rFonts w:ascii="Times New Roman" w:hAnsi="Times New Roman" w:cs="Times New Roman" w:eastAsia="Times New Roman" w:hint="default"/>
          <w:spacing w:val="-4"/>
        </w:rPr>
        <w:t>“</w:t>
      </w:r>
      <w:r>
        <w:rPr>
          <w:spacing w:val="-4"/>
        </w:rPr>
        <w:t>加：资产减值损失（损失</w:t>
      </w:r>
      <w:r>
        <w:rPr>
          <w:spacing w:val="-47"/>
        </w:rPr>
        <w:t> </w:t>
      </w:r>
      <w:r>
        <w:rPr>
          <w:spacing w:val="-47"/>
        </w:rPr>
      </w:r>
      <w:r>
        <w:rPr/>
        <w:t>以</w:t>
      </w:r>
      <w:r>
        <w:rPr>
          <w:rFonts w:ascii="Times New Roman" w:hAnsi="Times New Roman" w:cs="Times New Roman" w:eastAsia="Times New Roman" w:hint="default"/>
        </w:rPr>
        <w:t>“</w:t>
      </w:r>
      <w:r>
        <w:rPr>
          <w:rFonts w:ascii="Times New Roman" w:hAnsi="Times New Roman" w:cs="Times New Roman" w:eastAsia="Times New Roman" w:hint="default"/>
        </w:rPr>
        <w:t>-</w:t>
      </w:r>
      <w:r>
        <w:rPr>
          <w:rFonts w:ascii="Times New Roman" w:hAnsi="Times New Roman" w:cs="Times New Roman" w:eastAsia="Times New Roman" w:hint="default"/>
        </w:rPr>
        <w:t>” </w:t>
      </w:r>
      <w:r>
        <w:rPr/>
        <w:t>列示）</w:t>
      </w:r>
      <w:r>
        <w:rPr>
          <w:rFonts w:ascii="Times New Roman" w:hAnsi="Times New Roman" w:cs="Times New Roman" w:eastAsia="Times New Roman" w:hint="default"/>
        </w:rPr>
        <w:t>”</w:t>
      </w:r>
      <w:r>
        <w:rPr/>
        <w:t>； </w:t>
      </w:r>
      <w:r>
        <w:rPr>
          <w:spacing w:val="-3"/>
        </w:rPr>
        <w:t>新增</w:t>
      </w:r>
      <w:r>
        <w:rPr>
          <w:rFonts w:ascii="Times New Roman" w:hAnsi="Times New Roman" w:cs="Times New Roman" w:eastAsia="Times New Roman" w:hint="default"/>
          <w:spacing w:val="-3"/>
        </w:rPr>
        <w:t>“</w:t>
      </w:r>
      <w:r>
        <w:rPr>
          <w:spacing w:val="-3"/>
        </w:rPr>
        <w:t>以摊余成本计量的金融资产终止确认收益</w:t>
      </w:r>
      <w:r>
        <w:rPr>
          <w:rFonts w:ascii="Times New Roman" w:hAnsi="Times New Roman" w:cs="Times New Roman" w:eastAsia="Times New Roman" w:hint="default"/>
          <w:spacing w:val="-3"/>
        </w:rPr>
        <w:t>”</w:t>
      </w:r>
      <w:r>
        <w:rPr>
          <w:spacing w:val="-3"/>
        </w:rPr>
        <w:t>项目；现金流量表项目，企业实际收到的政府补助，无论</w:t>
      </w:r>
      <w:r>
        <w:rPr>
          <w:spacing w:val="-38"/>
        </w:rPr>
        <w:t> </w:t>
      </w:r>
      <w:r>
        <w:rPr>
          <w:spacing w:val="-38"/>
        </w:rPr>
      </w:r>
      <w:r>
        <w:rPr>
          <w:spacing w:val="-3"/>
        </w:rPr>
        <w:t>是与资产相关的还是与收益相关，均在</w:t>
      </w:r>
      <w:r>
        <w:rPr>
          <w:rFonts w:ascii="Times New Roman" w:hAnsi="Times New Roman" w:cs="Times New Roman" w:eastAsia="Times New Roman" w:hint="default"/>
          <w:spacing w:val="-3"/>
        </w:rPr>
        <w:t>“</w:t>
      </w:r>
      <w:r>
        <w:rPr>
          <w:spacing w:val="-3"/>
        </w:rPr>
        <w:t>收到的其他与经营活动有关的现金</w:t>
      </w:r>
      <w:r>
        <w:rPr>
          <w:rFonts w:ascii="Times New Roman" w:hAnsi="Times New Roman" w:cs="Times New Roman" w:eastAsia="Times New Roman" w:hint="default"/>
          <w:spacing w:val="-3"/>
        </w:rPr>
        <w:t>” </w:t>
      </w:r>
      <w:r>
        <w:rPr>
          <w:spacing w:val="-4"/>
        </w:rPr>
        <w:t>项目填列；所有者权益变动表，新增</w:t>
      </w:r>
      <w:r>
        <w:rPr>
          <w:rFonts w:ascii="Times New Roman" w:hAnsi="Times New Roman" w:cs="Times New Roman" w:eastAsia="Times New Roman" w:hint="default"/>
          <w:spacing w:val="-4"/>
        </w:rPr>
        <w:t>“</w:t>
      </w:r>
      <w:r>
        <w:rPr>
          <w:spacing w:val="-4"/>
        </w:rPr>
        <w:t>其他权益</w:t>
      </w:r>
      <w:r>
        <w:rPr>
          <w:spacing w:val="-41"/>
        </w:rPr>
        <w:t> </w:t>
      </w:r>
      <w:r>
        <w:rPr>
          <w:spacing w:val="-41"/>
        </w:rPr>
      </w:r>
      <w:r>
        <w:rPr/>
        <w:t>工具持有者投入资本</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spacing w:val="-3"/>
        </w:rPr>
        <w:t>项目。公司将对财务报表相关项目进行列报调整，并对可比会计期间的比较数据相应进行调整。</w:t>
      </w:r>
    </w:p>
    <w:p>
      <w:pPr>
        <w:pStyle w:val="BodyText"/>
        <w:spacing w:line="240" w:lineRule="auto" w:before="13"/>
        <w:ind w:left="633" w:right="1126"/>
        <w:jc w:val="left"/>
      </w:pPr>
      <w:r>
        <w:rPr>
          <w:spacing w:val="-3"/>
        </w:rPr>
        <w:t>本次财务报表格式调整，仅对公司财务报表列报产生影响，对公司当期及前期列报的损益、总资产、净资产不产生影</w:t>
      </w:r>
    </w:p>
    <w:p>
      <w:pPr>
        <w:pStyle w:val="BodyText"/>
        <w:spacing w:line="240" w:lineRule="auto" w:before="76"/>
        <w:ind w:right="1126"/>
        <w:jc w:val="left"/>
      </w:pPr>
      <w:r>
        <w:rPr/>
        <w:t>响。</w:t>
      </w:r>
    </w:p>
    <w:p>
      <w:pPr>
        <w:pStyle w:val="BodyText"/>
        <w:spacing w:line="240" w:lineRule="auto" w:before="76"/>
        <w:ind w:left="633" w:right="0"/>
        <w:jc w:val="left"/>
      </w:pPr>
      <w:r>
        <w:rPr>
          <w:w w:val="101"/>
        </w:rPr>
        <w:t>②</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w w:val="101"/>
        </w:rPr>
        <w:t>年</w:t>
      </w:r>
      <w:r>
        <w:rPr>
          <w:rFonts w:ascii="Times New Roman" w:hAnsi="Times New Roman" w:cs="Times New Roman" w:eastAsia="Times New Roman" w:hint="default"/>
          <w:spacing w:val="-5"/>
          <w:w w:val="101"/>
        </w:rPr>
        <w:t>5</w:t>
      </w:r>
      <w:r>
        <w:rPr>
          <w:w w:val="101"/>
        </w:rPr>
        <w:t>月</w:t>
      </w:r>
      <w:r>
        <w:rPr>
          <w:rFonts w:ascii="Times New Roman" w:hAnsi="Times New Roman" w:cs="Times New Roman" w:eastAsia="Times New Roman" w:hint="default"/>
          <w:spacing w:val="-5"/>
          <w:w w:val="101"/>
        </w:rPr>
        <w:t>9</w:t>
      </w:r>
      <w:r>
        <w:rPr>
          <w:w w:val="101"/>
        </w:rPr>
        <w:t>日</w:t>
      </w:r>
      <w:r>
        <w:rPr>
          <w:spacing w:val="-58"/>
          <w:w w:val="101"/>
        </w:rPr>
        <w:t>，</w:t>
      </w:r>
      <w:r>
        <w:rPr>
          <w:spacing w:val="-5"/>
          <w:w w:val="101"/>
        </w:rPr>
        <w:t>财</w:t>
      </w:r>
      <w:r>
        <w:rPr>
          <w:w w:val="101"/>
        </w:rPr>
        <w:t>政</w:t>
      </w:r>
      <w:r>
        <w:rPr>
          <w:spacing w:val="-5"/>
          <w:w w:val="101"/>
        </w:rPr>
        <w:t>部</w:t>
      </w:r>
      <w:r>
        <w:rPr>
          <w:w w:val="101"/>
        </w:rPr>
        <w:t>颁</w:t>
      </w:r>
      <w:r>
        <w:rPr>
          <w:spacing w:val="-5"/>
          <w:w w:val="101"/>
        </w:rPr>
        <w:t>布</w:t>
      </w:r>
      <w:r>
        <w:rPr>
          <w:spacing w:val="-58"/>
          <w:w w:val="101"/>
        </w:rPr>
        <w:t>了</w:t>
      </w:r>
      <w:r>
        <w:rPr>
          <w:w w:val="101"/>
        </w:rPr>
        <w:t>《</w:t>
      </w:r>
      <w:r>
        <w:rPr>
          <w:spacing w:val="-5"/>
          <w:w w:val="101"/>
        </w:rPr>
        <w:t>关</w:t>
      </w:r>
      <w:r>
        <w:rPr>
          <w:w w:val="101"/>
        </w:rPr>
        <w:t>于</w:t>
      </w:r>
      <w:r>
        <w:rPr>
          <w:spacing w:val="-5"/>
          <w:w w:val="101"/>
        </w:rPr>
        <w:t>印</w:t>
      </w:r>
      <w:r>
        <w:rPr>
          <w:w w:val="101"/>
        </w:rPr>
        <w:t>发</w:t>
      </w:r>
      <w:r>
        <w:rPr>
          <w:spacing w:val="-5"/>
          <w:w w:val="101"/>
        </w:rPr>
        <w:t>修</w:t>
      </w:r>
      <w:r>
        <w:rPr>
          <w:w w:val="101"/>
        </w:rPr>
        <w:t>订</w:t>
      </w:r>
      <w:r>
        <w:rPr>
          <w:rFonts w:ascii="Times New Roman" w:hAnsi="Times New Roman" w:cs="Times New Roman" w:eastAsia="Times New Roman" w:hint="default"/>
          <w:spacing w:val="-3"/>
          <w:w w:val="101"/>
        </w:rPr>
        <w:t>&lt;</w:t>
      </w:r>
      <w:r>
        <w:rPr>
          <w:spacing w:val="-5"/>
          <w:w w:val="101"/>
        </w:rPr>
        <w:t>企</w:t>
      </w:r>
      <w:r>
        <w:rPr>
          <w:w w:val="101"/>
        </w:rPr>
        <w:t>业</w:t>
      </w:r>
      <w:r>
        <w:rPr>
          <w:spacing w:val="-5"/>
          <w:w w:val="101"/>
        </w:rPr>
        <w:t>会</w:t>
      </w:r>
      <w:r>
        <w:rPr>
          <w:w w:val="101"/>
        </w:rPr>
        <w:t>计</w:t>
      </w:r>
      <w:r>
        <w:rPr>
          <w:spacing w:val="-5"/>
          <w:w w:val="101"/>
        </w:rPr>
        <w:t>准则</w:t>
      </w:r>
      <w:r>
        <w:rPr>
          <w:w w:val="101"/>
        </w:rPr>
        <w:t>第</w:t>
      </w:r>
      <w:r>
        <w:rPr>
          <w:spacing w:val="-18"/>
        </w:rPr>
        <w:t> </w:t>
      </w:r>
      <w:r>
        <w:rPr>
          <w:rFonts w:ascii="Times New Roman" w:hAnsi="Times New Roman" w:cs="Times New Roman" w:eastAsia="Times New Roman" w:hint="default"/>
          <w:w w:val="101"/>
        </w:rPr>
        <w:t>7</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货</w:t>
      </w:r>
      <w:r>
        <w:rPr>
          <w:w w:val="101"/>
        </w:rPr>
        <w:t>币</w:t>
      </w:r>
      <w:r>
        <w:rPr>
          <w:spacing w:val="-5"/>
          <w:w w:val="101"/>
        </w:rPr>
        <w:t>性</w:t>
      </w:r>
      <w:r>
        <w:rPr>
          <w:w w:val="101"/>
        </w:rPr>
        <w:t>资</w:t>
      </w:r>
      <w:r>
        <w:rPr>
          <w:spacing w:val="-5"/>
          <w:w w:val="101"/>
        </w:rPr>
        <w:t>产</w:t>
      </w:r>
      <w:r>
        <w:rPr>
          <w:w w:val="101"/>
        </w:rPr>
        <w:t>交换</w:t>
      </w:r>
      <w:r>
        <w:rPr>
          <w:rFonts w:ascii="Times New Roman" w:hAnsi="Times New Roman" w:cs="Times New Roman" w:eastAsia="Times New Roman" w:hint="default"/>
          <w:spacing w:val="-7"/>
          <w:w w:val="101"/>
        </w:rPr>
        <w:t>&gt;</w:t>
      </w:r>
      <w:r>
        <w:rPr>
          <w:w w:val="101"/>
        </w:rPr>
        <w:t>的</w:t>
      </w:r>
      <w:r>
        <w:rPr>
          <w:spacing w:val="-5"/>
          <w:w w:val="101"/>
        </w:rPr>
        <w:t>通</w:t>
      </w:r>
      <w:r>
        <w:rPr>
          <w:w w:val="101"/>
        </w:rPr>
        <w:t>知</w:t>
      </w:r>
      <w:r>
        <w:rPr>
          <w:spacing w:val="-116"/>
          <w:w w:val="101"/>
        </w:rPr>
        <w:t>》</w:t>
      </w:r>
      <w:r>
        <w:rPr>
          <w:w w:val="101"/>
        </w:rPr>
        <w:t>（</w:t>
      </w:r>
      <w:r>
        <w:rPr>
          <w:spacing w:val="-5"/>
          <w:w w:val="101"/>
        </w:rPr>
        <w:t>财</w:t>
      </w:r>
      <w:r>
        <w:rPr>
          <w:spacing w:val="-58"/>
          <w:w w:val="101"/>
        </w:rPr>
        <w:t>会</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9</w:t>
      </w:r>
      <w:r>
        <w:rPr>
          <w:w w:val="101"/>
        </w:rPr>
        <w:t>〕</w:t>
      </w:r>
      <w:r>
        <w:rPr/>
      </w:r>
    </w:p>
    <w:p>
      <w:pPr>
        <w:pStyle w:val="BodyText"/>
        <w:spacing w:line="300" w:lineRule="auto" w:before="63"/>
        <w:ind w:right="1126"/>
        <w:jc w:val="left"/>
      </w:pPr>
      <w:r>
        <w:rPr>
          <w:rFonts w:ascii="Times New Roman" w:hAnsi="Times New Roman" w:cs="Times New Roman" w:eastAsia="Times New Roman" w:hint="default"/>
        </w:rPr>
        <w:t>8 </w:t>
      </w:r>
      <w:r>
        <w:rPr>
          <w:spacing w:val="-3"/>
        </w:rPr>
        <w:t>号），经公司第四届董事会第二十八次（定期）会议于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 </w:t>
      </w:r>
      <w:r>
        <w:rPr>
          <w:spacing w:val="-3"/>
        </w:rPr>
        <w:t>月</w:t>
      </w:r>
      <w:r>
        <w:rPr>
          <w:rFonts w:ascii="Times New Roman" w:hAnsi="Times New Roman" w:cs="Times New Roman" w:eastAsia="Times New Roman" w:hint="default"/>
          <w:spacing w:val="-3"/>
        </w:rPr>
        <w:t>29</w:t>
      </w:r>
      <w:r>
        <w:rPr>
          <w:spacing w:val="-3"/>
        </w:rPr>
        <w:t>日批准，公司的会计政策按财会〔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8</w:t>
      </w:r>
      <w:r>
        <w:rPr>
          <w:spacing w:val="-3"/>
        </w:rPr>
        <w:t>号文件规</w:t>
      </w:r>
      <w:r>
        <w:rPr>
          <w:spacing w:val="-73"/>
        </w:rPr>
        <w:t> </w:t>
      </w:r>
      <w:r>
        <w:rPr>
          <w:spacing w:val="-73"/>
        </w:rPr>
      </w:r>
      <w:r>
        <w:rPr>
          <w:spacing w:val="-3"/>
        </w:rPr>
        <w:t>定执行。修订后的非货币性资产交换准则主要变更内容如下：</w:t>
      </w:r>
    </w:p>
    <w:p>
      <w:pPr>
        <w:pStyle w:val="BodyText"/>
        <w:spacing w:line="316" w:lineRule="auto" w:before="32"/>
        <w:ind w:right="1124" w:firstLine="480"/>
        <w:jc w:val="both"/>
      </w:pPr>
      <w:r>
        <w:rPr>
          <w:spacing w:val="-3"/>
        </w:rPr>
        <w:t>明确准则的适用范围，将应遵循其他准则的交易排除在非货币准则之外；增加规范非货币性资产交换的确认时点，即</w:t>
      </w:r>
      <w:r>
        <w:rPr>
          <w:w w:val="101"/>
        </w:rPr>
        <w:t> </w:t>
      </w:r>
      <w:r>
        <w:rPr>
          <w:spacing w:val="-4"/>
        </w:rPr>
        <w:t>换入资产应在符合资产定义并满足资产确认条件时予以确认，换出资产应在满足资产终止确认条件时终止确认；以换入资产</w:t>
      </w:r>
      <w:r>
        <w:rPr>
          <w:spacing w:val="43"/>
        </w:rPr>
        <w:t> </w:t>
      </w:r>
      <w:r>
        <w:rPr>
          <w:spacing w:val="43"/>
        </w:rPr>
      </w:r>
      <w:r>
        <w:rPr>
          <w:spacing w:val="-3"/>
        </w:rPr>
        <w:t>的公允价值为首选进行会计处理。公司执行上述准则在报告期内无重大影响。</w:t>
      </w:r>
    </w:p>
    <w:p>
      <w:pPr>
        <w:pStyle w:val="BodyText"/>
        <w:spacing w:line="300" w:lineRule="auto" w:before="19"/>
        <w:ind w:right="1126" w:firstLine="480"/>
        <w:jc w:val="left"/>
      </w:pPr>
      <w:r>
        <w:rPr>
          <w:spacing w:val="-3"/>
        </w:rPr>
        <w:t>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日，财政部颁布了《关于印发修订</w:t>
      </w:r>
      <w:r>
        <w:rPr>
          <w:rFonts w:ascii="Times New Roman" w:hAnsi="Times New Roman" w:cs="Times New Roman" w:eastAsia="Times New Roman" w:hint="default"/>
          <w:spacing w:val="-3"/>
        </w:rPr>
        <w:t>&lt;</w:t>
      </w:r>
      <w:r>
        <w:rPr>
          <w:spacing w:val="-3"/>
        </w:rPr>
        <w:t>企业会计准则第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债务重组</w:t>
      </w:r>
      <w:r>
        <w:rPr>
          <w:rFonts w:ascii="Times New Roman" w:hAnsi="Times New Roman" w:cs="Times New Roman" w:eastAsia="Times New Roman" w:hint="default"/>
          <w:spacing w:val="-3"/>
        </w:rPr>
        <w:t>&gt;</w:t>
      </w:r>
      <w:r>
        <w:rPr>
          <w:spacing w:val="-3"/>
        </w:rPr>
        <w:t>的通知》（财会〔</w:t>
      </w:r>
      <w:r>
        <w:rPr>
          <w:spacing w:val="39"/>
        </w:rPr>
        <w:t> </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rFonts w:ascii="Times New Roman" w:hAnsi="Times New Roman" w:cs="Times New Roman" w:eastAsia="Times New Roman" w:hint="default"/>
          <w:w w:val="101"/>
        </w:rPr>
        <w:t> </w:t>
      </w:r>
      <w:r>
        <w:rPr>
          <w:spacing w:val="-4"/>
        </w:rPr>
        <w:t>号），经公司第四届董事会第二十八次（定期）会议于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29</w:t>
      </w:r>
      <w:r>
        <w:rPr>
          <w:spacing w:val="-4"/>
        </w:rPr>
        <w:t>日批准，公司的会计政策按财会〔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9</w:t>
      </w:r>
      <w:r>
        <w:rPr>
          <w:spacing w:val="-4"/>
        </w:rPr>
        <w:t>号文件规定执</w:t>
      </w:r>
      <w:r>
        <w:rPr>
          <w:spacing w:val="61"/>
        </w:rPr>
        <w:t> </w:t>
      </w:r>
      <w:r>
        <w:rPr>
          <w:spacing w:val="61"/>
        </w:rPr>
      </w:r>
      <w:r>
        <w:rPr>
          <w:spacing w:val="-3"/>
        </w:rPr>
        <w:t>行。修订后的债务重组的会计准则主要变更内容如下：</w:t>
      </w:r>
    </w:p>
    <w:p>
      <w:pPr>
        <w:pStyle w:val="BodyText"/>
        <w:spacing w:line="314" w:lineRule="auto" w:before="32"/>
        <w:ind w:right="1126" w:firstLine="480"/>
        <w:jc w:val="left"/>
      </w:pPr>
      <w:r>
        <w:rPr>
          <w:spacing w:val="-3"/>
        </w:rPr>
        <w:t>在债务重组定义方面，强调重新达成协议，不再强调债务人发生财务困难、债权人作出让步，将重组债权和债务指定</w:t>
      </w:r>
      <w:r>
        <w:rPr>
          <w:w w:val="101"/>
        </w:rPr>
        <w:t> </w:t>
      </w:r>
      <w:r>
        <w:rPr>
          <w:spacing w:val="-3"/>
        </w:rPr>
        <w:t>为《企业会计准则第 </w:t>
      </w:r>
      <w:r>
        <w:rPr>
          <w:rFonts w:ascii="Times New Roman" w:hAnsi="Times New Roman" w:cs="Times New Roman" w:eastAsia="Times New Roman" w:hint="default"/>
        </w:rPr>
        <w:t>22 </w:t>
      </w:r>
      <w:r>
        <w:rPr>
          <w:spacing w:val="-3"/>
        </w:rPr>
        <w:t>号</w:t>
      </w:r>
      <w:r>
        <w:rPr>
          <w:rFonts w:ascii="Times New Roman" w:hAnsi="Times New Roman" w:cs="Times New Roman" w:eastAsia="Times New Roman" w:hint="default"/>
          <w:spacing w:val="-3"/>
        </w:rPr>
        <w:t>-</w:t>
      </w:r>
      <w:r>
        <w:rPr>
          <w:spacing w:val="-3"/>
        </w:rPr>
        <w:t>金融工具确认和计量》规范的金融工具范畴。重组债权和债务的会计处理规定与新金融工具准</w:t>
      </w:r>
      <w:r>
        <w:rPr>
          <w:spacing w:val="-16"/>
        </w:rPr>
        <w:t> </w:t>
      </w:r>
      <w:r>
        <w:rPr>
          <w:spacing w:val="-16"/>
        </w:rPr>
      </w:r>
      <w:r>
        <w:rPr>
          <w:spacing w:val="-4"/>
        </w:rPr>
        <w:t>则相互呼应；对以非现金资产清偿债务方式进行债务重组的，明确了债权人初始确认受让的金融资产以外的资产时的成本计</w:t>
      </w:r>
      <w:r>
        <w:rPr>
          <w:spacing w:val="38"/>
        </w:rPr>
        <w:t> </w:t>
      </w:r>
      <w:r>
        <w:rPr>
          <w:spacing w:val="38"/>
        </w:rPr>
      </w:r>
      <w:r>
        <w:rPr>
          <w:spacing w:val="-4"/>
        </w:rPr>
        <w:t>量原则；明确了债权人放弃债权采用公允价值计量；信息披露方面删除了对或有应收和或有应付的披露、公允价值的确定方</w:t>
      </w:r>
      <w:r>
        <w:rPr>
          <w:spacing w:val="43"/>
        </w:rPr>
        <w:t> </w:t>
      </w:r>
      <w:r>
        <w:rPr>
          <w:spacing w:val="43"/>
        </w:rPr>
      </w:r>
      <w:r>
        <w:rPr>
          <w:spacing w:val="-4"/>
        </w:rPr>
        <w:t>法及依据，对债权人增加了债务重组导致的对联营或合营企业的权益性投资增加额及投资比例的披露，对债务人增加了债务</w:t>
      </w:r>
      <w:r>
        <w:rPr>
          <w:spacing w:val="43"/>
        </w:rPr>
        <w:t> </w:t>
      </w:r>
      <w:r>
        <w:rPr>
          <w:spacing w:val="43"/>
        </w:rPr>
      </w:r>
      <w:r>
        <w:rPr>
          <w:spacing w:val="-3"/>
        </w:rPr>
        <w:t>重组导致的股本等所有者权益增加额的披露。公司执行上述准则在报告期内无重大影响。</w:t>
      </w:r>
    </w:p>
    <w:p>
      <w:pPr>
        <w:pStyle w:val="BodyText"/>
        <w:spacing w:line="300" w:lineRule="auto" w:before="20"/>
        <w:ind w:right="1122" w:firstLine="480"/>
        <w:jc w:val="both"/>
      </w:pPr>
      <w:r>
        <w:rPr>
          <w:spacing w:val="-3"/>
        </w:rPr>
        <w:t>④</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19</w:t>
      </w:r>
      <w:r>
        <w:rPr>
          <w:spacing w:val="-3"/>
        </w:rPr>
        <w:t>日，财政部颁布了关于修订印发合并财务报表格式（</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0"/>
        </w:rPr>
        <w:t> </w:t>
      </w:r>
      <w:r>
        <w:rPr>
          <w:spacing w:val="-3"/>
        </w:rPr>
        <w:t>版）的通知》（财会〔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16</w:t>
      </w:r>
      <w:r>
        <w:rPr>
          <w:spacing w:val="-3"/>
        </w:rPr>
        <w:t>号），经公</w:t>
      </w:r>
      <w:r>
        <w:rPr>
          <w:w w:val="101"/>
        </w:rPr>
        <w:t> </w:t>
      </w:r>
      <w:r>
        <w:rPr>
          <w:spacing w:val="-4"/>
        </w:rPr>
        <w:t>司第五届董事会第二次（临时）会议于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24</w:t>
      </w:r>
      <w:r>
        <w:rPr>
          <w:spacing w:val="-4"/>
        </w:rPr>
        <w:t>日批准，公司的会计政策按财会〔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16</w:t>
      </w:r>
      <w:r>
        <w:rPr>
          <w:spacing w:val="-4"/>
        </w:rPr>
        <w:t>号文件规定执行。本次合并</w:t>
      </w:r>
      <w:r>
        <w:rPr>
          <w:spacing w:val="68"/>
        </w:rPr>
        <w:t> </w:t>
      </w:r>
      <w:r>
        <w:rPr>
          <w:spacing w:val="68"/>
        </w:rPr>
      </w:r>
      <w:r>
        <w:rPr>
          <w:spacing w:val="-3"/>
        </w:rPr>
        <w:t>财务报表格式的主要变动如下：</w:t>
      </w:r>
    </w:p>
    <w:p>
      <w:pPr>
        <w:pStyle w:val="BodyText"/>
        <w:spacing w:line="300" w:lineRule="auto" w:before="31"/>
        <w:ind w:right="1126" w:firstLine="480"/>
        <w:jc w:val="left"/>
      </w:pPr>
      <w:r>
        <w:rPr>
          <w:spacing w:val="-3"/>
        </w:rPr>
        <w:t>根据新租赁准则和新金融准则等规定，在原合并资产负债表中增加了</w:t>
      </w:r>
      <w:r>
        <w:rPr>
          <w:rFonts w:ascii="Times New Roman" w:hAnsi="Times New Roman" w:cs="Times New Roman" w:eastAsia="Times New Roman" w:hint="default"/>
          <w:spacing w:val="-3"/>
        </w:rPr>
        <w:t>“</w:t>
      </w:r>
      <w:r>
        <w:rPr>
          <w:spacing w:val="-3"/>
        </w:rPr>
        <w:t>使用权资产</w:t>
      </w:r>
      <w:r>
        <w:rPr>
          <w:rFonts w:ascii="Times New Roman" w:hAnsi="Times New Roman" w:cs="Times New Roman" w:eastAsia="Times New Roman" w:hint="default"/>
          <w:spacing w:val="-3"/>
        </w:rPr>
        <w:t>”“</w:t>
      </w:r>
      <w:r>
        <w:rPr>
          <w:spacing w:val="-3"/>
        </w:rPr>
        <w:t>租赁负债</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 </w:t>
      </w:r>
      <w:r>
        <w:rPr>
          <w:spacing w:val="-5"/>
        </w:rPr>
        <w:t>等行项目，在原合并利</w:t>
      </w:r>
      <w:r>
        <w:rPr>
          <w:w w:val="101"/>
        </w:rPr>
        <w:t> </w:t>
      </w:r>
      <w:r>
        <w:rPr/>
        <w:t>润表中</w:t>
      </w:r>
      <w:r>
        <w:rPr>
          <w:rFonts w:ascii="Times New Roman" w:hAnsi="Times New Roman" w:cs="Times New Roman" w:eastAsia="Times New Roman" w:hint="default"/>
        </w:rPr>
        <w:t>“</w:t>
      </w:r>
      <w:r>
        <w:rPr/>
        <w:t>投资收益</w:t>
      </w:r>
      <w:r>
        <w:rPr>
          <w:rFonts w:ascii="Times New Roman" w:hAnsi="Times New Roman" w:cs="Times New Roman" w:eastAsia="Times New Roman" w:hint="default"/>
        </w:rPr>
        <w:t>” </w:t>
      </w:r>
      <w:r>
        <w:rPr>
          <w:spacing w:val="-3"/>
        </w:rPr>
        <w:t>行项目下增加了</w:t>
      </w:r>
      <w:r>
        <w:rPr>
          <w:rFonts w:ascii="Times New Roman" w:hAnsi="Times New Roman" w:cs="Times New Roman" w:eastAsia="Times New Roman" w:hint="default"/>
          <w:spacing w:val="-3"/>
        </w:rPr>
        <w:t>“</w:t>
      </w:r>
      <w:r>
        <w:rPr>
          <w:spacing w:val="-3"/>
        </w:rPr>
        <w:t>其中：以摊余成本计量的金融资产终止确认收益</w:t>
      </w:r>
      <w:r>
        <w:rPr>
          <w:rFonts w:ascii="Times New Roman" w:hAnsi="Times New Roman" w:cs="Times New Roman" w:eastAsia="Times New Roman" w:hint="default"/>
          <w:spacing w:val="-3"/>
        </w:rPr>
        <w:t>” </w:t>
      </w:r>
      <w:r>
        <w:rPr>
          <w:spacing w:val="-3"/>
        </w:rPr>
        <w:t>行项目；结合企业会计准则实施有关</w:t>
      </w:r>
      <w:r>
        <w:rPr>
          <w:spacing w:val="-78"/>
        </w:rPr>
        <w:t> </w:t>
      </w:r>
      <w:r>
        <w:rPr>
          <w:spacing w:val="-78"/>
        </w:rPr>
      </w:r>
      <w:r>
        <w:rPr>
          <w:spacing w:val="-5"/>
          <w:w w:val="101"/>
        </w:rPr>
        <w:t>情况调整了部分项目，将原合并资产负债表中的</w:t>
      </w:r>
      <w:r>
        <w:rPr>
          <w:rFonts w:ascii="Times New Roman" w:hAnsi="Times New Roman" w:cs="Times New Roman" w:eastAsia="Times New Roman" w:hint="default"/>
          <w:spacing w:val="-5"/>
          <w:w w:val="101"/>
        </w:rPr>
        <w:t>“</w:t>
      </w:r>
      <w:r>
        <w:rPr>
          <w:spacing w:val="-5"/>
          <w:w w:val="101"/>
        </w:rPr>
        <w:t>应收票据及应收账款</w:t>
      </w:r>
      <w:r>
        <w:rPr>
          <w:rFonts w:ascii="Times New Roman" w:hAnsi="Times New Roman" w:cs="Times New Roman" w:eastAsia="Times New Roman" w:hint="default"/>
          <w:spacing w:val="-5"/>
          <w:w w:val="101"/>
        </w:rPr>
        <w:t>”</w:t>
      </w:r>
      <w:r>
        <w:rPr>
          <w:rFonts w:ascii="Times New Roman" w:hAnsi="Times New Roman" w:cs="Times New Roman" w:eastAsia="Times New Roman" w:hint="default"/>
          <w:w w:val="101"/>
        </w:rPr>
        <w:t> </w:t>
      </w:r>
      <w:r>
        <w:rPr>
          <w:spacing w:val="-3"/>
          <w:w w:val="101"/>
        </w:rPr>
        <w:t>行项目分拆为</w:t>
      </w:r>
      <w:r>
        <w:rPr>
          <w:rFonts w:ascii="Times New Roman" w:hAnsi="Times New Roman" w:cs="Times New Roman" w:eastAsia="Times New Roman" w:hint="default"/>
          <w:spacing w:val="-3"/>
          <w:w w:val="101"/>
        </w:rPr>
        <w:t>“</w:t>
      </w:r>
      <w:r>
        <w:rPr>
          <w:spacing w:val="-3"/>
          <w:w w:val="101"/>
        </w:rPr>
        <w:t>应收票据</w:t>
      </w:r>
      <w:r>
        <w:rPr>
          <w:rFonts w:ascii="Times New Roman" w:hAnsi="Times New Roman" w:cs="Times New Roman" w:eastAsia="Times New Roman" w:hint="default"/>
          <w:spacing w:val="-3"/>
          <w:w w:val="101"/>
        </w:rPr>
        <w:t>”“</w:t>
      </w:r>
      <w:r>
        <w:rPr>
          <w:spacing w:val="-3"/>
          <w:w w:val="101"/>
        </w:rPr>
        <w:t>应收账款</w:t>
      </w:r>
      <w:r>
        <w:rPr>
          <w:rFonts w:ascii="Times New Roman" w:hAnsi="Times New Roman" w:cs="Times New Roman" w:eastAsia="Times New Roman" w:hint="default"/>
          <w:spacing w:val="-3"/>
          <w:w w:val="101"/>
        </w:rPr>
        <w:t>”“</w:t>
      </w:r>
      <w:r>
        <w:rPr>
          <w:spacing w:val="-3"/>
          <w:w w:val="101"/>
        </w:rPr>
        <w:t>应收款项融资</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spacing w:val="-34"/>
          <w:w w:val="101"/>
        </w:rPr>
        <w:t> </w:t>
      </w:r>
      <w:r>
        <w:rPr>
          <w:spacing w:val="-3"/>
        </w:rPr>
        <w:t>三个行项目，将</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 </w:t>
      </w:r>
      <w:r>
        <w:rPr>
          <w:spacing w:val="-3"/>
        </w:rPr>
        <w:t>行项目分拆为</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 </w:t>
      </w:r>
      <w:r>
        <w:rPr>
          <w:spacing w:val="-3"/>
        </w:rPr>
        <w:t>两个行项目，将原合并利润表中</w:t>
      </w:r>
      <w:r>
        <w:rPr>
          <w:rFonts w:ascii="Times New Roman" w:hAnsi="Times New Roman" w:cs="Times New Roman" w:eastAsia="Times New Roman" w:hint="default"/>
          <w:spacing w:val="-3"/>
        </w:rPr>
        <w:t>“</w:t>
      </w:r>
      <w:r>
        <w:rPr>
          <w:spacing w:val="-3"/>
        </w:rPr>
        <w:t>资产减值损</w:t>
      </w:r>
      <w:r>
        <w:rPr>
          <w:spacing w:val="-40"/>
        </w:rPr>
        <w:t> </w:t>
      </w:r>
      <w:r>
        <w:rPr>
          <w:spacing w:val="-40"/>
        </w:rPr>
      </w:r>
      <w:r>
        <w:rPr/>
        <w:t>失</w:t>
      </w:r>
      <w:r>
        <w:rPr>
          <w:rFonts w:ascii="Times New Roman" w:hAnsi="Times New Roman" w:cs="Times New Roman" w:eastAsia="Times New Roman" w:hint="default"/>
        </w:rPr>
        <w:t>”“</w:t>
      </w:r>
      <w:r>
        <w:rPr/>
        <w:t>信用减值损失</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3"/>
        </w:rPr>
        <w:t>行项目的列报行次进行了调整，删除了原合并现金流量表中</w:t>
      </w:r>
      <w:r>
        <w:rPr>
          <w:rFonts w:ascii="Times New Roman" w:hAnsi="Times New Roman" w:cs="Times New Roman" w:eastAsia="Times New Roman" w:hint="default"/>
          <w:spacing w:val="-3"/>
        </w:rPr>
        <w:t>“</w:t>
      </w:r>
      <w:r>
        <w:rPr>
          <w:spacing w:val="-3"/>
        </w:rPr>
        <w:t>为交易目的而持有的金融资产净增加</w:t>
      </w:r>
    </w:p>
    <w:p>
      <w:pPr>
        <w:pStyle w:val="BodyText"/>
        <w:spacing w:line="300" w:lineRule="auto" w:before="13"/>
        <w:ind w:right="1118"/>
        <w:jc w:val="left"/>
      </w:pPr>
      <w:r>
        <w:rPr>
          <w:spacing w:val="-2"/>
          <w:w w:val="101"/>
        </w:rPr>
        <w:t>额</w:t>
      </w:r>
      <w:r>
        <w:rPr>
          <w:rFonts w:ascii="Times New Roman" w:hAnsi="Times New Roman" w:cs="Times New Roman" w:eastAsia="Times New Roman" w:hint="default"/>
          <w:spacing w:val="-2"/>
          <w:w w:val="101"/>
        </w:rPr>
        <w:t>”“</w:t>
      </w:r>
      <w:r>
        <w:rPr>
          <w:spacing w:val="-2"/>
          <w:w w:val="101"/>
        </w:rPr>
        <w:t>发行债券收到的现金</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29"/>
          <w:w w:val="101"/>
        </w:rPr>
        <w:t> </w:t>
      </w:r>
      <w:r>
        <w:rPr>
          <w:spacing w:val="-5"/>
          <w:w w:val="101"/>
        </w:rPr>
        <w:t>等行项目，在原合并资产负债表和合并所有者权益变动表中分别增加了</w:t>
      </w:r>
      <w:r>
        <w:rPr>
          <w:rFonts w:ascii="Times New Roman" w:hAnsi="Times New Roman" w:cs="Times New Roman" w:eastAsia="Times New Roman" w:hint="default"/>
          <w:spacing w:val="-5"/>
          <w:w w:val="101"/>
        </w:rPr>
        <w:t>“</w:t>
      </w:r>
      <w:r>
        <w:rPr>
          <w:spacing w:val="-5"/>
          <w:w w:val="101"/>
        </w:rPr>
        <w:t>专项储备</w:t>
      </w:r>
      <w:r>
        <w:rPr>
          <w:rFonts w:ascii="Times New Roman" w:hAnsi="Times New Roman" w:cs="Times New Roman" w:eastAsia="Times New Roman" w:hint="default"/>
          <w:spacing w:val="-5"/>
          <w:w w:val="101"/>
        </w:rPr>
        <w:t>”</w:t>
      </w:r>
      <w:r>
        <w:rPr>
          <w:rFonts w:ascii="Times New Roman" w:hAnsi="Times New Roman" w:cs="Times New Roman" w:eastAsia="Times New Roman" w:hint="default"/>
          <w:spacing w:val="28"/>
          <w:w w:val="101"/>
        </w:rPr>
        <w:t> </w:t>
      </w:r>
      <w:r>
        <w:rPr>
          <w:spacing w:val="-2"/>
          <w:w w:val="101"/>
        </w:rPr>
        <w:t>行项目和列项</w:t>
      </w:r>
      <w:r>
        <w:rPr>
          <w:spacing w:val="-90"/>
          <w:w w:val="101"/>
        </w:rPr>
        <w:t> </w:t>
      </w:r>
      <w:r>
        <w:rPr>
          <w:spacing w:val="-90"/>
          <w:w w:val="101"/>
        </w:rPr>
      </w:r>
      <w:r>
        <w:rPr/>
        <w:t>目。</w:t>
      </w:r>
    </w:p>
    <w:p>
      <w:pPr>
        <w:pStyle w:val="BodyText"/>
        <w:spacing w:line="316" w:lineRule="auto" w:before="32"/>
        <w:ind w:right="0" w:firstLine="360"/>
        <w:jc w:val="left"/>
      </w:pPr>
      <w:r>
        <w:rPr/>
        <w:t>本次合并财务报表格式调整，仅对公司合并财务报表列报产生影响，</w:t>
      </w:r>
      <w:r>
        <w:rPr>
          <w:spacing w:val="53"/>
        </w:rPr>
        <w:t> </w:t>
      </w:r>
      <w:r>
        <w:rPr>
          <w:spacing w:val="-3"/>
        </w:rPr>
        <w:t>不涉及对公司以前年度的追溯调整，对公司当期</w:t>
      </w:r>
      <w:r>
        <w:rPr>
          <w:w w:val="101"/>
        </w:rPr>
        <w:t> </w:t>
      </w:r>
      <w:r>
        <w:rPr>
          <w:spacing w:val="-3"/>
        </w:rPr>
        <w:t>及前期列报的总资产、净资产、净利润等相关财务指标无实质性影响。</w:t>
      </w:r>
    </w:p>
    <w:p>
      <w:pPr>
        <w:spacing w:after="0" w:line="316" w:lineRule="auto"/>
        <w:jc w:val="left"/>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2）重要会计估计变更" w:id="232"/>
      <w:bookmarkEnd w:id="23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33"/>
      <w:bookmarkEnd w:id="233"/>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474" w:top="1060" w:bottom="1660" w:left="980" w:right="0"/>
        </w:sectPr>
      </w:pPr>
    </w:p>
    <w:p>
      <w:pPr>
        <w:pStyle w:val="BodyText"/>
        <w:spacing w:line="240" w:lineRule="auto" w:before="46"/>
        <w:ind w:right="-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Heading3"/>
        <w:spacing w:line="240" w:lineRule="auto" w:before="75"/>
        <w:ind w:right="-18"/>
        <w:jc w:val="left"/>
        <w:rPr>
          <w:b w:val="0"/>
          <w:bCs w:val="0"/>
        </w:rPr>
      </w:pPr>
      <w:r>
        <w:rPr/>
        <w:t>合并资产负债表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620" w:bottom="280" w:left="980" w:right="0"/>
          <w:cols w:num="2" w:equalWidth="0">
            <w:col w:w="1632" w:space="7290"/>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4"/>
        <w:gridCol w:w="1712"/>
        <w:gridCol w:w="1844"/>
        <w:gridCol w:w="1488"/>
      </w:tblGrid>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3,237,345,929.00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2,921,075,929.00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-316,270,000.00</w:t>
            </w: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994,238,239.73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994,238,239.73</w:t>
            </w: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217,968,239.73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-217,968,239.73</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309,101,965.50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309,101,965.50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1,584,363,693.49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1,584,363,693.49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575,808,804.89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575,808,804.89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118,509,117.74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118,509,117.74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14,425,278.68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14,425,278.68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2,355,193,580.31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2,355,193,580.31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484,830,906.12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134,830,906.12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8,883,122,236.78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8,993,122,236.78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110,000,000.00</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620" w:bottom="2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514"/>
        <w:gridCol w:w="1712"/>
        <w:gridCol w:w="1844"/>
        <w:gridCol w:w="1488"/>
      </w:tblGrid>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919,312,251.62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915,275,597.96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-4,036,653.66</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216,660,954.98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-216,660,954.98</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32,738,065.61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32,738,065.61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86,660,954.98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86,660,954.98</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15,782,914.57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15,782,914.57</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25,596,956.89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25,596,956.89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3,674,103.39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3,674,103.39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8,961,863.25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8,961,863.25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123,379,887.80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124,389,051.22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1,009,163.42</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18,000,000.00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2"/>
                <w:sz w:val="18"/>
              </w:rPr>
              <w:t>1,364,106,998.11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1,261,079,507.87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-103,027,490.24</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10,247,229,234.89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10,254,201,744.65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6,972,509.76</w:t>
            </w: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3,636,967,774.36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3,636,967,774.36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176,250,914.20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176,250,914.20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514,975,304.31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514,975,304.31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514"/>
        <w:gridCol w:w="1712"/>
        <w:gridCol w:w="1844"/>
        <w:gridCol w:w="1488"/>
      </w:tblGrid>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54,283,208.38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54,283,208.38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94,349,902.97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94,349,902.97</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58,080,015.91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58,080,015.91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15,900,631.65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15,900,631.65</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2"/>
                <w:sz w:val="18"/>
              </w:rPr>
              <w:t>4,534,907,120.13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4,534,907,120.13</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599,248,224.96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599,248,224.96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1,238,454.00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1,238,454.00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2,754,489.04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5,254,489.04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603,241,168.00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605,741,168.00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5,138,148,288.13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5,140,648,288.13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1,239,281,806.00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1,239,281,806.00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526"/>
        <w:gridCol w:w="1712"/>
        <w:gridCol w:w="1844"/>
        <w:gridCol w:w="1488"/>
      </w:tblGrid>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1,621,822,728.69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1,621,822,728.69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2,451,085.97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-304,761,816.94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-307,212,902.91</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12"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264,724,184.43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264,724,184.43</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16,782,143.96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16,782,143.96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1,776,746,860.02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2,089,915,742.91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313,168,882.89</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4,921,808,809.07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4,927,764,789.05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5,955,979.98</w:t>
            </w: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187,272,137.69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185,788,667.47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-1,483,470.22</w:t>
            </w: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5,109,080,946.76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2"/>
                <w:sz w:val="18"/>
              </w:rPr>
              <w:t>5,113,553,456.52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4,472,509.76</w:t>
            </w:r>
          </w:p>
        </w:tc>
      </w:tr>
      <w:tr>
        <w:trPr>
          <w:trHeight w:val="404"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10,247,229,234.89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10,254,201,744.65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6,972,509.76</w:t>
            </w:r>
          </w:p>
        </w:tc>
      </w:tr>
    </w:tbl>
    <w:p>
      <w:pPr>
        <w:pStyle w:val="BodyText"/>
        <w:spacing w:line="307" w:lineRule="auto" w:before="53"/>
        <w:ind w:right="1126"/>
        <w:jc w:val="left"/>
        <w:rPr>
          <w:rFonts w:ascii="宋体" w:hAnsi="宋体" w:cs="宋体" w:eastAsia="宋体" w:hint="default"/>
          <w:sz w:val="21"/>
          <w:szCs w:val="21"/>
        </w:rPr>
      </w:pPr>
      <w:r>
        <w:rPr/>
        <w:t>调整说明：财政部于</w:t>
      </w:r>
      <w:r>
        <w:rPr>
          <w:spacing w:val="-27"/>
        </w:rPr>
        <w:t> </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0"/>
        </w:rPr>
        <w:t> </w:t>
      </w:r>
      <w:r>
        <w:rPr>
          <w:spacing w:val="-3"/>
        </w:rPr>
        <w:t>年颁布了新金融工具准则，并于</w:t>
      </w:r>
      <w:r>
        <w:rPr>
          <w:spacing w:val="-3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spacing w:val="-3"/>
        </w:rPr>
        <w:t>年颁布了《关于修订印发</w:t>
      </w:r>
      <w:r>
        <w:rPr>
          <w:spacing w:val="-2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spacing w:val="-3"/>
        </w:rPr>
        <w:t>年度一般企业财务报表格式</w:t>
      </w:r>
      <w:r>
        <w:rPr>
          <w:spacing w:val="-68"/>
        </w:rPr>
        <w:t> </w:t>
      </w:r>
      <w:r>
        <w:rPr>
          <w:spacing w:val="-68"/>
        </w:rPr>
      </w:r>
      <w:r>
        <w:rPr>
          <w:spacing w:val="-6"/>
        </w:rPr>
        <w:t>的通知》</w:t>
      </w:r>
      <w:r>
        <w:rPr>
          <w:rFonts w:ascii="Times New Roman" w:hAnsi="Times New Roman" w:cs="Times New Roman" w:eastAsia="Times New Roman" w:hint="default"/>
          <w:spacing w:val="-6"/>
        </w:rPr>
        <w:t>(</w:t>
      </w:r>
      <w:r>
        <w:rPr>
          <w:spacing w:val="-6"/>
        </w:rPr>
        <w:t>财会</w:t>
      </w:r>
      <w:r>
        <w:rPr>
          <w:rFonts w:ascii="Times New Roman" w:hAnsi="Times New Roman" w:cs="Times New Roman" w:eastAsia="Times New Roman" w:hint="default"/>
          <w:spacing w:val="-6"/>
        </w:rPr>
        <w:t>[2019]6 </w:t>
      </w:r>
      <w:r>
        <w:rPr>
          <w:spacing w:val="-6"/>
        </w:rPr>
        <w:t>号</w:t>
      </w:r>
      <w:r>
        <w:rPr>
          <w:rFonts w:ascii="Times New Roman" w:hAnsi="Times New Roman" w:cs="Times New Roman" w:eastAsia="Times New Roman" w:hint="default"/>
          <w:spacing w:val="-6"/>
        </w:rPr>
        <w:t>)</w:t>
      </w:r>
      <w:r>
        <w:rPr>
          <w:spacing w:val="-6"/>
        </w:rPr>
        <w:t>，本公司已按上述准则和通知要求编制 </w:t>
      </w:r>
      <w:r>
        <w:rPr>
          <w:rFonts w:ascii="Times New Roman" w:hAnsi="Times New Roman" w:cs="Times New Roman" w:eastAsia="Times New Roman" w:hint="default"/>
        </w:rPr>
        <w:t>2019 </w:t>
      </w:r>
      <w:r>
        <w:rPr>
          <w:spacing w:val="-5"/>
        </w:rPr>
        <w:t>年度合并财务报表，根据新金融工具准则的相关规定，</w:t>
      </w:r>
      <w:r>
        <w:rPr>
          <w:spacing w:val="-80"/>
        </w:rPr>
        <w:t> </w:t>
      </w:r>
      <w:r>
        <w:rPr>
          <w:spacing w:val="-80"/>
        </w:rPr>
      </w:r>
      <w:r>
        <w:rPr>
          <w:spacing w:val="-3"/>
        </w:rPr>
        <w:t>本公司对于首次执行该准则的累积影响金额调整了 </w:t>
      </w:r>
      <w:r>
        <w:rPr>
          <w:rFonts w:ascii="Times New Roman" w:hAnsi="Times New Roman" w:cs="Times New Roman" w:eastAsia="Times New Roman" w:hint="default"/>
        </w:rPr>
        <w:t>2019 </w:t>
      </w:r>
      <w:r>
        <w:rPr>
          <w:spacing w:val="-3"/>
        </w:rPr>
        <w:t>年年初合并财务报表相关项目金额，相关项目影响金额见上表。</w:t>
      </w:r>
      <w:r>
        <w:rPr>
          <w:spacing w:val="9"/>
        </w:rPr>
        <w:t> </w:t>
      </w:r>
      <w:r>
        <w:rPr>
          <w:spacing w:val="9"/>
        </w:rPr>
      </w:r>
      <w:r>
        <w:rPr>
          <w:rFonts w:ascii="宋体" w:hAnsi="宋体" w:cs="宋体" w:eastAsia="宋体" w:hint="default"/>
          <w:b/>
          <w:bCs/>
          <w:sz w:val="21"/>
          <w:szCs w:val="21"/>
        </w:rPr>
        <w:t>母公司资产负债表</w:t>
      </w:r>
      <w:r>
        <w:rPr>
          <w:rFonts w:ascii="宋体" w:hAnsi="宋体" w:cs="宋体" w:eastAsia="宋体" w:hint="default"/>
          <w:sz w:val="21"/>
          <w:szCs w:val="21"/>
        </w:rPr>
      </w:r>
    </w:p>
    <w:p>
      <w:pPr>
        <w:pStyle w:val="BodyText"/>
        <w:spacing w:line="240" w:lineRule="auto" w:before="42"/>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58"/>
        <w:gridCol w:w="1712"/>
        <w:gridCol w:w="1561"/>
        <w:gridCol w:w="1628"/>
      </w:tblGrid>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2,521,372,264.33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2,221,372,264.33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399"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867,968,239.73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867,968,239.73</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217,968,239.73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-217,968,239.73</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225,300,733.00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225,300,733.00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1,105,965,826.14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1,105,965,826.14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537,836,575.39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537,836,575.39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983,248,185.67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983,248,185.67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8,228,726.67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8,228,726.67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1,470,121,852.07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1,470,121,852.07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658"/>
        <w:gridCol w:w="1712"/>
        <w:gridCol w:w="1561"/>
        <w:gridCol w:w="1628"/>
      </w:tblGrid>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350,753,080.16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753,080.16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-350,000,000.00</w:t>
            </w: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7,412,566,756.49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7,412,566,756.49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1,742,983,416.73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1,742,983,416.73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6,925,235.24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6,925,235.24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16,807,103.03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16,807,103.03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1,440,770.08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1,440,770.08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41,773,797.32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41,773,797.32</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18,000,000.00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pacing w:val="-2"/>
                <w:sz w:val="18"/>
              </w:rPr>
              <w:t>1,827,930,322.40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8"/>
              <w:jc w:val="right"/>
              <w:rPr>
                <w:rFonts w:ascii="Times New Roman" w:hAnsi="Times New Roman" w:cs="Times New Roman" w:eastAsia="Times New Roman" w:hint="default"/>
                <w:sz w:val="18"/>
                <w:szCs w:val="18"/>
              </w:rPr>
            </w:pPr>
            <w:r>
              <w:rPr>
                <w:rFonts w:ascii="Times New Roman"/>
                <w:spacing w:val="-2"/>
                <w:sz w:val="18"/>
              </w:rPr>
              <w:t>1,827,930,322.40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9,240,497,078.89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9,240,497,078.89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2"/>
                <w:sz w:val="18"/>
              </w:rPr>
              <w:t>2,050,094,700.00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2,050,094,700.00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2"/>
                <w:sz w:val="18"/>
              </w:rPr>
              <w:t>1,335,350,000.00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1,335,350,000.00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18,984,367.53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18,984,367.53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430,422,805.51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430,422,805.51</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658"/>
        <w:gridCol w:w="1712"/>
        <w:gridCol w:w="1561"/>
        <w:gridCol w:w="1628"/>
      </w:tblGrid>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27,526,759.97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27,526,759.97</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53,218,911.70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53,218,911.70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1"/>
                <w:sz w:val="18"/>
              </w:rPr>
              <w:t>267,946,338.73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267,946,338.73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15,377,009.48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15,377,009.48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4,183,543,883.44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4,183,543,883.44</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13"/>
              <w:jc w:val="right"/>
              <w:rPr>
                <w:rFonts w:ascii="Times New Roman" w:hAnsi="Times New Roman" w:cs="Times New Roman" w:eastAsia="Times New Roman" w:hint="default"/>
                <w:sz w:val="18"/>
                <w:szCs w:val="18"/>
              </w:rPr>
            </w:pPr>
            <w:r>
              <w:rPr>
                <w:rFonts w:ascii="Times New Roman"/>
                <w:spacing w:val="-1"/>
                <w:sz w:val="18"/>
              </w:rPr>
              <w:t>599,248,224.96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8"/>
              <w:jc w:val="right"/>
              <w:rPr>
                <w:rFonts w:ascii="Times New Roman" w:hAnsi="Times New Roman" w:cs="Times New Roman" w:eastAsia="Times New Roman" w:hint="default"/>
                <w:sz w:val="18"/>
                <w:szCs w:val="18"/>
              </w:rPr>
            </w:pPr>
            <w:r>
              <w:rPr>
                <w:rFonts w:ascii="Times New Roman"/>
                <w:spacing w:val="-1"/>
                <w:sz w:val="18"/>
              </w:rPr>
              <w:t>599,248,224.96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1,992,059.93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1,992,059.93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601,240,284.89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601,240,284.89</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right="13"/>
              <w:jc w:val="right"/>
              <w:rPr>
                <w:rFonts w:ascii="Times New Roman" w:hAnsi="Times New Roman" w:cs="Times New Roman" w:eastAsia="Times New Roman" w:hint="default"/>
                <w:sz w:val="18"/>
                <w:szCs w:val="18"/>
              </w:rPr>
            </w:pPr>
            <w:r>
              <w:rPr>
                <w:rFonts w:ascii="Times New Roman"/>
                <w:spacing w:val="-2"/>
                <w:sz w:val="18"/>
              </w:rPr>
              <w:t>4,784,784,168.33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2"/>
                <w:sz w:val="18"/>
              </w:rPr>
              <w:t>4,784,784,168.33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1,239,281,806.00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1,239,281,806.00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1,709,322,752.80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1,709,322,752.80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1"/>
                <w:sz w:val="18"/>
              </w:rPr>
              <w:t>264,724,184.43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264,724,184.43</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pacing w:val="-2"/>
                <w:sz w:val="18"/>
              </w:rPr>
              <w:t>1,242,384,167.33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2"/>
                <w:sz w:val="18"/>
              </w:rPr>
              <w:t>1,242,384,167.33</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7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682"/>
        <w:gridCol w:w="1700"/>
        <w:gridCol w:w="1561"/>
        <w:gridCol w:w="1628"/>
      </w:tblGrid>
      <w:tr>
        <w:trPr>
          <w:trHeight w:val="403"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4,455,712,910.56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4,455,712,910.56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9,240,497,078.89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9,240,497,078.89</w:t>
            </w:r>
          </w:p>
        </w:tc>
        <w:tc>
          <w:tcPr>
            <w:tcW w:w="16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53"/>
        <w:ind w:right="1132"/>
        <w:jc w:val="both"/>
      </w:pPr>
      <w:r>
        <w:rPr/>
        <w:t>调整说明：财政部于</w:t>
      </w:r>
      <w:r>
        <w:rPr>
          <w:spacing w:val="-27"/>
        </w:rPr>
        <w:t> </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1"/>
        </w:rPr>
        <w:t> </w:t>
      </w:r>
      <w:r>
        <w:rPr>
          <w:spacing w:val="-3"/>
        </w:rPr>
        <w:t>年颁布了新金融工具准则，并于</w:t>
      </w:r>
      <w:r>
        <w:rPr>
          <w:spacing w:val="-3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spacing w:val="-3"/>
        </w:rPr>
        <w:t>年颁布了《关于修订印发</w:t>
      </w:r>
      <w:r>
        <w:rPr>
          <w:spacing w:val="-2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3"/>
        </w:rPr>
        <w:t>年度一般企业财务报表格式</w:t>
      </w:r>
      <w:r>
        <w:rPr>
          <w:spacing w:val="-71"/>
        </w:rPr>
        <w:t> </w:t>
      </w:r>
      <w:r>
        <w:rPr>
          <w:spacing w:val="-71"/>
        </w:rPr>
      </w:r>
      <w:r>
        <w:rPr/>
        <w:t>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[2019]6 </w:t>
      </w:r>
      <w:r>
        <w:rPr>
          <w:spacing w:val="-3"/>
        </w:rPr>
        <w:t>号</w:t>
      </w:r>
      <w:r>
        <w:rPr>
          <w:rFonts w:ascii="Times New Roman" w:hAnsi="Times New Roman" w:cs="Times New Roman" w:eastAsia="Times New Roman" w:hint="default"/>
          <w:spacing w:val="-3"/>
        </w:rPr>
        <w:t>)</w:t>
      </w:r>
      <w:r>
        <w:rPr>
          <w:spacing w:val="-3"/>
        </w:rPr>
        <w:t>，本公司已按上述准则和通知要求编制 </w:t>
      </w:r>
      <w:r>
        <w:rPr>
          <w:rFonts w:ascii="Times New Roman" w:hAnsi="Times New Roman" w:cs="Times New Roman" w:eastAsia="Times New Roman" w:hint="default"/>
        </w:rPr>
        <w:t>2019 </w:t>
      </w:r>
      <w:r>
        <w:rPr>
          <w:spacing w:val="-3"/>
        </w:rPr>
        <w:t>年度财务报表，根据新金融工具准则的相关规定，本</w:t>
      </w:r>
      <w:r>
        <w:rPr>
          <w:spacing w:val="-70"/>
        </w:rPr>
        <w:t> </w:t>
      </w:r>
      <w:r>
        <w:rPr>
          <w:spacing w:val="-70"/>
        </w:rPr>
      </w:r>
      <w:r>
        <w:rPr>
          <w:spacing w:val="-3"/>
        </w:rPr>
        <w:t>公司对于首次执行该准则的累积影响金额调整了 </w:t>
      </w:r>
      <w:r>
        <w:rPr>
          <w:rFonts w:ascii="Times New Roman" w:hAnsi="Times New Roman" w:cs="Times New Roman" w:eastAsia="Times New Roman" w:hint="default"/>
        </w:rPr>
        <w:t>2019 </w:t>
      </w:r>
      <w:r>
        <w:rPr>
          <w:rFonts w:ascii="Times New Roman" w:hAnsi="Times New Roman" w:cs="Times New Roman" w:eastAsia="Times New Roman" w:hint="default"/>
          <w:spacing w:val="43"/>
        </w:rPr>
        <w:t> </w:t>
      </w:r>
      <w:r>
        <w:rPr>
          <w:spacing w:val="-3"/>
        </w:rPr>
        <w:t>年年初财务报表相关项目金额，相关项目影响金额见上表。</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bookmarkStart w:name="（4）2019年起执行新金融工具准则或新租赁准则追溯调整前期比较数据说明" w:id="234"/>
      <w:bookmarkEnd w:id="234"/>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六、税项" w:id="235"/>
      <w:bookmarkEnd w:id="235"/>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主要税种及税率" w:id="236"/>
      <w:bookmarkEnd w:id="23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1"/>
        <w:gridCol w:w="3544"/>
        <w:gridCol w:w="3620"/>
      </w:tblGrid>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5"/>
              <w:jc w:val="left"/>
              <w:rPr>
                <w:rFonts w:ascii="宋体" w:hAnsi="宋体" w:cs="宋体" w:eastAsia="宋体" w:hint="default"/>
                <w:sz w:val="18"/>
                <w:szCs w:val="18"/>
              </w:rPr>
            </w:pPr>
            <w:r>
              <w:rPr>
                <w:rFonts w:ascii="宋体" w:hAnsi="宋体" w:cs="宋体" w:eastAsia="宋体" w:hint="default"/>
                <w:spacing w:val="-3"/>
                <w:sz w:val="18"/>
                <w:szCs w:val="18"/>
              </w:rPr>
              <w:t>按应税销售收入计算销项税，并扣除当期允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许抵扣的进项税额后的差额计缴增值税</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日前为</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13%</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z w:val="18"/>
                <w:szCs w:val="18"/>
              </w:rPr>
            </w:r>
          </w:p>
        </w:tc>
      </w:tr>
      <w:tr>
        <w:trPr>
          <w:trHeight w:val="716"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于中国境内注册的公司之企业所得税税率为</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，其他详见税收优惠及批文</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以房产原值的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为计税依据</w:t>
            </w:r>
          </w:p>
        </w:tc>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53"/>
        <w:ind w:right="1126"/>
        <w:jc w:val="left"/>
      </w:pPr>
      <w:r>
        <w:rPr>
          <w:spacing w:val="-3"/>
        </w:rPr>
        <w:t>存在不同企业所得税税率纳税主体的，披露情况说明：</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44"/>
        <w:gridCol w:w="6026"/>
      </w:tblGrid>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6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深圳市优友互联有限公司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9"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北京威丰科技有限公司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深圳市优友供应链有限公司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深圳市凯辰网络有限公司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深圳市新凯辰科技有限公司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9"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深圳由你网络技术有限公司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深圳市爱施德通讯科技有限公司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南宁市享易数码有限公司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北京威丰科技有限公司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深圳市爱保科技信息服务有限公司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深圳市神州通数码科技有限公司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深圳市酷彩科技有限公司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44"/>
        <w:gridCol w:w="6026"/>
      </w:tblGrid>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深圳市互动科技有限公司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北京数码明天科技发展有限公司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北京天地互动信息技术有限公司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北京龙迹天地科技有限公司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北京雪狐影视文化咨询有限公司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北京汇乐之音数字文化传播有限公司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杭州爱施迪通讯有限公司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北京酷沃通讯器材有限公司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天津酷人通讯科技有限公司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北京酷联通讯科技有限公司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江西酷兜科技有限公司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福建爱施迪通讯器材有限公司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海口酷动数码有限公司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南宁酷动数码产品有限公司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石家庄酷动数码有限公司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天津乐动数码产品有限公司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福州酷动数码产品有限公司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赣州市酷动数码有限公司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南昌市酷动数码有限责任公司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厦门酷动数码产品有限公司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杭州酷动数码有限公司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宁波酷动数码有限公司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济南乐动数码有限公司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青岛酷动数码产品有限公司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合肥酷动数码科技有限公司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武汉酷动商贸有限公司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郑州酷动电子产品有限公司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西安市乐动电子数码有限公司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深圳市合烁数码有限公司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金华酷动数码有限公司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长沙酷动数码产品有限公司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长沙酷动数码有限公司凯德壹中心分店</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深圳市乐享文化有限公司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上海凝鹏通讯科技有限公司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474" w:top="1060" w:bottom="17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44"/>
        <w:gridCol w:w="6026"/>
      </w:tblGrid>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北京优友信息科技有限公司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北京聚美华科技有限公司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深圳市云达数据科技有限公司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深圳金石创新科技有限公司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深圳市优友信息技术有限公司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71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爱施德（香港）有限公司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1"/>
              <w:jc w:val="left"/>
              <w:rPr>
                <w:rFonts w:ascii="宋体" w:hAnsi="宋体" w:cs="宋体" w:eastAsia="宋体" w:hint="default"/>
                <w:sz w:val="18"/>
                <w:szCs w:val="18"/>
              </w:rPr>
            </w:pPr>
            <w:r>
              <w:rPr>
                <w:rFonts w:ascii="宋体" w:hAnsi="宋体" w:cs="宋体" w:eastAsia="宋体" w:hint="default"/>
                <w:spacing w:val="-3"/>
                <w:sz w:val="18"/>
                <w:szCs w:val="18"/>
              </w:rPr>
              <w:t>采用地域来源原则征税，源自香港利润部分为 </w:t>
            </w:r>
            <w:r>
              <w:rPr>
                <w:rFonts w:ascii="Times New Roman" w:hAnsi="Times New Roman" w:cs="Times New Roman" w:eastAsia="Times New Roman" w:hint="default"/>
                <w:spacing w:val="-3"/>
                <w:sz w:val="18"/>
                <w:szCs w:val="18"/>
              </w:rPr>
              <w:t>16.5%</w:t>
            </w:r>
            <w:r>
              <w:rPr>
                <w:rFonts w:ascii="宋体" w:hAnsi="宋体" w:cs="宋体" w:eastAsia="宋体" w:hint="default"/>
                <w:spacing w:val="-3"/>
                <w:sz w:val="18"/>
                <w:szCs w:val="18"/>
              </w:rPr>
              <w:t>，源自其他地方的利润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则不需在香港缴纳利得税。</w:t>
            </w:r>
          </w:p>
        </w:tc>
      </w:tr>
      <w:tr>
        <w:trPr>
          <w:trHeight w:val="716"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中国供应链金融服务有限公司</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23" w:right="31"/>
              <w:jc w:val="left"/>
              <w:rPr>
                <w:rFonts w:ascii="宋体" w:hAnsi="宋体" w:cs="宋体" w:eastAsia="宋体" w:hint="default"/>
                <w:sz w:val="18"/>
                <w:szCs w:val="18"/>
              </w:rPr>
            </w:pPr>
            <w:r>
              <w:rPr>
                <w:rFonts w:ascii="宋体" w:hAnsi="宋体" w:cs="宋体" w:eastAsia="宋体" w:hint="default"/>
                <w:spacing w:val="-3"/>
                <w:sz w:val="18"/>
                <w:szCs w:val="18"/>
              </w:rPr>
              <w:t>采用地域来源原则征税，源自香港利润部分为 </w:t>
            </w:r>
            <w:r>
              <w:rPr>
                <w:rFonts w:ascii="Times New Roman" w:hAnsi="Times New Roman" w:cs="Times New Roman" w:eastAsia="Times New Roman" w:hint="default"/>
                <w:spacing w:val="-3"/>
                <w:sz w:val="18"/>
                <w:szCs w:val="18"/>
              </w:rPr>
              <w:t>16.5%</w:t>
            </w:r>
            <w:r>
              <w:rPr>
                <w:rFonts w:ascii="宋体" w:hAnsi="宋体" w:cs="宋体" w:eastAsia="宋体" w:hint="default"/>
                <w:spacing w:val="-3"/>
                <w:sz w:val="18"/>
                <w:szCs w:val="18"/>
              </w:rPr>
              <w:t>，源自其他地方的利润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则不需在香港缴纳利得税。</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Genesis </w:t>
            </w:r>
            <w:r>
              <w:rPr>
                <w:rFonts w:ascii="Times New Roman"/>
                <w:spacing w:val="-3"/>
                <w:sz w:val="18"/>
              </w:rPr>
              <w:t>(BVI) </w:t>
            </w:r>
            <w:r>
              <w:rPr>
                <w:rFonts w:ascii="Times New Roman"/>
                <w:sz w:val="18"/>
              </w:rPr>
              <w:t>Holding</w:t>
            </w:r>
            <w:r>
              <w:rPr>
                <w:rFonts w:ascii="Times New Roman"/>
                <w:spacing w:val="10"/>
                <w:sz w:val="18"/>
              </w:rPr>
              <w:t> </w:t>
            </w:r>
            <w:r>
              <w:rPr>
                <w:rFonts w:ascii="Times New Roman"/>
                <w:sz w:val="18"/>
              </w:rPr>
              <w:t>Ltd</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英属维京群岛（</w:t>
            </w:r>
            <w:r>
              <w:rPr>
                <w:rFonts w:ascii="Times New Roman" w:hAnsi="Times New Roman" w:cs="Times New Roman" w:eastAsia="Times New Roman" w:hint="default"/>
                <w:spacing w:val="-3"/>
                <w:sz w:val="18"/>
                <w:szCs w:val="18"/>
              </w:rPr>
              <w:t>BVI</w:t>
            </w:r>
            <w:r>
              <w:rPr>
                <w:rFonts w:ascii="宋体" w:hAnsi="宋体" w:cs="宋体" w:eastAsia="宋体" w:hint="default"/>
                <w:spacing w:val="-3"/>
                <w:sz w:val="18"/>
                <w:szCs w:val="18"/>
              </w:rPr>
              <w:t>）离岸公司不必向英属维京群岛政府缴纳任何税项</w:t>
            </w:r>
          </w:p>
        </w:tc>
      </w:tr>
      <w:tr>
        <w:trPr>
          <w:trHeight w:val="716"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Genesis </w:t>
            </w:r>
            <w:r>
              <w:rPr>
                <w:rFonts w:ascii="Times New Roman"/>
                <w:spacing w:val="-3"/>
                <w:sz w:val="18"/>
              </w:rPr>
              <w:t>(Cayman)</w:t>
            </w:r>
            <w:r>
              <w:rPr>
                <w:rFonts w:ascii="Times New Roman"/>
                <w:spacing w:val="17"/>
                <w:sz w:val="18"/>
              </w:rPr>
              <w:t> </w:t>
            </w:r>
            <w:r>
              <w:rPr>
                <w:rFonts w:ascii="Times New Roman"/>
                <w:sz w:val="18"/>
              </w:rPr>
              <w:t>Ltd</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421"/>
              <w:jc w:val="left"/>
              <w:rPr>
                <w:rFonts w:ascii="宋体" w:hAnsi="宋体" w:cs="宋体" w:eastAsia="宋体" w:hint="default"/>
                <w:sz w:val="18"/>
                <w:szCs w:val="18"/>
              </w:rPr>
            </w:pPr>
            <w:r>
              <w:rPr>
                <w:rFonts w:ascii="宋体" w:hAnsi="宋体" w:cs="宋体" w:eastAsia="宋体" w:hint="default"/>
                <w:spacing w:val="-5"/>
                <w:w w:val="101"/>
                <w:sz w:val="18"/>
                <w:szCs w:val="18"/>
              </w:rPr>
              <w:t>开曼群岛的法律赋予豁免公司（相对非居民公司而言）（</w:t>
            </w:r>
            <w:r>
              <w:rPr>
                <w:rFonts w:ascii="Times New Roman" w:hAnsi="Times New Roman" w:cs="Times New Roman" w:eastAsia="Times New Roman" w:hint="default"/>
                <w:spacing w:val="-5"/>
                <w:w w:val="101"/>
                <w:sz w:val="18"/>
                <w:szCs w:val="18"/>
              </w:rPr>
              <w:t>EXCEMPTED</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3"/>
                <w:sz w:val="18"/>
                <w:szCs w:val="18"/>
              </w:rPr>
              <w:t>COMPANY</w:t>
            </w:r>
            <w:r>
              <w:rPr>
                <w:rFonts w:ascii="宋体" w:hAnsi="宋体" w:cs="宋体" w:eastAsia="宋体" w:hint="default"/>
                <w:spacing w:val="-3"/>
                <w:sz w:val="18"/>
                <w:szCs w:val="18"/>
              </w:rPr>
              <w:t>）可以获得保证豁免于注册成立后二十年不必缴纳任何税项</w:t>
            </w:r>
          </w:p>
        </w:tc>
      </w:tr>
      <w:tr>
        <w:trPr>
          <w:trHeight w:val="715"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887"/>
              <w:jc w:val="left"/>
              <w:rPr>
                <w:rFonts w:ascii="Times New Roman" w:hAnsi="Times New Roman" w:cs="Times New Roman" w:eastAsia="Times New Roman" w:hint="default"/>
                <w:sz w:val="18"/>
                <w:szCs w:val="18"/>
              </w:rPr>
            </w:pPr>
            <w:r>
              <w:rPr>
                <w:rFonts w:ascii="Times New Roman"/>
                <w:sz w:val="18"/>
              </w:rPr>
              <w:t>MIAMI</w:t>
            </w:r>
            <w:r>
              <w:rPr>
                <w:rFonts w:ascii="Times New Roman"/>
                <w:spacing w:val="1"/>
                <w:sz w:val="18"/>
              </w:rPr>
              <w:t> </w:t>
            </w:r>
            <w:r>
              <w:rPr>
                <w:rFonts w:ascii="Times New Roman"/>
                <w:spacing w:val="-3"/>
                <w:sz w:val="18"/>
              </w:rPr>
              <w:t>GIN</w:t>
            </w:r>
            <w:r>
              <w:rPr>
                <w:rFonts w:ascii="Times New Roman"/>
                <w:spacing w:val="8"/>
                <w:sz w:val="18"/>
              </w:rPr>
              <w:t> </w:t>
            </w:r>
            <w:r>
              <w:rPr>
                <w:rFonts w:ascii="Times New Roman"/>
                <w:sz w:val="18"/>
              </w:rPr>
              <w:t>HUNG</w:t>
            </w:r>
            <w:r>
              <w:rPr>
                <w:rFonts w:ascii="Times New Roman"/>
                <w:spacing w:val="8"/>
                <w:sz w:val="18"/>
              </w:rPr>
              <w:t> </w:t>
            </w:r>
            <w:r>
              <w:rPr>
                <w:rFonts w:ascii="Times New Roman"/>
                <w:spacing w:val="-3"/>
                <w:sz w:val="18"/>
              </w:rPr>
              <w:t>INDUSTRIAL</w:t>
            </w:r>
            <w:r>
              <w:rPr>
                <w:rFonts w:ascii="Times New Roman"/>
                <w:spacing w:val="-41"/>
                <w:sz w:val="18"/>
              </w:rPr>
              <w:t> </w:t>
            </w:r>
            <w:r>
              <w:rPr>
                <w:rFonts w:ascii="Times New Roman"/>
                <w:spacing w:val="-41"/>
                <w:sz w:val="18"/>
              </w:rPr>
            </w:r>
            <w:r>
              <w:rPr>
                <w:rFonts w:ascii="Times New Roman"/>
                <w:spacing w:val="-5"/>
                <w:sz w:val="18"/>
              </w:rPr>
              <w:t>CORPORATION</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根据美国税法 </w:t>
            </w:r>
            <w:r>
              <w:rPr>
                <w:rFonts w:ascii="Times New Roman" w:hAnsi="Times New Roman" w:cs="Times New Roman" w:eastAsia="Times New Roman" w:hint="default"/>
                <w:sz w:val="18"/>
                <w:szCs w:val="18"/>
              </w:rPr>
              <w:t>I.R.C. </w:t>
            </w:r>
            <w:r>
              <w:rPr>
                <w:rFonts w:ascii="Times New Roman" w:hAnsi="Times New Roman" w:cs="Times New Roman" w:eastAsia="Times New Roman" w:hint="default"/>
                <w:spacing w:val="-4"/>
                <w:sz w:val="18"/>
                <w:szCs w:val="18"/>
              </w:rPr>
              <w:t>§11(b)</w:t>
            </w:r>
            <w:r>
              <w:rPr>
                <w:rFonts w:ascii="宋体" w:hAnsi="宋体" w:cs="宋体" w:eastAsia="宋体" w:hint="default"/>
                <w:spacing w:val="-4"/>
                <w:sz w:val="18"/>
                <w:szCs w:val="18"/>
              </w:rPr>
              <w:t>，公司收入应缴纳百分之二十一（</w:t>
            </w:r>
            <w:r>
              <w:rPr>
                <w:rFonts w:ascii="Times New Roman" w:hAnsi="Times New Roman" w:cs="Times New Roman" w:eastAsia="Times New Roman" w:hint="default"/>
                <w:spacing w:val="-4"/>
                <w:sz w:val="18"/>
                <w:szCs w:val="18"/>
              </w:rPr>
              <w:t>21%</w:t>
            </w:r>
            <w:r>
              <w:rPr>
                <w:rFonts w:ascii="宋体" w:hAnsi="宋体" w:cs="宋体" w:eastAsia="宋体" w:hint="default"/>
                <w:spacing w:val="-4"/>
                <w:sz w:val="18"/>
                <w:szCs w:val="18"/>
              </w:rPr>
              <w:t>）的公司所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得税</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6"/>
        <w:jc w:val="left"/>
        <w:rPr>
          <w:b w:val="0"/>
          <w:bCs w:val="0"/>
        </w:rPr>
      </w:pPr>
      <w:bookmarkStart w:name="2、税收优惠" w:id="237"/>
      <w:bookmarkEnd w:id="23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2" w:firstLine="422"/>
        <w:jc w:val="both"/>
      </w:pPr>
      <w:r>
        <w:rPr>
          <w:spacing w:val="-4"/>
        </w:rPr>
        <w:t>（</w:t>
      </w:r>
      <w:r>
        <w:rPr>
          <w:rFonts w:ascii="Times New Roman" w:hAnsi="Times New Roman" w:cs="Times New Roman" w:eastAsia="Times New Roman" w:hint="default"/>
          <w:spacing w:val="-4"/>
        </w:rPr>
        <w:t>1</w:t>
      </w:r>
      <w:r>
        <w:rPr>
          <w:spacing w:val="-4"/>
        </w:rPr>
        <w:t>）根据</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月实施的《中华人民共和国企业所得税法》，国家需要重点扶持的高新技术企业，按</w:t>
      </w:r>
      <w:r>
        <w:rPr>
          <w:rFonts w:ascii="Times New Roman" w:hAnsi="Times New Roman" w:cs="Times New Roman" w:eastAsia="Times New Roman" w:hint="default"/>
          <w:spacing w:val="-4"/>
        </w:rPr>
        <w:t>15</w:t>
      </w:r>
      <w:r>
        <w:rPr>
          <w:spacing w:val="-4"/>
        </w:rPr>
        <w:t>％的税率</w:t>
      </w:r>
      <w:r>
        <w:rPr>
          <w:w w:val="101"/>
        </w:rPr>
        <w:t> </w:t>
      </w:r>
      <w:r>
        <w:rPr>
          <w:spacing w:val="-3"/>
        </w:rPr>
        <w:t>征收企业所得税。本公司之控股子公司深圳市优友互联有限公司、北京威丰科技有限公司按</w:t>
      </w:r>
      <w:r>
        <w:rPr>
          <w:rFonts w:ascii="Times New Roman" w:hAnsi="Times New Roman" w:cs="Times New Roman" w:eastAsia="Times New Roman" w:hint="default"/>
          <w:spacing w:val="-3"/>
        </w:rPr>
        <w:t>15%</w:t>
      </w:r>
      <w:r>
        <w:rPr>
          <w:spacing w:val="-3"/>
        </w:rPr>
        <w:t>的税率计缴企业所得税。</w:t>
      </w:r>
    </w:p>
    <w:p>
      <w:pPr>
        <w:pStyle w:val="BodyText"/>
        <w:spacing w:line="300" w:lineRule="auto" w:before="133"/>
        <w:ind w:right="1122" w:firstLine="422"/>
        <w:jc w:val="both"/>
      </w:pPr>
      <w:r>
        <w:rPr>
          <w:spacing w:val="-3"/>
        </w:rPr>
        <w:t>（</w:t>
      </w:r>
      <w:r>
        <w:rPr>
          <w:rFonts w:ascii="Times New Roman" w:hAnsi="Times New Roman" w:cs="Times New Roman" w:eastAsia="Times New Roman" w:hint="default"/>
          <w:spacing w:val="-3"/>
        </w:rPr>
        <w:t>2</w:t>
      </w:r>
      <w:r>
        <w:rPr>
          <w:spacing w:val="-3"/>
        </w:rPr>
        <w:t>）根据前海国家税务局分别下发的【深国税前海通</w:t>
      </w:r>
      <w:r>
        <w:rPr>
          <w:rFonts w:ascii="Times New Roman" w:hAnsi="Times New Roman" w:cs="Times New Roman" w:eastAsia="Times New Roman" w:hint="default"/>
          <w:spacing w:val="-3"/>
        </w:rPr>
        <w:t>[2017]31599</w:t>
      </w:r>
      <w:r>
        <w:rPr>
          <w:spacing w:val="-3"/>
        </w:rPr>
        <w:t>】、【深国税前海</w:t>
      </w:r>
      <w:r>
        <w:rPr>
          <w:spacing w:val="73"/>
        </w:rPr>
        <w:t> </w:t>
      </w:r>
      <w:r>
        <w:rPr/>
        <w:t>通</w:t>
      </w:r>
      <w:r>
        <w:rPr>
          <w:rFonts w:ascii="Times New Roman" w:hAnsi="Times New Roman" w:cs="Times New Roman" w:eastAsia="Times New Roman" w:hint="default"/>
        </w:rPr>
        <w:t>[2017]35981</w:t>
      </w:r>
      <w:r>
        <w:rPr/>
        <w:t>】的税务事项通知</w:t>
      </w:r>
      <w:r>
        <w:rPr>
          <w:w w:val="101"/>
        </w:rPr>
        <w:t> </w:t>
      </w:r>
      <w:r>
        <w:rPr>
          <w:spacing w:val="-3"/>
        </w:rPr>
        <w:t>书，依据财税</w:t>
      </w:r>
      <w:r>
        <w:rPr>
          <w:rFonts w:ascii="Times New Roman" w:hAnsi="Times New Roman" w:cs="Times New Roman" w:eastAsia="Times New Roman" w:hint="default"/>
          <w:spacing w:val="-3"/>
        </w:rPr>
        <w:t>[2014]26</w:t>
      </w:r>
      <w:r>
        <w:rPr>
          <w:spacing w:val="-3"/>
        </w:rPr>
        <w:t>号第一条，本公司之控股子公司深圳市优友供应链有限公司按</w:t>
      </w:r>
      <w:r>
        <w:rPr>
          <w:rFonts w:ascii="Times New Roman" w:hAnsi="Times New Roman" w:cs="Times New Roman" w:eastAsia="Times New Roman" w:hint="default"/>
          <w:spacing w:val="-3"/>
        </w:rPr>
        <w:t>15%</w:t>
      </w:r>
      <w:r>
        <w:rPr>
          <w:spacing w:val="-3"/>
        </w:rPr>
        <w:t>的税率计缴企业所得税。</w:t>
      </w:r>
    </w:p>
    <w:p>
      <w:pPr>
        <w:pStyle w:val="BodyText"/>
        <w:spacing w:line="300" w:lineRule="auto" w:before="133"/>
        <w:ind w:right="1122" w:firstLine="422"/>
        <w:jc w:val="both"/>
      </w:pPr>
      <w:r>
        <w:rPr>
          <w:spacing w:val="-4"/>
        </w:rPr>
        <w:t>（</w:t>
      </w:r>
      <w:r>
        <w:rPr>
          <w:rFonts w:ascii="Times New Roman" w:hAnsi="Times New Roman" w:cs="Times New Roman" w:eastAsia="Times New Roman" w:hint="default"/>
          <w:spacing w:val="-4"/>
        </w:rPr>
        <w:t>3</w:t>
      </w:r>
      <w:r>
        <w:rPr>
          <w:spacing w:val="-4"/>
        </w:rPr>
        <w:t>）根据财政部、税务总局《关于实施小微企业普惠性税收减免政策的通知》（财税〔</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13</w:t>
      </w:r>
      <w:r>
        <w:rPr>
          <w:spacing w:val="-4"/>
        </w:rPr>
        <w:t>号），对小型微利企</w:t>
      </w:r>
      <w:r>
        <w:rPr>
          <w:w w:val="101"/>
        </w:rPr>
        <w:t> </w:t>
      </w:r>
      <w:r>
        <w:rPr>
          <w:spacing w:val="-3"/>
        </w:rPr>
        <w:t>业年应纳税所得额不超过</w:t>
      </w:r>
      <w:r>
        <w:rPr>
          <w:rFonts w:ascii="Times New Roman" w:hAnsi="Times New Roman" w:cs="Times New Roman" w:eastAsia="Times New Roman" w:hint="default"/>
          <w:spacing w:val="-3"/>
        </w:rPr>
        <w:t>100</w:t>
      </w:r>
      <w:r>
        <w:rPr>
          <w:spacing w:val="-3"/>
        </w:rPr>
        <w:t>万元的部分减按</w:t>
      </w:r>
      <w:r>
        <w:rPr>
          <w:rFonts w:ascii="Times New Roman" w:hAnsi="Times New Roman" w:cs="Times New Roman" w:eastAsia="Times New Roman" w:hint="default"/>
          <w:spacing w:val="-3"/>
        </w:rPr>
        <w:t>25%</w:t>
      </w:r>
      <w:r>
        <w:rPr>
          <w:spacing w:val="-3"/>
        </w:rPr>
        <w:t>、适用</w:t>
      </w:r>
      <w:r>
        <w:rPr>
          <w:rFonts w:ascii="Times New Roman" w:hAnsi="Times New Roman" w:cs="Times New Roman" w:eastAsia="Times New Roman" w:hint="default"/>
          <w:spacing w:val="-3"/>
        </w:rPr>
        <w:t>20%</w:t>
      </w:r>
      <w:r>
        <w:rPr>
          <w:spacing w:val="-3"/>
        </w:rPr>
        <w:t>税率，</w:t>
      </w:r>
      <w:r>
        <w:rPr>
          <w:rFonts w:ascii="Times New Roman" w:hAnsi="Times New Roman" w:cs="Times New Roman" w:eastAsia="Times New Roman" w:hint="default"/>
          <w:spacing w:val="-3"/>
        </w:rPr>
        <w:t>100</w:t>
      </w:r>
      <w:r>
        <w:rPr>
          <w:spacing w:val="-3"/>
        </w:rPr>
        <w:t>万元到</w:t>
      </w:r>
      <w:r>
        <w:rPr>
          <w:rFonts w:ascii="Times New Roman" w:hAnsi="Times New Roman" w:cs="Times New Roman" w:eastAsia="Times New Roman" w:hint="default"/>
          <w:spacing w:val="-3"/>
        </w:rPr>
        <w:t>300</w:t>
      </w:r>
      <w:r>
        <w:rPr>
          <w:spacing w:val="-3"/>
        </w:rPr>
        <w:t>万元的部分减按</w:t>
      </w:r>
      <w:r>
        <w:rPr>
          <w:rFonts w:ascii="Times New Roman" w:hAnsi="Times New Roman" w:cs="Times New Roman" w:eastAsia="Times New Roman" w:hint="default"/>
          <w:spacing w:val="-3"/>
        </w:rPr>
        <w:t>50%</w:t>
      </w:r>
      <w:r>
        <w:rPr>
          <w:spacing w:val="-3"/>
        </w:rPr>
        <w:t>、适用</w:t>
      </w:r>
      <w:r>
        <w:rPr>
          <w:rFonts w:ascii="Times New Roman" w:hAnsi="Times New Roman" w:cs="Times New Roman" w:eastAsia="Times New Roman" w:hint="default"/>
          <w:spacing w:val="-3"/>
        </w:rPr>
        <w:t>20%</w:t>
      </w:r>
      <w:r>
        <w:rPr>
          <w:spacing w:val="-3"/>
        </w:rPr>
        <w:t>税率缴纳企</w:t>
      </w:r>
      <w:r>
        <w:rPr>
          <w:spacing w:val="42"/>
        </w:rPr>
        <w:t> </w:t>
      </w:r>
      <w:r>
        <w:rPr>
          <w:spacing w:val="42"/>
        </w:rPr>
      </w:r>
      <w:r>
        <w:rPr/>
        <w:t>业所得税。</w:t>
      </w:r>
    </w:p>
    <w:p>
      <w:pPr>
        <w:pStyle w:val="BodyText"/>
        <w:spacing w:line="300" w:lineRule="auto" w:before="151"/>
        <w:ind w:right="1123" w:firstLine="422"/>
        <w:jc w:val="both"/>
      </w:pPr>
      <w:r>
        <w:rPr>
          <w:spacing w:val="-2"/>
        </w:rPr>
        <w:t>（</w:t>
      </w:r>
      <w:r>
        <w:rPr>
          <w:rFonts w:ascii="Times New Roman" w:hAnsi="Times New Roman" w:cs="Times New Roman" w:eastAsia="Times New Roman" w:hint="default"/>
          <w:spacing w:val="-2"/>
        </w:rPr>
        <w:t>4</w:t>
      </w:r>
      <w:r>
        <w:rPr>
          <w:spacing w:val="-2"/>
        </w:rPr>
        <w:t>）根据《香港法例》第</w:t>
      </w:r>
      <w:r>
        <w:rPr>
          <w:rFonts w:ascii="Times New Roman" w:hAnsi="Times New Roman" w:cs="Times New Roman" w:eastAsia="Times New Roman" w:hint="default"/>
          <w:spacing w:val="-2"/>
        </w:rPr>
        <w:t>112</w:t>
      </w:r>
      <w:r>
        <w:rPr>
          <w:spacing w:val="-2"/>
        </w:rPr>
        <w:t>章，《税务条例》第</w:t>
      </w:r>
      <w:r>
        <w:rPr>
          <w:rFonts w:ascii="Times New Roman" w:hAnsi="Times New Roman" w:cs="Times New Roman" w:eastAsia="Times New Roman" w:hint="default"/>
          <w:spacing w:val="-2"/>
        </w:rPr>
        <w:t>14</w:t>
      </w:r>
      <w:r>
        <w:rPr>
          <w:spacing w:val="-2"/>
        </w:rPr>
        <w:t>条，香港采用地域来源原则征税，即只有源自香港的利润才需在</w:t>
      </w:r>
      <w:r>
        <w:rPr>
          <w:w w:val="101"/>
        </w:rPr>
        <w:t> </w:t>
      </w:r>
      <w:r>
        <w:rPr>
          <w:spacing w:val="-3"/>
        </w:rPr>
        <w:t>香港课税，而源自其他地方的利润则不需在香港缴纳利得税。</w:t>
      </w:r>
    </w:p>
    <w:p>
      <w:pPr>
        <w:pStyle w:val="BodyText"/>
        <w:spacing w:line="300" w:lineRule="auto" w:before="152"/>
        <w:ind w:right="1122" w:firstLine="422"/>
        <w:jc w:val="both"/>
      </w:pPr>
      <w:r>
        <w:rPr>
          <w:spacing w:val="-2"/>
        </w:rPr>
        <w:t>（</w:t>
      </w:r>
      <w:r>
        <w:rPr>
          <w:rFonts w:ascii="Times New Roman" w:hAnsi="Times New Roman" w:cs="Times New Roman" w:eastAsia="Times New Roman" w:hint="default"/>
          <w:spacing w:val="-2"/>
        </w:rPr>
        <w:t>5</w:t>
      </w:r>
      <w:r>
        <w:rPr>
          <w:spacing w:val="-2"/>
        </w:rPr>
        <w:t>）英属维京群岛（</w:t>
      </w:r>
      <w:r>
        <w:rPr>
          <w:rFonts w:ascii="Times New Roman" w:hAnsi="Times New Roman" w:cs="Times New Roman" w:eastAsia="Times New Roman" w:hint="default"/>
          <w:spacing w:val="-2"/>
        </w:rPr>
        <w:t>BVI</w:t>
      </w:r>
      <w:r>
        <w:rPr>
          <w:spacing w:val="-2"/>
        </w:rPr>
        <w:t>）离岸公司不必向英属维京群岛政府缴纳任何税项，在英属维京群岛（</w:t>
      </w:r>
      <w:r>
        <w:rPr>
          <w:rFonts w:ascii="Times New Roman" w:hAnsi="Times New Roman" w:cs="Times New Roman" w:eastAsia="Times New Roman" w:hint="default"/>
          <w:spacing w:val="-2"/>
        </w:rPr>
        <w:t>BVI</w:t>
      </w:r>
      <w:r>
        <w:rPr>
          <w:spacing w:val="-2"/>
        </w:rPr>
        <w:t>）之外进行的商</w:t>
      </w:r>
      <w:r>
        <w:rPr>
          <w:w w:val="101"/>
        </w:rPr>
        <w:t> </w:t>
      </w:r>
      <w:r>
        <w:rPr>
          <w:spacing w:val="-3"/>
        </w:rPr>
        <w:t>业活动和交易完全免税。</w:t>
      </w:r>
    </w:p>
    <w:p>
      <w:pPr>
        <w:pStyle w:val="BodyText"/>
        <w:spacing w:line="300" w:lineRule="auto" w:before="151"/>
        <w:ind w:right="1122" w:firstLine="422"/>
        <w:jc w:val="both"/>
      </w:pPr>
      <w:r>
        <w:rPr>
          <w:spacing w:val="-2"/>
        </w:rPr>
        <w:t>（</w:t>
      </w:r>
      <w:r>
        <w:rPr>
          <w:rFonts w:ascii="Times New Roman" w:hAnsi="Times New Roman" w:cs="Times New Roman" w:eastAsia="Times New Roman" w:hint="default"/>
          <w:spacing w:val="-2"/>
        </w:rPr>
        <w:t>6</w:t>
      </w:r>
      <w:r>
        <w:rPr>
          <w:spacing w:val="-2"/>
        </w:rPr>
        <w:t>）开曼群岛的法律赋予豁免公司（相对非居民公司而言）（</w:t>
      </w:r>
      <w:r>
        <w:rPr>
          <w:rFonts w:ascii="Times New Roman" w:hAnsi="Times New Roman" w:cs="Times New Roman" w:eastAsia="Times New Roman" w:hint="default"/>
          <w:spacing w:val="-2"/>
        </w:rPr>
        <w:t>EXCEMPTED</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2"/>
        </w:rPr>
        <w:t>COMPANY</w:t>
      </w:r>
      <w:r>
        <w:rPr>
          <w:spacing w:val="-2"/>
        </w:rPr>
        <w:t>）可以获得保证豁免于注册</w:t>
      </w:r>
      <w:r>
        <w:rPr>
          <w:w w:val="101"/>
        </w:rPr>
        <w:t> </w:t>
      </w:r>
      <w:r>
        <w:rPr>
          <w:spacing w:val="-3"/>
        </w:rPr>
        <w:t>成立后二十年不必缴纳任何税项（虽然现在开曼群岛没有任何税项）。</w:t>
      </w:r>
    </w:p>
    <w:p>
      <w:pPr>
        <w:spacing w:line="240" w:lineRule="auto" w:before="4"/>
        <w:rPr>
          <w:rFonts w:ascii="宋体" w:hAnsi="宋体" w:cs="宋体" w:eastAsia="宋体" w:hint="default"/>
          <w:sz w:val="21"/>
          <w:szCs w:val="21"/>
        </w:rPr>
      </w:pPr>
    </w:p>
    <w:p>
      <w:pPr>
        <w:pStyle w:val="Heading2"/>
        <w:spacing w:line="240" w:lineRule="auto"/>
        <w:ind w:right="1126"/>
        <w:jc w:val="left"/>
        <w:rPr>
          <w:b w:val="0"/>
          <w:bCs w:val="0"/>
        </w:rPr>
      </w:pPr>
      <w:bookmarkStart w:name="七、合并财务报表项目注释" w:id="238"/>
      <w:bookmarkEnd w:id="238"/>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6"/>
        <w:jc w:val="left"/>
        <w:rPr>
          <w:b w:val="0"/>
          <w:bCs w:val="0"/>
        </w:rPr>
      </w:pPr>
      <w:bookmarkStart w:name="1、货币资金" w:id="239"/>
      <w:bookmarkEnd w:id="23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661,401.32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276,329.89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2,598,225,607.61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1,995,889,317.32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839,873,003.46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924,910,281.79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3,438,760,012.39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2,921,075,929.00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115,853,563.49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24,118,224.00</w:t>
            </w:r>
          </w:p>
        </w:tc>
      </w:tr>
    </w:tbl>
    <w:p>
      <w:pPr>
        <w:spacing w:line="240" w:lineRule="auto" w:before="3"/>
        <w:rPr>
          <w:rFonts w:ascii="宋体" w:hAnsi="宋体" w:cs="宋体" w:eastAsia="宋体" w:hint="default"/>
          <w:sz w:val="5"/>
          <w:szCs w:val="5"/>
        </w:rPr>
      </w:pPr>
    </w:p>
    <w:p>
      <w:pPr>
        <w:pStyle w:val="Heading3"/>
        <w:spacing w:line="240" w:lineRule="auto" w:before="36"/>
        <w:ind w:right="1126"/>
        <w:jc w:val="left"/>
        <w:rPr>
          <w:b w:val="0"/>
          <w:bCs w:val="0"/>
        </w:rPr>
      </w:pPr>
      <w:r>
        <w:rPr/>
        <w:t>（</w:t>
      </w:r>
      <w:r>
        <w:rPr>
          <w:rFonts w:ascii="Times New Roman" w:hAnsi="Times New Roman" w:cs="Times New Roman" w:eastAsia="Times New Roman" w:hint="default"/>
        </w:rPr>
        <w:t>1</w:t>
      </w:r>
      <w:r>
        <w:rPr/>
        <w:t>）其他货币资金明细</w:t>
      </w:r>
      <w:r>
        <w:rPr>
          <w:b w:val="0"/>
          <w:bCs w:val="0"/>
        </w:rPr>
      </w:r>
    </w:p>
    <w:p>
      <w:pPr>
        <w:spacing w:line="240" w:lineRule="auto" w:before="12"/>
        <w:rPr>
          <w:rFonts w:ascii="宋体" w:hAnsi="宋体" w:cs="宋体" w:eastAsia="宋体" w:hint="default"/>
          <w:b/>
          <w:bCs/>
          <w:sz w:val="11"/>
          <w:szCs w:val="11"/>
        </w:rPr>
      </w:pPr>
    </w:p>
    <w:tbl>
      <w:tblPr>
        <w:tblW w:w="0" w:type="auto"/>
        <w:jc w:val="left"/>
        <w:tblInd w:w="134" w:type="dxa"/>
        <w:tblLayout w:type="fixed"/>
        <w:tblCellMar>
          <w:top w:w="0" w:type="dxa"/>
          <w:left w:w="0" w:type="dxa"/>
          <w:bottom w:w="0" w:type="dxa"/>
          <w:right w:w="0" w:type="dxa"/>
        </w:tblCellMar>
        <w:tblLook w:val="01E0"/>
      </w:tblPr>
      <w:tblGrid>
        <w:gridCol w:w="5258"/>
        <w:gridCol w:w="2271"/>
        <w:gridCol w:w="2132"/>
      </w:tblGrid>
      <w:tr>
        <w:trPr>
          <w:trHeight w:val="334" w:hRule="exact"/>
        </w:trPr>
        <w:tc>
          <w:tcPr>
            <w:tcW w:w="5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432"/>
              <w:jc w:val="right"/>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3" w:hRule="exact"/>
        </w:trPr>
        <w:tc>
          <w:tcPr>
            <w:tcW w:w="525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22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4"/>
              <w:jc w:val="right"/>
              <w:rPr>
                <w:rFonts w:ascii="Times New Roman" w:hAnsi="Times New Roman" w:cs="Times New Roman" w:eastAsia="Times New Roman" w:hint="default"/>
                <w:sz w:val="18"/>
                <w:szCs w:val="18"/>
              </w:rPr>
            </w:pPr>
            <w:r>
              <w:rPr>
                <w:rFonts w:ascii="Times New Roman"/>
                <w:spacing w:val="-1"/>
                <w:sz w:val="18"/>
              </w:rPr>
              <w:t>38,594,200.47</w:t>
            </w:r>
          </w:p>
        </w:tc>
        <w:tc>
          <w:tcPr>
            <w:tcW w:w="21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4"/>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346"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用于担保的定期存款或通知存款</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287,500,000.00</w:t>
            </w: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第三方平台资金</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63,105,441.75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6,566,903.09</w:t>
            </w:r>
          </w:p>
        </w:tc>
      </w:tr>
      <w:tr>
        <w:trPr>
          <w:trHeight w:val="350"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450,625,935.88</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514,760,000.00</w:t>
            </w:r>
          </w:p>
        </w:tc>
      </w:tr>
      <w:tr>
        <w:trPr>
          <w:trHeight w:val="346"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71"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312,850,000.00</w:t>
            </w:r>
          </w:p>
        </w:tc>
      </w:tr>
      <w:tr>
        <w:trPr>
          <w:trHeight w:val="346"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47,425.36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733,378.70</w:t>
            </w:r>
          </w:p>
        </w:tc>
      </w:tr>
      <w:tr>
        <w:trPr>
          <w:trHeight w:val="343" w:hRule="exact"/>
        </w:trPr>
        <w:tc>
          <w:tcPr>
            <w:tcW w:w="5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432"/>
              <w:jc w:val="right"/>
              <w:rPr>
                <w:rFonts w:ascii="宋体" w:hAnsi="宋体" w:cs="宋体" w:eastAsia="宋体" w:hint="default"/>
                <w:sz w:val="18"/>
                <w:szCs w:val="18"/>
              </w:rPr>
            </w:pPr>
            <w:r>
              <w:rPr>
                <w:rFonts w:ascii="宋体" w:hAnsi="宋体" w:cs="宋体" w:eastAsia="宋体" w:hint="default"/>
                <w:sz w:val="18"/>
                <w:szCs w:val="18"/>
              </w:rPr>
              <w:t>合计</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839,873,003.46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924,910,281.79</w:t>
            </w:r>
          </w:p>
        </w:tc>
      </w:tr>
    </w:tbl>
    <w:p>
      <w:pPr>
        <w:spacing w:line="240" w:lineRule="auto" w:before="11"/>
        <w:rPr>
          <w:rFonts w:ascii="宋体" w:hAnsi="宋体" w:cs="宋体" w:eastAsia="宋体" w:hint="default"/>
          <w:b/>
          <w:bCs/>
          <w:sz w:val="5"/>
          <w:szCs w:val="5"/>
        </w:rPr>
      </w:pPr>
    </w:p>
    <w:p>
      <w:pPr>
        <w:pStyle w:val="Heading3"/>
        <w:spacing w:line="240" w:lineRule="auto" w:before="36"/>
        <w:ind w:right="1126"/>
        <w:jc w:val="left"/>
        <w:rPr>
          <w:b w:val="0"/>
          <w:bCs w:val="0"/>
        </w:rPr>
      </w:pPr>
      <w:r>
        <w:rPr/>
        <w:t>（</w:t>
      </w:r>
      <w:r>
        <w:rPr>
          <w:rFonts w:ascii="Times New Roman" w:hAnsi="Times New Roman" w:cs="Times New Roman" w:eastAsia="Times New Roman" w:hint="default"/>
        </w:rPr>
        <w:t>2</w:t>
      </w:r>
      <w:r>
        <w:rPr/>
        <w:t>）受限制的货币资金明细</w:t>
      </w:r>
      <w:r>
        <w:rPr>
          <w:b w:val="0"/>
          <w:bCs w:val="0"/>
        </w:rPr>
      </w:r>
    </w:p>
    <w:p>
      <w:pPr>
        <w:spacing w:line="240" w:lineRule="auto" w:before="12"/>
        <w:rPr>
          <w:rFonts w:ascii="宋体" w:hAnsi="宋体" w:cs="宋体" w:eastAsia="宋体" w:hint="default"/>
          <w:b/>
          <w:bCs/>
          <w:sz w:val="11"/>
          <w:szCs w:val="11"/>
        </w:rPr>
      </w:pPr>
    </w:p>
    <w:tbl>
      <w:tblPr>
        <w:tblW w:w="0" w:type="auto"/>
        <w:jc w:val="left"/>
        <w:tblInd w:w="134" w:type="dxa"/>
        <w:tblLayout w:type="fixed"/>
        <w:tblCellMar>
          <w:top w:w="0" w:type="dxa"/>
          <w:left w:w="0" w:type="dxa"/>
          <w:bottom w:w="0" w:type="dxa"/>
          <w:right w:w="0" w:type="dxa"/>
        </w:tblCellMar>
        <w:tblLook w:val="01E0"/>
      </w:tblPr>
      <w:tblGrid>
        <w:gridCol w:w="5258"/>
        <w:gridCol w:w="2267"/>
        <w:gridCol w:w="2137"/>
      </w:tblGrid>
      <w:tr>
        <w:trPr>
          <w:trHeight w:val="346" w:hRule="exact"/>
        </w:trPr>
        <w:tc>
          <w:tcPr>
            <w:tcW w:w="5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38,594,200.47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346"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用于担保的定期存款或通知存款</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287,500,000.00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391,510,000.00</w:t>
            </w:r>
          </w:p>
        </w:tc>
      </w:tr>
      <w:tr>
        <w:trPr>
          <w:trHeight w:val="350"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向银行申请开具无条件、不可撤销的担保函所存入的保证金存款</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450,625,935.88</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531,030,000.00</w:t>
            </w:r>
          </w:p>
        </w:tc>
      </w:tr>
      <w:tr>
        <w:trPr>
          <w:trHeight w:val="346"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267"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312,850,000.00</w:t>
            </w:r>
          </w:p>
        </w:tc>
      </w:tr>
      <w:tr>
        <w:trPr>
          <w:trHeight w:val="346" w:hRule="exact"/>
        </w:trPr>
        <w:tc>
          <w:tcPr>
            <w:tcW w:w="5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7"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733,378.70</w:t>
            </w:r>
          </w:p>
        </w:tc>
      </w:tr>
      <w:tr>
        <w:trPr>
          <w:trHeight w:val="351" w:hRule="exact"/>
        </w:trPr>
        <w:tc>
          <w:tcPr>
            <w:tcW w:w="5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776,720,136.35</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1,326,123,378.70</w:t>
            </w:r>
          </w:p>
        </w:tc>
      </w:tr>
    </w:tbl>
    <w:p>
      <w:pPr>
        <w:spacing w:line="240" w:lineRule="auto" w:before="3"/>
        <w:rPr>
          <w:rFonts w:ascii="宋体" w:hAnsi="宋体" w:cs="宋体" w:eastAsia="宋体" w:hint="default"/>
          <w:b/>
          <w:bCs/>
          <w:sz w:val="5"/>
          <w:szCs w:val="5"/>
        </w:rPr>
      </w:pPr>
    </w:p>
    <w:p>
      <w:pPr>
        <w:pStyle w:val="Heading3"/>
        <w:spacing w:line="240" w:lineRule="auto" w:before="36"/>
        <w:ind w:right="1126"/>
        <w:jc w:val="left"/>
        <w:rPr>
          <w:b w:val="0"/>
          <w:bCs w:val="0"/>
        </w:rPr>
      </w:pPr>
      <w:r>
        <w:rPr/>
        <w:t>（</w:t>
      </w:r>
      <w:r>
        <w:rPr>
          <w:rFonts w:ascii="Times New Roman" w:hAnsi="Times New Roman" w:cs="Times New Roman" w:eastAsia="Times New Roman" w:hint="default"/>
        </w:rPr>
        <w:t>3</w:t>
      </w:r>
      <w:r>
        <w:rPr/>
        <w:t>）其他说明</w:t>
      </w:r>
      <w:r>
        <w:rPr>
          <w:b w:val="0"/>
          <w:bCs w:val="0"/>
        </w:rPr>
      </w:r>
    </w:p>
    <w:p>
      <w:pPr>
        <w:pStyle w:val="BodyText"/>
        <w:spacing w:line="300" w:lineRule="auto" w:before="166"/>
        <w:ind w:right="1127" w:firstLine="360"/>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日，本公司以人民币</w:t>
      </w:r>
      <w:r>
        <w:rPr>
          <w:rFonts w:ascii="Times New Roman" w:hAnsi="Times New Roman" w:cs="Times New Roman" w:eastAsia="Times New Roman" w:hint="default"/>
          <w:spacing w:val="-2"/>
        </w:rPr>
        <w:t>200,000,000.00</w:t>
      </w:r>
      <w:r>
        <w:rPr>
          <w:spacing w:val="-2"/>
        </w:rPr>
        <w:t>元银行定期存单为质押，取得厦门国际银行股份有限公司珠海分</w:t>
      </w:r>
      <w:r>
        <w:rPr>
          <w:w w:val="101"/>
        </w:rPr>
        <w:t> </w:t>
      </w:r>
      <w:r>
        <w:rPr>
          <w:spacing w:val="-2"/>
        </w:rPr>
        <w:t>行港币</w:t>
      </w:r>
      <w:r>
        <w:rPr>
          <w:rFonts w:ascii="Times New Roman" w:hAnsi="Times New Roman" w:cs="Times New Roman" w:eastAsia="Times New Roman" w:hint="default"/>
          <w:spacing w:val="-2"/>
        </w:rPr>
        <w:t>214,500,000.00</w:t>
      </w:r>
      <w:r>
        <w:rPr>
          <w:spacing w:val="-2"/>
        </w:rPr>
        <w:t>元（折合人民币</w:t>
      </w:r>
      <w:r>
        <w:rPr>
          <w:rFonts w:ascii="Times New Roman" w:hAnsi="Times New Roman" w:cs="Times New Roman" w:eastAsia="Times New Roman" w:hint="default"/>
          <w:spacing w:val="-2"/>
        </w:rPr>
        <w:t>192,144,810.00</w:t>
      </w:r>
      <w:r>
        <w:rPr>
          <w:spacing w:val="-2"/>
        </w:rPr>
        <w:t>元）短期借款，期限为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日，见本附注</w:t>
      </w:r>
      <w:r>
        <w:rPr>
          <w:rFonts w:ascii="Times New Roman" w:hAnsi="Times New Roman" w:cs="Times New Roman" w:eastAsia="Times New Roman" w:hint="default"/>
          <w:spacing w:val="-2"/>
        </w:rPr>
        <w:t>21</w:t>
      </w:r>
      <w:r>
        <w:rPr>
          <w:spacing w:val="-2"/>
        </w:rPr>
        <w:t>、</w:t>
      </w:r>
      <w:r>
        <w:rPr>
          <w:spacing w:val="63"/>
        </w:rPr>
        <w:t> </w:t>
      </w:r>
      <w:r>
        <w:rPr/>
        <w:t>短期借款。</w:t>
      </w:r>
    </w:p>
    <w:p>
      <w:pPr>
        <w:pStyle w:val="BodyText"/>
        <w:spacing w:line="240" w:lineRule="auto" w:before="152"/>
        <w:ind w:left="513" w:right="1126"/>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日，本公司以人民币</w:t>
      </w:r>
      <w:r>
        <w:rPr>
          <w:rFonts w:ascii="Times New Roman" w:hAnsi="Times New Roman" w:cs="Times New Roman" w:eastAsia="Times New Roman" w:hint="default"/>
        </w:rPr>
        <w:t>87,500,000.00</w:t>
      </w:r>
      <w:r>
        <w:rPr/>
        <w:t>元银行定期存单为质押用于开具保函。</w:t>
      </w:r>
    </w:p>
    <w:p>
      <w:pPr>
        <w:pStyle w:val="Heading3"/>
        <w:spacing w:line="240" w:lineRule="auto" w:before="157"/>
        <w:ind w:right="1126"/>
        <w:jc w:val="left"/>
        <w:rPr>
          <w:b w:val="0"/>
          <w:bCs w:val="0"/>
        </w:rPr>
      </w:pPr>
      <w:r>
        <w:rPr/>
        <w:t>（</w:t>
      </w:r>
      <w:r>
        <w:rPr>
          <w:rFonts w:ascii="Times New Roman" w:hAnsi="Times New Roman" w:cs="Times New Roman" w:eastAsia="Times New Roman" w:hint="default"/>
        </w:rPr>
        <w:t>4</w:t>
      </w:r>
      <w:r>
        <w:rPr/>
        <w:t>）期初余额与上年年末余额不一致的原因</w:t>
      </w:r>
      <w:r>
        <w:rPr>
          <w:b w:val="0"/>
          <w:bCs w:val="0"/>
        </w:rPr>
      </w:r>
    </w:p>
    <w:p>
      <w:pPr>
        <w:pStyle w:val="BodyText"/>
        <w:spacing w:line="307" w:lineRule="auto" w:before="166"/>
        <w:ind w:right="1122" w:firstLine="360"/>
        <w:jc w:val="both"/>
      </w:pPr>
      <w:r>
        <w:rPr>
          <w:spacing w:val="-8"/>
          <w:w w:val="101"/>
        </w:rPr>
        <w:t>本公司追溯应用新金融工具准则，但对于分类和计量（含减值）涉及前期比较财务报表数据与新金融工具准则不一致的，</w:t>
      </w:r>
      <w:r>
        <w:rPr>
          <w:w w:val="101"/>
        </w:rPr>
        <w:t> </w:t>
      </w:r>
      <w:r>
        <w:rPr>
          <w:spacing w:val="-4"/>
        </w:rPr>
        <w:t>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年年初留存收益或其他综合收益以及财</w:t>
      </w:r>
      <w:r>
        <w:rPr>
          <w:spacing w:val="51"/>
        </w:rPr>
        <w:t> </w:t>
      </w:r>
      <w:r>
        <w:rPr>
          <w:spacing w:val="51"/>
        </w:rPr>
      </w:r>
      <w:r>
        <w:rPr>
          <w:spacing w:val="-6"/>
          <w:w w:val="101"/>
        </w:rPr>
        <w:t>务报表其他相关项目金额，</w:t>
      </w:r>
      <w:r>
        <w:rPr>
          <w:rFonts w:ascii="Times New Roman" w:hAnsi="Times New Roman" w:cs="Times New Roman" w:eastAsia="Times New Roman" w:hint="default"/>
          <w:spacing w:val="-6"/>
          <w:w w:val="101"/>
        </w:rPr>
        <w:t>2018</w:t>
      </w:r>
      <w:r>
        <w:rPr>
          <w:spacing w:val="-6"/>
          <w:w w:val="101"/>
        </w:rPr>
        <w:t>年度的财务报表未予重述。期初余额与上年年末余额存在的调整情况详细见</w:t>
      </w:r>
      <w:r>
        <w:rPr>
          <w:rFonts w:ascii="Times New Roman" w:hAnsi="Times New Roman" w:cs="Times New Roman" w:eastAsia="Times New Roman" w:hint="default"/>
          <w:spacing w:val="-6"/>
          <w:w w:val="101"/>
        </w:rPr>
        <w:t>“</w:t>
      </w:r>
      <w:r>
        <w:rPr>
          <w:spacing w:val="-6"/>
          <w:w w:val="101"/>
        </w:rPr>
        <w:t>第十二节</w:t>
      </w:r>
      <w:r>
        <w:rPr>
          <w:w w:val="101"/>
        </w:rPr>
        <w:t> </w:t>
      </w:r>
      <w:r>
        <w:rPr>
          <w:spacing w:val="-27"/>
          <w:w w:val="101"/>
        </w:rPr>
        <w:t>、五、</w:t>
      </w:r>
      <w:r>
        <w:rPr>
          <w:spacing w:val="-74"/>
          <w:w w:val="101"/>
        </w:rPr>
        <w:t> </w:t>
      </w:r>
      <w:r>
        <w:rPr>
          <w:spacing w:val="-74"/>
          <w:w w:val="101"/>
        </w:rPr>
      </w:r>
      <w:r>
        <w:rPr>
          <w:rFonts w:ascii="Times New Roman" w:hAnsi="Times New Roman" w:cs="Times New Roman" w:eastAsia="Times New Roman" w:hint="default"/>
        </w:rPr>
        <w:t>29</w:t>
      </w:r>
      <w:r>
        <w:rPr/>
        <w:t>、重要会计政策及会计估计变更</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1"/>
          <w:szCs w:val="21"/>
        </w:rPr>
      </w:pPr>
    </w:p>
    <w:p>
      <w:pPr>
        <w:pStyle w:val="Heading3"/>
        <w:spacing w:line="240" w:lineRule="auto"/>
        <w:ind w:right="1126"/>
        <w:jc w:val="left"/>
        <w:rPr>
          <w:b w:val="0"/>
          <w:bCs w:val="0"/>
        </w:rPr>
      </w:pPr>
      <w:bookmarkStart w:name="2、交易性金融资产" w:id="240"/>
      <w:bookmarkEnd w:id="240"/>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38"/>
        <w:gridCol w:w="2694"/>
        <w:gridCol w:w="2343"/>
      </w:tblGrid>
      <w:tr>
        <w:trPr>
          <w:trHeight w:val="403"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538"/>
        <w:gridCol w:w="2694"/>
        <w:gridCol w:w="2343"/>
      </w:tblGrid>
      <w:tr>
        <w:trPr>
          <w:trHeight w:val="403"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125,224,475.73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994,238,239.73</w:t>
            </w:r>
          </w:p>
        </w:tc>
      </w:tr>
      <w:tr>
        <w:trPr>
          <w:trHeight w:val="398"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其中：权益工具投资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110,000,000.00</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110,000,000.00</w:t>
            </w:r>
          </w:p>
        </w:tc>
      </w:tr>
      <w:tr>
        <w:trPr>
          <w:trHeight w:val="40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13,024,475.73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534,238,239.73</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2,200,000.00</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3"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125,224,475.73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994,238,239.73</w:t>
            </w:r>
          </w:p>
        </w:tc>
      </w:tr>
    </w:tbl>
    <w:p>
      <w:pPr>
        <w:spacing w:line="240" w:lineRule="auto" w:before="6"/>
        <w:rPr>
          <w:rFonts w:ascii="宋体" w:hAnsi="宋体" w:cs="宋体" w:eastAsia="宋体" w:hint="default"/>
          <w:sz w:val="6"/>
          <w:szCs w:val="6"/>
        </w:rPr>
      </w:pPr>
    </w:p>
    <w:p>
      <w:pPr>
        <w:pStyle w:val="BodyText"/>
        <w:spacing w:line="240" w:lineRule="auto" w:before="46"/>
        <w:ind w:left="513" w:right="1126"/>
        <w:jc w:val="left"/>
      </w:pPr>
      <w:r>
        <w:rPr>
          <w:spacing w:val="-3"/>
        </w:rPr>
        <w:t>注：①以公允价值计量且其变动计入当期损益的结构性存款本金</w:t>
      </w:r>
      <w:r>
        <w:rPr>
          <w:rFonts w:ascii="Times New Roman" w:hAnsi="Times New Roman" w:cs="Times New Roman" w:eastAsia="Times New Roman" w:hint="default"/>
          <w:spacing w:val="-3"/>
        </w:rPr>
        <w:t>12,590,000.00</w:t>
      </w:r>
      <w:r>
        <w:rPr>
          <w:spacing w:val="-3"/>
        </w:rPr>
        <w:t>元已质押用于开具保函。</w:t>
      </w:r>
    </w:p>
    <w:p>
      <w:pPr>
        <w:spacing w:line="240" w:lineRule="auto" w:before="0"/>
        <w:rPr>
          <w:rFonts w:ascii="宋体" w:hAnsi="宋体" w:cs="宋体" w:eastAsia="宋体" w:hint="default"/>
          <w:sz w:val="14"/>
          <w:szCs w:val="14"/>
        </w:rPr>
      </w:pPr>
    </w:p>
    <w:p>
      <w:pPr>
        <w:pStyle w:val="BodyText"/>
        <w:spacing w:line="307" w:lineRule="auto"/>
        <w:ind w:right="1024" w:firstLine="360"/>
        <w:jc w:val="left"/>
      </w:pPr>
      <w:r>
        <w:rPr>
          <w:spacing w:val="-4"/>
        </w:rPr>
        <w:t>②本公司追溯应用新金融工具准则，但对于分类和计量（含减值）涉及前期比较财务报表数据与新金融工具准则不一致</w:t>
      </w:r>
      <w:r>
        <w:rPr>
          <w:w w:val="101"/>
        </w:rPr>
        <w:t> </w:t>
      </w:r>
      <w:r>
        <w:rPr>
          <w:spacing w:val="-4"/>
        </w:rPr>
        <w:t>的，本公司选择不进行重述。因此，对于首次执行该准则的累积影响数，本公司调整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年年初留存收益或其他综合收益以</w:t>
      </w:r>
      <w:r>
        <w:rPr>
          <w:spacing w:val="49"/>
        </w:rPr>
        <w:t> </w:t>
      </w:r>
      <w:r>
        <w:rPr>
          <w:spacing w:val="49"/>
        </w:rPr>
      </w:r>
      <w:r>
        <w:rPr>
          <w:spacing w:val="-5"/>
          <w:w w:val="101"/>
        </w:rPr>
        <w:t>及财务报表其他相关项目金额，</w:t>
      </w:r>
      <w:r>
        <w:rPr>
          <w:rFonts w:ascii="Times New Roman" w:hAnsi="Times New Roman" w:cs="Times New Roman" w:eastAsia="Times New Roman" w:hint="default"/>
          <w:spacing w:val="-5"/>
          <w:w w:val="101"/>
        </w:rPr>
        <w:t>2018</w:t>
      </w:r>
      <w:r>
        <w:rPr>
          <w:spacing w:val="-5"/>
          <w:w w:val="101"/>
        </w:rPr>
        <w:t>年度的财务报表未予重述。期初余额与上年年末余额存在的调整情况详细见</w:t>
      </w:r>
      <w:r>
        <w:rPr>
          <w:rFonts w:ascii="Times New Roman" w:hAnsi="Times New Roman" w:cs="Times New Roman" w:eastAsia="Times New Roman" w:hint="default"/>
          <w:spacing w:val="-5"/>
          <w:w w:val="101"/>
        </w:rPr>
        <w:t>“</w:t>
      </w:r>
      <w:r>
        <w:rPr>
          <w:spacing w:val="-5"/>
          <w:w w:val="101"/>
        </w:rPr>
        <w:t>第十二节</w:t>
      </w:r>
      <w:r>
        <w:rPr>
          <w:spacing w:val="-15"/>
          <w:w w:val="101"/>
        </w:rPr>
        <w:t> </w:t>
      </w:r>
      <w:r>
        <w:rPr>
          <w:w w:val="101"/>
        </w:rPr>
        <w:t>、</w:t>
      </w:r>
      <w:r>
        <w:rPr>
          <w:w w:val="101"/>
        </w:rPr>
        <w:t> </w:t>
      </w:r>
      <w:r>
        <w:rPr/>
        <w:t>五、</w:t>
      </w:r>
      <w:r>
        <w:rPr>
          <w:rFonts w:ascii="Times New Roman" w:hAnsi="Times New Roman" w:cs="Times New Roman" w:eastAsia="Times New Roman" w:hint="default"/>
        </w:rPr>
        <w:t>29</w:t>
      </w:r>
      <w:r>
        <w:rPr/>
        <w:t>、重要会计政策及会计估计变更</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1"/>
          <w:szCs w:val="21"/>
        </w:rPr>
      </w:pPr>
    </w:p>
    <w:p>
      <w:pPr>
        <w:pStyle w:val="Heading3"/>
        <w:spacing w:line="240" w:lineRule="auto"/>
        <w:ind w:right="1126"/>
        <w:jc w:val="left"/>
        <w:rPr>
          <w:b w:val="0"/>
          <w:bCs w:val="0"/>
        </w:rPr>
      </w:pPr>
      <w:bookmarkStart w:name="3、应收票据" w:id="241"/>
      <w:bookmarkEnd w:id="241"/>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应收票据分类列示" w:id="242"/>
      <w:bookmarkEnd w:id="24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251,600,733.00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362,800,000.00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57,501,232.50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369,650,000.00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309,101,965.50</w:t>
            </w:r>
          </w:p>
        </w:tc>
      </w:tr>
    </w:tbl>
    <w:p>
      <w:pPr>
        <w:pStyle w:val="BodyText"/>
        <w:spacing w:line="240" w:lineRule="auto" w:before="53"/>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850"/>
        <w:gridCol w:w="711"/>
        <w:gridCol w:w="706"/>
        <w:gridCol w:w="855"/>
        <w:gridCol w:w="850"/>
        <w:gridCol w:w="994"/>
        <w:gridCol w:w="706"/>
        <w:gridCol w:w="466"/>
        <w:gridCol w:w="797"/>
        <w:gridCol w:w="792"/>
      </w:tblGrid>
      <w:tr>
        <w:trPr>
          <w:trHeight w:val="404"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561"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263"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按单项计提坏账准备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的应收票据</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6,850,000.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w:t>
            </w: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6,850,000.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251,600,733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81.40%</w:t>
            </w:r>
          </w:p>
        </w:tc>
        <w:tc>
          <w:tcPr>
            <w:tcW w:w="4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251,600,7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33.00</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其中：银行承兑汇票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6,850,000.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w:t>
            </w: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6,850,000.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251,600,733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81.40%</w:t>
            </w:r>
          </w:p>
        </w:tc>
        <w:tc>
          <w:tcPr>
            <w:tcW w:w="4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251,600,7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33.00</w:t>
            </w: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的应收票据</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362,800,0</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98.15%</w:t>
            </w: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362,800,0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57,501,232.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18.60%</w:t>
            </w:r>
          </w:p>
        </w:tc>
        <w:tc>
          <w:tcPr>
            <w:tcW w:w="4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57,501,23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2.50</w:t>
            </w: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其中：商业承兑汇票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362,800,0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98.15%</w:t>
            </w: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5" w:right="0"/>
              <w:jc w:val="left"/>
              <w:rPr>
                <w:rFonts w:ascii="Times New Roman" w:hAnsi="Times New Roman" w:cs="Times New Roman" w:eastAsia="Times New Roman" w:hint="default"/>
                <w:sz w:val="18"/>
                <w:szCs w:val="18"/>
              </w:rPr>
            </w:pPr>
            <w:r>
              <w:rPr>
                <w:rFonts w:ascii="Times New Roman"/>
                <w:sz w:val="18"/>
              </w:rPr>
              <w:t>362,800,0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57,501,232.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18.60%</w:t>
            </w:r>
          </w:p>
        </w:tc>
        <w:tc>
          <w:tcPr>
            <w:tcW w:w="4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 w:right="0"/>
              <w:jc w:val="left"/>
              <w:rPr>
                <w:rFonts w:ascii="Times New Roman" w:hAnsi="Times New Roman" w:cs="Times New Roman" w:eastAsia="Times New Roman" w:hint="default"/>
                <w:sz w:val="18"/>
                <w:szCs w:val="18"/>
              </w:rPr>
            </w:pPr>
            <w:r>
              <w:rPr>
                <w:rFonts w:ascii="Times New Roman"/>
                <w:sz w:val="18"/>
              </w:rPr>
              <w:t>57,501,23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2.50</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369,650,0</w:t>
            </w:r>
          </w:p>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369,650,0</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309,101,965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309,101,9</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65.50</w:t>
            </w:r>
          </w:p>
        </w:tc>
      </w:tr>
    </w:tbl>
    <w:p>
      <w:pPr>
        <w:pStyle w:val="BodyText"/>
        <w:spacing w:line="240" w:lineRule="auto" w:before="53"/>
        <w:ind w:right="1126"/>
        <w:jc w:val="left"/>
      </w:pPr>
      <w:r>
        <w:rPr>
          <w:spacing w:val="-3"/>
        </w:rPr>
        <w:t>如是按照预期信用损失一般模型计提应收票据坏账准备，请参照其他应收款的披露方式披露坏账准备的相关信息：</w:t>
      </w:r>
    </w:p>
    <w:p>
      <w:pPr>
        <w:pStyle w:val="BodyText"/>
        <w:spacing w:line="240" w:lineRule="auto" w:before="120"/>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060" w:bottom="16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26"/>
        <w:jc w:val="left"/>
        <w:rPr>
          <w:b w:val="0"/>
          <w:bCs w:val="0"/>
        </w:rPr>
      </w:pPr>
      <w:bookmarkStart w:name="（2）期末公司已质押的应收票据" w:id="243"/>
      <w:bookmarkEnd w:id="24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301,600,000.00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315,000,000.00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616,600,000.00</w:t>
            </w:r>
          </w:p>
        </w:tc>
      </w:tr>
    </w:tbl>
    <w:p>
      <w:pPr>
        <w:spacing w:line="240" w:lineRule="auto" w:before="1"/>
        <w:rPr>
          <w:rFonts w:ascii="宋体" w:hAnsi="宋体" w:cs="宋体" w:eastAsia="宋体" w:hint="default"/>
          <w:sz w:val="6"/>
          <w:szCs w:val="6"/>
        </w:rPr>
      </w:pPr>
    </w:p>
    <w:p>
      <w:pPr>
        <w:pStyle w:val="BodyText"/>
        <w:spacing w:line="259" w:lineRule="auto" w:before="46"/>
        <w:ind w:right="1126" w:firstLine="360"/>
        <w:jc w:val="left"/>
      </w:pPr>
      <w:r>
        <w:rPr>
          <w:spacing w:val="-3"/>
        </w:rPr>
        <w:t>注：上述期末已质押银行承兑汇票余额 </w:t>
      </w:r>
      <w:r>
        <w:rPr>
          <w:rFonts w:ascii="Times New Roman" w:hAnsi="Times New Roman" w:cs="Times New Roman" w:eastAsia="Times New Roman" w:hint="default"/>
        </w:rPr>
        <w:t>301,600,000.00 </w:t>
      </w:r>
      <w:r>
        <w:rPr>
          <w:spacing w:val="-3"/>
        </w:rPr>
        <w:t>元，其中 </w:t>
      </w:r>
      <w:r>
        <w:rPr>
          <w:rFonts w:ascii="Times New Roman" w:hAnsi="Times New Roman" w:cs="Times New Roman" w:eastAsia="Times New Roman" w:hint="default"/>
        </w:rPr>
        <w:t>300,000,000.00</w:t>
      </w:r>
      <w:r>
        <w:rPr>
          <w:rFonts w:ascii="Times New Roman" w:hAnsi="Times New Roman" w:cs="Times New Roman" w:eastAsia="Times New Roman" w:hint="default"/>
          <w:spacing w:val="-20"/>
        </w:rPr>
        <w:t> </w:t>
      </w:r>
      <w:r>
        <w:rPr>
          <w:spacing w:val="-3"/>
        </w:rPr>
        <w:t>元系本公司向全资子公司西藏酷爱通信</w:t>
      </w:r>
      <w:r>
        <w:rPr>
          <w:w w:val="101"/>
        </w:rPr>
        <w:t> </w:t>
      </w:r>
      <w:r>
        <w:rPr>
          <w:spacing w:val="-3"/>
        </w:rPr>
        <w:t>有限公司开具的银行承兑汇票，在合并层面已进行抵消。</w:t>
      </w:r>
    </w:p>
    <w:p>
      <w:pPr>
        <w:spacing w:line="240" w:lineRule="auto" w:before="7"/>
        <w:rPr>
          <w:rFonts w:ascii="宋体" w:hAnsi="宋体" w:cs="宋体" w:eastAsia="宋体" w:hint="default"/>
          <w:sz w:val="25"/>
          <w:szCs w:val="25"/>
        </w:rPr>
      </w:pPr>
    </w:p>
    <w:p>
      <w:pPr>
        <w:pStyle w:val="Heading3"/>
        <w:spacing w:line="240" w:lineRule="auto"/>
        <w:ind w:right="1126"/>
        <w:jc w:val="left"/>
        <w:rPr>
          <w:b w:val="0"/>
          <w:bCs w:val="0"/>
        </w:rPr>
      </w:pPr>
      <w:bookmarkStart w:name="（3）期末公司已背书或贴现且在资产负债表日尚未到期的应收票据" w:id="244"/>
      <w:bookmarkEnd w:id="24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259,882,773.30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459,882,773.30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6"/>
          <w:szCs w:val="6"/>
        </w:rPr>
      </w:pPr>
    </w:p>
    <w:p>
      <w:pPr>
        <w:pStyle w:val="BodyText"/>
        <w:spacing w:line="259" w:lineRule="auto" w:before="46"/>
        <w:ind w:right="1127" w:firstLine="360"/>
        <w:jc w:val="both"/>
      </w:pPr>
      <w:r>
        <w:rPr>
          <w:spacing w:val="-8"/>
          <w:w w:val="101"/>
        </w:rPr>
        <w:t>注：上述已贴现未到期的信用证</w:t>
      </w:r>
      <w:r>
        <w:rPr>
          <w:w w:val="101"/>
        </w:rPr>
        <w:t> </w:t>
      </w:r>
      <w:r>
        <w:rPr>
          <w:rFonts w:ascii="Times New Roman" w:hAnsi="Times New Roman" w:cs="Times New Roman" w:eastAsia="Times New Roman" w:hint="default"/>
          <w:spacing w:val="-1"/>
          <w:w w:val="101"/>
        </w:rPr>
        <w:t>200,000,000.00</w:t>
      </w:r>
      <w:r>
        <w:rPr>
          <w:rFonts w:ascii="Times New Roman" w:hAnsi="Times New Roman" w:cs="Times New Roman" w:eastAsia="Times New Roman" w:hint="default"/>
          <w:spacing w:val="4"/>
          <w:w w:val="101"/>
        </w:rPr>
        <w:t> </w:t>
      </w:r>
      <w:r>
        <w:rPr>
          <w:spacing w:val="-3"/>
          <w:w w:val="101"/>
        </w:rPr>
        <w:t>元为子公司西藏酷爱通信有限公司贴现本公司向其开具的信用证和银行</w:t>
      </w:r>
      <w:r>
        <w:rPr>
          <w:w w:val="101"/>
        </w:rPr>
        <w:t> </w:t>
      </w:r>
      <w:r>
        <w:rPr>
          <w:spacing w:val="-3"/>
        </w:rPr>
        <w:t>承兑汇票，已重分类至短期借款中反映，参见本附注</w:t>
      </w:r>
      <w:r>
        <w:rPr>
          <w:spacing w:val="25"/>
        </w:rPr>
        <w:t> </w:t>
      </w:r>
      <w:r>
        <w:rPr>
          <w:rFonts w:ascii="Times New Roman" w:hAnsi="Times New Roman" w:cs="Times New Roman" w:eastAsia="Times New Roman" w:hint="default"/>
        </w:rPr>
        <w:t>21</w:t>
      </w:r>
      <w:r>
        <w:rPr/>
        <w:t>、短期借款。</w:t>
      </w:r>
    </w:p>
    <w:p>
      <w:pPr>
        <w:spacing w:line="240" w:lineRule="auto" w:before="5"/>
        <w:rPr>
          <w:rFonts w:ascii="宋体" w:hAnsi="宋体" w:cs="宋体" w:eastAsia="宋体" w:hint="default"/>
          <w:sz w:val="24"/>
          <w:szCs w:val="24"/>
        </w:rPr>
      </w:pPr>
    </w:p>
    <w:p>
      <w:pPr>
        <w:pStyle w:val="Heading3"/>
        <w:spacing w:line="240" w:lineRule="auto"/>
        <w:ind w:right="1126"/>
        <w:jc w:val="left"/>
        <w:rPr>
          <w:b w:val="0"/>
          <w:bCs w:val="0"/>
        </w:rPr>
      </w:pPr>
      <w:bookmarkStart w:name="（4）其他说明" w:id="245"/>
      <w:bookmarkEnd w:id="24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6"/>
          <w:szCs w:val="26"/>
        </w:rPr>
      </w:pPr>
    </w:p>
    <w:p>
      <w:pPr>
        <w:pStyle w:val="BodyText"/>
        <w:spacing w:line="312" w:lineRule="auto"/>
        <w:ind w:right="1122" w:firstLine="360"/>
        <w:jc w:val="both"/>
      </w:pPr>
      <w:r>
        <w:rPr>
          <w:spacing w:val="-5"/>
        </w:rPr>
        <w:t>①本期末控股子公司优友金服（常熟）供应链有限公司、深圳市优友通讯器材有限公司以票据作为质押为其江苏苏宁银</w:t>
      </w:r>
      <w:r>
        <w:rPr>
          <w:w w:val="101"/>
        </w:rPr>
        <w:t> </w:t>
      </w:r>
      <w:r>
        <w:rPr>
          <w:spacing w:val="-2"/>
          <w:w w:val="101"/>
        </w:rPr>
        <w:t>行股份有限公司的</w:t>
      </w:r>
      <w:r>
        <w:rPr>
          <w:spacing w:val="-53"/>
          <w:w w:val="101"/>
        </w:rPr>
        <w:t> </w:t>
      </w:r>
      <w:r>
        <w:rPr>
          <w:rFonts w:ascii="Times New Roman" w:hAnsi="Times New Roman" w:cs="Times New Roman" w:eastAsia="Times New Roman" w:hint="default"/>
          <w:spacing w:val="-1"/>
          <w:w w:val="101"/>
        </w:rPr>
        <w:t>3.12</w:t>
      </w:r>
      <w:r>
        <w:rPr>
          <w:rFonts w:ascii="Times New Roman" w:hAnsi="Times New Roman" w:cs="Times New Roman" w:eastAsia="Times New Roman" w:hint="default"/>
          <w:spacing w:val="42"/>
          <w:w w:val="101"/>
        </w:rPr>
        <w:t> </w:t>
      </w:r>
      <w:r>
        <w:rPr>
          <w:spacing w:val="-8"/>
          <w:w w:val="101"/>
        </w:rPr>
        <w:t>亿元人民币银行借款提供担保。截止</w:t>
      </w:r>
      <w:r>
        <w:rPr>
          <w:spacing w:val="-52"/>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7"/>
          <w:w w:val="101"/>
        </w:rPr>
        <w:t> </w:t>
      </w:r>
      <w:r>
        <w:rPr>
          <w:w w:val="101"/>
        </w:rPr>
        <w:t>年</w:t>
      </w:r>
      <w:r>
        <w:rPr>
          <w:spacing w:val="-53"/>
          <w:w w:val="101"/>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2"/>
          <w:w w:val="101"/>
        </w:rPr>
        <w:t> </w:t>
      </w:r>
      <w:r>
        <w:rPr>
          <w:w w:val="101"/>
        </w:rPr>
        <w:t>月</w:t>
      </w:r>
      <w:r>
        <w:rPr>
          <w:spacing w:val="-57"/>
          <w:w w:val="101"/>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7"/>
          <w:w w:val="101"/>
        </w:rPr>
        <w:t> </w:t>
      </w:r>
      <w:r>
        <w:rPr>
          <w:spacing w:val="-9"/>
          <w:w w:val="101"/>
        </w:rPr>
        <w:t>日，尚未到期的质押票据余额为</w:t>
      </w:r>
      <w:r>
        <w:rPr>
          <w:spacing w:val="-57"/>
          <w:w w:val="101"/>
        </w:rPr>
        <w:t> </w:t>
      </w:r>
      <w:r>
        <w:rPr>
          <w:rFonts w:ascii="Times New Roman" w:hAnsi="Times New Roman" w:cs="Times New Roman" w:eastAsia="Times New Roman" w:hint="default"/>
          <w:spacing w:val="-1"/>
          <w:w w:val="101"/>
        </w:rPr>
        <w:t>315,000,000.00</w:t>
      </w:r>
      <w:r>
        <w:rPr>
          <w:rFonts w:ascii="Times New Roman" w:hAnsi="Times New Roman" w:cs="Times New Roman" w:eastAsia="Times New Roman" w:hint="default"/>
          <w:w w:val="101"/>
        </w:rPr>
        <w:t> </w:t>
      </w:r>
      <w:r>
        <w:rPr/>
        <w:t>元。</w:t>
      </w:r>
    </w:p>
    <w:p>
      <w:pPr>
        <w:pStyle w:val="BodyText"/>
        <w:spacing w:line="240" w:lineRule="auto" w:before="56"/>
        <w:ind w:left="513" w:right="0"/>
        <w:jc w:val="left"/>
      </w:pPr>
      <w:r>
        <w:rPr>
          <w:spacing w:val="-4"/>
        </w:rPr>
        <w:t>②本公司以应收票据作为质押，与兴业银行开展票据池业务合作，截止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日，尚未到期的质押票据余额</w:t>
      </w:r>
    </w:p>
    <w:p>
      <w:pPr>
        <w:pStyle w:val="BodyText"/>
        <w:spacing w:line="304" w:lineRule="auto" w:before="63"/>
        <w:ind w:right="1126"/>
        <w:jc w:val="left"/>
      </w:pPr>
      <w:r>
        <w:rPr/>
        <w:t>为</w:t>
      </w:r>
      <w:r>
        <w:rPr>
          <w:spacing w:val="51"/>
        </w:rPr>
        <w:t> </w:t>
      </w:r>
      <w:r>
        <w:rPr>
          <w:rFonts w:ascii="Times New Roman" w:hAnsi="Times New Roman" w:cs="Times New Roman" w:eastAsia="Times New Roman" w:hint="default"/>
        </w:rPr>
        <w:t>301,600,000.00</w:t>
      </w:r>
      <w:r>
        <w:rPr>
          <w:rFonts w:ascii="Times New Roman" w:hAnsi="Times New Roman" w:cs="Times New Roman" w:eastAsia="Times New Roman" w:hint="default"/>
          <w:spacing w:val="15"/>
        </w:rPr>
        <w:t> </w:t>
      </w:r>
      <w:r>
        <w:rPr>
          <w:spacing w:val="-7"/>
        </w:rPr>
        <w:t>元。其中</w:t>
      </w:r>
      <w:r>
        <w:rPr>
          <w:spacing w:val="-24"/>
        </w:rPr>
        <w:t> </w:t>
      </w:r>
      <w:r>
        <w:rPr>
          <w:rFonts w:ascii="Times New Roman" w:hAnsi="Times New Roman" w:cs="Times New Roman" w:eastAsia="Times New Roman" w:hint="default"/>
        </w:rPr>
        <w:t>300,000,000.00</w:t>
      </w:r>
      <w:r>
        <w:rPr>
          <w:rFonts w:ascii="Times New Roman" w:hAnsi="Times New Roman" w:cs="Times New Roman" w:eastAsia="Times New Roman" w:hint="default"/>
          <w:spacing w:val="23"/>
        </w:rPr>
        <w:t> </w:t>
      </w:r>
      <w:r>
        <w:rPr>
          <w:spacing w:val="-4"/>
        </w:rPr>
        <w:t>元系本公司向全资子公司西藏酷爱通信有限公司开具的银行承兑汇票，在合并层</w:t>
      </w:r>
      <w:r>
        <w:rPr>
          <w:spacing w:val="-79"/>
        </w:rPr>
        <w:t> </w:t>
      </w:r>
      <w:r>
        <w:rPr>
          <w:spacing w:val="-79"/>
        </w:rPr>
      </w:r>
      <w:r>
        <w:rPr>
          <w:spacing w:val="-3"/>
        </w:rPr>
        <w:t>面已进行抵消。</w:t>
      </w:r>
    </w:p>
    <w:p>
      <w:pPr>
        <w:spacing w:line="240" w:lineRule="auto" w:before="12"/>
        <w:rPr>
          <w:rFonts w:ascii="宋体" w:hAnsi="宋体" w:cs="宋体" w:eastAsia="宋体" w:hint="default"/>
          <w:sz w:val="22"/>
          <w:szCs w:val="22"/>
        </w:rPr>
      </w:pPr>
    </w:p>
    <w:p>
      <w:pPr>
        <w:pStyle w:val="Heading3"/>
        <w:spacing w:line="240" w:lineRule="auto"/>
        <w:ind w:right="1126"/>
        <w:jc w:val="left"/>
        <w:rPr>
          <w:b w:val="0"/>
          <w:bCs w:val="0"/>
        </w:rPr>
      </w:pPr>
      <w:bookmarkStart w:name="4、应收账款" w:id="246"/>
      <w:bookmarkEnd w:id="246"/>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应收账款分类披露" w:id="247"/>
      <w:bookmarkEnd w:id="24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5"/>
        <w:gridCol w:w="764"/>
        <w:gridCol w:w="758"/>
        <w:gridCol w:w="764"/>
        <w:gridCol w:w="764"/>
        <w:gridCol w:w="799"/>
        <w:gridCol w:w="766"/>
        <w:gridCol w:w="797"/>
        <w:gridCol w:w="797"/>
        <w:gridCol w:w="792"/>
        <w:gridCol w:w="931"/>
      </w:tblGrid>
      <w:tr>
        <w:trPr>
          <w:trHeight w:val="398" w:hRule="exact"/>
        </w:trPr>
        <w:tc>
          <w:tcPr>
            <w:tcW w:w="1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5"/>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0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4"/>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206"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2"/>
              <w:ind w:right="15"/>
              <w:jc w:val="center"/>
              <w:rPr>
                <w:rFonts w:ascii="宋体" w:hAnsi="宋体" w:cs="宋体" w:eastAsia="宋体" w:hint="default"/>
                <w:sz w:val="16"/>
                <w:szCs w:val="16"/>
              </w:rPr>
            </w:pPr>
            <w:r>
              <w:rPr>
                <w:rFonts w:ascii="宋体" w:hAnsi="宋体" w:cs="宋体" w:eastAsia="宋体" w:hint="default"/>
                <w:sz w:val="16"/>
                <w:szCs w:val="16"/>
              </w:rPr>
              <w:t>类别</w:t>
            </w: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3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3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49"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71"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72"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563"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143"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02" w:hRule="exact"/>
        </w:trPr>
        <w:tc>
          <w:tcPr>
            <w:tcW w:w="1625" w:type="dxa"/>
            <w:vMerge w:val="restart"/>
            <w:tcBorders>
              <w:top w:val="nil" w:sz="6" w:space="0" w:color="auto"/>
              <w:left w:val="single" w:sz="4" w:space="0" w:color="000000"/>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15"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16"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16"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57" w:right="0"/>
              <w:jc w:val="left"/>
              <w:rPr>
                <w:rFonts w:ascii="宋体" w:hAnsi="宋体" w:cs="宋体" w:eastAsia="宋体" w:hint="default"/>
                <w:sz w:val="16"/>
                <w:szCs w:val="16"/>
              </w:rPr>
            </w:pPr>
            <w:r>
              <w:rPr>
                <w:rFonts w:ascii="宋体" w:hAnsi="宋体" w:cs="宋体" w:eastAsia="宋体" w:hint="default"/>
                <w:sz w:val="16"/>
                <w:szCs w:val="16"/>
              </w:rPr>
              <w:t>计提比例</w:t>
            </w:r>
          </w:p>
        </w:tc>
        <w:tc>
          <w:tcPr>
            <w:tcW w:w="799" w:type="dxa"/>
            <w:vMerge/>
            <w:tcBorders>
              <w:left w:val="single" w:sz="4" w:space="0" w:color="000000"/>
              <w:bottom w:val="nil" w:sz="6" w:space="0" w:color="auto"/>
              <w:right w:val="single" w:sz="4" w:space="0" w:color="000000"/>
            </w:tcBorders>
            <w:shd w:val="clear" w:color="auto" w:fill="D2D2D2"/>
          </w:tcPr>
          <w:p>
            <w:pPr/>
          </w:p>
        </w:tc>
        <w:tc>
          <w:tcPr>
            <w:tcW w:w="7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08"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30"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35"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71" w:right="0"/>
              <w:jc w:val="left"/>
              <w:rPr>
                <w:rFonts w:ascii="宋体" w:hAnsi="宋体" w:cs="宋体" w:eastAsia="宋体" w:hint="default"/>
                <w:sz w:val="16"/>
                <w:szCs w:val="16"/>
              </w:rPr>
            </w:pPr>
            <w:r>
              <w:rPr>
                <w:rFonts w:ascii="宋体" w:hAnsi="宋体" w:cs="宋体" w:eastAsia="宋体" w:hint="default"/>
                <w:sz w:val="16"/>
                <w:szCs w:val="16"/>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58"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6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8"/>
              <w:ind w:left="11" w:right="166"/>
              <w:jc w:val="left"/>
              <w:rPr>
                <w:rFonts w:ascii="宋体" w:hAnsi="宋体" w:cs="宋体" w:eastAsia="宋体" w:hint="default"/>
                <w:sz w:val="16"/>
                <w:szCs w:val="16"/>
              </w:rPr>
            </w:pPr>
            <w:r>
              <w:rPr>
                <w:rFonts w:ascii="宋体" w:hAnsi="宋体" w:cs="宋体" w:eastAsia="宋体" w:hint="default"/>
                <w:sz w:val="16"/>
                <w:szCs w:val="16"/>
              </w:rPr>
              <w:t>按单项计提坏账准备</w:t>
            </w:r>
            <w:r>
              <w:rPr>
                <w:rFonts w:ascii="宋体" w:hAnsi="宋体" w:cs="宋体" w:eastAsia="宋体" w:hint="default"/>
                <w:w w:val="99"/>
                <w:sz w:val="16"/>
                <w:szCs w:val="16"/>
              </w:rPr>
              <w:t> </w:t>
            </w:r>
            <w:r>
              <w:rPr>
                <w:rFonts w:ascii="宋体" w:hAnsi="宋体" w:cs="宋体" w:eastAsia="宋体" w:hint="default"/>
                <w:sz w:val="16"/>
                <w:szCs w:val="16"/>
              </w:rPr>
              <w:t>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left="83" w:right="0"/>
              <w:jc w:val="left"/>
              <w:rPr>
                <w:rFonts w:ascii="Times New Roman" w:hAnsi="Times New Roman" w:cs="Times New Roman" w:eastAsia="Times New Roman" w:hint="default"/>
                <w:sz w:val="16"/>
                <w:szCs w:val="16"/>
              </w:rPr>
            </w:pPr>
            <w:r>
              <w:rPr>
                <w:rFonts w:ascii="Times New Roman"/>
                <w:sz w:val="16"/>
              </w:rPr>
              <w:t>114,261,9</w:t>
            </w:r>
          </w:p>
          <w:p>
            <w:pPr>
              <w:pStyle w:val="TableParagraph"/>
              <w:spacing w:line="240" w:lineRule="auto" w:before="128"/>
              <w:ind w:left="357" w:right="0"/>
              <w:jc w:val="left"/>
              <w:rPr>
                <w:rFonts w:ascii="Times New Roman" w:hAnsi="Times New Roman" w:cs="Times New Roman" w:eastAsia="Times New Roman" w:hint="default"/>
                <w:sz w:val="16"/>
                <w:szCs w:val="16"/>
              </w:rPr>
            </w:pPr>
            <w:r>
              <w:rPr>
                <w:rFonts w:ascii="Times New Roman"/>
                <w:sz w:val="16"/>
              </w:rPr>
              <w:t>75.86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6"/>
                <w:szCs w:val="16"/>
              </w:rPr>
            </w:pPr>
            <w:r>
              <w:rPr>
                <w:rFonts w:ascii="Times New Roman"/>
                <w:sz w:val="16"/>
              </w:rPr>
              <w:t>7.30%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left"/>
              <w:rPr>
                <w:rFonts w:ascii="Times New Roman" w:hAnsi="Times New Roman" w:cs="Times New Roman" w:eastAsia="Times New Roman" w:hint="default"/>
                <w:sz w:val="16"/>
                <w:szCs w:val="16"/>
              </w:rPr>
            </w:pPr>
            <w:r>
              <w:rPr>
                <w:rFonts w:ascii="Times New Roman"/>
                <w:sz w:val="16"/>
              </w:rPr>
              <w:t>49,204,63</w:t>
            </w:r>
          </w:p>
          <w:p>
            <w:pPr>
              <w:pStyle w:val="TableParagraph"/>
              <w:spacing w:line="240" w:lineRule="auto" w:before="128"/>
              <w:ind w:left="451" w:right="0"/>
              <w:jc w:val="left"/>
              <w:rPr>
                <w:rFonts w:ascii="Times New Roman" w:hAnsi="Times New Roman" w:cs="Times New Roman" w:eastAsia="Times New Roman" w:hint="default"/>
                <w:sz w:val="16"/>
                <w:szCs w:val="16"/>
              </w:rPr>
            </w:pPr>
            <w:r>
              <w:rPr>
                <w:rFonts w:ascii="Times New Roman"/>
                <w:sz w:val="16"/>
              </w:rPr>
              <w:t>6.68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6"/>
                <w:szCs w:val="16"/>
              </w:rPr>
            </w:pPr>
            <w:r>
              <w:rPr>
                <w:rFonts w:ascii="Times New Roman"/>
                <w:sz w:val="16"/>
              </w:rPr>
              <w:t>43.06%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8"/>
              <w:jc w:val="right"/>
              <w:rPr>
                <w:rFonts w:ascii="Times New Roman" w:hAnsi="Times New Roman" w:cs="Times New Roman" w:eastAsia="Times New Roman" w:hint="default"/>
                <w:sz w:val="16"/>
                <w:szCs w:val="16"/>
              </w:rPr>
            </w:pPr>
            <w:r>
              <w:rPr>
                <w:rFonts w:ascii="Times New Roman"/>
                <w:w w:val="95"/>
                <w:sz w:val="16"/>
              </w:rPr>
              <w:t>65,057,339</w:t>
            </w:r>
            <w:r>
              <w:rPr>
                <w:rFonts w:ascii="Times New Roman"/>
                <w:sz w:val="16"/>
              </w:rPr>
            </w:r>
          </w:p>
          <w:p>
            <w:pPr>
              <w:pStyle w:val="TableParagraph"/>
              <w:spacing w:line="240" w:lineRule="auto" w:before="128"/>
              <w:ind w:right="31"/>
              <w:jc w:val="right"/>
              <w:rPr>
                <w:rFonts w:ascii="Times New Roman" w:hAnsi="Times New Roman" w:cs="Times New Roman" w:eastAsia="Times New Roman" w:hint="default"/>
                <w:sz w:val="16"/>
                <w:szCs w:val="16"/>
              </w:rPr>
            </w:pPr>
            <w:r>
              <w:rPr>
                <w:rFonts w:ascii="Times New Roman"/>
                <w:w w:val="95"/>
                <w:sz w:val="16"/>
              </w:rPr>
              <w:t>.18</w:t>
            </w:r>
            <w:r>
              <w:rPr>
                <w:rFonts w:ascii="Times New Roman"/>
                <w:sz w:val="16"/>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6"/>
                <w:szCs w:val="16"/>
              </w:rPr>
            </w:pPr>
            <w:r>
              <w:rPr>
                <w:rFonts w:ascii="Times New Roman"/>
                <w:w w:val="95"/>
                <w:sz w:val="16"/>
              </w:rPr>
              <w:t>67,936,361</w:t>
            </w:r>
            <w:r>
              <w:rPr>
                <w:rFonts w:ascii="Times New Roman"/>
                <w:sz w:val="16"/>
              </w:rPr>
            </w:r>
          </w:p>
          <w:p>
            <w:pPr>
              <w:pStyle w:val="TableParagraph"/>
              <w:spacing w:line="240" w:lineRule="auto" w:before="128"/>
              <w:ind w:right="24"/>
              <w:jc w:val="right"/>
              <w:rPr>
                <w:rFonts w:ascii="Times New Roman" w:hAnsi="Times New Roman" w:cs="Times New Roman" w:eastAsia="Times New Roman" w:hint="default"/>
                <w:sz w:val="16"/>
                <w:szCs w:val="16"/>
              </w:rPr>
            </w:pPr>
            <w:r>
              <w:rPr>
                <w:rFonts w:ascii="Times New Roman"/>
                <w:w w:val="95"/>
                <w:sz w:val="16"/>
              </w:rPr>
              <w:t>.49</w:t>
            </w:r>
            <w:r>
              <w:rPr>
                <w:rFonts w:ascii="Times New Roman"/>
                <w:sz w:val="16"/>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0" w:right="0"/>
              <w:jc w:val="left"/>
              <w:rPr>
                <w:rFonts w:ascii="Times New Roman" w:hAnsi="Times New Roman" w:cs="Times New Roman" w:eastAsia="Times New Roman" w:hint="default"/>
                <w:sz w:val="16"/>
                <w:szCs w:val="16"/>
              </w:rPr>
            </w:pPr>
            <w:r>
              <w:rPr>
                <w:rFonts w:ascii="Times New Roman"/>
                <w:sz w:val="16"/>
              </w:rPr>
              <w:t>4.22%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6"/>
                <w:szCs w:val="16"/>
              </w:rPr>
            </w:pPr>
            <w:r>
              <w:rPr>
                <w:rFonts w:ascii="Times New Roman"/>
                <w:w w:val="95"/>
                <w:sz w:val="16"/>
              </w:rPr>
              <w:t>14,722,513</w:t>
            </w:r>
            <w:r>
              <w:rPr>
                <w:rFonts w:ascii="Times New Roman"/>
                <w:sz w:val="16"/>
              </w:rPr>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w w:val="95"/>
                <w:sz w:val="16"/>
              </w:rPr>
              <w:t>.49</w:t>
            </w:r>
            <w:r>
              <w:rPr>
                <w:rFonts w:ascii="Times New Roman"/>
                <w:sz w:val="16"/>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sz w:val="16"/>
              </w:rPr>
              <w:t>21.67%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6"/>
                <w:szCs w:val="16"/>
              </w:rPr>
            </w:pPr>
            <w:r>
              <w:rPr>
                <w:rFonts w:ascii="Times New Roman"/>
                <w:w w:val="95"/>
                <w:sz w:val="16"/>
              </w:rPr>
              <w:t>53,213,848.0</w:t>
            </w:r>
            <w:r>
              <w:rPr>
                <w:rFonts w:ascii="Times New Roman"/>
                <w:sz w:val="16"/>
              </w:rPr>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w w:val="98"/>
                <w:sz w:val="16"/>
              </w:rPr>
              <w:t>0</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 w:right="0"/>
              <w:jc w:val="left"/>
              <w:rPr>
                <w:rFonts w:ascii="宋体" w:hAnsi="宋体" w:cs="宋体" w:eastAsia="宋体" w:hint="default"/>
                <w:sz w:val="16"/>
                <w:szCs w:val="16"/>
              </w:rPr>
            </w:pPr>
            <w:r>
              <w:rPr>
                <w:rFonts w:ascii="宋体" w:hAnsi="宋体" w:cs="宋体" w:eastAsia="宋体" w:hint="default"/>
                <w:sz w:val="16"/>
                <w:szCs w:val="16"/>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单项金额重大</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6"/>
                <w:szCs w:val="16"/>
              </w:rPr>
            </w:pPr>
            <w:r>
              <w:rPr>
                <w:rFonts w:ascii="Times New Roman"/>
                <w:sz w:val="16"/>
              </w:rPr>
              <w:t>101,940,1</w:t>
            </w:r>
          </w:p>
          <w:p>
            <w:pPr>
              <w:pStyle w:val="TableParagraph"/>
              <w:spacing w:line="240" w:lineRule="auto" w:before="128"/>
              <w:ind w:left="369" w:right="0"/>
              <w:jc w:val="left"/>
              <w:rPr>
                <w:rFonts w:ascii="Times New Roman" w:hAnsi="Times New Roman" w:cs="Times New Roman" w:eastAsia="Times New Roman" w:hint="default"/>
                <w:sz w:val="16"/>
                <w:szCs w:val="16"/>
              </w:rPr>
            </w:pPr>
            <w:r>
              <w:rPr>
                <w:rFonts w:ascii="Times New Roman"/>
                <w:sz w:val="16"/>
              </w:rPr>
              <w:t>60.84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w w:val="95"/>
                <w:sz w:val="16"/>
              </w:rPr>
              <w:t>6.51%</w:t>
            </w:r>
            <w:r>
              <w:rPr>
                <w:rFonts w:ascii="Times New Roman"/>
                <w:sz w:val="16"/>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6"/>
                <w:szCs w:val="16"/>
              </w:rPr>
            </w:pPr>
            <w:r>
              <w:rPr>
                <w:rFonts w:ascii="Times New Roman"/>
                <w:sz w:val="16"/>
              </w:rPr>
              <w:t>37,129,21</w:t>
            </w:r>
          </w:p>
          <w:p>
            <w:pPr>
              <w:pStyle w:val="TableParagraph"/>
              <w:spacing w:line="240" w:lineRule="auto" w:before="128"/>
              <w:ind w:left="451" w:right="0"/>
              <w:jc w:val="left"/>
              <w:rPr>
                <w:rFonts w:ascii="Times New Roman" w:hAnsi="Times New Roman" w:cs="Times New Roman" w:eastAsia="Times New Roman" w:hint="default"/>
                <w:sz w:val="16"/>
                <w:szCs w:val="16"/>
              </w:rPr>
            </w:pPr>
            <w:r>
              <w:rPr>
                <w:rFonts w:ascii="Times New Roman"/>
                <w:sz w:val="16"/>
              </w:rPr>
              <w:t>7.00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z w:val="16"/>
              </w:rPr>
              <w:t>36.42%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6"/>
                <w:szCs w:val="16"/>
              </w:rPr>
            </w:pPr>
            <w:r>
              <w:rPr>
                <w:rFonts w:ascii="Times New Roman"/>
                <w:w w:val="95"/>
                <w:sz w:val="16"/>
              </w:rPr>
              <w:t>64,810,943</w:t>
            </w:r>
            <w:r>
              <w:rPr>
                <w:rFonts w:ascii="Times New Roman"/>
                <w:sz w:val="16"/>
              </w:rPr>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w w:val="95"/>
                <w:sz w:val="16"/>
              </w:rPr>
              <w:t>.84</w:t>
            </w:r>
            <w:r>
              <w:rPr>
                <w:rFonts w:ascii="Times New Roman"/>
                <w:sz w:val="16"/>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6"/>
                <w:szCs w:val="16"/>
              </w:rPr>
            </w:pPr>
            <w:r>
              <w:rPr>
                <w:rFonts w:ascii="Times New Roman"/>
                <w:w w:val="95"/>
                <w:sz w:val="16"/>
              </w:rPr>
              <w:t>63,380,000</w:t>
            </w:r>
            <w:r>
              <w:rPr>
                <w:rFonts w:ascii="Times New Roman"/>
                <w:sz w:val="16"/>
              </w:rPr>
            </w:r>
          </w:p>
          <w:p>
            <w:pPr>
              <w:pStyle w:val="TableParagraph"/>
              <w:spacing w:line="240" w:lineRule="auto" w:before="128"/>
              <w:ind w:right="24"/>
              <w:jc w:val="right"/>
              <w:rPr>
                <w:rFonts w:ascii="Times New Roman" w:hAnsi="Times New Roman" w:cs="Times New Roman" w:eastAsia="Times New Roman" w:hint="default"/>
                <w:sz w:val="16"/>
                <w:szCs w:val="16"/>
              </w:rPr>
            </w:pPr>
            <w:r>
              <w:rPr>
                <w:rFonts w:ascii="Times New Roman"/>
                <w:w w:val="95"/>
                <w:sz w:val="16"/>
              </w:rPr>
              <w:t>.00</w:t>
            </w:r>
            <w:r>
              <w:rPr>
                <w:rFonts w:ascii="Times New Roman"/>
                <w:sz w:val="16"/>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3.94%</w:t>
            </w:r>
            <w:r>
              <w:rPr>
                <w:rFonts w:ascii="Times New Roman"/>
                <w:sz w:val="16"/>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6"/>
                <w:szCs w:val="16"/>
              </w:rPr>
            </w:pPr>
            <w:r>
              <w:rPr>
                <w:rFonts w:ascii="Times New Roman"/>
                <w:w w:val="95"/>
                <w:sz w:val="16"/>
              </w:rPr>
              <w:t>10,166,152</w:t>
            </w:r>
            <w:r>
              <w:rPr>
                <w:rFonts w:ascii="Times New Roman"/>
                <w:sz w:val="16"/>
              </w:rPr>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w w:val="95"/>
                <w:sz w:val="16"/>
              </w:rPr>
              <w:t>.00</w:t>
            </w:r>
            <w:r>
              <w:rPr>
                <w:rFonts w:ascii="Times New Roman"/>
                <w:sz w:val="16"/>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z w:val="16"/>
              </w:rPr>
              <w:t>16.04%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6"/>
                <w:szCs w:val="16"/>
              </w:rPr>
            </w:pPr>
            <w:r>
              <w:rPr>
                <w:rFonts w:ascii="Times New Roman"/>
                <w:w w:val="95"/>
                <w:sz w:val="16"/>
              </w:rPr>
              <w:t>53,213,848.0</w:t>
            </w:r>
            <w:r>
              <w:rPr>
                <w:rFonts w:ascii="Times New Roman"/>
                <w:sz w:val="16"/>
              </w:rPr>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单项金额不重大</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1" w:right="0"/>
              <w:jc w:val="left"/>
              <w:rPr>
                <w:rFonts w:ascii="Times New Roman" w:hAnsi="Times New Roman" w:cs="Times New Roman" w:eastAsia="Times New Roman" w:hint="default"/>
                <w:sz w:val="16"/>
                <w:szCs w:val="16"/>
              </w:rPr>
            </w:pPr>
            <w:r>
              <w:rPr>
                <w:rFonts w:ascii="Times New Roman"/>
                <w:sz w:val="16"/>
              </w:rPr>
              <w:t>12,321,81</w:t>
            </w:r>
          </w:p>
          <w:p>
            <w:pPr>
              <w:pStyle w:val="TableParagraph"/>
              <w:spacing w:line="240" w:lineRule="auto" w:before="128"/>
              <w:ind w:left="451" w:right="0"/>
              <w:jc w:val="left"/>
              <w:rPr>
                <w:rFonts w:ascii="Times New Roman" w:hAnsi="Times New Roman" w:cs="Times New Roman" w:eastAsia="Times New Roman" w:hint="default"/>
                <w:sz w:val="16"/>
                <w:szCs w:val="16"/>
              </w:rPr>
            </w:pPr>
            <w:r>
              <w:rPr>
                <w:rFonts w:ascii="Times New Roman"/>
                <w:sz w:val="16"/>
              </w:rPr>
              <w:t>5.02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w w:val="95"/>
                <w:sz w:val="16"/>
              </w:rPr>
              <w:t>0.79%</w:t>
            </w:r>
            <w:r>
              <w:rPr>
                <w:rFonts w:ascii="Times New Roman"/>
                <w:sz w:val="16"/>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1" w:right="0"/>
              <w:jc w:val="left"/>
              <w:rPr>
                <w:rFonts w:ascii="Times New Roman" w:hAnsi="Times New Roman" w:cs="Times New Roman" w:eastAsia="Times New Roman" w:hint="default"/>
                <w:sz w:val="16"/>
                <w:szCs w:val="16"/>
              </w:rPr>
            </w:pPr>
            <w:r>
              <w:rPr>
                <w:rFonts w:ascii="Times New Roman"/>
                <w:sz w:val="16"/>
              </w:rPr>
              <w:t>12,075,41</w:t>
            </w:r>
          </w:p>
          <w:p>
            <w:pPr>
              <w:pStyle w:val="TableParagraph"/>
              <w:spacing w:line="240" w:lineRule="auto" w:before="128"/>
              <w:ind w:left="451" w:right="0"/>
              <w:jc w:val="left"/>
              <w:rPr>
                <w:rFonts w:ascii="Times New Roman" w:hAnsi="Times New Roman" w:cs="Times New Roman" w:eastAsia="Times New Roman" w:hint="default"/>
                <w:sz w:val="16"/>
                <w:szCs w:val="16"/>
              </w:rPr>
            </w:pPr>
            <w:r>
              <w:rPr>
                <w:rFonts w:ascii="Times New Roman"/>
                <w:sz w:val="16"/>
              </w:rPr>
              <w:t>9.68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z w:val="16"/>
              </w:rPr>
              <w:t>98.00%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6"/>
                <w:szCs w:val="16"/>
              </w:rPr>
            </w:pPr>
            <w:r>
              <w:rPr>
                <w:rFonts w:ascii="Times New Roman"/>
                <w:sz w:val="16"/>
              </w:rPr>
              <w:t>246,395.34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6"/>
                <w:szCs w:val="16"/>
              </w:rPr>
            </w:pPr>
            <w:r>
              <w:rPr>
                <w:rFonts w:ascii="Times New Roman"/>
                <w:w w:val="95"/>
                <w:sz w:val="16"/>
              </w:rPr>
              <w:t>4,556,361.</w:t>
            </w:r>
            <w:r>
              <w:rPr>
                <w:rFonts w:ascii="Times New Roman"/>
                <w:sz w:val="16"/>
              </w:rPr>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0.28%</w:t>
            </w:r>
            <w:r>
              <w:rPr>
                <w:rFonts w:ascii="Times New Roman"/>
                <w:sz w:val="16"/>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6"/>
                <w:szCs w:val="16"/>
              </w:rPr>
            </w:pPr>
            <w:r>
              <w:rPr>
                <w:rFonts w:ascii="Times New Roman"/>
                <w:w w:val="95"/>
                <w:sz w:val="16"/>
              </w:rPr>
              <w:t>4,556,361.</w:t>
            </w:r>
            <w:r>
              <w:rPr>
                <w:rFonts w:ascii="Times New Roman"/>
                <w:sz w:val="16"/>
              </w:rPr>
            </w:r>
          </w:p>
          <w:p>
            <w:pPr>
              <w:pStyle w:val="TableParagraph"/>
              <w:spacing w:line="240" w:lineRule="auto" w:before="128"/>
              <w:ind w:right="12"/>
              <w:jc w:val="right"/>
              <w:rPr>
                <w:rFonts w:ascii="Times New Roman" w:hAnsi="Times New Roman" w:cs="Times New Roman" w:eastAsia="Times New Roman" w:hint="default"/>
                <w:sz w:val="16"/>
                <w:szCs w:val="16"/>
              </w:rPr>
            </w:pPr>
            <w:r>
              <w:rPr>
                <w:rFonts w:ascii="Times New Roman"/>
                <w:sz w:val="16"/>
              </w:rPr>
              <w:t>49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6"/>
                <w:szCs w:val="16"/>
              </w:rPr>
            </w:pPr>
            <w:r>
              <w:rPr>
                <w:rFonts w:ascii="Times New Roman"/>
                <w:sz w:val="16"/>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67"/>
              <w:ind w:left="24" w:right="166"/>
              <w:jc w:val="left"/>
              <w:rPr>
                <w:rFonts w:ascii="宋体" w:hAnsi="宋体" w:cs="宋体" w:eastAsia="宋体" w:hint="default"/>
                <w:sz w:val="16"/>
                <w:szCs w:val="16"/>
              </w:rPr>
            </w:pPr>
            <w:r>
              <w:rPr>
                <w:rFonts w:ascii="宋体" w:hAnsi="宋体" w:cs="宋体" w:eastAsia="宋体" w:hint="default"/>
                <w:sz w:val="16"/>
                <w:szCs w:val="16"/>
              </w:rPr>
              <w:t>按组合计提坏账准备</w:t>
            </w:r>
            <w:r>
              <w:rPr>
                <w:rFonts w:ascii="宋体" w:hAnsi="宋体" w:cs="宋体" w:eastAsia="宋体" w:hint="default"/>
                <w:w w:val="99"/>
                <w:sz w:val="16"/>
                <w:szCs w:val="16"/>
              </w:rPr>
              <w:t> </w:t>
            </w:r>
            <w:r>
              <w:rPr>
                <w:rFonts w:ascii="宋体" w:hAnsi="宋体" w:cs="宋体" w:eastAsia="宋体" w:hint="default"/>
                <w:sz w:val="16"/>
                <w:szCs w:val="16"/>
              </w:rPr>
              <w:t>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35" w:right="0"/>
              <w:jc w:val="left"/>
              <w:rPr>
                <w:rFonts w:ascii="Times New Roman" w:hAnsi="Times New Roman" w:cs="Times New Roman" w:eastAsia="Times New Roman" w:hint="default"/>
                <w:sz w:val="16"/>
                <w:szCs w:val="16"/>
              </w:rPr>
            </w:pPr>
            <w:r>
              <w:rPr>
                <w:rFonts w:ascii="Times New Roman"/>
                <w:sz w:val="16"/>
              </w:rPr>
              <w:t>1,450,618,</w:t>
            </w:r>
          </w:p>
          <w:p>
            <w:pPr>
              <w:pStyle w:val="TableParagraph"/>
              <w:spacing w:line="240" w:lineRule="auto" w:before="133"/>
              <w:ind w:left="275" w:right="0"/>
              <w:jc w:val="left"/>
              <w:rPr>
                <w:rFonts w:ascii="Times New Roman" w:hAnsi="Times New Roman" w:cs="Times New Roman" w:eastAsia="Times New Roman" w:hint="default"/>
                <w:sz w:val="16"/>
                <w:szCs w:val="16"/>
              </w:rPr>
            </w:pPr>
            <w:r>
              <w:rPr>
                <w:rFonts w:ascii="Times New Roman"/>
                <w:sz w:val="16"/>
              </w:rPr>
              <w:t>636.02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sz w:val="16"/>
              </w:rPr>
              <w:t>92.70%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6"/>
                <w:szCs w:val="16"/>
              </w:rPr>
            </w:pPr>
            <w:r>
              <w:rPr>
                <w:rFonts w:ascii="Times New Roman"/>
                <w:sz w:val="16"/>
              </w:rPr>
              <w:t>15,760,63</w:t>
            </w:r>
          </w:p>
          <w:p>
            <w:pPr>
              <w:pStyle w:val="TableParagraph"/>
              <w:spacing w:line="240" w:lineRule="auto" w:before="133"/>
              <w:ind w:left="451" w:right="0"/>
              <w:jc w:val="left"/>
              <w:rPr>
                <w:rFonts w:ascii="Times New Roman" w:hAnsi="Times New Roman" w:cs="Times New Roman" w:eastAsia="Times New Roman" w:hint="default"/>
                <w:sz w:val="16"/>
                <w:szCs w:val="16"/>
              </w:rPr>
            </w:pPr>
            <w:r>
              <w:rPr>
                <w:rFonts w:ascii="Times New Roman"/>
                <w:sz w:val="16"/>
              </w:rPr>
              <w:t>2.39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1.09%</w:t>
            </w:r>
            <w:r>
              <w:rPr>
                <w:rFonts w:ascii="Times New Roman"/>
                <w:sz w:val="16"/>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6"/>
                <w:szCs w:val="16"/>
              </w:rPr>
            </w:pPr>
            <w:r>
              <w:rPr>
                <w:rFonts w:ascii="Times New Roman"/>
                <w:sz w:val="16"/>
              </w:rPr>
              <w:t>1,434,858,</w:t>
            </w:r>
          </w:p>
          <w:p>
            <w:pPr>
              <w:pStyle w:val="TableParagraph"/>
              <w:spacing w:line="240" w:lineRule="auto" w:before="133"/>
              <w:ind w:left="316" w:right="0"/>
              <w:jc w:val="left"/>
              <w:rPr>
                <w:rFonts w:ascii="Times New Roman" w:hAnsi="Times New Roman" w:cs="Times New Roman" w:eastAsia="Times New Roman" w:hint="default"/>
                <w:sz w:val="16"/>
                <w:szCs w:val="16"/>
              </w:rPr>
            </w:pPr>
            <w:r>
              <w:rPr>
                <w:rFonts w:ascii="Times New Roman"/>
                <w:sz w:val="16"/>
              </w:rPr>
              <w:t>003.63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6"/>
                <w:szCs w:val="16"/>
              </w:rPr>
            </w:pPr>
            <w:r>
              <w:rPr>
                <w:rFonts w:ascii="Times New Roman"/>
                <w:sz w:val="16"/>
              </w:rPr>
              <w:t>1,541,468,</w:t>
            </w:r>
          </w:p>
          <w:p>
            <w:pPr>
              <w:pStyle w:val="TableParagraph"/>
              <w:spacing w:line="240" w:lineRule="auto" w:before="133"/>
              <w:ind w:left="302" w:right="0"/>
              <w:jc w:val="left"/>
              <w:rPr>
                <w:rFonts w:ascii="Times New Roman" w:hAnsi="Times New Roman" w:cs="Times New Roman" w:eastAsia="Times New Roman" w:hint="default"/>
                <w:sz w:val="16"/>
                <w:szCs w:val="16"/>
              </w:rPr>
            </w:pPr>
            <w:r>
              <w:rPr>
                <w:rFonts w:ascii="Times New Roman"/>
                <w:sz w:val="16"/>
              </w:rPr>
              <w:t>743.73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z w:val="16"/>
              </w:rPr>
              <w:t>95.78%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6"/>
                <w:szCs w:val="16"/>
              </w:rPr>
            </w:pPr>
            <w:r>
              <w:rPr>
                <w:rFonts w:ascii="Times New Roman"/>
                <w:w w:val="95"/>
                <w:sz w:val="16"/>
              </w:rPr>
              <w:t>10,318,898</w:t>
            </w:r>
            <w:r>
              <w:rPr>
                <w:rFonts w:ascii="Times New Roman"/>
                <w:sz w:val="16"/>
              </w:rPr>
            </w:r>
          </w:p>
          <w:p>
            <w:pPr>
              <w:pStyle w:val="TableParagraph"/>
              <w:spacing w:line="240" w:lineRule="auto" w:before="133"/>
              <w:ind w:right="19"/>
              <w:jc w:val="right"/>
              <w:rPr>
                <w:rFonts w:ascii="Times New Roman" w:hAnsi="Times New Roman" w:cs="Times New Roman" w:eastAsia="Times New Roman" w:hint="default"/>
                <w:sz w:val="16"/>
                <w:szCs w:val="16"/>
              </w:rPr>
            </w:pPr>
            <w:r>
              <w:rPr>
                <w:rFonts w:ascii="Times New Roman"/>
                <w:w w:val="95"/>
                <w:sz w:val="16"/>
              </w:rPr>
              <w:t>.24</w:t>
            </w:r>
            <w:r>
              <w:rPr>
                <w:rFonts w:ascii="Times New Roman"/>
                <w:sz w:val="16"/>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0.67%</w:t>
            </w:r>
            <w:r>
              <w:rPr>
                <w:rFonts w:ascii="Times New Roman"/>
                <w:sz w:val="16"/>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6"/>
                <w:szCs w:val="16"/>
              </w:rPr>
            </w:pPr>
            <w:r>
              <w:rPr>
                <w:rFonts w:ascii="Times New Roman"/>
                <w:w w:val="95"/>
                <w:sz w:val="16"/>
              </w:rPr>
              <w:t>1,531,149,84</w:t>
            </w:r>
            <w:r>
              <w:rPr>
                <w:rFonts w:ascii="Times New Roman"/>
                <w:sz w:val="16"/>
              </w:rPr>
            </w:r>
          </w:p>
          <w:p>
            <w:pPr>
              <w:pStyle w:val="TableParagraph"/>
              <w:spacing w:line="240" w:lineRule="auto" w:before="133"/>
              <w:ind w:right="15"/>
              <w:jc w:val="right"/>
              <w:rPr>
                <w:rFonts w:ascii="Times New Roman" w:hAnsi="Times New Roman" w:cs="Times New Roman" w:eastAsia="Times New Roman" w:hint="default"/>
                <w:sz w:val="16"/>
                <w:szCs w:val="16"/>
              </w:rPr>
            </w:pPr>
            <w:r>
              <w:rPr>
                <w:rFonts w:ascii="Times New Roman"/>
                <w:w w:val="95"/>
                <w:sz w:val="16"/>
              </w:rPr>
              <w:t>5.49</w:t>
            </w:r>
            <w:r>
              <w:rPr>
                <w:rFonts w:ascii="Times New Roman"/>
                <w:sz w:val="16"/>
              </w:rPr>
            </w: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6"/>
                <w:szCs w:val="16"/>
              </w:rPr>
            </w:pPr>
            <w:r>
              <w:rPr>
                <w:rFonts w:ascii="宋体" w:hAnsi="宋体" w:cs="宋体" w:eastAsia="宋体" w:hint="default"/>
                <w:sz w:val="16"/>
                <w:szCs w:val="16"/>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6"/>
                <w:szCs w:val="16"/>
              </w:rPr>
            </w:pPr>
            <w:r>
              <w:rPr>
                <w:rFonts w:ascii="Times New Roman"/>
                <w:sz w:val="16"/>
              </w:rPr>
              <w:t>1,372,645,</w:t>
            </w:r>
          </w:p>
          <w:p>
            <w:pPr>
              <w:pStyle w:val="TableParagraph"/>
              <w:spacing w:line="240" w:lineRule="auto" w:before="128"/>
              <w:ind w:left="287" w:right="0"/>
              <w:jc w:val="left"/>
              <w:rPr>
                <w:rFonts w:ascii="Times New Roman" w:hAnsi="Times New Roman" w:cs="Times New Roman" w:eastAsia="Times New Roman" w:hint="default"/>
                <w:sz w:val="16"/>
                <w:szCs w:val="16"/>
              </w:rPr>
            </w:pPr>
            <w:r>
              <w:rPr>
                <w:rFonts w:ascii="Times New Roman"/>
                <w:sz w:val="16"/>
              </w:rPr>
              <w:t>087.56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sz w:val="16"/>
              </w:rPr>
              <w:t>87.72%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6"/>
                <w:szCs w:val="16"/>
              </w:rPr>
            </w:pPr>
            <w:r>
              <w:rPr>
                <w:rFonts w:ascii="Times New Roman"/>
                <w:sz w:val="16"/>
              </w:rPr>
              <w:t>14,201,16</w:t>
            </w:r>
          </w:p>
          <w:p>
            <w:pPr>
              <w:pStyle w:val="TableParagraph"/>
              <w:spacing w:line="240" w:lineRule="auto" w:before="128"/>
              <w:ind w:left="451" w:right="0"/>
              <w:jc w:val="left"/>
              <w:rPr>
                <w:rFonts w:ascii="Times New Roman" w:hAnsi="Times New Roman" w:cs="Times New Roman" w:eastAsia="Times New Roman" w:hint="default"/>
                <w:sz w:val="16"/>
                <w:szCs w:val="16"/>
              </w:rPr>
            </w:pPr>
            <w:r>
              <w:rPr>
                <w:rFonts w:ascii="Times New Roman"/>
                <w:sz w:val="16"/>
              </w:rPr>
              <w:t>1.42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1.03%</w:t>
            </w:r>
            <w:r>
              <w:rPr>
                <w:rFonts w:ascii="Times New Roman"/>
                <w:sz w:val="16"/>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6"/>
                <w:szCs w:val="16"/>
              </w:rPr>
            </w:pPr>
            <w:r>
              <w:rPr>
                <w:rFonts w:ascii="Times New Roman"/>
                <w:sz w:val="16"/>
              </w:rPr>
              <w:t>1,358,443,</w:t>
            </w:r>
          </w:p>
          <w:p>
            <w:pPr>
              <w:pStyle w:val="TableParagraph"/>
              <w:spacing w:line="240" w:lineRule="auto" w:before="128"/>
              <w:ind w:left="316" w:right="0"/>
              <w:jc w:val="left"/>
              <w:rPr>
                <w:rFonts w:ascii="Times New Roman" w:hAnsi="Times New Roman" w:cs="Times New Roman" w:eastAsia="Times New Roman" w:hint="default"/>
                <w:sz w:val="16"/>
                <w:szCs w:val="16"/>
              </w:rPr>
            </w:pPr>
            <w:r>
              <w:rPr>
                <w:rFonts w:ascii="Times New Roman"/>
                <w:sz w:val="16"/>
              </w:rPr>
              <w:t>926.14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6"/>
                <w:szCs w:val="16"/>
              </w:rPr>
            </w:pPr>
            <w:r>
              <w:rPr>
                <w:rFonts w:ascii="Times New Roman"/>
                <w:sz w:val="16"/>
              </w:rPr>
              <w:t>1,387,848,</w:t>
            </w:r>
          </w:p>
          <w:p>
            <w:pPr>
              <w:pStyle w:val="TableParagraph"/>
              <w:spacing w:line="240" w:lineRule="auto" w:before="128"/>
              <w:ind w:left="302" w:right="0"/>
              <w:jc w:val="left"/>
              <w:rPr>
                <w:rFonts w:ascii="Times New Roman" w:hAnsi="Times New Roman" w:cs="Times New Roman" w:eastAsia="Times New Roman" w:hint="default"/>
                <w:sz w:val="16"/>
                <w:szCs w:val="16"/>
              </w:rPr>
            </w:pPr>
            <w:r>
              <w:rPr>
                <w:rFonts w:ascii="Times New Roman"/>
                <w:sz w:val="16"/>
              </w:rPr>
              <w:t>617.16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z w:val="16"/>
              </w:rPr>
              <w:t>86.23%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6"/>
                <w:szCs w:val="16"/>
              </w:rPr>
            </w:pPr>
            <w:r>
              <w:rPr>
                <w:rFonts w:ascii="Times New Roman"/>
                <w:w w:val="95"/>
                <w:sz w:val="16"/>
              </w:rPr>
              <w:t>7,286,495.</w:t>
            </w:r>
            <w:r>
              <w:rPr>
                <w:rFonts w:ascii="Times New Roman"/>
                <w:sz w:val="16"/>
              </w:rPr>
            </w:r>
          </w:p>
          <w:p>
            <w:pPr>
              <w:pStyle w:val="TableParagraph"/>
              <w:spacing w:line="240" w:lineRule="auto" w:before="128"/>
              <w:ind w:right="12"/>
              <w:jc w:val="right"/>
              <w:rPr>
                <w:rFonts w:ascii="Times New Roman" w:hAnsi="Times New Roman" w:cs="Times New Roman" w:eastAsia="Times New Roman" w:hint="default"/>
                <w:sz w:val="16"/>
                <w:szCs w:val="16"/>
              </w:rPr>
            </w:pPr>
            <w:r>
              <w:rPr>
                <w:rFonts w:ascii="Times New Roman"/>
                <w:sz w:val="16"/>
              </w:rPr>
              <w:t>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0.53%</w:t>
            </w:r>
            <w:r>
              <w:rPr>
                <w:rFonts w:ascii="Times New Roman"/>
                <w:sz w:val="16"/>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6"/>
                <w:szCs w:val="16"/>
              </w:rPr>
            </w:pPr>
            <w:r>
              <w:rPr>
                <w:rFonts w:ascii="Times New Roman"/>
                <w:w w:val="95"/>
                <w:sz w:val="16"/>
              </w:rPr>
              <w:t>1,380,562,12</w:t>
            </w:r>
            <w:r>
              <w:rPr>
                <w:rFonts w:ascii="Times New Roman"/>
                <w:sz w:val="16"/>
              </w:rPr>
            </w:r>
          </w:p>
          <w:p>
            <w:pPr>
              <w:pStyle w:val="TableParagraph"/>
              <w:spacing w:line="240" w:lineRule="auto" w:before="128"/>
              <w:ind w:right="15"/>
              <w:jc w:val="right"/>
              <w:rPr>
                <w:rFonts w:ascii="Times New Roman" w:hAnsi="Times New Roman" w:cs="Times New Roman" w:eastAsia="Times New Roman" w:hint="default"/>
                <w:sz w:val="16"/>
                <w:szCs w:val="16"/>
              </w:rPr>
            </w:pPr>
            <w:r>
              <w:rPr>
                <w:rFonts w:ascii="Times New Roman"/>
                <w:w w:val="95"/>
                <w:sz w:val="16"/>
              </w:rPr>
              <w:t>1.45</w:t>
            </w:r>
            <w:r>
              <w:rPr>
                <w:rFonts w:ascii="Times New Roman"/>
                <w:sz w:val="16"/>
              </w:rPr>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应收保理款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1" w:right="0"/>
              <w:jc w:val="left"/>
              <w:rPr>
                <w:rFonts w:ascii="Times New Roman" w:hAnsi="Times New Roman" w:cs="Times New Roman" w:eastAsia="Times New Roman" w:hint="default"/>
                <w:sz w:val="16"/>
                <w:szCs w:val="16"/>
              </w:rPr>
            </w:pPr>
            <w:r>
              <w:rPr>
                <w:rFonts w:ascii="Times New Roman"/>
                <w:sz w:val="16"/>
              </w:rPr>
              <w:t>77,973,54</w:t>
            </w:r>
          </w:p>
          <w:p>
            <w:pPr>
              <w:pStyle w:val="TableParagraph"/>
              <w:spacing w:line="240" w:lineRule="auto" w:before="128"/>
              <w:ind w:left="451" w:right="0"/>
              <w:jc w:val="left"/>
              <w:rPr>
                <w:rFonts w:ascii="Times New Roman" w:hAnsi="Times New Roman" w:cs="Times New Roman" w:eastAsia="Times New Roman" w:hint="default"/>
                <w:sz w:val="16"/>
                <w:szCs w:val="16"/>
              </w:rPr>
            </w:pPr>
            <w:r>
              <w:rPr>
                <w:rFonts w:ascii="Times New Roman"/>
                <w:sz w:val="16"/>
              </w:rPr>
              <w:t>8.46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w w:val="95"/>
                <w:sz w:val="16"/>
              </w:rPr>
              <w:t>4.98%</w:t>
            </w:r>
            <w:r>
              <w:rPr>
                <w:rFonts w:ascii="Times New Roman"/>
                <w:sz w:val="16"/>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6"/>
                <w:szCs w:val="16"/>
              </w:rPr>
            </w:pPr>
            <w:r>
              <w:rPr>
                <w:rFonts w:ascii="Times New Roman"/>
                <w:w w:val="95"/>
                <w:sz w:val="16"/>
              </w:rPr>
              <w:t>1,559,470.</w:t>
            </w:r>
            <w:r>
              <w:rPr>
                <w:rFonts w:ascii="Times New Roman"/>
                <w:sz w:val="16"/>
              </w:rPr>
            </w:r>
          </w:p>
          <w:p>
            <w:pPr>
              <w:pStyle w:val="TableParagraph"/>
              <w:spacing w:line="240" w:lineRule="auto" w:before="128"/>
              <w:ind w:right="17"/>
              <w:jc w:val="right"/>
              <w:rPr>
                <w:rFonts w:ascii="Times New Roman" w:hAnsi="Times New Roman" w:cs="Times New Roman" w:eastAsia="Times New Roman" w:hint="default"/>
                <w:sz w:val="16"/>
                <w:szCs w:val="16"/>
              </w:rPr>
            </w:pPr>
            <w:r>
              <w:rPr>
                <w:rFonts w:ascii="Times New Roman"/>
                <w:sz w:val="16"/>
              </w:rPr>
              <w:t>97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2.00%</w:t>
            </w:r>
            <w:r>
              <w:rPr>
                <w:rFonts w:ascii="Times New Roman"/>
                <w:sz w:val="16"/>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
              <w:jc w:val="right"/>
              <w:rPr>
                <w:rFonts w:ascii="Times New Roman" w:hAnsi="Times New Roman" w:cs="Times New Roman" w:eastAsia="Times New Roman" w:hint="default"/>
                <w:sz w:val="16"/>
                <w:szCs w:val="16"/>
              </w:rPr>
            </w:pPr>
            <w:r>
              <w:rPr>
                <w:rFonts w:ascii="Times New Roman"/>
                <w:w w:val="95"/>
                <w:sz w:val="16"/>
              </w:rPr>
              <w:t>76,414,077</w:t>
            </w:r>
            <w:r>
              <w:rPr>
                <w:rFonts w:ascii="Times New Roman"/>
                <w:sz w:val="16"/>
              </w:rPr>
            </w:r>
          </w:p>
          <w:p>
            <w:pPr>
              <w:pStyle w:val="TableParagraph"/>
              <w:spacing w:line="240" w:lineRule="auto" w:before="128"/>
              <w:ind w:right="19"/>
              <w:jc w:val="right"/>
              <w:rPr>
                <w:rFonts w:ascii="Times New Roman" w:hAnsi="Times New Roman" w:cs="Times New Roman" w:eastAsia="Times New Roman" w:hint="default"/>
                <w:sz w:val="16"/>
                <w:szCs w:val="16"/>
              </w:rPr>
            </w:pPr>
            <w:r>
              <w:rPr>
                <w:rFonts w:ascii="Times New Roman"/>
                <w:w w:val="95"/>
                <w:sz w:val="16"/>
              </w:rPr>
              <w:t>.49</w:t>
            </w:r>
            <w:r>
              <w:rPr>
                <w:rFonts w:ascii="Times New Roman"/>
                <w:sz w:val="16"/>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6"/>
                <w:szCs w:val="16"/>
              </w:rPr>
            </w:pPr>
            <w:r>
              <w:rPr>
                <w:rFonts w:ascii="Times New Roman"/>
                <w:sz w:val="16"/>
              </w:rPr>
              <w:t>153,620,12</w:t>
            </w:r>
          </w:p>
          <w:p>
            <w:pPr>
              <w:pStyle w:val="TableParagraph"/>
              <w:spacing w:line="240" w:lineRule="auto" w:before="128"/>
              <w:ind w:left="465" w:right="0"/>
              <w:jc w:val="left"/>
              <w:rPr>
                <w:rFonts w:ascii="Times New Roman" w:hAnsi="Times New Roman" w:cs="Times New Roman" w:eastAsia="Times New Roman" w:hint="default"/>
                <w:sz w:val="16"/>
                <w:szCs w:val="16"/>
              </w:rPr>
            </w:pPr>
            <w:r>
              <w:rPr>
                <w:rFonts w:ascii="Times New Roman"/>
                <w:sz w:val="16"/>
              </w:rPr>
              <w:t>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9.55%</w:t>
            </w:r>
            <w:r>
              <w:rPr>
                <w:rFonts w:ascii="Times New Roman"/>
                <w:sz w:val="16"/>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6"/>
                <w:szCs w:val="16"/>
              </w:rPr>
            </w:pPr>
            <w:r>
              <w:rPr>
                <w:rFonts w:ascii="Times New Roman"/>
                <w:w w:val="95"/>
                <w:sz w:val="16"/>
              </w:rPr>
              <w:t>3,032,402.</w:t>
            </w:r>
            <w:r>
              <w:rPr>
                <w:rFonts w:ascii="Times New Roman"/>
                <w:sz w:val="16"/>
              </w:rPr>
            </w:r>
          </w:p>
          <w:p>
            <w:pPr>
              <w:pStyle w:val="TableParagraph"/>
              <w:spacing w:line="240" w:lineRule="auto" w:before="128"/>
              <w:ind w:right="12"/>
              <w:jc w:val="right"/>
              <w:rPr>
                <w:rFonts w:ascii="Times New Roman" w:hAnsi="Times New Roman" w:cs="Times New Roman" w:eastAsia="Times New Roman" w:hint="default"/>
                <w:sz w:val="16"/>
                <w:szCs w:val="16"/>
              </w:rPr>
            </w:pPr>
            <w:r>
              <w:rPr>
                <w:rFonts w:ascii="Times New Roman"/>
                <w:sz w:val="16"/>
              </w:rPr>
              <w:t>53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1.97%</w:t>
            </w:r>
            <w:r>
              <w:rPr>
                <w:rFonts w:ascii="Times New Roman"/>
                <w:sz w:val="16"/>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6"/>
                <w:szCs w:val="16"/>
              </w:rPr>
            </w:pPr>
            <w:r>
              <w:rPr>
                <w:rFonts w:ascii="Times New Roman"/>
                <w:sz w:val="16"/>
              </w:rPr>
              <w:t>150,587,724.</w:t>
            </w:r>
          </w:p>
          <w:p>
            <w:pPr>
              <w:pStyle w:val="TableParagraph"/>
              <w:spacing w:line="240" w:lineRule="auto" w:before="128"/>
              <w:ind w:right="12"/>
              <w:jc w:val="right"/>
              <w:rPr>
                <w:rFonts w:ascii="Times New Roman" w:hAnsi="Times New Roman" w:cs="Times New Roman" w:eastAsia="Times New Roman" w:hint="default"/>
                <w:sz w:val="16"/>
                <w:szCs w:val="16"/>
              </w:rPr>
            </w:pPr>
            <w:r>
              <w:rPr>
                <w:rFonts w:ascii="Times New Roman"/>
                <w:sz w:val="16"/>
              </w:rPr>
              <w:t>04</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 w:right="0"/>
              <w:jc w:val="left"/>
              <w:rPr>
                <w:rFonts w:ascii="Times New Roman" w:hAnsi="Times New Roman" w:cs="Times New Roman" w:eastAsia="Times New Roman" w:hint="default"/>
                <w:sz w:val="16"/>
                <w:szCs w:val="16"/>
              </w:rPr>
            </w:pPr>
            <w:r>
              <w:rPr>
                <w:rFonts w:ascii="Times New Roman"/>
                <w:sz w:val="16"/>
              </w:rPr>
              <w:t>1,564,880,</w:t>
            </w:r>
          </w:p>
          <w:p>
            <w:pPr>
              <w:pStyle w:val="TableParagraph"/>
              <w:spacing w:line="240" w:lineRule="auto" w:before="133"/>
              <w:ind w:left="297" w:right="0"/>
              <w:jc w:val="left"/>
              <w:rPr>
                <w:rFonts w:ascii="Times New Roman" w:hAnsi="Times New Roman" w:cs="Times New Roman" w:eastAsia="Times New Roman" w:hint="default"/>
                <w:sz w:val="16"/>
                <w:szCs w:val="16"/>
              </w:rPr>
            </w:pPr>
            <w:r>
              <w:rPr>
                <w:rFonts w:ascii="Times New Roman"/>
                <w:sz w:val="16"/>
              </w:rPr>
              <w:t>611.88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6"/>
                <w:szCs w:val="16"/>
              </w:rPr>
            </w:pPr>
            <w:r>
              <w:rPr>
                <w:rFonts w:ascii="Times New Roman"/>
                <w:sz w:val="16"/>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left"/>
              <w:rPr>
                <w:rFonts w:ascii="Times New Roman" w:hAnsi="Times New Roman" w:cs="Times New Roman" w:eastAsia="Times New Roman" w:hint="default"/>
                <w:sz w:val="16"/>
                <w:szCs w:val="16"/>
              </w:rPr>
            </w:pPr>
            <w:r>
              <w:rPr>
                <w:rFonts w:ascii="Times New Roman"/>
                <w:sz w:val="16"/>
              </w:rPr>
              <w:t>64,965,26</w:t>
            </w:r>
          </w:p>
          <w:p>
            <w:pPr>
              <w:pStyle w:val="TableParagraph"/>
              <w:spacing w:line="240" w:lineRule="auto" w:before="133"/>
              <w:ind w:left="451" w:right="0"/>
              <w:jc w:val="left"/>
              <w:rPr>
                <w:rFonts w:ascii="Times New Roman" w:hAnsi="Times New Roman" w:cs="Times New Roman" w:eastAsia="Times New Roman" w:hint="default"/>
                <w:sz w:val="16"/>
                <w:szCs w:val="16"/>
              </w:rPr>
            </w:pPr>
            <w:r>
              <w:rPr>
                <w:rFonts w:ascii="Times New Roman"/>
                <w:sz w:val="16"/>
              </w:rPr>
              <w:t>9.07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4.15%</w:t>
            </w:r>
            <w:r>
              <w:rPr>
                <w:rFonts w:ascii="Times New Roman"/>
                <w:sz w:val="16"/>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 w:right="0"/>
              <w:jc w:val="left"/>
              <w:rPr>
                <w:rFonts w:ascii="Times New Roman" w:hAnsi="Times New Roman" w:cs="Times New Roman" w:eastAsia="Times New Roman" w:hint="default"/>
                <w:sz w:val="16"/>
                <w:szCs w:val="16"/>
              </w:rPr>
            </w:pPr>
            <w:r>
              <w:rPr>
                <w:rFonts w:ascii="Times New Roman"/>
                <w:sz w:val="16"/>
              </w:rPr>
              <w:t>1,499,915,</w:t>
            </w:r>
          </w:p>
          <w:p>
            <w:pPr>
              <w:pStyle w:val="TableParagraph"/>
              <w:spacing w:line="240" w:lineRule="auto" w:before="133"/>
              <w:ind w:left="316" w:right="0"/>
              <w:jc w:val="left"/>
              <w:rPr>
                <w:rFonts w:ascii="Times New Roman" w:hAnsi="Times New Roman" w:cs="Times New Roman" w:eastAsia="Times New Roman" w:hint="default"/>
                <w:sz w:val="16"/>
                <w:szCs w:val="16"/>
              </w:rPr>
            </w:pPr>
            <w:r>
              <w:rPr>
                <w:rFonts w:ascii="Times New Roman"/>
                <w:sz w:val="16"/>
              </w:rPr>
              <w:t>342.81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 w:right="0"/>
              <w:jc w:val="left"/>
              <w:rPr>
                <w:rFonts w:ascii="Times New Roman" w:hAnsi="Times New Roman" w:cs="Times New Roman" w:eastAsia="Times New Roman" w:hint="default"/>
                <w:sz w:val="16"/>
                <w:szCs w:val="16"/>
              </w:rPr>
            </w:pPr>
            <w:r>
              <w:rPr>
                <w:rFonts w:ascii="Times New Roman"/>
                <w:sz w:val="16"/>
              </w:rPr>
              <w:t>1,609,405,</w:t>
            </w:r>
          </w:p>
          <w:p>
            <w:pPr>
              <w:pStyle w:val="TableParagraph"/>
              <w:spacing w:line="240" w:lineRule="auto" w:before="133"/>
              <w:ind w:left="302" w:right="0"/>
              <w:jc w:val="left"/>
              <w:rPr>
                <w:rFonts w:ascii="Times New Roman" w:hAnsi="Times New Roman" w:cs="Times New Roman" w:eastAsia="Times New Roman" w:hint="default"/>
                <w:sz w:val="16"/>
                <w:szCs w:val="16"/>
              </w:rPr>
            </w:pPr>
            <w:r>
              <w:rPr>
                <w:rFonts w:ascii="Times New Roman"/>
                <w:sz w:val="16"/>
              </w:rPr>
              <w:t>105.22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6"/>
                <w:szCs w:val="16"/>
              </w:rPr>
            </w:pPr>
            <w:r>
              <w:rPr>
                <w:rFonts w:ascii="Times New Roman"/>
                <w:sz w:val="16"/>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5"/>
              <w:jc w:val="right"/>
              <w:rPr>
                <w:rFonts w:ascii="Times New Roman" w:hAnsi="Times New Roman" w:cs="Times New Roman" w:eastAsia="Times New Roman" w:hint="default"/>
                <w:sz w:val="16"/>
                <w:szCs w:val="16"/>
              </w:rPr>
            </w:pPr>
            <w:r>
              <w:rPr>
                <w:rFonts w:ascii="Times New Roman"/>
                <w:w w:val="95"/>
                <w:sz w:val="16"/>
              </w:rPr>
              <w:t>25,041,411</w:t>
            </w:r>
            <w:r>
              <w:rPr>
                <w:rFonts w:ascii="Times New Roman"/>
                <w:sz w:val="16"/>
              </w:rPr>
            </w:r>
          </w:p>
          <w:p>
            <w:pPr>
              <w:pStyle w:val="TableParagraph"/>
              <w:spacing w:line="240" w:lineRule="auto" w:before="133"/>
              <w:ind w:right="19"/>
              <w:jc w:val="right"/>
              <w:rPr>
                <w:rFonts w:ascii="Times New Roman" w:hAnsi="Times New Roman" w:cs="Times New Roman" w:eastAsia="Times New Roman" w:hint="default"/>
                <w:sz w:val="16"/>
                <w:szCs w:val="16"/>
              </w:rPr>
            </w:pPr>
            <w:r>
              <w:rPr>
                <w:rFonts w:ascii="Times New Roman"/>
                <w:w w:val="95"/>
                <w:sz w:val="16"/>
              </w:rPr>
              <w:t>.73</w:t>
            </w:r>
            <w:r>
              <w:rPr>
                <w:rFonts w:ascii="Times New Roman"/>
                <w:sz w:val="16"/>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1.56%</w:t>
            </w:r>
            <w:r>
              <w:rPr>
                <w:rFonts w:ascii="Times New Roman"/>
                <w:sz w:val="16"/>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6"/>
                <w:szCs w:val="16"/>
              </w:rPr>
            </w:pPr>
            <w:r>
              <w:rPr>
                <w:rFonts w:ascii="Times New Roman"/>
                <w:w w:val="95"/>
                <w:sz w:val="16"/>
              </w:rPr>
              <w:t>1,584,363,69</w:t>
            </w:r>
            <w:r>
              <w:rPr>
                <w:rFonts w:ascii="Times New Roman"/>
                <w:sz w:val="16"/>
              </w:rPr>
            </w:r>
          </w:p>
          <w:p>
            <w:pPr>
              <w:pStyle w:val="TableParagraph"/>
              <w:spacing w:line="240" w:lineRule="auto" w:before="133"/>
              <w:ind w:right="15"/>
              <w:jc w:val="right"/>
              <w:rPr>
                <w:rFonts w:ascii="Times New Roman" w:hAnsi="Times New Roman" w:cs="Times New Roman" w:eastAsia="Times New Roman" w:hint="default"/>
                <w:sz w:val="16"/>
                <w:szCs w:val="16"/>
              </w:rPr>
            </w:pPr>
            <w:r>
              <w:rPr>
                <w:rFonts w:ascii="Times New Roman"/>
                <w:w w:val="95"/>
                <w:sz w:val="16"/>
              </w:rPr>
              <w:t>3.49</w:t>
            </w:r>
            <w:r>
              <w:rPr>
                <w:rFonts w:ascii="Times New Roman"/>
                <w:sz w:val="16"/>
              </w:rPr>
            </w:r>
          </w:p>
        </w:tc>
      </w:tr>
    </w:tbl>
    <w:p>
      <w:pPr>
        <w:pStyle w:val="Heading6"/>
        <w:spacing w:line="240" w:lineRule="auto"/>
        <w:ind w:right="1126"/>
        <w:jc w:val="left"/>
        <w:rPr>
          <w:b w:val="0"/>
          <w:bCs w:val="0"/>
        </w:rPr>
      </w:pPr>
      <w:r>
        <w:rPr/>
        <w:t>按单项计提坏账准备：单项金额重大且单项计提坏账准备的应收账款</w:t>
      </w:r>
      <w:r>
        <w:rPr>
          <w:b w:val="0"/>
          <w:bCs w:val="0"/>
        </w:rPr>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560"/>
        <w:gridCol w:w="1561"/>
        <w:gridCol w:w="1700"/>
        <w:gridCol w:w="3337"/>
      </w:tblGrid>
      <w:tr>
        <w:trPr>
          <w:trHeight w:val="404"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81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63,380,000.00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10,166,152.00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16.04%</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一审已胜诉，根据已保全财产情况预估</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B</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26,096,929.40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14,499,833.56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55.56%</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诉讼中，根据可回收金额预估</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12,463,231.44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12,463,231.44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客户财务状况恶化，款项预计无法收回</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101,940,160.84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37,129,217.00</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Heading6"/>
        <w:spacing w:line="240" w:lineRule="auto"/>
        <w:ind w:right="1126"/>
        <w:jc w:val="left"/>
        <w:rPr>
          <w:b w:val="0"/>
          <w:bCs w:val="0"/>
        </w:rPr>
      </w:pPr>
      <w:r>
        <w:rPr/>
        <w:t>按组合计提坏账准备：按账龄组合计提坏账准备的应收账款</w:t>
      </w:r>
      <w:r>
        <w:rPr>
          <w:b w:val="0"/>
          <w:bCs w:val="0"/>
        </w:rPr>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1,332,404,899.93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70,255.46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454,107.99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41,285.30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9.09%</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28,521,879.45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8,544,598.98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29.96%</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6,210,130.37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3,973,912.67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63.99%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5,025,218.44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1,542,257.63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30.69%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28,851.38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28,851.38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1,372,645,087.56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14,201,161.42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1126"/>
        <w:jc w:val="left"/>
      </w:pPr>
      <w:r>
        <w:rPr>
          <w:spacing w:val="-3"/>
        </w:rPr>
        <w:t>确定该组合依据的说明：以应收款项的账龄分析作为信用风险特征划分组合。</w:t>
      </w:r>
    </w:p>
    <w:p>
      <w:pPr>
        <w:pStyle w:val="Heading6"/>
        <w:spacing w:line="240" w:lineRule="auto" w:before="119"/>
        <w:ind w:right="1126"/>
        <w:jc w:val="left"/>
        <w:rPr>
          <w:b w:val="0"/>
          <w:bCs w:val="0"/>
        </w:rPr>
      </w:pPr>
      <w:r>
        <w:rPr/>
        <w:t>按组合计提坏账准备：应收保理款组合</w:t>
      </w:r>
      <w:r>
        <w:rPr>
          <w:b w:val="0"/>
          <w:bCs w:val="0"/>
        </w:rPr>
      </w:r>
    </w:p>
    <w:p>
      <w:pPr>
        <w:spacing w:after="0" w:line="240" w:lineRule="auto"/>
        <w:jc w:val="left"/>
        <w:sectPr>
          <w:footerReference w:type="default" r:id="rId50"/>
          <w:pgSz w:w="11910" w:h="16840"/>
          <w:pgMar w:footer="1892" w:header="871" w:top="1060" w:bottom="2080" w:left="980" w:right="0"/>
          <w:pgNumType w:start="143"/>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260"/>
        <w:gridCol w:w="2127"/>
        <w:gridCol w:w="1791"/>
        <w:gridCol w:w="2391"/>
      </w:tblGrid>
      <w:tr>
        <w:trPr>
          <w:trHeight w:val="403" w:hRule="exact"/>
        </w:trPr>
        <w:tc>
          <w:tcPr>
            <w:tcW w:w="3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3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3260"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深圳市飞马国际供应链股份有限公司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77,973,548.46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1,559,470.97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77,973,548.46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1,559,470.97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16" w:lineRule="auto" w:before="53"/>
        <w:ind w:right="1126"/>
        <w:jc w:val="left"/>
      </w:pPr>
      <w:r>
        <w:rPr>
          <w:spacing w:val="-3"/>
        </w:rPr>
        <w:t>确定该组合依据的说明：本期末公司仅有一笔应收保理款，已达成和解，根据可收回金额预估，且未来不再开展保理业务，</w:t>
      </w:r>
      <w:r>
        <w:rPr>
          <w:spacing w:val="76"/>
        </w:rPr>
        <w:t> </w:t>
      </w:r>
      <w:r>
        <w:rPr>
          <w:spacing w:val="76"/>
        </w:rPr>
      </w:r>
      <w:r>
        <w:rPr>
          <w:spacing w:val="-3"/>
        </w:rPr>
        <w:t>故按照应收保理款组合计提坏账。</w:t>
      </w:r>
    </w:p>
    <w:p>
      <w:pPr>
        <w:pStyle w:val="Heading6"/>
        <w:spacing w:line="240" w:lineRule="auto" w:before="62"/>
        <w:ind w:right="1126"/>
        <w:jc w:val="left"/>
        <w:rPr>
          <w:b w:val="0"/>
          <w:bCs w:val="0"/>
        </w:rPr>
      </w:pPr>
      <w:r>
        <w:rPr/>
        <w:t>按账龄披露</w:t>
      </w:r>
      <w:r>
        <w:rPr>
          <w:b w:val="0"/>
          <w:bCs w:val="0"/>
        </w:rPr>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1,392,297,582.15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1,336,193,462.93</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13,911,496.13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42,192,623.09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99,516,541.16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73,013,191.21</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53,297.36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1,564,880,611.88</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本期计提、收回或转回的坏账准备情况" w:id="248"/>
      <w:bookmarkEnd w:id="2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26"/>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25,041,411.73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39,934,024.98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10,167.64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64,965,269.07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25,041,411.73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39,934,024.98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10,167.64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64,965,269.07</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本期实际核销的应收账款情况" w:id="249"/>
      <w:bookmarkEnd w:id="24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10,167.64</w:t>
            </w:r>
          </w:p>
        </w:tc>
      </w:tr>
    </w:tbl>
    <w:p>
      <w:pPr>
        <w:pStyle w:val="BodyText"/>
        <w:spacing w:line="240" w:lineRule="auto" w:before="53"/>
        <w:ind w:right="1126"/>
        <w:jc w:val="left"/>
      </w:pPr>
      <w:r>
        <w:rPr>
          <w:spacing w:val="-3"/>
        </w:rPr>
        <w:t>应收账款核销说明：因下属子公司实体注销而核销账面的应收账款坏账准备 </w:t>
      </w:r>
      <w:r>
        <w:rPr>
          <w:rFonts w:ascii="Times New Roman" w:hAnsi="Times New Roman" w:cs="Times New Roman" w:eastAsia="Times New Roman" w:hint="default"/>
        </w:rPr>
        <w:t>10,167.64 </w:t>
      </w:r>
      <w:r>
        <w:rPr>
          <w:rFonts w:ascii="Times New Roman" w:hAnsi="Times New Roman" w:cs="Times New Roman" w:eastAsia="Times New Roman" w:hint="default"/>
          <w:spacing w:val="11"/>
        </w:rPr>
        <w:t> </w:t>
      </w:r>
      <w:r>
        <w:rPr/>
        <w:t>元。</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4）按欠款方归集的期末余额前五名的应收账款情况" w:id="250"/>
      <w:bookmarkEnd w:id="25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after="0" w:line="240" w:lineRule="auto"/>
        <w:jc w:val="left"/>
        <w:sectPr>
          <w:pgSz w:w="11910" w:h="16840"/>
          <w:pgMar w:header="871" w:footer="1892" w:top="1060" w:bottom="208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3001"/>
        <w:gridCol w:w="2055"/>
      </w:tblGrid>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3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9" w:right="0"/>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占应收账款期末余额合计数的比例</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310,427,190.20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19.84%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5" w:right="0"/>
              <w:jc w:val="left"/>
              <w:rPr>
                <w:rFonts w:ascii="Times New Roman" w:hAnsi="Times New Roman" w:cs="Times New Roman" w:eastAsia="Times New Roman" w:hint="default"/>
                <w:sz w:val="18"/>
                <w:szCs w:val="18"/>
              </w:rPr>
            </w:pPr>
            <w:r>
              <w:rPr>
                <w:rFonts w:ascii="Times New Roman"/>
                <w:sz w:val="18"/>
              </w:rPr>
              <w:t>2,385,732.78</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205,094,995.31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3"/>
                <w:sz w:val="18"/>
              </w:rPr>
              <w:t>13.11%</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139,532,785.47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8.91%</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134,140,954.50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8.57%</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104,535,392.79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6.68%</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893,731,318.27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3"/>
                <w:sz w:val="18"/>
              </w:rPr>
              <w:t>57.11%</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6"/>
        <w:jc w:val="left"/>
        <w:rPr>
          <w:b w:val="0"/>
          <w:bCs w:val="0"/>
        </w:rPr>
      </w:pPr>
      <w:bookmarkStart w:name="（5）因金融资产转移而终止确认的应收账款" w:id="251"/>
      <w:bookmarkEnd w:id="25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188"/>
        <w:gridCol w:w="2987"/>
        <w:gridCol w:w="3486"/>
      </w:tblGrid>
      <w:tr>
        <w:trPr>
          <w:trHeight w:val="326"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69"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9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95" w:right="0"/>
              <w:jc w:val="left"/>
              <w:rPr>
                <w:rFonts w:ascii="宋体" w:hAnsi="宋体" w:cs="宋体" w:eastAsia="宋体" w:hint="default"/>
                <w:sz w:val="18"/>
                <w:szCs w:val="18"/>
              </w:rPr>
            </w:pPr>
            <w:r>
              <w:rPr>
                <w:rFonts w:ascii="宋体" w:hAnsi="宋体" w:cs="宋体" w:eastAsia="宋体" w:hint="default"/>
                <w:spacing w:val="-3"/>
                <w:sz w:val="18"/>
                <w:szCs w:val="18"/>
              </w:rPr>
              <w:t>终止确认的应收账款金额</w:t>
            </w:r>
          </w:p>
        </w:tc>
        <w:tc>
          <w:tcPr>
            <w:tcW w:w="34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35" w:right="0"/>
              <w:jc w:val="left"/>
              <w:rPr>
                <w:rFonts w:ascii="宋体" w:hAnsi="宋体" w:cs="宋体" w:eastAsia="宋体" w:hint="default"/>
                <w:sz w:val="18"/>
                <w:szCs w:val="18"/>
              </w:rPr>
            </w:pPr>
            <w:r>
              <w:rPr>
                <w:rFonts w:ascii="宋体" w:hAnsi="宋体" w:cs="宋体" w:eastAsia="宋体" w:hint="default"/>
                <w:sz w:val="18"/>
                <w:szCs w:val="18"/>
              </w:rPr>
              <w:t>与终止确认相关的费用</w:t>
            </w:r>
          </w:p>
        </w:tc>
      </w:tr>
      <w:tr>
        <w:trPr>
          <w:trHeight w:val="355" w:hRule="exact"/>
        </w:trPr>
        <w:tc>
          <w:tcPr>
            <w:tcW w:w="3188"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应收货款保理</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
              <w:jc w:val="right"/>
              <w:rPr>
                <w:rFonts w:ascii="Times New Roman" w:hAnsi="Times New Roman" w:cs="Times New Roman" w:eastAsia="Times New Roman" w:hint="default"/>
                <w:sz w:val="18"/>
                <w:szCs w:val="18"/>
              </w:rPr>
            </w:pPr>
            <w:r>
              <w:rPr>
                <w:rFonts w:ascii="Times New Roman"/>
                <w:spacing w:val="-2"/>
                <w:sz w:val="18"/>
              </w:rPr>
              <w:t>1,134,072,218.31</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2,741,105.06</w:t>
            </w:r>
          </w:p>
        </w:tc>
      </w:tr>
      <w:tr>
        <w:trPr>
          <w:trHeight w:val="34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2"/>
                <w:sz w:val="18"/>
              </w:rPr>
              <w:t>1,134,072,218.31</w:t>
            </w:r>
          </w:p>
        </w:tc>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2,741,105.06</w:t>
            </w:r>
          </w:p>
        </w:tc>
      </w:tr>
    </w:tbl>
    <w:p>
      <w:pPr>
        <w:pStyle w:val="BodyText"/>
        <w:spacing w:line="300" w:lineRule="auto" w:before="10"/>
        <w:ind w:right="1301" w:firstLine="422"/>
        <w:jc w:val="both"/>
      </w:pPr>
      <w:r>
        <w:rPr>
          <w:spacing w:val="7"/>
        </w:rPr>
        <w:t>注：①于</w:t>
      </w:r>
      <w:r>
        <w:rPr>
          <w:rFonts w:ascii="Times New Roman" w:hAnsi="Times New Roman" w:cs="Times New Roman" w:eastAsia="Times New Roman" w:hint="default"/>
          <w:spacing w:val="7"/>
        </w:rPr>
        <w:t>2019</w:t>
      </w:r>
      <w:r>
        <w:rPr>
          <w:spacing w:val="7"/>
        </w:rPr>
        <w:t>年度，本公司向保理公司以不附追索权的方式转让了应收账款</w:t>
      </w:r>
      <w:r>
        <w:rPr>
          <w:rFonts w:ascii="Times New Roman" w:hAnsi="Times New Roman" w:cs="Times New Roman" w:eastAsia="Times New Roman" w:hint="default"/>
          <w:spacing w:val="7"/>
        </w:rPr>
        <w:t>1,134,072,218.31</w:t>
      </w:r>
      <w:r>
        <w:rPr>
          <w:spacing w:val="7"/>
        </w:rPr>
        <w:t>元（上年同期：</w:t>
      </w:r>
      <w:r>
        <w:rPr>
          <w:w w:val="101"/>
        </w:rPr>
        <w:t> </w:t>
      </w:r>
      <w:r>
        <w:rPr>
          <w:rFonts w:ascii="Times New Roman" w:hAnsi="Times New Roman" w:cs="Times New Roman" w:eastAsia="Times New Roman" w:hint="default"/>
        </w:rPr>
        <w:t>942,003,120.30</w:t>
      </w:r>
      <w:r>
        <w:rPr/>
        <w:t>元），相关的费用为</w:t>
      </w:r>
      <w:r>
        <w:rPr>
          <w:rFonts w:ascii="Times New Roman" w:hAnsi="Times New Roman" w:cs="Times New Roman" w:eastAsia="Times New Roman" w:hint="default"/>
        </w:rPr>
        <w:t>2,741,105.06</w:t>
      </w:r>
      <w:r>
        <w:rPr/>
        <w:t>元（上年同期：</w:t>
      </w:r>
      <w:r>
        <w:rPr>
          <w:rFonts w:ascii="Times New Roman" w:hAnsi="Times New Roman" w:cs="Times New Roman" w:eastAsia="Times New Roman" w:hint="default"/>
        </w:rPr>
        <w:t>5,179,585.33</w:t>
      </w:r>
      <w:r>
        <w:rPr/>
        <w:t>元）。</w:t>
      </w:r>
    </w:p>
    <w:p>
      <w:pPr>
        <w:pStyle w:val="BodyText"/>
        <w:spacing w:line="312" w:lineRule="auto" w:before="13"/>
        <w:ind w:right="1299" w:firstLine="422"/>
        <w:jc w:val="both"/>
      </w:pPr>
      <w:r>
        <w:rPr>
          <w:spacing w:val="-2"/>
        </w:rPr>
        <w:t>②上述应收账款保理均产生于本公司与客户子公司苏宁商业保理有限公司（以下简称</w:t>
      </w:r>
      <w:r>
        <w:rPr>
          <w:rFonts w:ascii="Times New Roman" w:hAnsi="Times New Roman" w:cs="Times New Roman" w:eastAsia="Times New Roman" w:hint="default"/>
          <w:spacing w:val="-2"/>
        </w:rPr>
        <w:t>“</w:t>
      </w:r>
      <w:r>
        <w:rPr>
          <w:spacing w:val="-2"/>
        </w:rPr>
        <w:t>苏宁保理公司</w:t>
      </w:r>
      <w:r>
        <w:rPr>
          <w:rFonts w:ascii="Times New Roman" w:hAnsi="Times New Roman" w:cs="Times New Roman" w:eastAsia="Times New Roman" w:hint="default"/>
          <w:spacing w:val="-2"/>
        </w:rPr>
        <w:t>”</w:t>
      </w:r>
      <w:r>
        <w:rPr>
          <w:spacing w:val="-2"/>
        </w:rPr>
        <w:t>）签订的《无</w:t>
      </w:r>
      <w:r>
        <w:rPr>
          <w:w w:val="101"/>
        </w:rPr>
        <w:t> </w:t>
      </w:r>
      <w:r>
        <w:rPr>
          <w:spacing w:val="-4"/>
        </w:rPr>
        <w:t>追索权保理业务协议》，约定公司将应收苏宁集团及其旗下子公司的款项以不附追索权的方式转让给苏宁保理公司，协议</w:t>
      </w:r>
      <w:r>
        <w:rPr>
          <w:spacing w:val="37"/>
        </w:rPr>
        <w:t> </w:t>
      </w:r>
      <w:r>
        <w:rPr>
          <w:spacing w:val="37"/>
        </w:rPr>
      </w:r>
      <w:r>
        <w:rPr>
          <w:spacing w:val="-4"/>
        </w:rPr>
        <w:t>未约定保理费率，由双方根据实际情况协商确定分摊比例，无法在资产负债表日测算其公允价值，且公司应收货款保理业</w:t>
      </w:r>
      <w:r>
        <w:rPr>
          <w:spacing w:val="37"/>
        </w:rPr>
        <w:t> </w:t>
      </w:r>
      <w:r>
        <w:rPr>
          <w:spacing w:val="37"/>
        </w:rPr>
      </w:r>
      <w:r>
        <w:rPr>
          <w:spacing w:val="-3"/>
        </w:rPr>
        <w:t>务的实质仍为收取合同现金流量为目的，故按摊余成本计量，不重分类至应收款项融资。</w:t>
      </w:r>
    </w:p>
    <w:p>
      <w:pPr>
        <w:spacing w:line="240" w:lineRule="auto" w:before="12"/>
        <w:rPr>
          <w:rFonts w:ascii="宋体" w:hAnsi="宋体" w:cs="宋体" w:eastAsia="宋体" w:hint="default"/>
          <w:sz w:val="22"/>
          <w:szCs w:val="22"/>
        </w:rPr>
      </w:pPr>
    </w:p>
    <w:p>
      <w:pPr>
        <w:pStyle w:val="Heading3"/>
        <w:spacing w:line="240" w:lineRule="auto"/>
        <w:ind w:right="1126"/>
        <w:jc w:val="left"/>
        <w:rPr>
          <w:b w:val="0"/>
          <w:bCs w:val="0"/>
        </w:rPr>
      </w:pPr>
      <w:bookmarkStart w:name="5、预付款项" w:id="252"/>
      <w:bookmarkEnd w:id="252"/>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预付款项按账龄列示" w:id="253"/>
      <w:bookmarkEnd w:id="25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996,243,036.03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569,603,302.15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98.92%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2,742,499.72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5,983,559.54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865,136.40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221,943.20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110,023.20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999,960,695.35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575,808,804.89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按预付对象归集的期末余额前五名的预付款情况" w:id="254"/>
      <w:bookmarkEnd w:id="25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6" w:firstLine="422"/>
        <w:jc w:val="left"/>
      </w:pPr>
      <w:r>
        <w:rPr>
          <w:spacing w:val="-3"/>
        </w:rPr>
        <w:t>本公司按预付对象归集的期末余额前五名预付账款汇总金额为</w:t>
      </w:r>
      <w:r>
        <w:rPr>
          <w:rFonts w:ascii="Times New Roman" w:hAnsi="Times New Roman" w:cs="Times New Roman" w:eastAsia="Times New Roman" w:hint="default"/>
          <w:spacing w:val="-3"/>
        </w:rPr>
        <w:t>778,390,250.40</w:t>
      </w:r>
      <w:r>
        <w:rPr>
          <w:spacing w:val="-3"/>
        </w:rPr>
        <w:t>元，占预付账款期末余额合计数的比例</w:t>
      </w:r>
      <w:r>
        <w:rPr>
          <w:w w:val="101"/>
        </w:rPr>
        <w:t> </w:t>
      </w:r>
      <w:r>
        <w:rPr/>
        <w:t>为</w:t>
      </w:r>
      <w:r>
        <w:rPr>
          <w:rFonts w:ascii="Times New Roman" w:hAnsi="Times New Roman" w:cs="Times New Roman" w:eastAsia="Times New Roman" w:hint="default"/>
        </w:rPr>
        <w:t>77.84%</w:t>
      </w:r>
      <w:r>
        <w:rPr/>
        <w:t>。</w:t>
      </w:r>
    </w:p>
    <w:p>
      <w:pPr>
        <w:spacing w:after="0" w:line="300" w:lineRule="auto"/>
        <w:jc w:val="left"/>
        <w:sectPr>
          <w:footerReference w:type="default" r:id="rId51"/>
          <w:pgSz w:w="11910" w:h="16840"/>
          <w:pgMar w:footer="1474" w:header="871" w:top="1060" w:bottom="1660" w:left="980" w:right="0"/>
          <w:pgNumType w:start="145"/>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6、其他应收款" w:id="255"/>
      <w:bookmarkEnd w:id="25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4,584,456.74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14,425,278.68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178,869,134.33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104,083,839.06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183,453,591.07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118,509,117.74</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1）应收利息" w:id="256"/>
      <w:bookmarkEnd w:id="25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应收利息分类" w:id="257"/>
      <w:bookmarkEnd w:id="257"/>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贷款利息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4,584,456.74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6,456,683.06</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3,781,466.40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结构性存款固定收益</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4,447,260.27</w:t>
            </w:r>
          </w:p>
        </w:tc>
      </w:tr>
      <w:tr>
        <w:trPr>
          <w:trHeight w:val="39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减：贷款利息坏账准备</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260,131.05</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4,584,456.74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14,425,278.68</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坏账准备计提情况" w:id="258"/>
      <w:bookmarkEnd w:id="25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260,131.05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260,131.05</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1,164,617.82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1,164,617.82</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-1,424,748.87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-1,424,748.87</w:t>
            </w:r>
          </w:p>
        </w:tc>
      </w:tr>
    </w:tbl>
    <w:p>
      <w:pPr>
        <w:pStyle w:val="BodyText"/>
        <w:spacing w:line="240" w:lineRule="auto" w:before="53"/>
        <w:ind w:right="1126"/>
        <w:jc w:val="left"/>
      </w:pPr>
      <w:r>
        <w:rPr>
          <w:spacing w:val="-3"/>
        </w:rPr>
        <w:t>损失准备本期变动金额重大的账面余额变动情况</w:t>
      </w:r>
    </w:p>
    <w:p>
      <w:pPr>
        <w:pStyle w:val="BodyText"/>
        <w:spacing w:line="338" w:lineRule="auto" w:before="115"/>
        <w:ind w:right="331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本期应收利息坏账准备其他变动系子公司海南先锋网信小额贷款有限公司对外转让所致。</w:t>
      </w:r>
    </w:p>
    <w:p>
      <w:pPr>
        <w:spacing w:after="0" w:line="338" w:lineRule="auto"/>
        <w:jc w:val="left"/>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2）其他应收款" w:id="259"/>
      <w:bookmarkEnd w:id="259"/>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其他应收款按款项性质分类情况" w:id="260"/>
      <w:bookmarkEnd w:id="26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90,756,639.09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75,437,171.43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67,006,024.64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27,484,715.37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669,449.29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1,022,211.16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6,566,776.46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12,990,525.31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代扣社保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3,013,544.64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489,425.24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223,112,434.12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117,424,048.51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坏账准备计提情况" w:id="261"/>
      <w:bookmarkEnd w:id="26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399"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10,373,999.21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2,966,210.24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13,340,209.45</w:t>
            </w:r>
          </w:p>
        </w:tc>
      </w:tr>
      <w:tr>
        <w:trPr>
          <w:trHeight w:val="158"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-8,025,390.00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8,025,390.00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5,277,233.12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26,328,633.02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31,605,866.14</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702,775.80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702,775.80</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7,625,842.33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36,617,457.46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44,243,299.79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43"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620" w:bottom="28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99,916,398.77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72,375,267.53</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4,045,131.95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31,996,148.16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20" w:bottom="28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3,875,273.27</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10,904,214.44</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223,112,434.12</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本期计提、收回或转回的坏账准备情况" w:id="262"/>
      <w:bookmarkEnd w:id="26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404"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13,340,209.45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9" w:right="0"/>
              <w:jc w:val="center"/>
              <w:rPr>
                <w:rFonts w:ascii="Times New Roman" w:hAnsi="Times New Roman" w:cs="Times New Roman" w:eastAsia="Times New Roman" w:hint="default"/>
                <w:sz w:val="18"/>
                <w:szCs w:val="18"/>
              </w:rPr>
            </w:pPr>
            <w:r>
              <w:rPr>
                <w:rFonts w:ascii="Times New Roman"/>
                <w:sz w:val="18"/>
              </w:rPr>
              <w:t>31,605,866.14</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702,775.80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44,243,299.79</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13,340,209.45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9" w:right="0"/>
              <w:jc w:val="center"/>
              <w:rPr>
                <w:rFonts w:ascii="Times New Roman" w:hAnsi="Times New Roman" w:cs="Times New Roman" w:eastAsia="Times New Roman" w:hint="default"/>
                <w:sz w:val="18"/>
                <w:szCs w:val="18"/>
              </w:rPr>
            </w:pPr>
            <w:r>
              <w:rPr>
                <w:rFonts w:ascii="Times New Roman"/>
                <w:sz w:val="18"/>
              </w:rPr>
              <w:t>31,605,866.14</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702,775.80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44,243,299.79</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本期实际核销的其他应收款情况" w:id="263"/>
      <w:bookmarkEnd w:id="26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702,775.80</w:t>
            </w:r>
          </w:p>
        </w:tc>
      </w:tr>
    </w:tbl>
    <w:p>
      <w:pPr>
        <w:pStyle w:val="BodyText"/>
        <w:spacing w:line="240" w:lineRule="auto" w:before="53"/>
        <w:ind w:right="1126"/>
        <w:jc w:val="left"/>
      </w:pPr>
      <w:r>
        <w:rPr>
          <w:spacing w:val="-3"/>
        </w:rPr>
        <w:t>其他应收款核销说明：因下属子公司实体注销而核销账面的应收账款坏账准备。</w:t>
      </w:r>
    </w:p>
    <w:p>
      <w:pPr>
        <w:spacing w:line="240" w:lineRule="auto" w:before="8"/>
        <w:rPr>
          <w:rFonts w:ascii="宋体" w:hAnsi="宋体" w:cs="宋体" w:eastAsia="宋体" w:hint="default"/>
          <w:sz w:val="26"/>
          <w:szCs w:val="26"/>
        </w:rPr>
      </w:pPr>
    </w:p>
    <w:p>
      <w:pPr>
        <w:pStyle w:val="Heading3"/>
        <w:spacing w:line="240" w:lineRule="auto"/>
        <w:ind w:right="1126"/>
        <w:jc w:val="left"/>
        <w:rPr>
          <w:b w:val="0"/>
          <w:bCs w:val="0"/>
        </w:rPr>
      </w:pPr>
      <w:bookmarkStart w:name="5）按欠款方归集的期末余额前五名的其他应收款情况" w:id="264"/>
      <w:bookmarkEnd w:id="26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172"/>
        <w:gridCol w:w="2021"/>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65" w:right="99" w:hanging="360"/>
              <w:jc w:val="left"/>
              <w:rPr>
                <w:rFonts w:ascii="宋体" w:hAnsi="宋体" w:cs="宋体" w:eastAsia="宋体" w:hint="default"/>
                <w:sz w:val="18"/>
                <w:szCs w:val="18"/>
              </w:rPr>
            </w:pPr>
            <w:r>
              <w:rPr>
                <w:rFonts w:ascii="宋体" w:hAnsi="宋体" w:cs="宋体" w:eastAsia="宋体" w:hint="default"/>
                <w:spacing w:val="-2"/>
                <w:sz w:val="18"/>
                <w:szCs w:val="18"/>
              </w:rPr>
              <w:t>占其他应收款期末余额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55,100,000.00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2,755,000.00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32,090,000.00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预付货款转入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26,751,300.00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26,751,300.00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11,797,875.00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667,393.75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136,239,175.00</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30,173,693.75</w:t>
            </w:r>
          </w:p>
        </w:tc>
      </w:tr>
    </w:tbl>
    <w:p>
      <w:pPr>
        <w:pStyle w:val="BodyText"/>
        <w:spacing w:line="240" w:lineRule="auto" w:before="54"/>
        <w:ind w:right="1126"/>
        <w:jc w:val="left"/>
      </w:pPr>
      <w:r>
        <w:rPr>
          <w:spacing w:val="-3"/>
        </w:rPr>
        <w:t>本期存货跌价准备转销主要系存货实现销售</w:t>
      </w:r>
    </w:p>
    <w:p>
      <w:pPr>
        <w:spacing w:line="240" w:lineRule="auto" w:before="8"/>
        <w:rPr>
          <w:rFonts w:ascii="宋体" w:hAnsi="宋体" w:cs="宋体" w:eastAsia="宋体" w:hint="default"/>
          <w:sz w:val="26"/>
          <w:szCs w:val="26"/>
        </w:rPr>
      </w:pPr>
    </w:p>
    <w:p>
      <w:pPr>
        <w:pStyle w:val="Heading3"/>
        <w:spacing w:line="240" w:lineRule="auto"/>
        <w:ind w:right="1126"/>
        <w:jc w:val="left"/>
        <w:rPr>
          <w:b w:val="0"/>
          <w:bCs w:val="0"/>
        </w:rPr>
      </w:pPr>
      <w:bookmarkStart w:name="7、存货" w:id="265"/>
      <w:bookmarkEnd w:id="265"/>
      <w:r>
        <w:rPr>
          <w:b w:val="0"/>
          <w:bCs w:val="0"/>
        </w:rPr>
      </w:r>
      <w:r>
        <w:rPr>
          <w:rFonts w:ascii="Times New Roman" w:hAnsi="Times New Roman" w:cs="Times New Roman" w:eastAsia="Times New Roman" w:hint="default"/>
        </w:rPr>
        <w:t>7</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t>是否已执行新收入准则</w:t>
      </w:r>
    </w:p>
    <w:p>
      <w:pPr>
        <w:pStyle w:val="BodyText"/>
        <w:spacing w:line="240" w:lineRule="auto" w:before="115"/>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1" w:footer="1474" w:top="1060" w:bottom="16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26"/>
        <w:jc w:val="left"/>
        <w:rPr>
          <w:b w:val="0"/>
          <w:bCs w:val="0"/>
        </w:rPr>
      </w:pPr>
      <w:bookmarkStart w:name="（1）存货分类" w:id="266"/>
      <w:bookmarkEnd w:id="26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2,366,900,816.86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113,047,137.38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2,253,853,679.48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2,454,335,868.98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99,197,062.95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2,355,138,806.03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79,995,438.70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79,995,438.70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312,680.70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240,523.26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141,812.63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87,038.35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54,774.28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2,447,208,936.26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113,119,294.82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2,334,089,641.44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2,454,477,681.61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99,284,101.30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2,355,193,580.31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存货跌价准备" w:id="267"/>
      <w:bookmarkEnd w:id="26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99,197,062.95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109,892,157.96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96,042,083.53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113,047,137.38</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87,038.35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4,064.14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18,945.05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72,157.44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99,284,101.30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109,896,222.10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96,061,028.58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113,119,294.82</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8、其他流动资产" w:id="268"/>
      <w:bookmarkEnd w:id="268"/>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474" w:top="1060" w:bottom="1660" w:left="980" w:right="0"/>
        </w:sectPr>
      </w:pPr>
    </w:p>
    <w:p>
      <w:pPr>
        <w:pStyle w:val="BodyText"/>
        <w:spacing w:line="240" w:lineRule="auto" w:before="46"/>
        <w:ind w:right="0"/>
        <w:jc w:val="left"/>
      </w:pPr>
      <w:r>
        <w:rPr>
          <w:spacing w:val="-2"/>
        </w:rPr>
        <w:t>是否已执行新收入准则</w:t>
      </w:r>
    </w:p>
    <w:p>
      <w:pPr>
        <w:pStyle w:val="BodyText"/>
        <w:spacing w:line="240" w:lineRule="auto" w:before="12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620" w:bottom="28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留抵的增值税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110,168,545.06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128,151,603.54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预缴的企业所得税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2,214,880.44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3,150,621.69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136,151.20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3,528,680.89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112,519,576.70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134,830,906.12</w:t>
            </w:r>
          </w:p>
        </w:tc>
      </w:tr>
    </w:tbl>
    <w:p>
      <w:pPr>
        <w:spacing w:line="240" w:lineRule="auto" w:before="6"/>
        <w:rPr>
          <w:rFonts w:ascii="宋体" w:hAnsi="宋体" w:cs="宋体" w:eastAsia="宋体" w:hint="default"/>
          <w:sz w:val="6"/>
          <w:szCs w:val="6"/>
        </w:rPr>
      </w:pPr>
    </w:p>
    <w:p>
      <w:pPr>
        <w:pStyle w:val="BodyText"/>
        <w:spacing w:line="307" w:lineRule="auto" w:before="46"/>
        <w:ind w:right="1122"/>
        <w:jc w:val="both"/>
      </w:pPr>
      <w:r>
        <w:rPr>
          <w:spacing w:val="-8"/>
        </w:rPr>
        <w:t>注：本公司追溯应用新金融工具准则，但对于分类和计量（含减值）涉及前期比较财务报表数据与新金融工具准则不一致的，</w:t>
      </w:r>
      <w:r>
        <w:rPr>
          <w:spacing w:val="3"/>
        </w:rPr>
        <w:t> </w:t>
      </w:r>
      <w:r>
        <w:rPr>
          <w:spacing w:val="3"/>
        </w:rPr>
      </w:r>
      <w:r>
        <w:rPr>
          <w:spacing w:val="-4"/>
        </w:rPr>
        <w:t>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年年初留存收益或其他综合收益以及财</w:t>
      </w:r>
      <w:r>
        <w:rPr>
          <w:spacing w:val="51"/>
        </w:rPr>
        <w:t> </w:t>
      </w:r>
      <w:r>
        <w:rPr>
          <w:spacing w:val="51"/>
        </w:rPr>
      </w:r>
      <w:r>
        <w:rPr>
          <w:spacing w:val="-6"/>
          <w:w w:val="101"/>
        </w:rPr>
        <w:t>务报表其他相关项目金额，</w:t>
      </w:r>
      <w:r>
        <w:rPr>
          <w:rFonts w:ascii="Times New Roman" w:hAnsi="Times New Roman" w:cs="Times New Roman" w:eastAsia="Times New Roman" w:hint="default"/>
          <w:spacing w:val="-6"/>
          <w:w w:val="101"/>
        </w:rPr>
        <w:t>2018</w:t>
      </w:r>
      <w:r>
        <w:rPr>
          <w:spacing w:val="-6"/>
          <w:w w:val="101"/>
        </w:rPr>
        <w:t>年度的财务报表未予重述。期初余额与上年年末余额存在的调整情况详细见</w:t>
      </w:r>
      <w:r>
        <w:rPr>
          <w:rFonts w:ascii="Times New Roman" w:hAnsi="Times New Roman" w:cs="Times New Roman" w:eastAsia="Times New Roman" w:hint="default"/>
          <w:spacing w:val="-6"/>
          <w:w w:val="101"/>
        </w:rPr>
        <w:t>“</w:t>
      </w:r>
      <w:r>
        <w:rPr>
          <w:spacing w:val="-6"/>
          <w:w w:val="101"/>
        </w:rPr>
        <w:t>第十二节</w:t>
      </w:r>
      <w:r>
        <w:rPr>
          <w:w w:val="101"/>
        </w:rPr>
        <w:t> </w:t>
      </w:r>
      <w:r>
        <w:rPr>
          <w:spacing w:val="-27"/>
          <w:w w:val="101"/>
        </w:rPr>
        <w:t>、五、</w:t>
      </w:r>
      <w:r>
        <w:rPr>
          <w:spacing w:val="-74"/>
          <w:w w:val="101"/>
        </w:rPr>
        <w:t> </w:t>
      </w:r>
      <w:r>
        <w:rPr>
          <w:spacing w:val="-74"/>
          <w:w w:val="101"/>
        </w:rPr>
      </w:r>
      <w:r>
        <w:rPr>
          <w:rFonts w:ascii="Times New Roman" w:hAnsi="Times New Roman" w:cs="Times New Roman" w:eastAsia="Times New Roman" w:hint="default"/>
        </w:rPr>
        <w:t>29</w:t>
      </w:r>
      <w:r>
        <w:rPr/>
        <w:t>、重要会计政策及会计估计变更</w:t>
      </w:r>
      <w:r>
        <w:rPr>
          <w:rFonts w:ascii="Times New Roman" w:hAnsi="Times New Roman" w:cs="Times New Roman" w:eastAsia="Times New Roman" w:hint="default"/>
        </w:rPr>
        <w:t>”</w:t>
      </w:r>
      <w:r>
        <w:rPr/>
        <w:t>。</w:t>
      </w:r>
    </w:p>
    <w:p>
      <w:pPr>
        <w:spacing w:after="0" w:line="307" w:lineRule="auto"/>
        <w:jc w:val="both"/>
        <w:sectPr>
          <w:type w:val="continuous"/>
          <w:pgSz w:w="11910" w:h="16840"/>
          <w:pgMar w:top="620" w:bottom="280" w:left="980" w:right="0"/>
        </w:sectPr>
      </w:pPr>
    </w:p>
    <w:p>
      <w:pPr>
        <w:spacing w:line="240" w:lineRule="auto" w:before="4"/>
        <w:rPr>
          <w:rFonts w:ascii="宋体" w:hAnsi="宋体" w:cs="宋体" w:eastAsia="宋体" w:hint="default"/>
          <w:sz w:val="25"/>
          <w:szCs w:val="25"/>
        </w:rPr>
      </w:pPr>
    </w:p>
    <w:p>
      <w:pPr>
        <w:pStyle w:val="Heading3"/>
        <w:spacing w:line="240" w:lineRule="auto" w:before="36"/>
        <w:ind w:left="393" w:right="0"/>
        <w:jc w:val="left"/>
        <w:rPr>
          <w:b w:val="0"/>
          <w:bCs w:val="0"/>
        </w:rPr>
      </w:pPr>
      <w:bookmarkStart w:name="9、 发放贷款及垫款" w:id="269"/>
      <w:bookmarkEnd w:id="269"/>
      <w:r>
        <w:rPr>
          <w:b w:val="0"/>
          <w:bCs w:val="0"/>
        </w:rPr>
      </w:r>
      <w:r>
        <w:rPr>
          <w:rFonts w:ascii="Times New Roman" w:hAnsi="Times New Roman" w:cs="Times New Roman" w:eastAsia="Times New Roman" w:hint="default"/>
        </w:rPr>
        <w:t>9</w:t>
      </w:r>
      <w:r>
        <w:rPr/>
        <w:t>、</w:t>
      </w:r>
      <w:r>
        <w:rPr>
          <w:spacing w:val="2"/>
        </w:rPr>
        <w:t> </w:t>
      </w:r>
      <w:r>
        <w:rPr/>
        <w:t>发放贷款及垫款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393" w:right="0"/>
        <w:jc w:val="left"/>
        <w:rPr>
          <w:b w:val="0"/>
          <w:bCs w:val="0"/>
        </w:rPr>
      </w:pPr>
      <w:bookmarkStart w:name="（1）明细情况" w:id="270"/>
      <w:bookmarkEnd w:id="270"/>
      <w:r>
        <w:rPr>
          <w:b w:val="0"/>
          <w:bCs w:val="0"/>
        </w:rPr>
      </w:r>
      <w:r>
        <w:rPr/>
        <w:t>（</w:t>
      </w:r>
      <w:r>
        <w:rPr>
          <w:rFonts w:ascii="Times New Roman" w:hAnsi="Times New Roman" w:cs="Times New Roman" w:eastAsia="Times New Roman" w:hint="default"/>
        </w:rPr>
        <w:t>1</w:t>
      </w:r>
      <w:r>
        <w:rPr/>
        <w:t>）明细情况</w:t>
      </w:r>
      <w:r>
        <w:rPr>
          <w:b w:val="0"/>
          <w:bCs w:val="0"/>
        </w:rPr>
      </w:r>
    </w:p>
    <w:p>
      <w:pPr>
        <w:spacing w:line="240" w:lineRule="auto" w:before="12"/>
        <w:rPr>
          <w:rFonts w:ascii="宋体" w:hAnsi="宋体" w:cs="宋体" w:eastAsia="宋体" w:hint="default"/>
          <w:b/>
          <w:bCs/>
          <w:sz w:val="25"/>
          <w:szCs w:val="25"/>
        </w:rPr>
      </w:pPr>
    </w:p>
    <w:tbl>
      <w:tblPr>
        <w:tblW w:w="0" w:type="auto"/>
        <w:jc w:val="left"/>
        <w:tblInd w:w="374" w:type="dxa"/>
        <w:tblLayout w:type="fixed"/>
        <w:tblCellMar>
          <w:top w:w="0" w:type="dxa"/>
          <w:left w:w="0" w:type="dxa"/>
          <w:bottom w:w="0" w:type="dxa"/>
          <w:right w:w="0" w:type="dxa"/>
        </w:tblCellMar>
        <w:tblLook w:val="01E0"/>
      </w:tblPr>
      <w:tblGrid>
        <w:gridCol w:w="3357"/>
        <w:gridCol w:w="3255"/>
        <w:gridCol w:w="3050"/>
      </w:tblGrid>
      <w:tr>
        <w:trPr>
          <w:trHeight w:val="346" w:hRule="exact"/>
        </w:trPr>
        <w:tc>
          <w:tcPr>
            <w:tcW w:w="33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4"/>
                <w:sz w:val="18"/>
                <w:szCs w:val="18"/>
              </w:rPr>
              <w:t> </w:t>
            </w:r>
            <w:r>
              <w:rPr>
                <w:rFonts w:ascii="宋体" w:hAnsi="宋体" w:cs="宋体" w:eastAsia="宋体" w:hint="default"/>
                <w:sz w:val="18"/>
                <w:szCs w:val="18"/>
              </w:rPr>
              <w:t>目</w:t>
            </w:r>
          </w:p>
        </w:tc>
        <w:tc>
          <w:tcPr>
            <w:tcW w:w="32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4" w:hRule="exact"/>
        </w:trPr>
        <w:tc>
          <w:tcPr>
            <w:tcW w:w="33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贷款</w:t>
            </w:r>
          </w:p>
        </w:tc>
        <w:tc>
          <w:tcPr>
            <w:tcW w:w="3255"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3050" w:type="dxa"/>
            <w:tcBorders>
              <w:top w:val="single" w:sz="6" w:space="0" w:color="000000"/>
              <w:left w:val="single" w:sz="6" w:space="0" w:color="000000"/>
              <w:bottom w:val="single" w:sz="6" w:space="0" w:color="000000"/>
              <w:right w:val="single" w:sz="6" w:space="0" w:color="000000"/>
            </w:tcBorders>
            <w:shd w:val="clear" w:color="auto" w:fill="D9D9D9"/>
          </w:tcPr>
          <w:p>
            <w:pPr/>
          </w:p>
        </w:tc>
      </w:tr>
      <w:tr>
        <w:trPr>
          <w:trHeight w:val="358" w:hRule="exact"/>
        </w:trPr>
        <w:tc>
          <w:tcPr>
            <w:tcW w:w="335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7"/>
              <w:ind w:left="4" w:right="0"/>
              <w:jc w:val="left"/>
              <w:rPr>
                <w:rFonts w:ascii="宋体" w:hAnsi="宋体" w:cs="宋体" w:eastAsia="宋体" w:hint="default"/>
                <w:sz w:val="18"/>
                <w:szCs w:val="18"/>
              </w:rPr>
            </w:pPr>
            <w:r>
              <w:rPr>
                <w:rFonts w:ascii="宋体" w:hAnsi="宋体" w:cs="宋体" w:eastAsia="宋体" w:hint="default"/>
                <w:spacing w:val="-3"/>
                <w:sz w:val="18"/>
                <w:szCs w:val="18"/>
              </w:rPr>
              <w:t>其中：信用贷款</w:t>
            </w:r>
          </w:p>
        </w:tc>
        <w:tc>
          <w:tcPr>
            <w:tcW w:w="325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9"/>
              <w:ind w:right="-5"/>
              <w:jc w:val="right"/>
              <w:rPr>
                <w:rFonts w:ascii="Times New Roman" w:hAnsi="Times New Roman" w:cs="Times New Roman" w:eastAsia="Times New Roman" w:hint="default"/>
                <w:sz w:val="18"/>
                <w:szCs w:val="18"/>
              </w:rPr>
            </w:pPr>
            <w:r>
              <w:rPr>
                <w:rFonts w:ascii="Times New Roman"/>
                <w:spacing w:val="-1"/>
                <w:sz w:val="18"/>
              </w:rPr>
              <w:t>571,962,827.54</w:t>
            </w:r>
          </w:p>
        </w:tc>
        <w:tc>
          <w:tcPr>
            <w:tcW w:w="30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9"/>
              <w:ind w:right="-4"/>
              <w:jc w:val="right"/>
              <w:rPr>
                <w:rFonts w:ascii="Times New Roman" w:hAnsi="Times New Roman" w:cs="Times New Roman" w:eastAsia="Times New Roman" w:hint="default"/>
                <w:sz w:val="18"/>
                <w:szCs w:val="18"/>
              </w:rPr>
            </w:pPr>
            <w:r>
              <w:rPr>
                <w:rFonts w:ascii="Times New Roman"/>
                <w:spacing w:val="-1"/>
                <w:sz w:val="18"/>
              </w:rPr>
              <w:t>266,268,320.00</w:t>
            </w:r>
          </w:p>
        </w:tc>
      </w:tr>
      <w:tr>
        <w:trPr>
          <w:trHeight w:val="350"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8" w:right="0"/>
              <w:jc w:val="left"/>
              <w:rPr>
                <w:rFonts w:ascii="宋体" w:hAnsi="宋体" w:cs="宋体" w:eastAsia="宋体" w:hint="default"/>
                <w:sz w:val="18"/>
                <w:szCs w:val="18"/>
              </w:rPr>
            </w:pPr>
            <w:r>
              <w:rPr>
                <w:rFonts w:ascii="宋体" w:hAnsi="宋体" w:cs="宋体" w:eastAsia="宋体" w:hint="default"/>
                <w:sz w:val="18"/>
                <w:szCs w:val="18"/>
              </w:rPr>
              <w:t>保证贷款</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300,885,934.12</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590,989,295.39</w:t>
            </w:r>
          </w:p>
        </w:tc>
      </w:tr>
      <w:tr>
        <w:trPr>
          <w:trHeight w:val="346"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抵押贷款</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92,175,718.38</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94,300,000.00</w:t>
            </w:r>
          </w:p>
        </w:tc>
      </w:tr>
      <w:tr>
        <w:trPr>
          <w:trHeight w:val="346" w:hRule="exact"/>
        </w:trPr>
        <w:tc>
          <w:tcPr>
            <w:tcW w:w="33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965,024,480.04</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951,557,615.39</w:t>
            </w:r>
          </w:p>
        </w:tc>
      </w:tr>
      <w:tr>
        <w:trPr>
          <w:trHeight w:val="350"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贷款损失准备：</w:t>
            </w:r>
          </w:p>
        </w:tc>
        <w:tc>
          <w:tcPr>
            <w:tcW w:w="3255" w:type="dxa"/>
            <w:tcBorders>
              <w:top w:val="single" w:sz="6" w:space="0" w:color="000000"/>
              <w:left w:val="single" w:sz="6"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其中：信用贷款</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16,800,906.89</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25,134,973.66</w:t>
            </w:r>
          </w:p>
        </w:tc>
      </w:tr>
      <w:tr>
        <w:trPr>
          <w:trHeight w:val="346" w:hRule="exact"/>
        </w:trPr>
        <w:tc>
          <w:tcPr>
            <w:tcW w:w="3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保证贷款</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33,805,980.88</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9,661,293.77</w:t>
            </w:r>
          </w:p>
        </w:tc>
      </w:tr>
      <w:tr>
        <w:trPr>
          <w:trHeight w:val="346" w:hRule="exact"/>
        </w:trPr>
        <w:tc>
          <w:tcPr>
            <w:tcW w:w="33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28" w:right="0"/>
              <w:jc w:val="left"/>
              <w:rPr>
                <w:rFonts w:ascii="宋体" w:hAnsi="宋体" w:cs="宋体" w:eastAsia="宋体" w:hint="default"/>
                <w:sz w:val="18"/>
                <w:szCs w:val="18"/>
              </w:rPr>
            </w:pPr>
            <w:r>
              <w:rPr>
                <w:rFonts w:ascii="宋体" w:hAnsi="宋体" w:cs="宋体" w:eastAsia="宋体" w:hint="default"/>
                <w:sz w:val="18"/>
                <w:szCs w:val="18"/>
              </w:rPr>
              <w:t>抵押贷款</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1,762,242.35</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1,485,750.00</w:t>
            </w:r>
          </w:p>
        </w:tc>
      </w:tr>
      <w:tr>
        <w:trPr>
          <w:trHeight w:val="350" w:hRule="exact"/>
        </w:trPr>
        <w:tc>
          <w:tcPr>
            <w:tcW w:w="33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52,369,130.12</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36,282,017.43</w:t>
            </w:r>
          </w:p>
        </w:tc>
      </w:tr>
      <w:tr>
        <w:trPr>
          <w:trHeight w:val="346" w:hRule="exact"/>
        </w:trPr>
        <w:tc>
          <w:tcPr>
            <w:tcW w:w="33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912,655,349.92</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915,275,597.96</w:t>
            </w:r>
          </w:p>
        </w:tc>
      </w:tr>
    </w:tbl>
    <w:p>
      <w:pPr>
        <w:spacing w:line="240" w:lineRule="auto" w:before="3"/>
        <w:rPr>
          <w:rFonts w:ascii="宋体" w:hAnsi="宋体" w:cs="宋体" w:eastAsia="宋体" w:hint="default"/>
          <w:b/>
          <w:bCs/>
          <w:sz w:val="19"/>
          <w:szCs w:val="19"/>
        </w:rPr>
      </w:pPr>
    </w:p>
    <w:p>
      <w:pPr>
        <w:pStyle w:val="Heading3"/>
        <w:spacing w:line="240" w:lineRule="auto" w:before="36"/>
        <w:ind w:left="393" w:right="0"/>
        <w:jc w:val="left"/>
        <w:rPr>
          <w:b w:val="0"/>
          <w:bCs w:val="0"/>
        </w:rPr>
      </w:pPr>
      <w:bookmarkStart w:name="（2）发放贷款及垫款坏账准备计提情况" w:id="271"/>
      <w:bookmarkEnd w:id="271"/>
      <w:r>
        <w:rPr>
          <w:b w:val="0"/>
          <w:bCs w:val="0"/>
        </w:rPr>
      </w:r>
      <w:r>
        <w:rPr/>
        <w:t>（</w:t>
      </w:r>
      <w:r>
        <w:rPr>
          <w:rFonts w:ascii="Times New Roman" w:hAnsi="Times New Roman" w:cs="Times New Roman" w:eastAsia="Times New Roman" w:hint="default"/>
        </w:rPr>
        <w:t>2</w:t>
      </w:r>
      <w:r>
        <w:rPr/>
        <w:t>）发放贷款及垫款坏账准备计提情况</w:t>
      </w:r>
      <w:r>
        <w:rPr>
          <w:b w:val="0"/>
          <w:bCs w:val="0"/>
        </w:rPr>
      </w:r>
    </w:p>
    <w:p>
      <w:pPr>
        <w:spacing w:line="240" w:lineRule="auto" w:before="1"/>
        <w:rPr>
          <w:rFonts w:ascii="宋体" w:hAnsi="宋体" w:cs="宋体" w:eastAsia="宋体" w:hint="default"/>
          <w:b/>
          <w:bCs/>
          <w:sz w:val="26"/>
          <w:szCs w:val="26"/>
        </w:rPr>
      </w:pPr>
    </w:p>
    <w:tbl>
      <w:tblPr>
        <w:tblW w:w="0" w:type="auto"/>
        <w:jc w:val="left"/>
        <w:tblInd w:w="374" w:type="dxa"/>
        <w:tblLayout w:type="fixed"/>
        <w:tblCellMar>
          <w:top w:w="0" w:type="dxa"/>
          <w:left w:w="0" w:type="dxa"/>
          <w:bottom w:w="0" w:type="dxa"/>
          <w:right w:w="0" w:type="dxa"/>
        </w:tblCellMar>
        <w:tblLook w:val="01E0"/>
      </w:tblPr>
      <w:tblGrid>
        <w:gridCol w:w="2180"/>
        <w:gridCol w:w="1657"/>
        <w:gridCol w:w="2127"/>
        <w:gridCol w:w="2271"/>
        <w:gridCol w:w="1427"/>
      </w:tblGrid>
      <w:tr>
        <w:trPr>
          <w:trHeight w:val="343" w:hRule="exact"/>
        </w:trPr>
        <w:tc>
          <w:tcPr>
            <w:tcW w:w="218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72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0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2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3"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4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8" w:hRule="exact"/>
        </w:trPr>
        <w:tc>
          <w:tcPr>
            <w:tcW w:w="2180" w:type="dxa"/>
            <w:vMerge/>
            <w:tcBorders>
              <w:left w:val="single" w:sz="6" w:space="0" w:color="000000"/>
              <w:bottom w:val="single" w:sz="6" w:space="0" w:color="000000"/>
              <w:right w:val="single" w:sz="6" w:space="0" w:color="000000"/>
            </w:tcBorders>
            <w:shd w:val="clear" w:color="auto" w:fill="D9D9D9"/>
          </w:tcPr>
          <w:p>
            <w:pPr/>
          </w:p>
        </w:tc>
        <w:tc>
          <w:tcPr>
            <w:tcW w:w="16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20"/>
              <w:ind w:left="643" w:right="3" w:hanging="629"/>
              <w:jc w:val="left"/>
              <w:rPr>
                <w:rFonts w:ascii="宋体" w:hAnsi="宋体" w:cs="宋体" w:eastAsia="宋体" w:hint="default"/>
                <w:sz w:val="18"/>
                <w:szCs w:val="18"/>
              </w:rPr>
            </w:pPr>
            <w:r>
              <w:rPr>
                <w:rFonts w:ascii="宋体" w:hAnsi="宋体" w:cs="宋体" w:eastAsia="宋体" w:hint="default"/>
                <w:spacing w:val="-2"/>
                <w:sz w:val="18"/>
                <w:szCs w:val="18"/>
              </w:rPr>
              <w:t>未来</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个月预期信用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损失</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271" w:type="dxa"/>
            <w:tcBorders>
              <w:top w:val="single" w:sz="6" w:space="0" w:color="000000"/>
              <w:left w:val="single" w:sz="6" w:space="0" w:color="000000"/>
              <w:bottom w:val="single" w:sz="6" w:space="0" w:color="000000"/>
              <w:right w:val="single" w:sz="4" w:space="0" w:color="000000"/>
            </w:tcBorders>
            <w:shd w:val="clear" w:color="auto" w:fill="D9D9D9"/>
          </w:tcPr>
          <w:p>
            <w:pPr>
              <w:pStyle w:val="TableParagraph"/>
              <w:spacing w:line="300" w:lineRule="auto" w:before="20"/>
              <w:ind w:left="561" w:right="10" w:hanging="53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整个存续期预期信用损失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w:t>
            </w:r>
            <w:r>
              <w:rPr>
                <w:rFonts w:ascii="宋体" w:hAnsi="宋体" w:cs="宋体" w:eastAsia="宋体" w:hint="default"/>
                <w:spacing w:val="-51"/>
                <w:sz w:val="18"/>
                <w:szCs w:val="18"/>
              </w:rPr>
              <w:t> </w:t>
            </w:r>
            <w:r>
              <w:rPr>
                <w:rFonts w:ascii="宋体" w:hAnsi="宋体" w:cs="宋体" w:eastAsia="宋体" w:hint="default"/>
                <w:spacing w:val="-3"/>
                <w:sz w:val="18"/>
                <w:szCs w:val="18"/>
              </w:rPr>
              <w:t>发生信用减值</w:t>
            </w:r>
            <w:r>
              <w:rPr>
                <w:rFonts w:ascii="Times New Roman" w:hAnsi="Times New Roman" w:cs="Times New Roman" w:eastAsia="Times New Roman" w:hint="default"/>
                <w:spacing w:val="-3"/>
                <w:sz w:val="18"/>
                <w:szCs w:val="18"/>
              </w:rPr>
              <w:t>)</w:t>
            </w:r>
          </w:p>
        </w:tc>
        <w:tc>
          <w:tcPr>
            <w:tcW w:w="1427" w:type="dxa"/>
            <w:tcBorders>
              <w:top w:val="single" w:sz="6" w:space="0" w:color="000000"/>
              <w:left w:val="single" w:sz="4" w:space="0" w:color="000000"/>
              <w:bottom w:val="single" w:sz="6" w:space="0" w:color="000000"/>
              <w:right w:val="single" w:sz="6" w:space="0" w:color="000000"/>
            </w:tcBorders>
            <w:shd w:val="clear" w:color="auto" w:fill="D9D9D9"/>
          </w:tcPr>
          <w:p>
            <w:pPr/>
          </w:p>
        </w:tc>
      </w:tr>
      <w:tr>
        <w:trPr>
          <w:trHeight w:val="346" w:hRule="exact"/>
        </w:trPr>
        <w:tc>
          <w:tcPr>
            <w:tcW w:w="21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14,947,840.44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12,635,000.00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8,699,176.99</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36,282,017.43</w:t>
            </w:r>
          </w:p>
        </w:tc>
      </w:tr>
      <w:tr>
        <w:trPr>
          <w:trHeight w:val="351" w:hRule="exact"/>
        </w:trPr>
        <w:tc>
          <w:tcPr>
            <w:tcW w:w="21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日余额在本期</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346" w:hRule="exact"/>
        </w:trPr>
        <w:tc>
          <w:tcPr>
            <w:tcW w:w="21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转入第三阶段</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-4,710,651.12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-12,635,000.00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17,345,651.12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427" w:hRule="exact"/>
        </w:trPr>
        <w:tc>
          <w:tcPr>
            <w:tcW w:w="21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8,319,774.38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109,243,441.35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2"/>
                <w:sz w:val="18"/>
              </w:rPr>
              <w:t>117,563,215.73</w:t>
            </w:r>
          </w:p>
        </w:tc>
      </w:tr>
      <w:tr>
        <w:trPr>
          <w:trHeight w:val="427" w:hRule="exact"/>
        </w:trPr>
        <w:tc>
          <w:tcPr>
            <w:tcW w:w="21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-52,148.88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-101,423,954.16</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1"/>
                <w:sz w:val="18"/>
              </w:rPr>
              <w:t>-101,476,103.04</w:t>
            </w:r>
          </w:p>
        </w:tc>
      </w:tr>
      <w:tr>
        <w:trPr>
          <w:trHeight w:val="346" w:hRule="exact"/>
        </w:trPr>
        <w:tc>
          <w:tcPr>
            <w:tcW w:w="21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18,504,814.82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33,864,315.30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52,369,130.12</w:t>
            </w:r>
          </w:p>
        </w:tc>
      </w:tr>
    </w:tbl>
    <w:p>
      <w:pPr>
        <w:spacing w:line="240" w:lineRule="auto" w:before="3"/>
        <w:rPr>
          <w:rFonts w:ascii="宋体" w:hAnsi="宋体" w:cs="宋体" w:eastAsia="宋体" w:hint="default"/>
          <w:b/>
          <w:bCs/>
          <w:sz w:val="5"/>
          <w:szCs w:val="5"/>
        </w:rPr>
      </w:pPr>
    </w:p>
    <w:p>
      <w:pPr>
        <w:pStyle w:val="Heading3"/>
        <w:spacing w:line="240" w:lineRule="auto" w:before="36"/>
        <w:ind w:left="393" w:right="0"/>
        <w:jc w:val="left"/>
        <w:rPr>
          <w:b w:val="0"/>
          <w:bCs w:val="0"/>
        </w:rPr>
      </w:pPr>
      <w:r>
        <w:rPr/>
        <w:t>（</w:t>
      </w:r>
      <w:r>
        <w:rPr>
          <w:rFonts w:ascii="Times New Roman" w:hAnsi="Times New Roman" w:cs="Times New Roman" w:eastAsia="Times New Roman" w:hint="default"/>
        </w:rPr>
        <w:t>3</w:t>
      </w:r>
      <w:r>
        <w:rPr/>
        <w:t>）期初余额与上年年末余额不一致的原因</w:t>
      </w:r>
      <w:r>
        <w:rPr>
          <w:b w:val="0"/>
          <w:bCs w:val="0"/>
        </w:rPr>
      </w:r>
    </w:p>
    <w:p>
      <w:pPr>
        <w:pStyle w:val="BodyText"/>
        <w:spacing w:line="307" w:lineRule="auto" w:before="166"/>
        <w:ind w:left="393" w:right="1122" w:firstLine="360"/>
        <w:jc w:val="both"/>
      </w:pPr>
      <w:r>
        <w:rPr>
          <w:spacing w:val="-8"/>
          <w:w w:val="101"/>
        </w:rPr>
        <w:t>本公司追溯应用新金融工具准则，但对于分类和计量（含减值）涉及前期比较财务报表数据与新金融工具准则不一致的，</w:t>
      </w:r>
      <w:r>
        <w:rPr>
          <w:w w:val="101"/>
        </w:rPr>
        <w:t> </w:t>
      </w:r>
      <w:r>
        <w:rPr>
          <w:spacing w:val="-4"/>
        </w:rPr>
        <w:t>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年年初留存收益或其他综合收益以及财</w:t>
      </w:r>
      <w:r>
        <w:rPr>
          <w:spacing w:val="51"/>
        </w:rPr>
        <w:t> </w:t>
      </w:r>
      <w:r>
        <w:rPr>
          <w:spacing w:val="51"/>
        </w:rPr>
      </w:r>
      <w:r>
        <w:rPr>
          <w:spacing w:val="-6"/>
          <w:w w:val="101"/>
        </w:rPr>
        <w:t>务报表其他相关项目金额，</w:t>
      </w:r>
      <w:r>
        <w:rPr>
          <w:rFonts w:ascii="Times New Roman" w:hAnsi="Times New Roman" w:cs="Times New Roman" w:eastAsia="Times New Roman" w:hint="default"/>
          <w:spacing w:val="-6"/>
          <w:w w:val="101"/>
        </w:rPr>
        <w:t>2018</w:t>
      </w:r>
      <w:r>
        <w:rPr>
          <w:spacing w:val="-6"/>
          <w:w w:val="101"/>
        </w:rPr>
        <w:t>年度的财务报表未予重述。期初余额与上年年末余额存在的调整情况详细见</w:t>
      </w:r>
      <w:r>
        <w:rPr>
          <w:rFonts w:ascii="Times New Roman" w:hAnsi="Times New Roman" w:cs="Times New Roman" w:eastAsia="Times New Roman" w:hint="default"/>
          <w:spacing w:val="-6"/>
          <w:w w:val="101"/>
        </w:rPr>
        <w:t>“</w:t>
      </w:r>
      <w:r>
        <w:rPr>
          <w:spacing w:val="-6"/>
          <w:w w:val="101"/>
        </w:rPr>
        <w:t>第十二节</w:t>
      </w:r>
      <w:r>
        <w:rPr>
          <w:w w:val="101"/>
        </w:rPr>
        <w:t> </w:t>
      </w:r>
      <w:r>
        <w:rPr>
          <w:spacing w:val="-27"/>
          <w:w w:val="101"/>
        </w:rPr>
        <w:t>、五、</w:t>
      </w:r>
      <w:r>
        <w:rPr>
          <w:spacing w:val="-74"/>
          <w:w w:val="101"/>
        </w:rPr>
        <w:t> </w:t>
      </w:r>
      <w:r>
        <w:rPr>
          <w:spacing w:val="-74"/>
          <w:w w:val="101"/>
        </w:rPr>
      </w:r>
      <w:r>
        <w:rPr>
          <w:rFonts w:ascii="Times New Roman" w:hAnsi="Times New Roman" w:cs="Times New Roman" w:eastAsia="Times New Roman" w:hint="default"/>
        </w:rPr>
        <w:t>29</w:t>
      </w:r>
      <w:r>
        <w:rPr/>
        <w:t>、重要会计政策及会计估计变更</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1"/>
          <w:szCs w:val="21"/>
        </w:rPr>
      </w:pPr>
    </w:p>
    <w:p>
      <w:pPr>
        <w:pStyle w:val="Heading3"/>
        <w:spacing w:line="240" w:lineRule="auto"/>
        <w:ind w:left="393" w:right="0"/>
        <w:jc w:val="left"/>
        <w:rPr>
          <w:b w:val="0"/>
          <w:bCs w:val="0"/>
        </w:rPr>
      </w:pPr>
      <w:bookmarkStart w:name="10、长期股权投资" w:id="272"/>
      <w:bookmarkEnd w:id="272"/>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561"/>
        <w:gridCol w:w="994"/>
        <w:gridCol w:w="5810"/>
        <w:gridCol w:w="855"/>
        <w:gridCol w:w="639"/>
      </w:tblGrid>
      <w:tr>
        <w:trPr>
          <w:trHeight w:val="404"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6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7" w:right="0"/>
              <w:jc w:val="left"/>
              <w:rPr>
                <w:rFonts w:ascii="宋体" w:hAnsi="宋体" w:cs="宋体" w:eastAsia="宋体" w:hint="default"/>
                <w:sz w:val="18"/>
                <w:szCs w:val="18"/>
              </w:rPr>
            </w:pPr>
            <w:r>
              <w:rPr>
                <w:rFonts w:ascii="宋体" w:hAnsi="宋体" w:cs="宋体" w:eastAsia="宋体" w:hint="default"/>
                <w:sz w:val="18"/>
                <w:szCs w:val="18"/>
              </w:rPr>
              <w:t>减值准</w:t>
            </w:r>
          </w:p>
        </w:tc>
      </w:tr>
    </w:tbl>
    <w:p>
      <w:pPr>
        <w:spacing w:after="0" w:line="240" w:lineRule="auto"/>
        <w:jc w:val="left"/>
        <w:rPr>
          <w:rFonts w:ascii="宋体" w:hAnsi="宋体" w:cs="宋体" w:eastAsia="宋体" w:hint="default"/>
          <w:sz w:val="18"/>
          <w:szCs w:val="18"/>
        </w:rPr>
        <w:sectPr>
          <w:pgSz w:w="11910" w:h="16840"/>
          <w:pgMar w:header="871" w:footer="1474" w:top="1060" w:bottom="1660" w:left="740" w:right="0"/>
        </w:sectPr>
      </w:pPr>
    </w:p>
    <w:p>
      <w:pPr>
        <w:spacing w:line="240" w:lineRule="auto" w:before="11"/>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561"/>
        <w:gridCol w:w="1000"/>
        <w:gridCol w:w="554"/>
        <w:gridCol w:w="862"/>
        <w:gridCol w:w="844"/>
        <w:gridCol w:w="851"/>
        <w:gridCol w:w="710"/>
        <w:gridCol w:w="850"/>
        <w:gridCol w:w="562"/>
        <w:gridCol w:w="571"/>
        <w:gridCol w:w="855"/>
        <w:gridCol w:w="639"/>
      </w:tblGrid>
      <w:tr>
        <w:trPr>
          <w:trHeight w:val="163" w:hRule="exact"/>
        </w:trPr>
        <w:tc>
          <w:tcPr>
            <w:tcW w:w="1561" w:type="dxa"/>
            <w:vMerge w:val="restart"/>
            <w:tcBorders>
              <w:top w:val="single" w:sz="4" w:space="0" w:color="000000"/>
              <w:left w:val="single" w:sz="4" w:space="0" w:color="000000"/>
              <w:right w:val="single" w:sz="4" w:space="0" w:color="000000"/>
            </w:tcBorders>
            <w:shd w:val="clear" w:color="auto" w:fill="D2D2D2"/>
          </w:tcPr>
          <w:p>
            <w:pP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5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1" w:right="55"/>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7" w:right="55"/>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5" w:right="89"/>
              <w:jc w:val="both"/>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71" w:type="dxa"/>
            <w:vMerge w:val="restart"/>
            <w:tcBorders>
              <w:top w:val="single" w:sz="4" w:space="0" w:color="000000"/>
              <w:left w:val="single" w:sz="4" w:space="0" w:color="000000"/>
              <w:right w:val="single" w:sz="4" w:space="0" w:color="000000"/>
            </w:tcBorders>
            <w:shd w:val="clear" w:color="auto" w:fill="D2D2D2"/>
          </w:tcPr>
          <w:p>
            <w:pPr/>
          </w:p>
        </w:tc>
        <w:tc>
          <w:tcPr>
            <w:tcW w:w="855" w:type="dxa"/>
            <w:vMerge w:val="restart"/>
            <w:tcBorders>
              <w:top w:val="single" w:sz="4" w:space="0" w:color="000000"/>
              <w:left w:val="single" w:sz="10" w:space="0" w:color="D2D2D2"/>
              <w:right w:val="single" w:sz="4" w:space="0" w:color="000000"/>
            </w:tcBorders>
          </w:tcPr>
          <w:p>
            <w:pPr>
              <w:pStyle w:val="TableParagraph"/>
              <w:spacing w:line="304" w:lineRule="auto" w:before="10"/>
              <w:ind w:left="295" w:right="118" w:hanging="1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9" w:type="dxa"/>
            <w:vMerge w:val="restart"/>
            <w:tcBorders>
              <w:top w:val="single" w:sz="4" w:space="0" w:color="000000"/>
              <w:left w:val="single" w:sz="4" w:space="0" w:color="000000"/>
              <w:right w:val="single" w:sz="4" w:space="0" w:color="000000"/>
            </w:tcBorders>
          </w:tcPr>
          <w:p>
            <w:pPr>
              <w:pStyle w:val="TableParagraph"/>
              <w:spacing w:line="321" w:lineRule="auto" w:before="10"/>
              <w:ind w:left="134" w:right="36" w:hanging="87"/>
              <w:jc w:val="left"/>
              <w:rPr>
                <w:rFonts w:ascii="宋体" w:hAnsi="宋体" w:cs="宋体" w:eastAsia="宋体" w:hint="default"/>
                <w:sz w:val="18"/>
                <w:szCs w:val="18"/>
              </w:rPr>
            </w:pP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54" w:hRule="exact"/>
        </w:trPr>
        <w:tc>
          <w:tcPr>
            <w:tcW w:w="1561" w:type="dxa"/>
            <w:vMerge/>
            <w:tcBorders>
              <w:left w:val="single" w:sz="4" w:space="0" w:color="000000"/>
              <w:right w:val="single" w:sz="4" w:space="0" w:color="000000"/>
            </w:tcBorders>
            <w:shd w:val="clear" w:color="auto" w:fill="D2D2D2"/>
          </w:tcPr>
          <w:p>
            <w:pPr/>
          </w:p>
        </w:tc>
        <w:tc>
          <w:tcPr>
            <w:tcW w:w="1000" w:type="dxa"/>
            <w:vMerge/>
            <w:tcBorders>
              <w:left w:val="single" w:sz="4" w:space="0" w:color="000000"/>
              <w:bottom w:val="nil" w:sz="6" w:space="0" w:color="auto"/>
              <w:right w:val="single" w:sz="4" w:space="0" w:color="000000"/>
            </w:tcBorders>
            <w:shd w:val="clear" w:color="auto" w:fill="D2D2D2"/>
          </w:tcPr>
          <w:p>
            <w:pPr/>
          </w:p>
        </w:tc>
        <w:tc>
          <w:tcPr>
            <w:tcW w:w="5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90" w:right="89"/>
              <w:jc w:val="left"/>
              <w:rPr>
                <w:rFonts w:ascii="宋体" w:hAnsi="宋体" w:cs="宋体" w:eastAsia="宋体" w:hint="default"/>
                <w:sz w:val="18"/>
                <w:szCs w:val="18"/>
              </w:rPr>
            </w:pPr>
            <w:r>
              <w:rPr>
                <w:rFonts w:ascii="宋体" w:hAnsi="宋体" w:cs="宋体" w:eastAsia="宋体" w:hint="default"/>
                <w:sz w:val="18"/>
                <w:szCs w:val="18"/>
              </w:rPr>
              <w:t>追加</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86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62" w:right="5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80" w:right="75"/>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85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855" w:type="dxa"/>
            <w:vMerge/>
            <w:tcBorders>
              <w:left w:val="single" w:sz="10" w:space="0" w:color="D2D2D2"/>
              <w:right w:val="single" w:sz="4" w:space="0" w:color="000000"/>
            </w:tcBorders>
          </w:tcPr>
          <w:p>
            <w:pPr/>
          </w:p>
        </w:tc>
        <w:tc>
          <w:tcPr>
            <w:tcW w:w="639" w:type="dxa"/>
            <w:vMerge/>
            <w:tcBorders>
              <w:left w:val="single" w:sz="4" w:space="0" w:color="000000"/>
              <w:right w:val="single" w:sz="4" w:space="0" w:color="000000"/>
            </w:tcBorders>
          </w:tcPr>
          <w:p>
            <w:pPr/>
          </w:p>
        </w:tc>
      </w:tr>
      <w:tr>
        <w:trPr>
          <w:trHeight w:val="374" w:hRule="exact"/>
        </w:trPr>
        <w:tc>
          <w:tcPr>
            <w:tcW w:w="1561" w:type="dxa"/>
            <w:vMerge/>
            <w:tcBorders>
              <w:left w:val="single" w:sz="4" w:space="0" w:color="000000"/>
              <w:right w:val="single" w:sz="4" w:space="0" w:color="000000"/>
            </w:tcBorders>
            <w:shd w:val="clear" w:color="auto" w:fill="D2D2D2"/>
          </w:tcPr>
          <w:p>
            <w:pPr/>
          </w:p>
        </w:tc>
        <w:tc>
          <w:tcPr>
            <w:tcW w:w="1000" w:type="dxa"/>
            <w:vMerge w:val="restart"/>
            <w:tcBorders>
              <w:top w:val="nil" w:sz="6" w:space="0" w:color="auto"/>
              <w:left w:val="single" w:sz="4" w:space="0" w:color="000000"/>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84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5" w:type="dxa"/>
            <w:vMerge/>
            <w:tcBorders>
              <w:left w:val="single" w:sz="10" w:space="0" w:color="D2D2D2"/>
              <w:right w:val="single" w:sz="4" w:space="0" w:color="000000"/>
            </w:tcBorders>
          </w:tcPr>
          <w:p>
            <w:pPr/>
          </w:p>
        </w:tc>
        <w:tc>
          <w:tcPr>
            <w:tcW w:w="639" w:type="dxa"/>
            <w:vMerge/>
            <w:tcBorders>
              <w:left w:val="single" w:sz="4" w:space="0" w:color="000000"/>
              <w:right w:val="single" w:sz="4" w:space="0" w:color="000000"/>
            </w:tcBorders>
          </w:tcPr>
          <w:p>
            <w:pPr/>
          </w:p>
        </w:tc>
      </w:tr>
      <w:tr>
        <w:trPr>
          <w:trHeight w:val="154" w:hRule="exact"/>
        </w:trPr>
        <w:tc>
          <w:tcPr>
            <w:tcW w:w="1561" w:type="dxa"/>
            <w:vMerge/>
            <w:tcBorders>
              <w:left w:val="single" w:sz="4" w:space="0" w:color="000000"/>
              <w:right w:val="single" w:sz="4" w:space="0" w:color="000000"/>
            </w:tcBorders>
            <w:shd w:val="clear" w:color="auto" w:fill="D2D2D2"/>
          </w:tcPr>
          <w:p>
            <w:pPr/>
          </w:p>
        </w:tc>
        <w:tc>
          <w:tcPr>
            <w:tcW w:w="1000" w:type="dxa"/>
            <w:vMerge/>
            <w:tcBorders>
              <w:left w:val="single" w:sz="4" w:space="0" w:color="000000"/>
              <w:right w:val="single" w:sz="4" w:space="0" w:color="000000"/>
            </w:tcBorders>
            <w:shd w:val="clear" w:color="auto" w:fill="D2D2D2"/>
          </w:tcPr>
          <w:p>
            <w:pPr/>
          </w:p>
        </w:tc>
        <w:tc>
          <w:tcPr>
            <w:tcW w:w="554" w:type="dxa"/>
            <w:vMerge/>
            <w:tcBorders>
              <w:left w:val="single" w:sz="4" w:space="0" w:color="000000"/>
              <w:bottom w:val="nil" w:sz="6" w:space="0" w:color="auto"/>
              <w:right w:val="single" w:sz="4" w:space="0" w:color="000000"/>
            </w:tcBorders>
            <w:shd w:val="clear" w:color="auto" w:fill="D2D2D2"/>
          </w:tcPr>
          <w:p>
            <w:pPr/>
          </w:p>
        </w:tc>
        <w:tc>
          <w:tcPr>
            <w:tcW w:w="862" w:type="dxa"/>
            <w:vMerge w:val="restart"/>
            <w:tcBorders>
              <w:top w:val="nil" w:sz="6" w:space="0" w:color="auto"/>
              <w:left w:val="single" w:sz="4" w:space="0" w:color="000000"/>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
        </w:tc>
        <w:tc>
          <w:tcPr>
            <w:tcW w:w="855" w:type="dxa"/>
            <w:vMerge/>
            <w:tcBorders>
              <w:left w:val="single" w:sz="10" w:space="0" w:color="D2D2D2"/>
              <w:right w:val="single" w:sz="4" w:space="0" w:color="000000"/>
            </w:tcBorders>
          </w:tcPr>
          <w:p>
            <w:pPr/>
          </w:p>
        </w:tc>
        <w:tc>
          <w:tcPr>
            <w:tcW w:w="639" w:type="dxa"/>
            <w:vMerge/>
            <w:tcBorders>
              <w:left w:val="single" w:sz="4" w:space="0" w:color="000000"/>
              <w:right w:val="single" w:sz="4" w:space="0" w:color="000000"/>
            </w:tcBorders>
          </w:tcPr>
          <w:p>
            <w:pPr/>
          </w:p>
        </w:tc>
      </w:tr>
      <w:tr>
        <w:trPr>
          <w:trHeight w:val="163"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000" w:type="dxa"/>
            <w:vMerge/>
            <w:tcBorders>
              <w:left w:val="single" w:sz="4" w:space="0" w:color="000000"/>
              <w:bottom w:val="single" w:sz="4" w:space="0" w:color="000000"/>
              <w:right w:val="single" w:sz="4" w:space="0" w:color="000000"/>
            </w:tcBorders>
            <w:shd w:val="clear" w:color="auto" w:fill="D2D2D2"/>
          </w:tcPr>
          <w:p>
            <w:pPr/>
          </w:p>
        </w:tc>
        <w:tc>
          <w:tcPr>
            <w:tcW w:w="5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10" w:space="0" w:color="D2D2D2"/>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r>
      <w:tr>
        <w:trPr>
          <w:trHeight w:val="401" w:hRule="exact"/>
        </w:trPr>
        <w:tc>
          <w:tcPr>
            <w:tcW w:w="985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85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深圳国鑫创沅移动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互联网股权投资中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心（有限合伙）</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30,157,436.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55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-26,392,09</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7.59</w:t>
            </w:r>
          </w:p>
        </w:tc>
        <w:tc>
          <w:tcPr>
            <w:tcW w:w="85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3,765,339.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6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爱施德全球贸易有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1,345,484.9</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-1,241.38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30,044.65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1,374,288.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63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深圳市鼎锋金融服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1,235,143.7</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5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1,235,143.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c>
          <w:tcPr>
            <w:tcW w:w="84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
              <w:jc w:val="right"/>
              <w:rPr>
                <w:rFonts w:ascii="Times New Roman" w:hAnsi="Times New Roman" w:cs="Times New Roman" w:eastAsia="Times New Roman" w:hint="default"/>
                <w:sz w:val="18"/>
                <w:szCs w:val="18"/>
              </w:rPr>
            </w:pPr>
            <w:r>
              <w:rPr>
                <w:rFonts w:ascii="Times New Roman"/>
                <w:spacing w:val="-1"/>
                <w:sz w:val="18"/>
              </w:rPr>
              <w:t>32,738,065.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55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2"/>
                <w:sz w:val="18"/>
              </w:rPr>
              <w:t>1,235,143.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 w:right="0"/>
              <w:jc w:val="left"/>
              <w:rPr>
                <w:rFonts w:ascii="Times New Roman" w:hAnsi="Times New Roman" w:cs="Times New Roman" w:eastAsia="Times New Roman" w:hint="default"/>
                <w:sz w:val="18"/>
                <w:szCs w:val="18"/>
              </w:rPr>
            </w:pPr>
            <w:r>
              <w:rPr>
                <w:rFonts w:ascii="Times New Roman"/>
                <w:sz w:val="18"/>
              </w:rPr>
              <w:t>-26,393,33</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8.97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30,044.65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2"/>
                <w:sz w:val="18"/>
              </w:rPr>
              <w:t>5,139,627.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6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32,738,065.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61</w:t>
            </w:r>
          </w:p>
        </w:tc>
        <w:tc>
          <w:tcPr>
            <w:tcW w:w="55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1,235,143.</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z w:val="18"/>
              </w:rPr>
              <w:t>78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left"/>
              <w:rPr>
                <w:rFonts w:ascii="Times New Roman" w:hAnsi="Times New Roman" w:cs="Times New Roman" w:eastAsia="Times New Roman" w:hint="default"/>
                <w:sz w:val="18"/>
                <w:szCs w:val="18"/>
              </w:rPr>
            </w:pPr>
            <w:r>
              <w:rPr>
                <w:rFonts w:ascii="Times New Roman"/>
                <w:sz w:val="18"/>
              </w:rPr>
              <w:t>-26,393,33</w:t>
            </w:r>
          </w:p>
          <w:p>
            <w:pPr>
              <w:pStyle w:val="TableParagraph"/>
              <w:spacing w:line="240" w:lineRule="auto" w:before="110"/>
              <w:ind w:left="493" w:right="0"/>
              <w:jc w:val="left"/>
              <w:rPr>
                <w:rFonts w:ascii="Times New Roman" w:hAnsi="Times New Roman" w:cs="Times New Roman" w:eastAsia="Times New Roman" w:hint="default"/>
                <w:sz w:val="18"/>
                <w:szCs w:val="18"/>
              </w:rPr>
            </w:pPr>
            <w:r>
              <w:rPr>
                <w:rFonts w:ascii="Times New Roman"/>
                <w:sz w:val="18"/>
              </w:rPr>
              <w:t>8.97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30,044.65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5,139,627.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51</w:t>
            </w:r>
          </w:p>
        </w:tc>
        <w:tc>
          <w:tcPr>
            <w:tcW w:w="6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393" w:right="0"/>
        <w:jc w:val="left"/>
        <w:rPr>
          <w:b w:val="0"/>
          <w:bCs w:val="0"/>
        </w:rPr>
      </w:pPr>
      <w:bookmarkStart w:name="11、其他权益工具投资" w:id="273"/>
      <w:bookmarkEnd w:id="273"/>
      <w:r>
        <w:rPr>
          <w:b w:val="0"/>
          <w:bCs w:val="0"/>
        </w:rPr>
      </w:r>
      <w:r>
        <w:rPr>
          <w:rFonts w:ascii="Times New Roman" w:hAnsi="Times New Roman" w:cs="Times New Roman" w:eastAsia="Times New Roman" w:hint="default"/>
        </w:rPr>
        <w:t>11</w:t>
      </w:r>
      <w:r>
        <w:rPr/>
        <w:t>、其他权益工具投资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682"/>
        <w:gridCol w:w="2694"/>
        <w:gridCol w:w="2482"/>
      </w:tblGrid>
      <w:tr>
        <w:trPr>
          <w:trHeight w:val="398"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中新控股科技集团有限公司股权投资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10,714,307.46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86,460,934.98</w:t>
            </w:r>
          </w:p>
        </w:tc>
      </w:tr>
      <w:tr>
        <w:trPr>
          <w:trHeight w:val="404"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深圳市优宝在线科技有限公司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深圳市众脉投资有限合伙企业（有限合伙）</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10,914,327.46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86,660,954.98</w:t>
            </w:r>
          </w:p>
        </w:tc>
      </w:tr>
    </w:tbl>
    <w:p>
      <w:pPr>
        <w:pStyle w:val="Heading3"/>
        <w:spacing w:line="240" w:lineRule="auto" w:before="28"/>
        <w:ind w:left="393" w:right="0"/>
        <w:jc w:val="left"/>
        <w:rPr>
          <w:b w:val="0"/>
          <w:bCs w:val="0"/>
        </w:rPr>
      </w:pPr>
      <w:r>
        <w:rPr/>
        <w:t>（</w:t>
      </w:r>
      <w:r>
        <w:rPr>
          <w:rFonts w:ascii="Times New Roman" w:hAnsi="Times New Roman" w:cs="Times New Roman" w:eastAsia="Times New Roman" w:hint="default"/>
        </w:rPr>
        <w:t>1</w:t>
      </w:r>
      <w:r>
        <w:rPr/>
        <w:t>）期初余额与上年年末余额不一致的原因</w:t>
      </w:r>
      <w:r>
        <w:rPr>
          <w:b w:val="0"/>
          <w:bCs w:val="0"/>
        </w:rPr>
      </w:r>
    </w:p>
    <w:p>
      <w:pPr>
        <w:pStyle w:val="BodyText"/>
        <w:spacing w:line="307" w:lineRule="auto" w:before="162"/>
        <w:ind w:left="393" w:right="1122" w:firstLine="360"/>
        <w:jc w:val="both"/>
      </w:pPr>
      <w:r>
        <w:rPr>
          <w:spacing w:val="-8"/>
          <w:w w:val="101"/>
        </w:rPr>
        <w:t>本公司追溯应用新金融工具准则，但对于分类和计量（含减值）涉及前期比较财务报表数据与新金融工具准则不一致的，</w:t>
      </w:r>
      <w:r>
        <w:rPr>
          <w:w w:val="101"/>
        </w:rPr>
        <w:t> </w:t>
      </w:r>
      <w:r>
        <w:rPr>
          <w:spacing w:val="-4"/>
        </w:rPr>
        <w:t>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年年初留存收益或其他综合收益以及财</w:t>
      </w:r>
      <w:r>
        <w:rPr>
          <w:spacing w:val="51"/>
        </w:rPr>
        <w:t> </w:t>
      </w:r>
      <w:r>
        <w:rPr>
          <w:spacing w:val="51"/>
        </w:rPr>
      </w:r>
      <w:r>
        <w:rPr>
          <w:spacing w:val="-6"/>
          <w:w w:val="101"/>
        </w:rPr>
        <w:t>务报表其他相关项目金额，</w:t>
      </w:r>
      <w:r>
        <w:rPr>
          <w:rFonts w:ascii="Times New Roman" w:hAnsi="Times New Roman" w:cs="Times New Roman" w:eastAsia="Times New Roman" w:hint="default"/>
          <w:spacing w:val="-6"/>
          <w:w w:val="101"/>
        </w:rPr>
        <w:t>2018</w:t>
      </w:r>
      <w:r>
        <w:rPr>
          <w:spacing w:val="-6"/>
          <w:w w:val="101"/>
        </w:rPr>
        <w:t>年度的财务报表未予重述。期初余额与上年年末余额存在的调整情况详细见</w:t>
      </w:r>
      <w:r>
        <w:rPr>
          <w:rFonts w:ascii="Times New Roman" w:hAnsi="Times New Roman" w:cs="Times New Roman" w:eastAsia="Times New Roman" w:hint="default"/>
          <w:spacing w:val="-6"/>
          <w:w w:val="101"/>
        </w:rPr>
        <w:t>“</w:t>
      </w:r>
      <w:r>
        <w:rPr>
          <w:spacing w:val="-6"/>
          <w:w w:val="101"/>
        </w:rPr>
        <w:t>第十二节</w:t>
      </w:r>
      <w:r>
        <w:rPr>
          <w:w w:val="101"/>
        </w:rPr>
        <w:t> </w:t>
      </w:r>
      <w:r>
        <w:rPr>
          <w:spacing w:val="-27"/>
          <w:w w:val="101"/>
        </w:rPr>
        <w:t>、五、</w:t>
      </w:r>
      <w:r>
        <w:rPr>
          <w:spacing w:val="-74"/>
          <w:w w:val="101"/>
        </w:rPr>
        <w:t> </w:t>
      </w:r>
      <w:r>
        <w:rPr>
          <w:spacing w:val="-74"/>
          <w:w w:val="101"/>
        </w:rPr>
      </w:r>
      <w:r>
        <w:rPr>
          <w:rFonts w:ascii="Times New Roman" w:hAnsi="Times New Roman" w:cs="Times New Roman" w:eastAsia="Times New Roman" w:hint="default"/>
        </w:rPr>
        <w:t>29</w:t>
      </w:r>
      <w:r>
        <w:rPr/>
        <w:t>、重要会计政策及会计估计变更</w:t>
      </w:r>
      <w:r>
        <w:rPr>
          <w:rFonts w:ascii="Times New Roman" w:hAnsi="Times New Roman" w:cs="Times New Roman" w:eastAsia="Times New Roman" w:hint="default"/>
        </w:rPr>
        <w:t>”</w:t>
      </w:r>
      <w:r>
        <w:rPr/>
        <w:t>。</w:t>
      </w:r>
    </w:p>
    <w:p>
      <w:pPr>
        <w:spacing w:after="0" w:line="307" w:lineRule="auto"/>
        <w:jc w:val="both"/>
        <w:sectPr>
          <w:pgSz w:w="11910" w:h="16840"/>
          <w:pgMar w:header="871" w:footer="1474" w:top="1060" w:bottom="1660" w:left="740" w:right="0"/>
        </w:sectPr>
      </w:pPr>
    </w:p>
    <w:p>
      <w:pPr>
        <w:pStyle w:val="Heading3"/>
        <w:spacing w:line="240" w:lineRule="auto" w:before="106"/>
        <w:ind w:left="393" w:right="0"/>
        <w:jc w:val="left"/>
        <w:rPr>
          <w:b w:val="0"/>
          <w:bCs w:val="0"/>
        </w:rPr>
      </w:pPr>
      <w:r>
        <w:rPr>
          <w:spacing w:val="-1"/>
        </w:rPr>
        <w:t>（</w:t>
      </w:r>
      <w:r>
        <w:rPr>
          <w:rFonts w:ascii="Times New Roman" w:hAnsi="Times New Roman" w:cs="Times New Roman" w:eastAsia="Times New Roman" w:hint="default"/>
          <w:spacing w:val="-1"/>
        </w:rPr>
        <w:t>2</w:t>
      </w:r>
      <w:r>
        <w:rPr>
          <w:spacing w:val="-1"/>
        </w:rPr>
        <w:t>）分项披露本期非交易性权益工具投资</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18"/>
          <w:szCs w:val="18"/>
        </w:rPr>
      </w:pPr>
    </w:p>
    <w:p>
      <w:pPr>
        <w:pStyle w:val="BodyText"/>
        <w:spacing w:line="240" w:lineRule="auto"/>
        <w:ind w:left="393" w:right="0"/>
        <w:jc w:val="left"/>
      </w:pPr>
      <w:r>
        <w:rPr/>
        <w:t>单位：</w:t>
      </w:r>
      <w:r>
        <w:rPr>
          <w:spacing w:val="5"/>
        </w:rPr>
        <w:t> </w:t>
      </w:r>
      <w:r>
        <w:rPr/>
        <w:t>元</w:t>
      </w:r>
    </w:p>
    <w:p>
      <w:pPr>
        <w:spacing w:after="0" w:line="240" w:lineRule="auto"/>
        <w:jc w:val="left"/>
        <w:sectPr>
          <w:type w:val="continuous"/>
          <w:pgSz w:w="11910" w:h="16840"/>
          <w:pgMar w:top="620" w:bottom="280" w:left="740" w:right="0"/>
          <w:cols w:num="2" w:equalWidth="0">
            <w:col w:w="4296" w:space="4534"/>
            <w:col w:w="2340"/>
          </w:cols>
        </w:sectPr>
      </w:pPr>
    </w:p>
    <w:p>
      <w:pPr>
        <w:spacing w:line="240" w:lineRule="auto" w:before="13"/>
        <w:rPr>
          <w:rFonts w:ascii="宋体" w:hAnsi="宋体" w:cs="宋体" w:eastAsia="宋体" w:hint="default"/>
          <w:sz w:val="7"/>
          <w:szCs w:val="7"/>
        </w:rPr>
      </w:pPr>
    </w:p>
    <w:tbl>
      <w:tblPr>
        <w:tblW w:w="0" w:type="auto"/>
        <w:jc w:val="left"/>
        <w:tblInd w:w="246" w:type="dxa"/>
        <w:tblLayout w:type="fixed"/>
        <w:tblCellMar>
          <w:top w:w="0" w:type="dxa"/>
          <w:left w:w="0" w:type="dxa"/>
          <w:bottom w:w="0" w:type="dxa"/>
          <w:right w:w="0" w:type="dxa"/>
        </w:tblCellMar>
        <w:tblLook w:val="01E0"/>
      </w:tblPr>
      <w:tblGrid>
        <w:gridCol w:w="2129"/>
        <w:gridCol w:w="1133"/>
        <w:gridCol w:w="1133"/>
        <w:gridCol w:w="1416"/>
        <w:gridCol w:w="1167"/>
        <w:gridCol w:w="1369"/>
        <w:gridCol w:w="1369"/>
      </w:tblGrid>
      <w:tr>
        <w:trPr>
          <w:trHeight w:val="1335"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84" w:right="103" w:hanging="269"/>
              <w:jc w:val="left"/>
              <w:rPr>
                <w:rFonts w:ascii="宋体" w:hAnsi="宋体" w:cs="宋体" w:eastAsia="宋体" w:hint="default"/>
                <w:sz w:val="18"/>
                <w:szCs w:val="18"/>
              </w:rPr>
            </w:pPr>
            <w:r>
              <w:rPr>
                <w:rFonts w:ascii="宋体" w:hAnsi="宋体" w:cs="宋体" w:eastAsia="宋体" w:hint="default"/>
                <w:spacing w:val="-2"/>
                <w:sz w:val="18"/>
                <w:szCs w:val="18"/>
              </w:rPr>
              <w:t>确认的股利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1"/>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71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1" w:right="113"/>
              <w:jc w:val="left"/>
              <w:rPr>
                <w:rFonts w:ascii="宋体" w:hAnsi="宋体" w:cs="宋体" w:eastAsia="宋体" w:hint="default"/>
                <w:sz w:val="18"/>
                <w:szCs w:val="18"/>
              </w:rPr>
            </w:pPr>
            <w:r>
              <w:rPr>
                <w:rFonts w:ascii="宋体" w:hAnsi="宋体" w:cs="宋体" w:eastAsia="宋体" w:hint="default"/>
                <w:spacing w:val="-3"/>
                <w:sz w:val="18"/>
                <w:szCs w:val="18"/>
              </w:rPr>
              <w:t>中新控股科技集团有限公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司股权投资</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343,404,683.95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非交易性股权投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620" w:bottom="280" w:left="740" w:right="0"/>
        </w:sectPr>
      </w:pPr>
    </w:p>
    <w:p>
      <w:pPr>
        <w:spacing w:line="240" w:lineRule="auto" w:before="11"/>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132"/>
        <w:gridCol w:w="1133"/>
        <w:gridCol w:w="1133"/>
        <w:gridCol w:w="1416"/>
        <w:gridCol w:w="1167"/>
        <w:gridCol w:w="1369"/>
        <w:gridCol w:w="1369"/>
      </w:tblGrid>
      <w:tr>
        <w:trPr>
          <w:trHeight w:val="715"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深圳市优宝在线科技有限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非交易性股权投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深圳市众脉投资有限合伙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企业（有限合伙）</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非交易性股权投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13" w:space="0" w:color="D9D9D9"/>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4" w:right="0"/>
              <w:jc w:val="left"/>
              <w:rPr>
                <w:rFonts w:ascii="Times New Roman" w:hAnsi="Times New Roman" w:cs="Times New Roman" w:eastAsia="Times New Roman" w:hint="default"/>
                <w:sz w:val="18"/>
                <w:szCs w:val="18"/>
              </w:rPr>
            </w:pPr>
            <w:r>
              <w:rPr>
                <w:rFonts w:ascii="Times New Roman"/>
                <w:sz w:val="18"/>
              </w:rPr>
              <w:t>343,404,683.95</w:t>
            </w:r>
          </w:p>
        </w:tc>
        <w:tc>
          <w:tcPr>
            <w:tcW w:w="1167" w:type="dxa"/>
            <w:tcBorders>
              <w:top w:val="single" w:sz="4" w:space="0" w:color="000000"/>
              <w:left w:val="single" w:sz="4" w:space="0" w:color="000000"/>
              <w:bottom w:val="single" w:sz="4" w:space="0" w:color="000000"/>
              <w:right w:val="single" w:sz="13" w:space="0" w:color="BEBEBE"/>
            </w:tcBorders>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BEBEBE"/>
          </w:tcPr>
          <w:p>
            <w:pPr/>
          </w:p>
        </w:tc>
      </w:tr>
    </w:tbl>
    <w:p>
      <w:pPr>
        <w:spacing w:line="240" w:lineRule="auto" w:before="3"/>
        <w:rPr>
          <w:rFonts w:ascii="宋体" w:hAnsi="宋体" w:cs="宋体" w:eastAsia="宋体" w:hint="default"/>
          <w:sz w:val="19"/>
          <w:szCs w:val="19"/>
        </w:rPr>
      </w:pPr>
    </w:p>
    <w:p>
      <w:pPr>
        <w:pStyle w:val="Heading3"/>
        <w:spacing w:line="240" w:lineRule="auto" w:before="36"/>
        <w:ind w:left="253" w:right="0"/>
        <w:jc w:val="left"/>
        <w:rPr>
          <w:b w:val="0"/>
          <w:bCs w:val="0"/>
        </w:rPr>
      </w:pPr>
      <w:bookmarkStart w:name="12、其他非流动金融资产" w:id="274"/>
      <w:bookmarkEnd w:id="274"/>
      <w:r>
        <w:rPr>
          <w:b w:val="0"/>
          <w:bCs w:val="0"/>
        </w:rPr>
      </w:r>
      <w:r>
        <w:rPr>
          <w:rFonts w:ascii="Times New Roman" w:hAnsi="Times New Roman" w:cs="Times New Roman" w:eastAsia="Times New Roman" w:hint="default"/>
        </w:rPr>
        <w:t>12</w:t>
      </w:r>
      <w:r>
        <w:rPr/>
        <w:t>、其他非流动金融资产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分类以公允价值计量且其变动计入当期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损益的金融资产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Heading3"/>
        <w:spacing w:line="240" w:lineRule="auto" w:before="28"/>
        <w:ind w:left="253" w:right="0"/>
        <w:jc w:val="left"/>
        <w:rPr>
          <w:b w:val="0"/>
          <w:bCs w:val="0"/>
        </w:rPr>
      </w:pPr>
      <w:r>
        <w:rPr/>
        <w:t>（</w:t>
      </w:r>
      <w:r>
        <w:rPr>
          <w:rFonts w:ascii="Times New Roman" w:hAnsi="Times New Roman" w:cs="Times New Roman" w:eastAsia="Times New Roman" w:hint="default"/>
        </w:rPr>
        <w:t>1</w:t>
      </w:r>
      <w:r>
        <w:rPr/>
        <w:t>）其他非流动金融资产情况</w:t>
      </w:r>
      <w:r>
        <w:rPr>
          <w:b w:val="0"/>
          <w:bCs w:val="0"/>
        </w:rPr>
      </w:r>
    </w:p>
    <w:p>
      <w:pPr>
        <w:spacing w:line="240" w:lineRule="auto" w:before="9"/>
        <w:rPr>
          <w:rFonts w:ascii="宋体" w:hAnsi="宋体" w:cs="宋体" w:eastAsia="宋体" w:hint="default"/>
          <w:b/>
          <w:bCs/>
          <w:sz w:val="5"/>
          <w:szCs w:val="5"/>
        </w:rPr>
      </w:pPr>
    </w:p>
    <w:tbl>
      <w:tblPr>
        <w:tblW w:w="0" w:type="auto"/>
        <w:jc w:val="left"/>
        <w:tblInd w:w="234" w:type="dxa"/>
        <w:tblLayout w:type="fixed"/>
        <w:tblCellMar>
          <w:top w:w="0" w:type="dxa"/>
          <w:left w:w="0" w:type="dxa"/>
          <w:bottom w:w="0" w:type="dxa"/>
          <w:right w:w="0" w:type="dxa"/>
        </w:tblCellMar>
        <w:tblLook w:val="01E0"/>
      </w:tblPr>
      <w:tblGrid>
        <w:gridCol w:w="6391"/>
        <w:gridCol w:w="3270"/>
      </w:tblGrid>
      <w:tr>
        <w:trPr>
          <w:trHeight w:val="346" w:hRule="exact"/>
        </w:trPr>
        <w:tc>
          <w:tcPr>
            <w:tcW w:w="639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7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50" w:hRule="exact"/>
        </w:trPr>
        <w:tc>
          <w:tcPr>
            <w:tcW w:w="6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店商互联（北京）科技发展有限公司</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46" w:hRule="exact"/>
        </w:trPr>
        <w:tc>
          <w:tcPr>
            <w:tcW w:w="6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北京魔镜未来科技有限公司</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46" w:hRule="exact"/>
        </w:trPr>
        <w:tc>
          <w:tcPr>
            <w:tcW w:w="6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北京新龙脉壹号投资基金管理中心（有限合伙）</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50" w:hRule="exact"/>
        </w:trPr>
        <w:tc>
          <w:tcPr>
            <w:tcW w:w="6391"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深圳前海松禾暴风资本管理合伙企业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1" w:hRule="exact"/>
        </w:trPr>
        <w:tc>
          <w:tcPr>
            <w:tcW w:w="639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30,000,000.00</w:t>
            </w:r>
          </w:p>
        </w:tc>
      </w:tr>
    </w:tbl>
    <w:p>
      <w:pPr>
        <w:pStyle w:val="Heading3"/>
        <w:spacing w:line="240" w:lineRule="auto" w:before="33"/>
        <w:ind w:left="253" w:right="0"/>
        <w:jc w:val="left"/>
        <w:rPr>
          <w:b w:val="0"/>
          <w:bCs w:val="0"/>
        </w:rPr>
      </w:pPr>
      <w:r>
        <w:rPr/>
        <w:t>（</w:t>
      </w:r>
      <w:r>
        <w:rPr>
          <w:rFonts w:ascii="Times New Roman" w:hAnsi="Times New Roman" w:cs="Times New Roman" w:eastAsia="Times New Roman" w:hint="default"/>
        </w:rPr>
        <w:t>2</w:t>
      </w:r>
      <w:r>
        <w:rPr/>
        <w:t>）期初余额与上年年末余额不一致的原因</w:t>
      </w:r>
      <w:r>
        <w:rPr>
          <w:b w:val="0"/>
          <w:bCs w:val="0"/>
        </w:rPr>
      </w:r>
    </w:p>
    <w:p>
      <w:pPr>
        <w:pStyle w:val="BodyText"/>
        <w:spacing w:line="307" w:lineRule="auto" w:before="162"/>
        <w:ind w:left="253" w:right="1122" w:firstLine="360"/>
        <w:jc w:val="both"/>
      </w:pPr>
      <w:r>
        <w:rPr>
          <w:spacing w:val="-8"/>
          <w:w w:val="101"/>
        </w:rPr>
        <w:t>本公司追溯应用新金融工具准则，但对于分类和计量（含减值）涉及前期比较财务报表数据与新金融工具准则不一致的，</w:t>
      </w:r>
      <w:r>
        <w:rPr>
          <w:w w:val="101"/>
        </w:rPr>
        <w:t> </w:t>
      </w:r>
      <w:r>
        <w:rPr>
          <w:spacing w:val="-4"/>
        </w:rPr>
        <w:t>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年年初留存收益或其他综合收益以及财</w:t>
      </w:r>
      <w:r>
        <w:rPr>
          <w:spacing w:val="51"/>
        </w:rPr>
        <w:t> </w:t>
      </w:r>
      <w:r>
        <w:rPr>
          <w:spacing w:val="51"/>
        </w:rPr>
      </w:r>
      <w:r>
        <w:rPr>
          <w:spacing w:val="-6"/>
          <w:w w:val="101"/>
        </w:rPr>
        <w:t>务报表其他相关项目金额，</w:t>
      </w:r>
      <w:r>
        <w:rPr>
          <w:rFonts w:ascii="Times New Roman" w:hAnsi="Times New Roman" w:cs="Times New Roman" w:eastAsia="Times New Roman" w:hint="default"/>
          <w:spacing w:val="-6"/>
          <w:w w:val="101"/>
        </w:rPr>
        <w:t>2018</w:t>
      </w:r>
      <w:r>
        <w:rPr>
          <w:spacing w:val="-6"/>
          <w:w w:val="101"/>
        </w:rPr>
        <w:t>年度的财务报表未予重述。期初余额与上年年末余额存在的调整情况详细见</w:t>
      </w:r>
      <w:r>
        <w:rPr>
          <w:rFonts w:ascii="Times New Roman" w:hAnsi="Times New Roman" w:cs="Times New Roman" w:eastAsia="Times New Roman" w:hint="default"/>
          <w:spacing w:val="-6"/>
          <w:w w:val="101"/>
        </w:rPr>
        <w:t>“</w:t>
      </w:r>
      <w:r>
        <w:rPr>
          <w:spacing w:val="-6"/>
          <w:w w:val="101"/>
        </w:rPr>
        <w:t>第十二节</w:t>
      </w:r>
      <w:r>
        <w:rPr>
          <w:w w:val="101"/>
        </w:rPr>
        <w:t> </w:t>
      </w:r>
      <w:r>
        <w:rPr>
          <w:spacing w:val="-27"/>
          <w:w w:val="101"/>
        </w:rPr>
        <w:t>、五、</w:t>
      </w:r>
      <w:r>
        <w:rPr>
          <w:spacing w:val="-74"/>
          <w:w w:val="101"/>
        </w:rPr>
        <w:t> </w:t>
      </w:r>
      <w:r>
        <w:rPr>
          <w:spacing w:val="-74"/>
          <w:w w:val="101"/>
        </w:rPr>
      </w:r>
      <w:r>
        <w:rPr>
          <w:rFonts w:ascii="Times New Roman" w:hAnsi="Times New Roman" w:cs="Times New Roman" w:eastAsia="Times New Roman" w:hint="default"/>
        </w:rPr>
        <w:t>29</w:t>
      </w:r>
      <w:r>
        <w:rPr/>
        <w:t>、重要会计政策及会计估计变更</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1"/>
          <w:szCs w:val="21"/>
        </w:rPr>
      </w:pPr>
    </w:p>
    <w:p>
      <w:pPr>
        <w:pStyle w:val="Heading3"/>
        <w:spacing w:line="240" w:lineRule="auto"/>
        <w:ind w:left="253" w:right="0"/>
        <w:jc w:val="left"/>
        <w:rPr>
          <w:b w:val="0"/>
          <w:bCs w:val="0"/>
        </w:rPr>
      </w:pPr>
      <w:bookmarkStart w:name="13、固定资产" w:id="275"/>
      <w:bookmarkEnd w:id="275"/>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12,115,451.17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15,782,914.57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12,115,451.17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15,782,914.57</w:t>
            </w:r>
          </w:p>
        </w:tc>
      </w:tr>
    </w:tbl>
    <w:p>
      <w:pPr>
        <w:spacing w:line="240" w:lineRule="auto" w:before="3"/>
        <w:rPr>
          <w:rFonts w:ascii="宋体" w:hAnsi="宋体" w:cs="宋体" w:eastAsia="宋体" w:hint="default"/>
          <w:sz w:val="19"/>
          <w:szCs w:val="19"/>
        </w:rPr>
      </w:pPr>
    </w:p>
    <w:p>
      <w:pPr>
        <w:pStyle w:val="Heading3"/>
        <w:spacing w:line="240" w:lineRule="auto" w:before="36"/>
        <w:ind w:left="253" w:right="0"/>
        <w:jc w:val="left"/>
        <w:rPr>
          <w:b w:val="0"/>
          <w:bCs w:val="0"/>
        </w:rPr>
      </w:pPr>
      <w:bookmarkStart w:name="（1）固定资产情况" w:id="276"/>
      <w:bookmarkEnd w:id="27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2247"/>
        <w:gridCol w:w="1429"/>
        <w:gridCol w:w="1560"/>
        <w:gridCol w:w="1560"/>
        <w:gridCol w:w="1273"/>
        <w:gridCol w:w="1488"/>
      </w:tblGrid>
      <w:tr>
        <w:trPr>
          <w:trHeight w:val="399"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3"/>
              <w:jc w:val="right"/>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961"/>
              <w:jc w:val="righ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429"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8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1"/>
        <w:gridCol w:w="1417"/>
        <w:gridCol w:w="1560"/>
        <w:gridCol w:w="1560"/>
        <w:gridCol w:w="1273"/>
        <w:gridCol w:w="1488"/>
      </w:tblGrid>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14,159,367.46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10,415,454.52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37,192,747.21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18,620,974.08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80,388,543.27</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751,698.45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1,190,348.22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203,807.08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2,145,853.75</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其中：购置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751,698.45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1,190,348.22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203,807.08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2,145,853.75</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3,355,384.00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4,601,214.52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722,408.76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8,679,007.28</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13"/>
              <w:jc w:val="right"/>
              <w:rPr>
                <w:rFonts w:ascii="宋体" w:hAnsi="宋体" w:cs="宋体" w:eastAsia="宋体" w:hint="default"/>
                <w:sz w:val="18"/>
                <w:szCs w:val="18"/>
              </w:rPr>
            </w:pPr>
            <w:r>
              <w:rPr>
                <w:rFonts w:ascii="宋体" w:hAnsi="宋体" w:cs="宋体" w:eastAsia="宋体" w:hint="default"/>
                <w:spacing w:val="-3"/>
                <w:sz w:val="18"/>
                <w:szCs w:val="18"/>
              </w:rPr>
              <w:t>其中：处置或报废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3,355,384.00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4,601,214.52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722,408.76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8,679,007.28</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14,159,367.46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7,811,768.97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33,781,880.91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18,102,372.40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73,855,389.74</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9,437,927.20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7,513,328.30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32,767,597.32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14,886,775.88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64,605,628.70</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581,585.35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498,363.35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2,725,000.70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181,367.89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3,986,317.29</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其中：计提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581,585.35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498,363.35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2,725,000.70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181,367.89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3,986,317.29</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2,972,281.46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3,151,705.32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728,020.64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6,852,007.42</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13"/>
              <w:jc w:val="right"/>
              <w:rPr>
                <w:rFonts w:ascii="宋体" w:hAnsi="宋体" w:cs="宋体" w:eastAsia="宋体" w:hint="default"/>
                <w:sz w:val="18"/>
                <w:szCs w:val="18"/>
              </w:rPr>
            </w:pPr>
            <w:r>
              <w:rPr>
                <w:rFonts w:ascii="宋体" w:hAnsi="宋体" w:cs="宋体" w:eastAsia="宋体" w:hint="default"/>
                <w:spacing w:val="-3"/>
                <w:sz w:val="18"/>
                <w:szCs w:val="18"/>
              </w:rPr>
              <w:t>其中：处置或报废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2,972,281.46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3,151,705.32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728,020.64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6,852,007.42</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10,019,512.55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5,039,410.19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32,340,892.70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14,340,123.13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61,739,938.57</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其中：计提</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13"/>
              <w:jc w:val="right"/>
              <w:rPr>
                <w:rFonts w:ascii="宋体" w:hAnsi="宋体" w:cs="宋体" w:eastAsia="宋体" w:hint="default"/>
                <w:sz w:val="18"/>
                <w:szCs w:val="18"/>
              </w:rPr>
            </w:pPr>
            <w:r>
              <w:rPr>
                <w:rFonts w:ascii="宋体" w:hAnsi="宋体" w:cs="宋体" w:eastAsia="宋体" w:hint="default"/>
                <w:spacing w:val="-3"/>
                <w:sz w:val="18"/>
                <w:szCs w:val="18"/>
              </w:rPr>
              <w:t>其中：处置或报废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4,139,854.91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2,772,358.78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1,440,988.21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3,762,249.27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12,115,451.17</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4,721,440.26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2,902,126.22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4,425,149.89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3,734,198.20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15,782,914.57</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通过经营租赁租出的固定资产" w:id="277"/>
      <w:bookmarkEnd w:id="277"/>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818,326.91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未办妥产权证书的固定资产情况" w:id="278"/>
      <w:bookmarkEnd w:id="278"/>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1,485,342.37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人才住房无房产证</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14、在建工程" w:id="279"/>
      <w:bookmarkEnd w:id="279"/>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234,513.28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234,513.28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1）在建工程情况" w:id="280"/>
      <w:bookmarkEnd w:id="28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征信软件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234,513.28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234,513.28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234,513.28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234,513.28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15、无形资产" w:id="281"/>
      <w:bookmarkEnd w:id="281"/>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无形资产情况" w:id="282"/>
      <w:bookmarkEnd w:id="28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150"/>
        <w:gridCol w:w="2267"/>
        <w:gridCol w:w="2271"/>
        <w:gridCol w:w="2012"/>
      </w:tblGrid>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音乐使用权权</w:t>
            </w: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267" w:type="dxa"/>
            <w:tcBorders>
              <w:top w:val="single" w:sz="4" w:space="0" w:color="000000"/>
              <w:left w:val="single" w:sz="10" w:space="0" w:color="D2D2D2"/>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22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55,254,434.67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55,331,434.67</w:t>
            </w:r>
          </w:p>
        </w:tc>
      </w:tr>
      <w:tr>
        <w:trPr>
          <w:trHeight w:val="398"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22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1,091,444.49</w:t>
            </w: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1,091,444.49</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其中：购置</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1,091,444.49</w:t>
            </w: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1,091,444.49</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z w:val="18"/>
                <w:szCs w:val="18"/>
              </w:rPr>
              <w:t>其中：处置</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56,345,879.16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56,422,879.16</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29,657,477.78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29,734,477.78</w:t>
            </w:r>
          </w:p>
        </w:tc>
      </w:tr>
      <w:tr>
        <w:trPr>
          <w:trHeight w:val="404"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5,130,366.48</w:t>
            </w: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5,130,366.48</w:t>
            </w:r>
          </w:p>
        </w:tc>
      </w:tr>
      <w:tr>
        <w:trPr>
          <w:trHeight w:val="398"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其中：计提</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5,130,366.48</w:t>
            </w: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5,130,366.48</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其中：处置</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34,787,844.26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34,864,844.26</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150"/>
        <w:gridCol w:w="2267"/>
        <w:gridCol w:w="2271"/>
        <w:gridCol w:w="2012"/>
      </w:tblGrid>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3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其中：计提</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3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其中：处置</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26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3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21,558,034.90</w:t>
            </w: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21,558,034.90</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3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25,596,956.89</w:t>
            </w:r>
          </w:p>
        </w:tc>
        <w:tc>
          <w:tcPr>
            <w:tcW w:w="2271"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25,596,956.89</w:t>
            </w:r>
          </w:p>
        </w:tc>
      </w:tr>
    </w:tbl>
    <w:p>
      <w:pPr>
        <w:pStyle w:val="BodyText"/>
        <w:spacing w:line="240" w:lineRule="auto" w:before="53"/>
        <w:ind w:right="1126"/>
        <w:jc w:val="left"/>
      </w:pPr>
      <w:r>
        <w:rPr>
          <w:spacing w:val="-3"/>
        </w:rPr>
        <w:t>本期末通过公司内部研发形成的无形资产占无形资产余额的比例</w:t>
      </w:r>
      <w:r>
        <w:rPr>
          <w:spacing w:val="36"/>
        </w:rPr>
        <w:t> </w:t>
      </w:r>
      <w:r>
        <w:rPr>
          <w:rFonts w:ascii="Times New Roman" w:hAnsi="Times New Roman" w:cs="Times New Roman" w:eastAsia="Times New Roman" w:hint="default"/>
        </w:rPr>
        <w:t>0%</w:t>
      </w:r>
      <w:r>
        <w:rPr/>
        <w:t>。</w:t>
      </w:r>
    </w:p>
    <w:p>
      <w:pPr>
        <w:spacing w:line="240" w:lineRule="auto" w:before="4"/>
        <w:rPr>
          <w:rFonts w:ascii="宋体" w:hAnsi="宋体" w:cs="宋体" w:eastAsia="宋体" w:hint="default"/>
          <w:sz w:val="25"/>
          <w:szCs w:val="25"/>
        </w:rPr>
      </w:pPr>
    </w:p>
    <w:p>
      <w:pPr>
        <w:pStyle w:val="Heading3"/>
        <w:spacing w:line="240" w:lineRule="auto"/>
        <w:ind w:right="1126"/>
        <w:jc w:val="left"/>
        <w:rPr>
          <w:b w:val="0"/>
          <w:bCs w:val="0"/>
        </w:rPr>
      </w:pPr>
      <w:bookmarkStart w:name="16、开发支出" w:id="283"/>
      <w:bookmarkEnd w:id="283"/>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561"/>
        <w:gridCol w:w="1133"/>
        <w:gridCol w:w="1560"/>
        <w:gridCol w:w="1277"/>
        <w:gridCol w:w="850"/>
        <w:gridCol w:w="106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6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pacing w:val="-3"/>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9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APP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开发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101,708.74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101,708.74</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10" w:space="0" w:color="D2D2D2"/>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101,708.74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101,708.74</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17、商誉" w:id="284"/>
      <w:bookmarkEnd w:id="284"/>
      <w:r>
        <w:rPr>
          <w:b w:val="0"/>
          <w:bCs w:val="0"/>
        </w:rPr>
      </w:r>
      <w:r>
        <w:rPr>
          <w:rFonts w:ascii="Times New Roman" w:hAnsi="Times New Roman" w:cs="Times New Roman" w:eastAsia="Times New Roman" w:hint="default"/>
        </w:rPr>
        <w:t>17</w:t>
      </w:r>
      <w:r>
        <w:rPr/>
        <w:t>、商誉</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商誉账面原值" w:id="285"/>
      <w:bookmarkEnd w:id="28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1277"/>
        <w:gridCol w:w="1416"/>
        <w:gridCol w:w="855"/>
        <w:gridCol w:w="989"/>
        <w:gridCol w:w="855"/>
        <w:gridCol w:w="1205"/>
      </w:tblGrid>
      <w:tr>
        <w:trPr>
          <w:trHeight w:val="403" w:hRule="exact"/>
        </w:trPr>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97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深圳市彩梦科技有限公司收购北京龙</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迹天地科技有限公司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1,823,705.95</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1,823,705.95</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深圳市彩梦科技有限公司收购北京雪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狐影视文化咨询有限公司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410,947.45</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410,947.45</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深圳市彩梦科技有限公司收购深圳市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互动科技有限公司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8,472,839.87</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8,472,839.87</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深圳市彩梦科技有限公司收购北京汇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乐之音数字文化传播有限公司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50,997.11</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50,997.11</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深圳市彩梦科技有限公司收购北京铮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尚游文化传播有限公司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453,824.47</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453,824.47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77"/>
        <w:gridCol w:w="1277"/>
        <w:gridCol w:w="1416"/>
        <w:gridCol w:w="855"/>
        <w:gridCol w:w="989"/>
        <w:gridCol w:w="855"/>
        <w:gridCol w:w="1205"/>
      </w:tblGrid>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北京瑞成汇达科技有限公司收购深圳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市安派易讯移动科技有限公司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3,658,019.16</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3,658,019.16</w:t>
            </w:r>
          </w:p>
        </w:tc>
      </w:tr>
      <w:tr>
        <w:trPr>
          <w:trHeight w:val="71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深圳市优友金融服务有限公司收购深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圳金石创新科技有限公司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9,780.76</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9,780.76</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深圳市爱保科技信息服务有限公司收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购北京威丰科技有限公司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1,453,505.63</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1,453,505.63</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16,333,620.40</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16,333,620.40</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商誉减值准备" w:id="286"/>
      <w:bookmarkEnd w:id="28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1421"/>
        <w:gridCol w:w="989"/>
        <w:gridCol w:w="850"/>
        <w:gridCol w:w="994"/>
        <w:gridCol w:w="994"/>
        <w:gridCol w:w="1349"/>
      </w:tblGrid>
      <w:tr>
        <w:trPr>
          <w:trHeight w:val="401" w:hRule="exact"/>
        </w:trPr>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977"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深圳市彩梦科技有限公司收购北京雪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狐影视文化咨询有限公司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74,833.51</w:t>
            </w: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74,833.51</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深圳市彩梦科技有限公司收购深圳市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互动科技有限公司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8,472,839.87</w:t>
            </w: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8,472,839.87</w:t>
            </w:r>
          </w:p>
        </w:tc>
      </w:tr>
      <w:tr>
        <w:trPr>
          <w:trHeight w:val="71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6"/>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深圳市彩梦科技有限公司收购北京铮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尚游文化传播有限公司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453,824.47</w:t>
            </w: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453,824.47</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6"/>
              <w:jc w:val="left"/>
              <w:rPr>
                <w:rFonts w:ascii="宋体" w:hAnsi="宋体" w:cs="宋体" w:eastAsia="宋体" w:hint="default"/>
                <w:sz w:val="18"/>
                <w:szCs w:val="18"/>
              </w:rPr>
            </w:pPr>
            <w:r>
              <w:rPr>
                <w:rFonts w:ascii="宋体" w:hAnsi="宋体" w:cs="宋体" w:eastAsia="宋体" w:hint="default"/>
                <w:spacing w:val="-3"/>
                <w:sz w:val="18"/>
                <w:szCs w:val="18"/>
              </w:rPr>
              <w:t>北京瑞成汇达科技有限公司收购深圳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市安派易讯移动科技有限公司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3,658,019.16</w:t>
            </w: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3,658,019.16</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12,659,517.01</w:t>
            </w:r>
          </w:p>
        </w:tc>
        <w:tc>
          <w:tcPr>
            <w:tcW w:w="98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12,659,517.01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18、长期待摊费用" w:id="287"/>
      <w:bookmarkEnd w:id="287"/>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8,959,529.92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6,907,870.57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8,288,082.97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7,579,317.52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627,739.45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143,294.71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486,778.07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8,961,863.25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7,535,610.02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8,431,377.68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8,066,095.59</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19、递延所得税资产/递延所得税负债" w:id="288"/>
      <w:bookmarkEnd w:id="288"/>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未经抵销的递延所得税资产" w:id="289"/>
      <w:bookmarkEnd w:id="28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844"/>
        <w:gridCol w:w="1700"/>
        <w:gridCol w:w="1561"/>
        <w:gridCol w:w="1635"/>
      </w:tblGrid>
      <w:tr>
        <w:trPr>
          <w:trHeight w:val="404" w:hRule="exact"/>
        </w:trPr>
        <w:tc>
          <w:tcPr>
            <w:tcW w:w="2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38"/>
        <w:gridCol w:w="1844"/>
        <w:gridCol w:w="1700"/>
        <w:gridCol w:w="1561"/>
        <w:gridCol w:w="1633"/>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239,450,060.49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58,155,619.52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159,007,197.82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39,087,140.91</w:t>
            </w: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26,089,647.44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6,522,411.86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6,782,853.77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1,695,713.44</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497,850,101.75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85,216,951.64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86,388,120.31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20,293,171.05</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应收账款销售价保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16,643,838.17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4,160,959.54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10,425,138.10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2,606,284.53</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外币借款锁汇差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8,446,602.00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2,111,650.50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367,919,644.18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60,706,741.29</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788,480,249.85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156,167,593.06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630,522,954.18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124,389,051.22</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未经抵销的递延所得税负债" w:id="290"/>
      <w:bookmarkEnd w:id="29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21"/>
        <w:gridCol w:w="1700"/>
        <w:gridCol w:w="1704"/>
        <w:gridCol w:w="1556"/>
        <w:gridCol w:w="1493"/>
      </w:tblGrid>
      <w:tr>
        <w:trPr>
          <w:trHeight w:val="404"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2"/>
                <w:sz w:val="18"/>
                <w:szCs w:val="18"/>
              </w:rPr>
              <w:t>应纳税暂时性差异</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非同一控制企业合并资产评估增值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380,142.42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95,035.60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3,049,716.46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762,429.11</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17,968,239.73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4,492,059.93</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10,380,142.42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2,595,035.60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21,017,956.19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5,254,489.04</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以抵销后净额列示的递延所得税资产或负债" w:id="291"/>
      <w:bookmarkEnd w:id="29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163"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410"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8"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156,167,593.06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124,389,051.22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2,595,035.60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5,254,489.04</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未确认递延所得税资产明细" w:id="292"/>
      <w:bookmarkEnd w:id="29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25,052,688.48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49,294,096.96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87,063,887.70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134,903,125.69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515,380.11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1,238,454.00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112,631,956.29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185,435,676.65</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5）未确认递延所得税资产的可抵扣亏损将于以下年度到期" w:id="293"/>
      <w:bookmarkEnd w:id="29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44,538,846.53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9,762,722.14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29,736,746.13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9,143,744.59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17,936,065.06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5,573,495.70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13,186,606.67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37,109,309.33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29,504,861.30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25,474,615.94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87,063,887.70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134,903,125.69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6）期初余额与上年年末余额不一致的原因" w:id="294"/>
      <w:bookmarkEnd w:id="294"/>
      <w:r>
        <w:rPr>
          <w:b w:val="0"/>
          <w:bCs w:val="0"/>
        </w:rPr>
      </w:r>
      <w:r>
        <w:rPr/>
        <w:t>（</w:t>
      </w:r>
      <w:r>
        <w:rPr>
          <w:rFonts w:ascii="Times New Roman" w:hAnsi="Times New Roman" w:cs="Times New Roman" w:eastAsia="Times New Roman" w:hint="default"/>
        </w:rPr>
        <w:t>6</w:t>
      </w:r>
      <w:r>
        <w:rPr/>
        <w:t>）期初余额与上年年末余额不一致的原因</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122" w:firstLine="360"/>
        <w:jc w:val="both"/>
      </w:pPr>
      <w:r>
        <w:rPr>
          <w:spacing w:val="-8"/>
          <w:w w:val="101"/>
        </w:rPr>
        <w:t>本公司追溯应用新金融工具准则，但对于分类和计量（含减值）涉及前期比较财务报表数据与新金融工具准则不一致的，</w:t>
      </w:r>
      <w:r>
        <w:rPr>
          <w:w w:val="101"/>
        </w:rPr>
        <w:t> </w:t>
      </w:r>
      <w:r>
        <w:rPr>
          <w:spacing w:val="-4"/>
        </w:rPr>
        <w:t>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年年初留存收益或其他综合收益以及财</w:t>
      </w:r>
      <w:r>
        <w:rPr>
          <w:spacing w:val="51"/>
        </w:rPr>
        <w:t> </w:t>
      </w:r>
      <w:r>
        <w:rPr>
          <w:spacing w:val="51"/>
        </w:rPr>
      </w:r>
      <w:r>
        <w:rPr>
          <w:spacing w:val="-6"/>
          <w:w w:val="101"/>
        </w:rPr>
        <w:t>务报表其他相关项目金额，</w:t>
      </w:r>
      <w:r>
        <w:rPr>
          <w:rFonts w:ascii="Times New Roman" w:hAnsi="Times New Roman" w:cs="Times New Roman" w:eastAsia="Times New Roman" w:hint="default"/>
          <w:spacing w:val="-6"/>
          <w:w w:val="101"/>
        </w:rPr>
        <w:t>2018</w:t>
      </w:r>
      <w:r>
        <w:rPr>
          <w:spacing w:val="-6"/>
          <w:w w:val="101"/>
        </w:rPr>
        <w:t>年度的财务报表未予重述。期初余额与上年年末余额存在的调整情况详细见</w:t>
      </w:r>
      <w:r>
        <w:rPr>
          <w:rFonts w:ascii="Times New Roman" w:hAnsi="Times New Roman" w:cs="Times New Roman" w:eastAsia="Times New Roman" w:hint="default"/>
          <w:spacing w:val="-6"/>
          <w:w w:val="101"/>
        </w:rPr>
        <w:t>“</w:t>
      </w:r>
      <w:r>
        <w:rPr>
          <w:spacing w:val="-6"/>
          <w:w w:val="101"/>
        </w:rPr>
        <w:t>第十二节</w:t>
      </w:r>
      <w:r>
        <w:rPr>
          <w:w w:val="101"/>
        </w:rPr>
        <w:t> </w:t>
      </w:r>
      <w:r>
        <w:rPr>
          <w:spacing w:val="-27"/>
          <w:w w:val="101"/>
        </w:rPr>
        <w:t>、五、</w:t>
      </w:r>
      <w:r>
        <w:rPr>
          <w:spacing w:val="-74"/>
          <w:w w:val="101"/>
        </w:rPr>
        <w:t> </w:t>
      </w:r>
      <w:r>
        <w:rPr>
          <w:spacing w:val="-74"/>
          <w:w w:val="101"/>
        </w:rPr>
      </w:r>
      <w:r>
        <w:rPr>
          <w:rFonts w:ascii="Times New Roman" w:hAnsi="Times New Roman" w:cs="Times New Roman" w:eastAsia="Times New Roman" w:hint="default"/>
        </w:rPr>
        <w:t>29</w:t>
      </w:r>
      <w:r>
        <w:rPr/>
        <w:t>、重要会计政策及会计估计变更</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1"/>
          <w:szCs w:val="21"/>
        </w:rPr>
      </w:pPr>
    </w:p>
    <w:p>
      <w:pPr>
        <w:pStyle w:val="Heading3"/>
        <w:spacing w:line="240" w:lineRule="auto"/>
        <w:ind w:right="1126"/>
        <w:jc w:val="left"/>
        <w:rPr>
          <w:b w:val="0"/>
          <w:bCs w:val="0"/>
        </w:rPr>
      </w:pPr>
      <w:bookmarkStart w:name="20、其他非流动资产" w:id="295"/>
      <w:bookmarkEnd w:id="295"/>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474" w:top="1060" w:bottom="16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620" w:bottom="28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国鑫基金管理有限公司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18,000,000.00</w:t>
            </w:r>
          </w:p>
        </w:tc>
      </w:tr>
    </w:tbl>
    <w:p>
      <w:pPr>
        <w:pStyle w:val="BodyText"/>
        <w:spacing w:line="240" w:lineRule="auto" w:before="53"/>
        <w:ind w:right="1126"/>
        <w:jc w:val="left"/>
      </w:pPr>
      <w:r>
        <w:rPr/>
        <w:t>其他说明：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spacing w:val="-3"/>
        </w:rPr>
        <w:t>月，公司同意作为发起人之一与张礼庆共同设立</w:t>
      </w:r>
      <w:r>
        <w:rPr>
          <w:rFonts w:ascii="Times New Roman" w:hAnsi="Times New Roman" w:cs="Times New Roman" w:eastAsia="Times New Roman" w:hint="default"/>
          <w:spacing w:val="-3"/>
        </w:rPr>
        <w:t>“</w:t>
      </w:r>
      <w:r>
        <w:rPr>
          <w:spacing w:val="-3"/>
        </w:rPr>
        <w:t>国鑫基金管理有限公司</w:t>
      </w:r>
      <w:r>
        <w:rPr>
          <w:rFonts w:ascii="Times New Roman" w:hAnsi="Times New Roman" w:cs="Times New Roman" w:eastAsia="Times New Roman" w:hint="default"/>
          <w:spacing w:val="-3"/>
        </w:rPr>
        <w:t>”</w:t>
      </w:r>
      <w:r>
        <w:rPr>
          <w:spacing w:val="-3"/>
        </w:rPr>
        <w:t>，拟以货币出资 </w:t>
      </w:r>
      <w:r>
        <w:rPr>
          <w:rFonts w:ascii="Times New Roman" w:hAnsi="Times New Roman" w:cs="Times New Roman" w:eastAsia="Times New Roman" w:hint="default"/>
        </w:rPr>
        <w:t>4,000</w:t>
      </w:r>
      <w:r>
        <w:rPr>
          <w:rFonts w:ascii="Times New Roman" w:hAnsi="Times New Roman" w:cs="Times New Roman" w:eastAsia="Times New Roman" w:hint="default"/>
          <w:spacing w:val="-14"/>
        </w:rPr>
        <w:t> </w:t>
      </w:r>
      <w:r>
        <w:rPr/>
        <w:t>万元</w:t>
      </w:r>
    </w:p>
    <w:p>
      <w:pPr>
        <w:pStyle w:val="BodyText"/>
        <w:spacing w:line="240" w:lineRule="auto" w:before="58"/>
        <w:ind w:right="0"/>
        <w:jc w:val="left"/>
      </w:pPr>
      <w:r>
        <w:rPr/>
        <w:t>人民币，持股比例</w:t>
      </w:r>
      <w:r>
        <w:rPr>
          <w:spacing w:val="-33"/>
        </w:rPr>
        <w:t> </w:t>
      </w:r>
      <w:r>
        <w:rPr>
          <w:rFonts w:ascii="Times New Roman" w:hAnsi="Times New Roman" w:cs="Times New Roman" w:eastAsia="Times New Roman" w:hint="default"/>
        </w:rPr>
        <w:t>40%</w:t>
      </w:r>
      <w:r>
        <w:rPr/>
        <w:t>，占注册资本总额的</w:t>
      </w:r>
      <w:r>
        <w:rPr>
          <w:spacing w:val="-33"/>
        </w:rPr>
        <w:t> </w:t>
      </w:r>
      <w:r>
        <w:rPr>
          <w:rFonts w:ascii="Times New Roman" w:hAnsi="Times New Roman" w:cs="Times New Roman" w:eastAsia="Times New Roman" w:hint="default"/>
          <w:spacing w:val="-3"/>
        </w:rPr>
        <w:t>40%</w:t>
      </w:r>
      <w:r>
        <w:rPr>
          <w:spacing w:val="-3"/>
        </w:rPr>
        <w:t>。国鑫基金管理有限公司已于</w:t>
      </w:r>
      <w:r>
        <w:rPr>
          <w:spacing w:val="-33"/>
        </w:rPr>
        <w:t> </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t>年</w:t>
      </w:r>
      <w:r>
        <w:rPr>
          <w:spacing w:val="-33"/>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
        </w:rPr>
        <w:t> </w:t>
      </w:r>
      <w:r>
        <w:rPr/>
        <w:t>月</w:t>
      </w:r>
      <w:r>
        <w:rPr>
          <w:spacing w:val="-33"/>
        </w:rPr>
        <w:t> </w:t>
      </w:r>
      <w:r>
        <w:rPr>
          <w:rFonts w:ascii="Times New Roman" w:hAnsi="Times New Roman" w:cs="Times New Roman" w:eastAsia="Times New Roman" w:hint="default"/>
          <w:spacing w:val="-3"/>
        </w:rPr>
        <w:t>28</w:t>
      </w:r>
      <w:r>
        <w:rPr>
          <w:rFonts w:ascii="Times New Roman" w:hAnsi="Times New Roman" w:cs="Times New Roman" w:eastAsia="Times New Roman" w:hint="default"/>
          <w:spacing w:val="5"/>
        </w:rPr>
        <w:t> </w:t>
      </w:r>
      <w:r>
        <w:rPr>
          <w:spacing w:val="-3"/>
        </w:rPr>
        <w:t>日向中国证券监督管理委员</w:t>
      </w:r>
    </w:p>
    <w:p>
      <w:pPr>
        <w:pStyle w:val="BodyText"/>
        <w:spacing w:line="240" w:lineRule="auto" w:before="63"/>
        <w:ind w:right="0"/>
        <w:jc w:val="left"/>
        <w:rPr>
          <w:rFonts w:ascii="Times New Roman" w:hAnsi="Times New Roman" w:cs="Times New Roman" w:eastAsia="Times New Roman" w:hint="default"/>
        </w:rPr>
      </w:pPr>
      <w:r>
        <w:rPr>
          <w:spacing w:val="-6"/>
        </w:rPr>
        <w:t>会提交了《公募基金管理公司设立、公募基金管理人资格审批》的申请材料，申请材料已经接受。公司已缴纳筹备经费 </w:t>
      </w:r>
      <w:r>
        <w:rPr>
          <w:spacing w:val="10"/>
        </w:rPr>
        <w:t> </w:t>
      </w:r>
      <w:r>
        <w:rPr>
          <w:rFonts w:ascii="Times New Roman" w:hAnsi="Times New Roman" w:cs="Times New Roman" w:eastAsia="Times New Roman" w:hint="default"/>
        </w:rPr>
        <w:t>1,800</w:t>
      </w:r>
    </w:p>
    <w:p>
      <w:pPr>
        <w:pStyle w:val="BodyText"/>
        <w:spacing w:line="240" w:lineRule="auto" w:before="63"/>
        <w:ind w:right="0"/>
        <w:jc w:val="left"/>
      </w:pPr>
      <w:r>
        <w:rPr>
          <w:spacing w:val="-5"/>
        </w:rPr>
        <w:t>万元。</w:t>
      </w:r>
      <w:r>
        <w:rPr>
          <w:rFonts w:ascii="Times New Roman" w:hAnsi="Times New Roman" w:cs="Times New Roman" w:eastAsia="Times New Roman" w:hint="default"/>
          <w:spacing w:val="-5"/>
        </w:rPr>
        <w:t>2019  </w:t>
      </w:r>
      <w:r>
        <w:rPr/>
        <w:t>年 </w:t>
      </w:r>
      <w:r>
        <w:rPr>
          <w:rFonts w:ascii="Times New Roman" w:hAnsi="Times New Roman" w:cs="Times New Roman" w:eastAsia="Times New Roman" w:hint="default"/>
        </w:rPr>
        <w:t>7 </w:t>
      </w:r>
      <w:r>
        <w:rPr>
          <w:spacing w:val="-4"/>
        </w:rPr>
        <w:t>月，公司同意与赣江新区全球星投资管理有限公司签订注资份额转让协议，协议作价 </w:t>
      </w:r>
      <w:r>
        <w:rPr>
          <w:rFonts w:ascii="Times New Roman" w:hAnsi="Times New Roman" w:cs="Times New Roman" w:eastAsia="Times New Roman" w:hint="default"/>
        </w:rPr>
        <w:t>1,800</w:t>
      </w:r>
      <w:r>
        <w:rPr>
          <w:rFonts w:ascii="Times New Roman" w:hAnsi="Times New Roman" w:cs="Times New Roman" w:eastAsia="Times New Roman" w:hint="default"/>
          <w:spacing w:val="-6"/>
        </w:rPr>
        <w:t> </w:t>
      </w:r>
      <w:r>
        <w:rPr>
          <w:spacing w:val="-3"/>
        </w:rPr>
        <w:t>万元向赣江新区</w:t>
      </w:r>
    </w:p>
    <w:p>
      <w:pPr>
        <w:pStyle w:val="BodyText"/>
        <w:spacing w:line="240" w:lineRule="auto" w:before="67"/>
        <w:ind w:right="1126"/>
        <w:jc w:val="left"/>
      </w:pPr>
      <w:r>
        <w:rPr>
          <w:spacing w:val="-3"/>
        </w:rPr>
        <w:t>全球星投资管理有限公司转让所持国鑫基金</w:t>
      </w:r>
      <w:r>
        <w:rPr>
          <w:spacing w:val="-24"/>
        </w:rPr>
        <w:t> </w:t>
      </w:r>
      <w:r>
        <w:rPr>
          <w:rFonts w:ascii="Times New Roman" w:hAnsi="Times New Roman" w:cs="Times New Roman" w:eastAsia="Times New Roman" w:hint="default"/>
          <w:spacing w:val="-3"/>
        </w:rPr>
        <w:t>40%</w:t>
      </w:r>
      <w:r>
        <w:rPr>
          <w:spacing w:val="-3"/>
        </w:rPr>
        <w:t>的出资份额，截至</w:t>
      </w:r>
      <w:r>
        <w:rPr>
          <w:spacing w:val="-2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3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日，公司已收到全部款项。</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21、短期借款" w:id="296"/>
      <w:bookmarkEnd w:id="296"/>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短期借款分类" w:id="297"/>
      <w:bookmarkEnd w:id="29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504,144,810.00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1,044,023,074.36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2,011,488,398.00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2,592,944,700.00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2,515,633,208.00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3,636,967,774.36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20" w:bottom="28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1126"/>
        <w:jc w:val="left"/>
      </w:pPr>
      <w:r>
        <w:rPr/>
        <w:t>短期借款分类的说明：</w:t>
      </w:r>
    </w:p>
    <w:p>
      <w:pPr>
        <w:spacing w:line="240" w:lineRule="auto" w:before="8"/>
        <w:rPr>
          <w:rFonts w:ascii="宋体" w:hAnsi="宋体" w:cs="宋体" w:eastAsia="宋体" w:hint="default"/>
          <w:sz w:val="14"/>
          <w:szCs w:val="14"/>
        </w:rPr>
      </w:pPr>
    </w:p>
    <w:p>
      <w:pPr>
        <w:pStyle w:val="BodyText"/>
        <w:spacing w:line="240" w:lineRule="auto"/>
        <w:ind w:left="513" w:right="1126"/>
        <w:jc w:val="left"/>
      </w:pPr>
      <w:r>
        <w:rPr>
          <w:spacing w:val="-3"/>
        </w:rPr>
        <w:t>①保证借款中为全资子公司西藏酷爱通信有限公司贴现本公司开具的信用证而转入的短期借款</w:t>
      </w:r>
      <w:r>
        <w:rPr>
          <w:rFonts w:ascii="Times New Roman" w:hAnsi="Times New Roman" w:cs="Times New Roman" w:eastAsia="Times New Roman" w:hint="default"/>
          <w:spacing w:val="-3"/>
        </w:rPr>
        <w:t>200,000,000.00</w:t>
      </w:r>
      <w:r>
        <w:rPr>
          <w:spacing w:val="-3"/>
        </w:rPr>
        <w:t>元。</w:t>
      </w:r>
      <w:r>
        <w:rPr/>
      </w:r>
    </w:p>
    <w:p>
      <w:pPr>
        <w:spacing w:line="240" w:lineRule="auto" w:before="0"/>
        <w:rPr>
          <w:rFonts w:ascii="宋体" w:hAnsi="宋体" w:cs="宋体" w:eastAsia="宋体" w:hint="default"/>
          <w:sz w:val="14"/>
          <w:szCs w:val="14"/>
        </w:rPr>
      </w:pPr>
    </w:p>
    <w:p>
      <w:pPr>
        <w:pStyle w:val="BodyText"/>
        <w:spacing w:line="240" w:lineRule="auto"/>
        <w:ind w:left="513" w:right="1126"/>
        <w:jc w:val="left"/>
      </w:pPr>
      <w:r>
        <w:rPr>
          <w:spacing w:val="-3"/>
        </w:rPr>
        <w:t>②质押借款的质押资产类别以及金额，参见附注七、</w:t>
      </w:r>
      <w:r>
        <w:rPr>
          <w:rFonts w:ascii="Times New Roman" w:hAnsi="Times New Roman" w:cs="Times New Roman" w:eastAsia="Times New Roman" w:hint="default"/>
          <w:spacing w:val="-3"/>
        </w:rPr>
        <w:t>1</w:t>
      </w:r>
      <w:r>
        <w:rPr>
          <w:spacing w:val="-3"/>
        </w:rPr>
        <w:t>、货币资金 </w:t>
      </w:r>
      <w:r>
        <w:rPr/>
        <w:t>和 </w:t>
      </w:r>
      <w:r>
        <w:rPr>
          <w:spacing w:val="69"/>
        </w:rPr>
        <w:t> </w:t>
      </w:r>
      <w:r>
        <w:rPr>
          <w:spacing w:val="-3"/>
        </w:rPr>
        <w:t>附注七、</w:t>
      </w:r>
      <w:r>
        <w:rPr>
          <w:rFonts w:ascii="Times New Roman" w:hAnsi="Times New Roman" w:cs="Times New Roman" w:eastAsia="Times New Roman" w:hint="default"/>
          <w:spacing w:val="-3"/>
        </w:rPr>
        <w:t>3</w:t>
      </w:r>
      <w:r>
        <w:rPr>
          <w:spacing w:val="-3"/>
        </w:rPr>
        <w:t>、应收票据。</w:t>
      </w:r>
    </w:p>
    <w:p>
      <w:pPr>
        <w:spacing w:line="240" w:lineRule="auto" w:before="13"/>
        <w:rPr>
          <w:rFonts w:ascii="宋体" w:hAnsi="宋体" w:cs="宋体" w:eastAsia="宋体" w:hint="default"/>
          <w:sz w:val="13"/>
          <w:szCs w:val="13"/>
        </w:rPr>
      </w:pPr>
    </w:p>
    <w:p>
      <w:pPr>
        <w:pStyle w:val="BodyText"/>
        <w:spacing w:line="300" w:lineRule="auto"/>
        <w:ind w:right="1126" w:firstLine="360"/>
        <w:jc w:val="left"/>
      </w:pPr>
      <w:r>
        <w:rPr>
          <w:spacing w:val="-2"/>
        </w:rPr>
        <w:t>③保证借款中平安银行深圳分行的美元</w:t>
      </w:r>
      <w:r>
        <w:rPr>
          <w:rFonts w:ascii="Times New Roman" w:hAnsi="Times New Roman" w:cs="Times New Roman" w:eastAsia="Times New Roman" w:hint="default"/>
          <w:spacing w:val="-2"/>
        </w:rPr>
        <w:t>106,790,000.00</w:t>
      </w:r>
      <w:r>
        <w:rPr>
          <w:spacing w:val="-2"/>
        </w:rPr>
        <w:t>（折合人民币</w:t>
      </w:r>
      <w:r>
        <w:rPr>
          <w:rFonts w:ascii="Times New Roman" w:hAnsi="Times New Roman" w:cs="Times New Roman" w:eastAsia="Times New Roman" w:hint="default"/>
          <w:spacing w:val="-2"/>
        </w:rPr>
        <w:t>744,988,398.00</w:t>
      </w:r>
      <w:r>
        <w:rPr>
          <w:spacing w:val="-2"/>
        </w:rPr>
        <w:t>元）借款，系公司以中国光大银行股</w:t>
      </w:r>
      <w:r>
        <w:rPr>
          <w:w w:val="101"/>
        </w:rPr>
        <w:t> </w:t>
      </w:r>
      <w:r>
        <w:rPr>
          <w:spacing w:val="-3"/>
        </w:rPr>
        <w:t>份有限公司深圳分行开具的保函进行保证担保。其他保证借款的保证人以及金额，参见附注十二、</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3</w:t>
      </w:r>
      <w:r>
        <w:rPr>
          <w:spacing w:val="-3"/>
        </w:rPr>
        <w:t>）关联担保情况。</w:t>
      </w:r>
    </w:p>
    <w:p>
      <w:pPr>
        <w:spacing w:line="240" w:lineRule="auto" w:before="2"/>
        <w:rPr>
          <w:rFonts w:ascii="宋体" w:hAnsi="宋体" w:cs="宋体" w:eastAsia="宋体" w:hint="default"/>
          <w:sz w:val="22"/>
          <w:szCs w:val="22"/>
        </w:rPr>
      </w:pPr>
    </w:p>
    <w:p>
      <w:pPr>
        <w:pStyle w:val="Heading3"/>
        <w:spacing w:line="240" w:lineRule="auto"/>
        <w:ind w:right="1126"/>
        <w:jc w:val="left"/>
        <w:rPr>
          <w:b w:val="0"/>
          <w:bCs w:val="0"/>
        </w:rPr>
      </w:pPr>
      <w:bookmarkStart w:name="22、交易性金融负债" w:id="298"/>
      <w:bookmarkEnd w:id="298"/>
      <w:r>
        <w:rPr>
          <w:b w:val="0"/>
          <w:bCs w:val="0"/>
        </w:rPr>
      </w:r>
      <w:r>
        <w:rPr>
          <w:rFonts w:ascii="Times New Roman" w:hAnsi="Times New Roman" w:cs="Times New Roman" w:eastAsia="Times New Roman" w:hint="default"/>
        </w:rPr>
        <w:t>22</w:t>
      </w:r>
      <w:r>
        <w:rPr/>
        <w:t>、交易性金融负债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8,446,602.00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其中：外币借款锁汇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8,446,602.00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8,446,602.00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3、应付票据" w:id="299"/>
      <w:bookmarkEnd w:id="299"/>
      <w:r>
        <w:rPr>
          <w:b w:val="0"/>
          <w:bCs w:val="0"/>
        </w:rPr>
      </w:r>
      <w:r>
        <w:rPr>
          <w:rFonts w:ascii="Times New Roman" w:hAnsi="Times New Roman" w:cs="Times New Roman" w:eastAsia="Times New Roman" w:hint="default"/>
        </w:rPr>
        <w:t>23</w:t>
      </w:r>
      <w:r>
        <w:rPr/>
        <w:t>、应付票据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192,788,955.35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192,788,955.35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1126"/>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24、应付账款" w:id="300"/>
      <w:bookmarkEnd w:id="300"/>
      <w:r>
        <w:rPr>
          <w:b w:val="0"/>
          <w:bCs w:val="0"/>
        </w:rPr>
      </w:r>
      <w:r>
        <w:rPr>
          <w:rFonts w:ascii="Times New Roman" w:hAnsi="Times New Roman" w:cs="Times New Roman" w:eastAsia="Times New Roman" w:hint="default"/>
        </w:rPr>
        <w:t>24</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应付账款列示" w:id="301"/>
      <w:bookmarkEnd w:id="30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1,555,065,156.54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176,250,914.20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1,555,065,156.54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176,250,914.20</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5、预收款项" w:id="302"/>
      <w:bookmarkEnd w:id="302"/>
      <w:r>
        <w:rPr>
          <w:b w:val="0"/>
          <w:bCs w:val="0"/>
        </w:rPr>
      </w:r>
      <w:r>
        <w:rPr>
          <w:rFonts w:ascii="Times New Roman" w:hAnsi="Times New Roman" w:cs="Times New Roman" w:eastAsia="Times New Roman" w:hint="default"/>
        </w:rPr>
        <w:t>25</w:t>
      </w:r>
      <w:r>
        <w:rPr/>
        <w:t>、预收款项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6"/>
        <w:jc w:val="left"/>
      </w:pPr>
      <w:r>
        <w:rPr/>
        <w:t>是否已执行新收入准则</w:t>
      </w:r>
    </w:p>
    <w:p>
      <w:pPr>
        <w:pStyle w:val="BodyText"/>
        <w:spacing w:line="240" w:lineRule="auto" w:before="115"/>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1）预收款项列示" w:id="303"/>
      <w:bookmarkEnd w:id="30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684,258,310.32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514,975,304.31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684,258,310.32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514,975,304.31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6、应付职工薪酬" w:id="304"/>
      <w:bookmarkEnd w:id="304"/>
      <w:r>
        <w:rPr>
          <w:b w:val="0"/>
          <w:bCs w:val="0"/>
        </w:rPr>
      </w:r>
      <w:r>
        <w:rPr>
          <w:rFonts w:ascii="Times New Roman" w:hAnsi="Times New Roman" w:cs="Times New Roman" w:eastAsia="Times New Roman" w:hint="default"/>
        </w:rPr>
        <w:t>26</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应付职工薪酬列示" w:id="305"/>
      <w:bookmarkEnd w:id="30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2"/>
        <w:gridCol w:w="1714"/>
        <w:gridCol w:w="1560"/>
        <w:gridCol w:w="1417"/>
        <w:gridCol w:w="1349"/>
      </w:tblGrid>
      <w:tr>
        <w:trPr>
          <w:trHeight w:val="398"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53,755,761.05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347,137,333.47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321,559,612.45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79,333,482.07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设定提存计划</w:t>
            </w:r>
          </w:p>
        </w:tc>
        <w:tc>
          <w:tcPr>
            <w:tcW w:w="17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527,447.33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15,386,014.63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15,413,439.23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500,022.73</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4"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13,726,903.87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13,553,213.87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173,690.00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54,283,208.38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376,250,251.97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350,526,265.55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80,007,194.80</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短期薪酬列示" w:id="306"/>
      <w:bookmarkEnd w:id="30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05"/>
        <w:gridCol w:w="1700"/>
        <w:gridCol w:w="1560"/>
        <w:gridCol w:w="1561"/>
        <w:gridCol w:w="1349"/>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51,747,739.60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317,305,525.51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291,733,823.57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77,319,441.54</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11,057,723.17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10,951,286.17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106,437.00</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156,338.95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8,893,742.71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8,890,869.89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159,211.77</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149,946.83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7,909,982.83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7,907,160.52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152,769.14</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6,351.48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250,559.04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250,542.75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6,367.77</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733,200.84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733,166.62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74.86</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184,770.80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6,520,891.20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6,687,329.73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18,332.27</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1,664,460.09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841,164.79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847,782.13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1,657,842.75</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、其他短期薪酬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2,451.61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2,518,286.09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2,448,520.96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72,216.74</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53,755,761.05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347,137,333.47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321,559,612.45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79,333,482.07</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设定提存计划列示" w:id="307"/>
      <w:bookmarkEnd w:id="30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2209"/>
        <w:gridCol w:w="1844"/>
        <w:gridCol w:w="1844"/>
        <w:gridCol w:w="1777"/>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527,420.13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14,855,028.01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14,882,474.01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499,974.13</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530,986.62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530,965.22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527,447.33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15,386,014.63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15,413,439.23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500,022.73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6"/>
        <w:rPr>
          <w:rFonts w:ascii="宋体" w:hAnsi="宋体" w:cs="宋体" w:eastAsia="宋体" w:hint="default"/>
          <w:sz w:val="26"/>
          <w:szCs w:val="26"/>
        </w:rPr>
      </w:pPr>
    </w:p>
    <w:p>
      <w:pPr>
        <w:pStyle w:val="BodyText"/>
        <w:spacing w:line="316" w:lineRule="auto" w:before="46"/>
        <w:ind w:right="1123"/>
        <w:jc w:val="both"/>
      </w:pPr>
      <w:r>
        <w:rPr>
          <w:spacing w:val="-4"/>
        </w:rPr>
        <w:t>其他说明：本公司按规定参加由政府机构设立的养老保险、失业保险计划，根据该等计划，本公司分别按员工基本工资乘以</w:t>
      </w:r>
      <w:r>
        <w:rPr>
          <w:spacing w:val="41"/>
        </w:rPr>
        <w:t> </w:t>
      </w:r>
      <w:r>
        <w:rPr>
          <w:spacing w:val="41"/>
        </w:rPr>
      </w:r>
      <w:r>
        <w:rPr>
          <w:spacing w:val="-4"/>
        </w:rPr>
        <w:t>各地适用的比例向该等计划缴存费用。除上述缴存费用外，本公司不再承担进一步支付义务。相应的支出于发生时计入当期</w:t>
      </w:r>
      <w:r>
        <w:rPr>
          <w:spacing w:val="43"/>
        </w:rPr>
        <w:t> </w:t>
      </w:r>
      <w:r>
        <w:rPr>
          <w:spacing w:val="43"/>
        </w:rPr>
      </w:r>
      <w:r>
        <w:rPr>
          <w:spacing w:val="-3"/>
        </w:rPr>
        <w:t>损益或相关资产的成本。</w:t>
      </w: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bookmarkStart w:name="27、应交税费" w:id="308"/>
      <w:bookmarkEnd w:id="308"/>
      <w:r>
        <w:rPr>
          <w:b w:val="0"/>
          <w:bCs w:val="0"/>
        </w:rPr>
      </w:r>
      <w:r>
        <w:rPr>
          <w:rFonts w:ascii="Times New Roman" w:hAnsi="Times New Roman" w:cs="Times New Roman" w:eastAsia="Times New Roman" w:hint="default"/>
        </w:rPr>
        <w:t>27</w:t>
      </w:r>
      <w:r>
        <w:rPr/>
        <w:t>、应交税费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24,450,748.85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58,604,014.26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84,535,707.90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31,195,078.05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2,896,426.69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2,968,091.35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1,145,956.09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436,108.44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841,740.67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325,503.40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2,107,364.29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816,279.51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37,167.06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4,827.96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116,015,111.55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94,349,902.97</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8、其他应付款" w:id="309"/>
      <w:bookmarkEnd w:id="309"/>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1,930,542.92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15,900,631.65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78,584,722.99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42,179,384.26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80,515,265.91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58,080,015.91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1）应付利息" w:id="310"/>
      <w:bookmarkEnd w:id="31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11,661,000.00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1,930,542.92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4,239,631.65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1,930,542.92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15,900,631.65</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其他应付款" w:id="311"/>
      <w:bookmarkEnd w:id="311"/>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按款项性质列示其他应付款" w:id="312"/>
      <w:bookmarkEnd w:id="312"/>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38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1,617,142.29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1,501,169.15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3,938,272.26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510,857.63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45,274,834.00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35,421,287.00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25,308,870.10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2,693,968.38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2,445,604.34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2,052,102.10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78,584,722.99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42,179,384.26</w:t>
            </w:r>
          </w:p>
        </w:tc>
      </w:tr>
    </w:tbl>
    <w:p>
      <w:pPr>
        <w:spacing w:line="240" w:lineRule="auto" w:before="3"/>
        <w:rPr>
          <w:rFonts w:ascii="宋体" w:hAnsi="宋体" w:cs="宋体" w:eastAsia="宋体" w:hint="default"/>
          <w:sz w:val="19"/>
          <w:szCs w:val="19"/>
        </w:rPr>
      </w:pPr>
    </w:p>
    <w:p>
      <w:pPr>
        <w:pStyle w:val="Heading3"/>
        <w:spacing w:line="240" w:lineRule="auto" w:before="36"/>
        <w:ind w:left="393" w:right="0"/>
        <w:jc w:val="left"/>
        <w:rPr>
          <w:b w:val="0"/>
          <w:bCs w:val="0"/>
        </w:rPr>
      </w:pPr>
      <w:bookmarkStart w:name="29、应付债券" w:id="313"/>
      <w:bookmarkEnd w:id="313"/>
      <w:r>
        <w:rPr>
          <w:b w:val="0"/>
          <w:bCs w:val="0"/>
        </w:rPr>
      </w:r>
      <w:r>
        <w:rPr>
          <w:rFonts w:ascii="Times New Roman" w:hAnsi="Times New Roman" w:cs="Times New Roman" w:eastAsia="Times New Roman" w:hint="default"/>
        </w:rPr>
        <w:t>29</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3" w:right="0"/>
        <w:jc w:val="left"/>
        <w:rPr>
          <w:b w:val="0"/>
          <w:bCs w:val="0"/>
        </w:rPr>
      </w:pPr>
      <w:bookmarkStart w:name="（1）应付债券" w:id="314"/>
      <w:bookmarkEnd w:id="31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38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一般公司债券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599,248,224.96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599,248,224.96</w:t>
            </w:r>
          </w:p>
        </w:tc>
      </w:tr>
    </w:tbl>
    <w:p>
      <w:pPr>
        <w:spacing w:line="240" w:lineRule="auto" w:before="3"/>
        <w:rPr>
          <w:rFonts w:ascii="宋体" w:hAnsi="宋体" w:cs="宋体" w:eastAsia="宋体" w:hint="default"/>
          <w:sz w:val="19"/>
          <w:szCs w:val="19"/>
        </w:rPr>
      </w:pPr>
    </w:p>
    <w:p>
      <w:pPr>
        <w:pStyle w:val="Heading3"/>
        <w:spacing w:line="240" w:lineRule="auto" w:before="36"/>
        <w:ind w:left="393" w:right="0"/>
        <w:jc w:val="left"/>
        <w:rPr>
          <w:b w:val="0"/>
          <w:bCs w:val="0"/>
        </w:rPr>
      </w:pPr>
      <w:bookmarkStart w:name="（2）应付债券的增减变动（不包括划分为金融负债的优先股、永续债等其他金融工具）" w:id="315"/>
      <w:bookmarkEnd w:id="31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277"/>
        <w:gridCol w:w="566"/>
        <w:gridCol w:w="711"/>
        <w:gridCol w:w="566"/>
        <w:gridCol w:w="1229"/>
        <w:gridCol w:w="1181"/>
        <w:gridCol w:w="538"/>
        <w:gridCol w:w="1162"/>
        <w:gridCol w:w="946"/>
        <w:gridCol w:w="1181"/>
        <w:gridCol w:w="596"/>
      </w:tblGrid>
      <w:tr>
        <w:trPr>
          <w:trHeight w:val="71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78"/>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5" w:right="95"/>
              <w:jc w:val="left"/>
              <w:rPr>
                <w:rFonts w:ascii="宋体" w:hAnsi="宋体" w:cs="宋体" w:eastAsia="宋体" w:hint="default"/>
                <w:sz w:val="18"/>
                <w:szCs w:val="18"/>
              </w:rPr>
            </w:pPr>
            <w:r>
              <w:rPr>
                <w:rFonts w:ascii="宋体" w:hAnsi="宋体" w:cs="宋体" w:eastAsia="宋体" w:hint="default"/>
                <w:sz w:val="18"/>
                <w:szCs w:val="18"/>
              </w:rPr>
              <w:t>债券</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6" w:right="74"/>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发行</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5" w:right="31" w:hanging="452"/>
              <w:jc w:val="left"/>
              <w:rPr>
                <w:rFonts w:ascii="宋体" w:hAnsi="宋体" w:cs="宋体" w:eastAsia="宋体" w:hint="default"/>
                <w:sz w:val="18"/>
                <w:szCs w:val="18"/>
              </w:rPr>
            </w:pPr>
            <w:r>
              <w:rPr>
                <w:rFonts w:ascii="宋体" w:hAnsi="宋体" w:cs="宋体" w:eastAsia="宋体" w:hint="default"/>
                <w:spacing w:val="-2"/>
                <w:sz w:val="18"/>
                <w:szCs w:val="18"/>
              </w:rPr>
              <w:t>按面值计提利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息</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79" w:right="103"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本期偿还</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 w:right="11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深圳市爱施德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年公司债</w:t>
            </w:r>
            <w:r>
              <w:rPr>
                <w:rFonts w:ascii="宋体" w:hAnsi="宋体" w:cs="宋体" w:eastAsia="宋体" w:hint="default"/>
                <w:w w:val="101"/>
                <w:sz w:val="18"/>
                <w:szCs w:val="18"/>
              </w:rPr>
              <w:t> </w:t>
            </w:r>
            <w:r>
              <w:rPr>
                <w:rFonts w:ascii="宋体" w:hAnsi="宋体" w:cs="宋体" w:eastAsia="宋体" w:hint="default"/>
                <w:sz w:val="18"/>
                <w:szCs w:val="18"/>
              </w:rPr>
              <w:t>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2017/9/4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pacing w:val="-1"/>
                <w:sz w:val="18"/>
              </w:rPr>
              <w:t>600,000,000.00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599,248,224.96</w:t>
            </w:r>
          </w:p>
        </w:tc>
        <w:tc>
          <w:tcPr>
            <w:tcW w:w="53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24,219,000.00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-751,775.04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600,000,000.00</w:t>
            </w:r>
          </w:p>
        </w:tc>
        <w:tc>
          <w:tcPr>
            <w:tcW w:w="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9" w:right="0"/>
              <w:jc w:val="center"/>
              <w:rPr>
                <w:rFonts w:ascii="Times New Roman" w:hAnsi="Times New Roman" w:cs="Times New Roman" w:eastAsia="Times New Roman" w:hint="default"/>
                <w:sz w:val="18"/>
                <w:szCs w:val="18"/>
              </w:rPr>
            </w:pPr>
            <w:r>
              <w:rPr>
                <w:rFonts w:ascii="Times New Roman"/>
                <w:sz w:val="18"/>
              </w:rPr>
              <w:t>600,000,000.00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599,248,224.96</w:t>
            </w:r>
          </w:p>
        </w:tc>
        <w:tc>
          <w:tcPr>
            <w:tcW w:w="53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24,219,000.00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-751,775.04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600,000,000.00</w:t>
            </w:r>
          </w:p>
        </w:tc>
        <w:tc>
          <w:tcPr>
            <w:tcW w:w="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393" w:right="0"/>
        <w:jc w:val="left"/>
        <w:rPr>
          <w:b w:val="0"/>
          <w:bCs w:val="0"/>
        </w:rPr>
      </w:pPr>
      <w:bookmarkStart w:name="30、预计负债" w:id="316"/>
      <w:bookmarkEnd w:id="316"/>
      <w:r>
        <w:rPr>
          <w:b w:val="0"/>
          <w:bCs w:val="0"/>
        </w:rPr>
      </w:r>
      <w:r>
        <w:rPr>
          <w:rFonts w:ascii="Times New Roman" w:hAnsi="Times New Roman" w:cs="Times New Roman" w:eastAsia="Times New Roman" w:hint="default"/>
        </w:rPr>
        <w:t>30</w:t>
      </w:r>
      <w:r>
        <w:rPr/>
        <w:t>、预计负债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474" w:top="1060" w:bottom="1660" w:left="740" w:right="0"/>
        </w:sectPr>
      </w:pPr>
    </w:p>
    <w:p>
      <w:pPr>
        <w:pStyle w:val="BodyText"/>
        <w:spacing w:line="240" w:lineRule="auto" w:before="46"/>
        <w:ind w:left="393" w:right="0"/>
        <w:jc w:val="left"/>
      </w:pPr>
      <w:r>
        <w:rPr>
          <w:spacing w:val="-2"/>
        </w:rPr>
        <w:t>是否已执行新收入准则</w:t>
      </w:r>
    </w:p>
    <w:p>
      <w:pPr>
        <w:pStyle w:val="BodyText"/>
        <w:spacing w:line="240" w:lineRule="auto" w:before="119"/>
        <w:ind w:left="39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393" w:right="0"/>
        <w:jc w:val="left"/>
      </w:pPr>
      <w:r>
        <w:rPr/>
        <w:t>单位：</w:t>
      </w:r>
      <w:r>
        <w:rPr>
          <w:spacing w:val="5"/>
        </w:rPr>
        <w:t> </w:t>
      </w:r>
      <w:r>
        <w:rPr/>
        <w:t>元</w:t>
      </w:r>
    </w:p>
    <w:p>
      <w:pPr>
        <w:spacing w:after="0" w:line="240" w:lineRule="auto"/>
        <w:jc w:val="left"/>
        <w:sectPr>
          <w:type w:val="continuous"/>
          <w:pgSz w:w="11910" w:h="16840"/>
          <w:pgMar w:top="620" w:bottom="280" w:left="740" w:right="0"/>
          <w:cols w:num="2" w:equalWidth="0">
            <w:col w:w="2199" w:space="6632"/>
            <w:col w:w="2339"/>
          </w:cols>
        </w:sectPr>
      </w:pPr>
    </w:p>
    <w:p>
      <w:pPr>
        <w:spacing w:line="240" w:lineRule="auto" w:before="8"/>
        <w:rPr>
          <w:rFonts w:ascii="宋体" w:hAnsi="宋体" w:cs="宋体" w:eastAsia="宋体" w:hint="default"/>
          <w:sz w:val="7"/>
          <w:szCs w:val="7"/>
        </w:rPr>
      </w:pPr>
    </w:p>
    <w:tbl>
      <w:tblPr>
        <w:tblW w:w="0" w:type="auto"/>
        <w:jc w:val="left"/>
        <w:tblInd w:w="388" w:type="dxa"/>
        <w:tblLayout w:type="fixed"/>
        <w:tblCellMar>
          <w:top w:w="0" w:type="dxa"/>
          <w:left w:w="0" w:type="dxa"/>
          <w:bottom w:w="0" w:type="dxa"/>
          <w:right w:w="0" w:type="dxa"/>
        </w:tblCellMar>
        <w:tblLook w:val="01E0"/>
      </w:tblPr>
      <w:tblGrid>
        <w:gridCol w:w="1561"/>
        <w:gridCol w:w="1700"/>
        <w:gridCol w:w="1705"/>
        <w:gridCol w:w="4605"/>
      </w:tblGrid>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手机碎屏保证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515,409.90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1,238,454.00</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pacing w:val="-3"/>
                <w:sz w:val="18"/>
                <w:szCs w:val="18"/>
              </w:rPr>
              <w:t>因合作商中止经营，预计需支付的手机碎屏保证后续服务</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515,409.90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1,238,454.00</w:t>
            </w:r>
          </w:p>
        </w:tc>
        <w:tc>
          <w:tcPr>
            <w:tcW w:w="4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620" w:bottom="280" w:left="74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31、股本" w:id="317"/>
      <w:bookmarkEnd w:id="317"/>
      <w:r>
        <w:rPr>
          <w:b w:val="0"/>
          <w:bCs w:val="0"/>
        </w:rPr>
      </w:r>
      <w:r>
        <w:rPr>
          <w:rFonts w:ascii="Times New Roman" w:hAnsi="Times New Roman" w:cs="Times New Roman" w:eastAsia="Times New Roman" w:hint="default"/>
        </w:rPr>
        <w:t>31</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82"/>
        <w:gridCol w:w="1409"/>
        <w:gridCol w:w="1189"/>
        <w:gridCol w:w="1196"/>
        <w:gridCol w:w="1196"/>
        <w:gridCol w:w="1196"/>
        <w:gridCol w:w="1034"/>
        <w:gridCol w:w="1356"/>
      </w:tblGrid>
      <w:tr>
        <w:trPr>
          <w:trHeight w:val="207"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4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10" w:type="dxa"/>
            <w:gridSpan w:val="5"/>
            <w:vMerge/>
            <w:tcBorders>
              <w:left w:val="single" w:sz="4" w:space="0" w:color="000000"/>
              <w:bottom w:val="single" w:sz="4" w:space="0" w:color="000000"/>
              <w:right w:val="single" w:sz="4" w:space="0" w:color="000000"/>
            </w:tcBorders>
            <w:shd w:val="clear" w:color="auto" w:fill="D2D2D2"/>
          </w:tcPr>
          <w:p>
            <w:pPr/>
          </w:p>
        </w:tc>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409"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1,239,281,806.00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1,239,281,806.00</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2、资本公积" w:id="318"/>
      <w:bookmarkEnd w:id="318"/>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1,619,824,557.19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1,619,824,557.19</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1,998,171.50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209,729.87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2,207,901.37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1,621,822,728.69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209,729.87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1,622,032,458.56</w:t>
            </w:r>
          </w:p>
        </w:tc>
      </w:tr>
    </w:tbl>
    <w:p>
      <w:pPr>
        <w:pStyle w:val="BodyText"/>
        <w:spacing w:line="240" w:lineRule="auto" w:before="53"/>
        <w:ind w:right="1126"/>
        <w:jc w:val="left"/>
      </w:pPr>
      <w:r>
        <w:rPr>
          <w:spacing w:val="-3"/>
        </w:rPr>
        <w:t>其他说明：本期资本公积增加主要系购买子公司深圳金石创新科技有限公司少数股东股权导致。</w:t>
      </w:r>
    </w:p>
    <w:p>
      <w:pPr>
        <w:spacing w:line="240" w:lineRule="auto" w:before="8"/>
        <w:rPr>
          <w:rFonts w:ascii="宋体" w:hAnsi="宋体" w:cs="宋体" w:eastAsia="宋体" w:hint="default"/>
          <w:sz w:val="26"/>
          <w:szCs w:val="26"/>
        </w:rPr>
      </w:pPr>
    </w:p>
    <w:p>
      <w:pPr>
        <w:pStyle w:val="Heading3"/>
        <w:spacing w:line="240" w:lineRule="auto"/>
        <w:ind w:right="1126"/>
        <w:jc w:val="left"/>
        <w:rPr>
          <w:b w:val="0"/>
          <w:bCs w:val="0"/>
        </w:rPr>
      </w:pPr>
      <w:bookmarkStart w:name="33、其他综合收益" w:id="319"/>
      <w:bookmarkEnd w:id="319"/>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7"/>
        <w:gridCol w:w="1133"/>
        <w:gridCol w:w="994"/>
        <w:gridCol w:w="994"/>
        <w:gridCol w:w="1037"/>
        <w:gridCol w:w="855"/>
        <w:gridCol w:w="854"/>
        <w:gridCol w:w="850"/>
        <w:gridCol w:w="725"/>
      </w:tblGrid>
      <w:tr>
        <w:trPr>
          <w:trHeight w:val="398"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558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
        </w:tc>
      </w:tr>
      <w:tr>
        <w:trPr>
          <w:trHeight w:val="142" w:hRule="exact"/>
        </w:trPr>
        <w:tc>
          <w:tcPr>
            <w:tcW w:w="212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43" w:right="36"/>
              <w:jc w:val="center"/>
              <w:rPr>
                <w:rFonts w:ascii="宋体" w:hAnsi="宋体" w:cs="宋体" w:eastAsia="宋体" w:hint="default"/>
                <w:sz w:val="18"/>
                <w:szCs w:val="18"/>
              </w:rPr>
            </w:pPr>
            <w:r>
              <w:rPr>
                <w:rFonts w:ascii="宋体" w:hAnsi="宋体" w:cs="宋体" w:eastAsia="宋体" w:hint="default"/>
                <w:spacing w:val="-2"/>
                <w:sz w:val="18"/>
                <w:szCs w:val="18"/>
              </w:rPr>
              <w:t>减：前期计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入其他综合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收益当期转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入损益</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67" w:right="55"/>
              <w:jc w:val="both"/>
              <w:rPr>
                <w:rFonts w:ascii="宋体" w:hAnsi="宋体" w:cs="宋体" w:eastAsia="宋体" w:hint="default"/>
                <w:sz w:val="18"/>
                <w:szCs w:val="18"/>
              </w:rPr>
            </w:pPr>
            <w:r>
              <w:rPr>
                <w:rFonts w:ascii="宋体" w:hAnsi="宋体" w:cs="宋体" w:eastAsia="宋体" w:hint="default"/>
                <w:spacing w:val="-2"/>
                <w:sz w:val="18"/>
                <w:szCs w:val="18"/>
              </w:rPr>
              <w:t>减：前期计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入其他综合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收益当期转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入留存收益</w:t>
            </w:r>
          </w:p>
        </w:tc>
        <w:tc>
          <w:tcPr>
            <w:tcW w:w="855" w:type="dxa"/>
            <w:vMerge w:val="restart"/>
            <w:tcBorders>
              <w:top w:val="single" w:sz="4" w:space="0" w:color="000000"/>
              <w:left w:val="single" w:sz="4" w:space="0" w:color="000000"/>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17" w:space="0" w:color="FFFFFF"/>
              <w:right w:val="single" w:sz="4" w:space="0" w:color="000000"/>
            </w:tcBorders>
            <w:shd w:val="clear" w:color="auto" w:fill="D2D2D2"/>
          </w:tcPr>
          <w:p>
            <w:pPr/>
          </w:p>
        </w:tc>
        <w:tc>
          <w:tcPr>
            <w:tcW w:w="725" w:type="dxa"/>
            <w:vMerge/>
            <w:tcBorders>
              <w:left w:val="single" w:sz="4" w:space="0" w:color="000000"/>
              <w:bottom w:val="single" w:sz="17" w:space="0" w:color="FFFFFF"/>
              <w:right w:val="single" w:sz="4" w:space="0" w:color="000000"/>
            </w:tcBorders>
            <w:shd w:val="clear" w:color="auto" w:fill="D2D2D2"/>
          </w:tcPr>
          <w:p>
            <w:pPr/>
          </w:p>
        </w:tc>
      </w:tr>
      <w:tr>
        <w:trPr>
          <w:trHeight w:val="158" w:hRule="exact"/>
        </w:trPr>
        <w:tc>
          <w:tcPr>
            <w:tcW w:w="212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17" w:space="0" w:color="FFFFFF"/>
              <w:left w:val="single" w:sz="4" w:space="0" w:color="000000"/>
              <w:right w:val="single" w:sz="4" w:space="0" w:color="000000"/>
            </w:tcBorders>
            <w:shd w:val="clear" w:color="auto" w:fill="D2D2D2"/>
          </w:tcPr>
          <w:p>
            <w:pPr>
              <w:pStyle w:val="TableParagraph"/>
              <w:spacing w:line="321" w:lineRule="auto" w:before="53"/>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10"/>
              <w:ind w:left="268" w:right="7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367" w:hRule="exact"/>
        </w:trPr>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5"/>
              <w:ind w:left="130" w:right="36" w:hanging="87"/>
              <w:jc w:val="left"/>
              <w:rPr>
                <w:rFonts w:ascii="宋体" w:hAnsi="宋体" w:cs="宋体" w:eastAsia="宋体" w:hint="default"/>
                <w:sz w:val="18"/>
                <w:szCs w:val="18"/>
              </w:rPr>
            </w:pPr>
            <w:r>
              <w:rPr>
                <w:rFonts w:ascii="宋体" w:hAnsi="宋体" w:cs="宋体" w:eastAsia="宋体" w:hint="default"/>
                <w:spacing w:val="-2"/>
                <w:sz w:val="18"/>
                <w:szCs w:val="18"/>
              </w:rPr>
              <w:t>本期所得税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前发生额</w:t>
            </w:r>
          </w:p>
        </w:tc>
        <w:tc>
          <w:tcPr>
            <w:tcW w:w="994"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5"/>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5"/>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9" w:hRule="exact"/>
        </w:trPr>
        <w:tc>
          <w:tcPr>
            <w:tcW w:w="2127"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12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val="restart"/>
            <w:tcBorders>
              <w:top w:val="nil" w:sz="6" w:space="0" w:color="auto"/>
              <w:left w:val="single" w:sz="4" w:space="0" w:color="000000"/>
              <w:right w:val="single" w:sz="4" w:space="0" w:color="000000"/>
            </w:tcBorders>
            <w:shd w:val="clear" w:color="auto" w:fill="D2D2D2"/>
          </w:tcPr>
          <w:p>
            <w:pPr/>
          </w:p>
        </w:tc>
      </w:tr>
      <w:tr>
        <w:trPr>
          <w:trHeight w:val="154" w:hRule="exact"/>
        </w:trPr>
        <w:tc>
          <w:tcPr>
            <w:tcW w:w="212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6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w w:val="101"/>
                <w:sz w:val="18"/>
                <w:szCs w:val="18"/>
              </w:rPr>
              <w:t>一、不能重分类进损益的其</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他综合收益</w:t>
            </w:r>
          </w:p>
        </w:tc>
        <w:tc>
          <w:tcPr>
            <w:tcW w:w="11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-307,212,902.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-74,920,256.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-12,361,84</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2.31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-62,558,41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4.09</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-369,771</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,317.00</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10"/>
                <w:w w:val="101"/>
                <w:sz w:val="18"/>
                <w:szCs w:val="18"/>
              </w:rPr>
              <w:t>其中：其他权益工具投资公</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允价值变动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-307,212,902.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-74,920,256.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-12,361,84</w:t>
            </w:r>
          </w:p>
          <w:p>
            <w:pPr>
              <w:pStyle w:val="TableParagraph"/>
              <w:spacing w:line="240" w:lineRule="auto" w:before="110"/>
              <w:ind w:left="504" w:right="0"/>
              <w:jc w:val="left"/>
              <w:rPr>
                <w:rFonts w:ascii="Times New Roman" w:hAnsi="Times New Roman" w:cs="Times New Roman" w:eastAsia="Times New Roman" w:hint="default"/>
                <w:sz w:val="18"/>
                <w:szCs w:val="18"/>
              </w:rPr>
            </w:pPr>
            <w:r>
              <w:rPr>
                <w:rFonts w:ascii="Times New Roman"/>
                <w:sz w:val="18"/>
              </w:rPr>
              <w:t>2.31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-62,558,41</w:t>
            </w:r>
          </w:p>
          <w:p>
            <w:pPr>
              <w:pStyle w:val="TableParagraph"/>
              <w:spacing w:line="240" w:lineRule="auto" w:before="110"/>
              <w:ind w:left="503" w:right="0"/>
              <w:jc w:val="left"/>
              <w:rPr>
                <w:rFonts w:ascii="Times New Roman" w:hAnsi="Times New Roman" w:cs="Times New Roman" w:eastAsia="Times New Roman" w:hint="default"/>
                <w:sz w:val="18"/>
                <w:szCs w:val="18"/>
              </w:rPr>
            </w:pPr>
            <w:r>
              <w:rPr>
                <w:rFonts w:ascii="Times New Roman"/>
                <w:sz w:val="18"/>
              </w:rPr>
              <w:t>4.09</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-369,771</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,317.00</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w w:val="101"/>
                <w:sz w:val="18"/>
                <w:szCs w:val="18"/>
              </w:rPr>
              <w:t>二、将重分类进损益的其他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2,451,085.97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-6,490,296.7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-6,631,990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141,693.4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-4,180,9</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04.17</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w w:val="101"/>
                <w:sz w:val="18"/>
                <w:szCs w:val="18"/>
              </w:rPr>
              <w:t>其中：外币财务报表折算差</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2,451,085.97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-6,490,296.7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-6,631,990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141,693.4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-4,180,9</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04.17</w:t>
            </w:r>
          </w:p>
        </w:tc>
      </w:tr>
      <w:tr>
        <w:trPr>
          <w:trHeight w:val="71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-304,761,816.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-81,410,553.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-12,361,84</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2.31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-69,190,40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141,693.4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-373,952</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,221.17</w:t>
            </w:r>
          </w:p>
        </w:tc>
      </w:tr>
    </w:tbl>
    <w:p>
      <w:pPr>
        <w:spacing w:line="240" w:lineRule="auto" w:before="6"/>
        <w:rPr>
          <w:rFonts w:ascii="宋体" w:hAnsi="宋体" w:cs="宋体" w:eastAsia="宋体" w:hint="default"/>
          <w:sz w:val="6"/>
          <w:szCs w:val="6"/>
        </w:rPr>
      </w:pPr>
    </w:p>
    <w:p>
      <w:pPr>
        <w:pStyle w:val="BodyText"/>
        <w:spacing w:line="307" w:lineRule="auto" w:before="46"/>
        <w:ind w:right="1122" w:firstLine="360"/>
        <w:jc w:val="both"/>
      </w:pPr>
      <w:r>
        <w:rPr>
          <w:spacing w:val="-5"/>
        </w:rPr>
        <w:t>注：本公司追溯应用新金融工具准则，但对于分类和计量（含减值）涉及前期比较财务报表数据与新金融工具准则不一</w:t>
      </w:r>
      <w:r>
        <w:rPr>
          <w:w w:val="101"/>
        </w:rPr>
        <w:t> </w:t>
      </w:r>
      <w:r>
        <w:rPr>
          <w:spacing w:val="-4"/>
        </w:rPr>
        <w:t>致的，本公司选择不进行重述。因此，对于首次执行该准则的累积影响数，本公司调整</w:t>
      </w:r>
      <w:r>
        <w:rPr>
          <w:rFonts w:ascii="Times New Roman" w:hAnsi="Times New Roman" w:cs="Times New Roman" w:eastAsia="Times New Roman" w:hint="default"/>
          <w:spacing w:val="-4"/>
        </w:rPr>
        <w:t>2019</w:t>
      </w:r>
      <w:r>
        <w:rPr>
          <w:spacing w:val="-4"/>
        </w:rPr>
        <w:t>年年初留存收益或其他综合收益</w:t>
      </w:r>
      <w:r>
        <w:rPr>
          <w:spacing w:val="49"/>
        </w:rPr>
        <w:t> </w:t>
      </w:r>
      <w:r>
        <w:rPr>
          <w:spacing w:val="49"/>
        </w:rPr>
      </w:r>
      <w:r>
        <w:rPr>
          <w:spacing w:val="-3"/>
        </w:rPr>
        <w:t>以及财务报表其他相关项目金额，</w:t>
      </w:r>
      <w:r>
        <w:rPr>
          <w:rFonts w:ascii="Times New Roman" w:hAnsi="Times New Roman" w:cs="Times New Roman" w:eastAsia="Times New Roman" w:hint="default"/>
          <w:spacing w:val="-3"/>
        </w:rPr>
        <w:t>2018</w:t>
      </w:r>
      <w:r>
        <w:rPr>
          <w:spacing w:val="-3"/>
        </w:rPr>
        <w:t>年度的财务报表未予重述。期初余额与上年年末余额存在的调整情况详细见</w:t>
      </w:r>
      <w:r>
        <w:rPr>
          <w:rFonts w:ascii="Times New Roman" w:hAnsi="Times New Roman" w:cs="Times New Roman" w:eastAsia="Times New Roman" w:hint="default"/>
          <w:spacing w:val="-3"/>
        </w:rPr>
        <w:t>“</w:t>
      </w:r>
      <w:r>
        <w:rPr>
          <w:spacing w:val="-3"/>
        </w:rPr>
        <w:t>第十二 </w:t>
      </w:r>
      <w:r>
        <w:rPr>
          <w:spacing w:val="5"/>
        </w:rPr>
        <w:t> </w:t>
      </w:r>
      <w:r>
        <w:rPr>
          <w:spacing w:val="5"/>
        </w:rPr>
      </w:r>
      <w:r>
        <w:rPr/>
        <w:t>节</w:t>
      </w:r>
      <w:r>
        <w:rPr>
          <w:spacing w:val="49"/>
        </w:rPr>
        <w:t> </w:t>
      </w:r>
      <w:r>
        <w:rPr>
          <w:spacing w:val="-3"/>
        </w:rPr>
        <w:t>、五、</w:t>
      </w:r>
      <w:r>
        <w:rPr>
          <w:rFonts w:ascii="Times New Roman" w:hAnsi="Times New Roman" w:cs="Times New Roman" w:eastAsia="Times New Roman" w:hint="default"/>
          <w:spacing w:val="-3"/>
        </w:rPr>
        <w:t>29</w:t>
      </w:r>
      <w:r>
        <w:rPr>
          <w:spacing w:val="-3"/>
        </w:rPr>
        <w:t>、重要会计政策及会计估计变更</w:t>
      </w:r>
      <w:r>
        <w:rPr>
          <w:rFonts w:ascii="Times New Roman" w:hAnsi="Times New Roman" w:cs="Times New Roman" w:eastAsia="Times New Roman" w:hint="default"/>
          <w:spacing w:val="-3"/>
        </w:rPr>
        <w:t>”</w:t>
      </w:r>
      <w:r>
        <w:rPr>
          <w:spacing w:val="-3"/>
        </w:rPr>
        <w:t>。</w:t>
      </w:r>
    </w:p>
    <w:p>
      <w:pPr>
        <w:spacing w:after="0" w:line="307" w:lineRule="auto"/>
        <w:jc w:val="both"/>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34、盈余公积" w:id="320"/>
      <w:bookmarkEnd w:id="320"/>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264,724,184.43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9,446,388.73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274,170,573.16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264,724,184.43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9,446,388.73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274,170,573.16</w:t>
            </w:r>
          </w:p>
        </w:tc>
      </w:tr>
    </w:tbl>
    <w:p>
      <w:pPr>
        <w:pStyle w:val="BodyText"/>
        <w:spacing w:line="240" w:lineRule="auto" w:before="53"/>
        <w:ind w:right="1126"/>
        <w:jc w:val="left"/>
      </w:pPr>
      <w:r>
        <w:rPr>
          <w:spacing w:val="-3"/>
        </w:rPr>
        <w:t>盈余公积说明，包括本期增减变动情况、变动原因说明：</w:t>
      </w:r>
    </w:p>
    <w:p>
      <w:pPr>
        <w:pStyle w:val="BodyText"/>
        <w:spacing w:line="300" w:lineRule="auto" w:before="115"/>
        <w:ind w:right="1126" w:firstLine="422"/>
        <w:jc w:val="left"/>
      </w:pPr>
      <w:r>
        <w:rPr>
          <w:spacing w:val="-3"/>
        </w:rPr>
        <w:t>根据《公司法》、公司章程的规定，本公司按净利润的</w:t>
      </w:r>
      <w:r>
        <w:rPr>
          <w:spacing w:val="16"/>
        </w:rPr>
        <w:t> </w:t>
      </w:r>
      <w:r>
        <w:rPr>
          <w:rFonts w:ascii="Times New Roman" w:hAnsi="Times New Roman" w:cs="Times New Roman" w:eastAsia="Times New Roman" w:hint="default"/>
          <w:spacing w:val="-3"/>
        </w:rPr>
        <w:t>10%</w:t>
      </w:r>
      <w:r>
        <w:rPr>
          <w:spacing w:val="-3"/>
        </w:rPr>
        <w:t>提取法定盈余公积。法定盈余公积累计额达到本公司注册</w:t>
      </w:r>
      <w:r>
        <w:rPr>
          <w:w w:val="101"/>
        </w:rPr>
        <w:t> </w:t>
      </w:r>
      <w:r>
        <w:rPr/>
        <w:t>资本</w:t>
      </w:r>
      <w:r>
        <w:rPr>
          <w:spacing w:val="20"/>
        </w:rPr>
        <w:t> </w:t>
      </w:r>
      <w:r>
        <w:rPr>
          <w:rFonts w:ascii="Times New Roman" w:hAnsi="Times New Roman" w:cs="Times New Roman" w:eastAsia="Times New Roman" w:hint="default"/>
          <w:spacing w:val="-3"/>
        </w:rPr>
        <w:t>50%</w:t>
      </w:r>
      <w:r>
        <w:rPr>
          <w:spacing w:val="-3"/>
        </w:rPr>
        <w:t>以上的，不再提取。</w:t>
      </w:r>
    </w:p>
    <w:p>
      <w:pPr>
        <w:pStyle w:val="BodyText"/>
        <w:spacing w:line="316" w:lineRule="auto" w:before="13"/>
        <w:ind w:right="1126" w:firstLine="422"/>
        <w:jc w:val="left"/>
      </w:pPr>
      <w:r>
        <w:rPr>
          <w:spacing w:val="-2"/>
        </w:rPr>
        <w:t>本公司在提取法定盈余公积金后，可提取任意盈余公积金。经批准，任意盈余公积金可用于弥补以前年度亏损或增加</w:t>
      </w:r>
      <w:r>
        <w:rPr>
          <w:w w:val="101"/>
        </w:rPr>
        <w:t> </w:t>
      </w:r>
      <w:r>
        <w:rPr/>
        <w:t>股本。</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35、 一般风险准备金" w:id="321"/>
      <w:bookmarkEnd w:id="321"/>
      <w:r>
        <w:rPr>
          <w:b w:val="0"/>
          <w:bCs w:val="0"/>
        </w:rPr>
      </w:r>
      <w:r>
        <w:rPr>
          <w:rFonts w:ascii="Times New Roman" w:hAnsi="Times New Roman" w:cs="Times New Roman" w:eastAsia="Times New Roman" w:hint="default"/>
        </w:rPr>
        <w:t>35</w:t>
      </w:r>
      <w:r>
        <w:rPr/>
        <w:t>、</w:t>
      </w:r>
      <w:r>
        <w:rPr>
          <w:spacing w:val="3"/>
        </w:rPr>
        <w:t> </w:t>
      </w:r>
      <w:r>
        <w:rPr/>
        <w:t>一般风险准备金</w:t>
      </w:r>
      <w:r>
        <w:rPr>
          <w:b w:val="0"/>
          <w:bCs w:val="0"/>
        </w:rPr>
      </w:r>
    </w:p>
    <w:p>
      <w:pPr>
        <w:spacing w:line="240" w:lineRule="auto" w:before="7"/>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075"/>
        <w:gridCol w:w="1978"/>
        <w:gridCol w:w="1978"/>
        <w:gridCol w:w="1978"/>
        <w:gridCol w:w="1652"/>
      </w:tblGrid>
      <w:tr>
        <w:trPr>
          <w:trHeight w:val="331" w:hRule="exact"/>
        </w:trPr>
        <w:tc>
          <w:tcPr>
            <w:tcW w:w="2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right="848"/>
              <w:jc w:val="right"/>
              <w:rPr>
                <w:rFonts w:ascii="宋体" w:hAnsi="宋体" w:cs="宋体" w:eastAsia="宋体" w:hint="default"/>
                <w:sz w:val="18"/>
                <w:szCs w:val="18"/>
              </w:rPr>
            </w:pPr>
            <w:r>
              <w:rPr>
                <w:rFonts w:ascii="宋体" w:hAnsi="宋体" w:cs="宋体" w:eastAsia="宋体" w:hint="default"/>
                <w:sz w:val="18"/>
                <w:szCs w:val="18"/>
              </w:rPr>
              <w:t>项目</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62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629"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6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46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95"/>
              <w:jc w:val="right"/>
              <w:rPr>
                <w:rFonts w:ascii="宋体" w:hAnsi="宋体" w:cs="宋体" w:eastAsia="宋体" w:hint="default"/>
                <w:sz w:val="18"/>
                <w:szCs w:val="18"/>
              </w:rPr>
            </w:pPr>
            <w:r>
              <w:rPr>
                <w:rFonts w:ascii="宋体" w:hAnsi="宋体" w:cs="宋体" w:eastAsia="宋体" w:hint="default"/>
                <w:spacing w:val="-3"/>
                <w:sz w:val="18"/>
                <w:szCs w:val="18"/>
              </w:rPr>
              <w:t>一般风险准备金</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4"/>
              <w:jc w:val="right"/>
              <w:rPr>
                <w:rFonts w:ascii="Times New Roman" w:hAnsi="Times New Roman" w:cs="Times New Roman" w:eastAsia="Times New Roman" w:hint="default"/>
                <w:sz w:val="18"/>
                <w:szCs w:val="18"/>
              </w:rPr>
            </w:pPr>
            <w:r>
              <w:rPr>
                <w:rFonts w:ascii="Times New Roman"/>
                <w:spacing w:val="-1"/>
                <w:sz w:val="18"/>
              </w:rPr>
              <w:t>16,782,143.96</w:t>
            </w:r>
          </w:p>
        </w:tc>
        <w:tc>
          <w:tcPr>
            <w:tcW w:w="1978"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1,490,776.76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15,291,367.20</w:t>
            </w:r>
          </w:p>
        </w:tc>
      </w:tr>
      <w:tr>
        <w:trPr>
          <w:trHeight w:val="341" w:hRule="exact"/>
        </w:trPr>
        <w:tc>
          <w:tcPr>
            <w:tcW w:w="2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848"/>
              <w:jc w:val="right"/>
              <w:rPr>
                <w:rFonts w:ascii="宋体" w:hAnsi="宋体" w:cs="宋体" w:eastAsia="宋体" w:hint="default"/>
                <w:sz w:val="18"/>
                <w:szCs w:val="18"/>
              </w:rPr>
            </w:pPr>
            <w:r>
              <w:rPr>
                <w:rFonts w:ascii="宋体" w:hAnsi="宋体" w:cs="宋体" w:eastAsia="宋体" w:hint="default"/>
                <w:sz w:val="18"/>
                <w:szCs w:val="18"/>
              </w:rPr>
              <w:t>合计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16,782,143.96</w:t>
            </w:r>
          </w:p>
        </w:tc>
        <w:tc>
          <w:tcPr>
            <w:tcW w:w="1978"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1,490,776.76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15,291,367.20</w:t>
            </w:r>
          </w:p>
        </w:tc>
      </w:tr>
    </w:tbl>
    <w:p>
      <w:pPr>
        <w:pStyle w:val="BodyText"/>
        <w:spacing w:line="269" w:lineRule="exact"/>
        <w:ind w:left="575" w:right="1126"/>
        <w:jc w:val="left"/>
        <w:rPr>
          <w:sz w:val="21"/>
          <w:szCs w:val="21"/>
        </w:rPr>
      </w:pPr>
      <w:r>
        <w:rPr>
          <w:spacing w:val="-3"/>
        </w:rPr>
        <w:t>注：一般风险准备金本年增加系根据公司会计政策不低于风险资产期末余额的</w:t>
      </w:r>
      <w:r>
        <w:rPr>
          <w:spacing w:val="80"/>
        </w:rPr>
        <w:t> </w:t>
      </w:r>
      <w:r>
        <w:rPr>
          <w:rFonts w:ascii="Times New Roman" w:hAnsi="Times New Roman" w:cs="Times New Roman" w:eastAsia="Times New Roman" w:hint="default"/>
        </w:rPr>
        <w:t>1.5%</w:t>
      </w:r>
      <w:r>
        <w:rPr/>
        <w:t>计提</w:t>
      </w:r>
      <w:r>
        <w:rPr>
          <w:sz w:val="21"/>
          <w:szCs w:val="21"/>
        </w:rPr>
        <w:t>。</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36、未分配利润" w:id="322"/>
      <w:bookmarkEnd w:id="322"/>
      <w:r>
        <w:rPr>
          <w:b w:val="0"/>
          <w:bCs w:val="0"/>
        </w:rPr>
      </w:r>
      <w:r>
        <w:rPr>
          <w:rFonts w:ascii="Times New Roman" w:hAnsi="Times New Roman" w:cs="Times New Roman" w:eastAsia="Times New Roman" w:hint="default"/>
        </w:rPr>
        <w:t>36</w:t>
      </w:r>
      <w:r>
        <w:rPr/>
        <w:t>、未分配利润</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9"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1,776,746,860.02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2,095,944,239.39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313,168,882.89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2,089,915,742.91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2,095,944,239.39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343,682,499.84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-92,720,082.99</w:t>
            </w:r>
          </w:p>
        </w:tc>
      </w:tr>
      <w:tr>
        <w:trPr>
          <w:trHeight w:val="399"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9,446,388.73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17,881,062.23</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-1,490,776.76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2,049,266.35</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247,856,361.20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206,546,967.80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2,177,786,269.58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1,776,746,860.02</w:t>
            </w:r>
          </w:p>
        </w:tc>
      </w:tr>
    </w:tbl>
    <w:p>
      <w:pPr>
        <w:pStyle w:val="BodyText"/>
        <w:spacing w:line="240" w:lineRule="auto" w:before="54"/>
        <w:ind w:right="1126"/>
        <w:jc w:val="left"/>
      </w:pPr>
      <w:r>
        <w:rPr>
          <w:spacing w:val="-3"/>
        </w:rPr>
        <w:t>调整期初未分配利润明细：由于会计政策变更，影响期初未分配利润 </w:t>
      </w:r>
      <w:r>
        <w:rPr>
          <w:rFonts w:ascii="Times New Roman" w:hAnsi="Times New Roman" w:cs="Times New Roman" w:eastAsia="Times New Roman" w:hint="default"/>
        </w:rPr>
        <w:t>313,168,882.89 </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37、营业总收入和营业成本" w:id="323"/>
      <w:bookmarkEnd w:id="323"/>
      <w:r>
        <w:rPr>
          <w:b w:val="0"/>
          <w:bCs w:val="0"/>
        </w:rPr>
      </w:r>
      <w:r>
        <w:rPr>
          <w:rFonts w:ascii="Times New Roman" w:hAnsi="Times New Roman" w:cs="Times New Roman" w:eastAsia="Times New Roman" w:hint="default"/>
        </w:rPr>
        <w:t>37</w:t>
      </w:r>
      <w:r>
        <w:rPr/>
        <w:t>、营业总收入和营业成本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9"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55,882,587,494.10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54,197,626,264.44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56,915,960,617.96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55,300,165,369.21</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86,735,118.93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9,508,846.54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67,831,357.86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16,431,669.97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55,969,322,613.03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54,207,135,110.98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56,983,791,975.82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55,316,597,039.18</w:t>
            </w:r>
          </w:p>
        </w:tc>
      </w:tr>
    </w:tbl>
    <w:p>
      <w:pPr>
        <w:pStyle w:val="BodyText"/>
        <w:spacing w:line="240" w:lineRule="auto" w:before="53"/>
        <w:ind w:right="1126"/>
        <w:jc w:val="left"/>
      </w:pPr>
      <w:r>
        <w:rPr/>
        <w:t>是否已执行新收入准则</w:t>
      </w:r>
    </w:p>
    <w:p>
      <w:pPr>
        <w:pStyle w:val="BodyText"/>
        <w:spacing w:line="338" w:lineRule="auto" w:before="119"/>
        <w:ind w:right="98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w:t>
      </w:r>
      <w:r>
        <w:rPr>
          <w:w w:val="101"/>
        </w:rPr>
        <w:t> </w:t>
      </w:r>
      <w:r>
        <w:rPr>
          <w:spacing w:val="-2"/>
        </w:rPr>
        <w:t>其他说明：</w:t>
      </w:r>
    </w:p>
    <w:p>
      <w:pPr>
        <w:pStyle w:val="BodyText"/>
        <w:spacing w:line="240" w:lineRule="auto" w:before="46"/>
        <w:ind w:right="1126"/>
        <w:jc w:val="left"/>
      </w:pPr>
      <w:r>
        <w:rPr>
          <w:spacing w:val="-3"/>
        </w:rPr>
        <w:t>公司的营业总收入包含主营业务和其他业务产生的收入，其中，主营业务中的利息收入为发放贷款利息收入：</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458"/>
        <w:gridCol w:w="3193"/>
        <w:gridCol w:w="3011"/>
      </w:tblGrid>
      <w:tr>
        <w:trPr>
          <w:trHeight w:val="332" w:hRule="exact"/>
        </w:trPr>
        <w:tc>
          <w:tcPr>
            <w:tcW w:w="3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3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172,691,657.40</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176,284,909.23</w:t>
            </w:r>
          </w:p>
        </w:tc>
      </w:tr>
      <w:tr>
        <w:trPr>
          <w:trHeight w:val="346" w:hRule="exact"/>
        </w:trPr>
        <w:tc>
          <w:tcPr>
            <w:tcW w:w="3458" w:type="dxa"/>
            <w:tcBorders>
              <w:top w:val="single" w:sz="8" w:space="0" w:color="000000"/>
              <w:left w:val="single" w:sz="4" w:space="0" w:color="000000"/>
              <w:bottom w:val="single" w:sz="4" w:space="0" w:color="D9D9D9"/>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其中：发放贷款利息收入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172,691,657.40</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175,995,165.59</w:t>
            </w:r>
          </w:p>
        </w:tc>
      </w:tr>
      <w:tr>
        <w:trPr>
          <w:trHeight w:val="341" w:hRule="exact"/>
        </w:trPr>
        <w:tc>
          <w:tcPr>
            <w:tcW w:w="3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172,691,657.40</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176,284,909.23</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8、税金及附加" w:id="324"/>
      <w:bookmarkEnd w:id="324"/>
      <w:r>
        <w:rPr>
          <w:b w:val="0"/>
          <w:bCs w:val="0"/>
        </w:rPr>
      </w:r>
      <w:r>
        <w:rPr>
          <w:rFonts w:ascii="Times New Roman" w:hAnsi="Times New Roman" w:cs="Times New Roman" w:eastAsia="Times New Roman" w:hint="default"/>
        </w:rPr>
        <w:t>38</w:t>
      </w:r>
      <w:r>
        <w:rPr/>
        <w:t>、税金及附加</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13,949,504.34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14,074,950.11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10,066,517.15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10,109,724.74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135,204.92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126,651.43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26,619,871.20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17,664,582.87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52,969.77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143,602.16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50,824,067.38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42,119,511.31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9、销售费用" w:id="325"/>
      <w:bookmarkEnd w:id="325"/>
      <w:r>
        <w:rPr>
          <w:b w:val="0"/>
          <w:bCs w:val="0"/>
        </w:rPr>
      </w:r>
      <w:r>
        <w:rPr>
          <w:rFonts w:ascii="Times New Roman" w:hAnsi="Times New Roman" w:cs="Times New Roman" w:eastAsia="Times New Roman" w:hint="default"/>
        </w:rPr>
        <w:t>39</w:t>
      </w:r>
      <w:r>
        <w:rPr/>
        <w:t>、销售费用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人力成本费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210,942,185.69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229,830,605.04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劳务佣金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88,884,650.35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141,188,704.59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商品物流费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87,082,806.30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66,826,795.69</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50,781,899.90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30,451,542.58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43,660,923.20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68,853,551.16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代销服务费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43,444,482.15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17,256,811.98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42,189,894.81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37,533,157.51</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24,918,652.72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26,683,528.16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导购员管理费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13,815,524.46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16,147,293.56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13,048,767.34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21,969,300.36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11,296,440.24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16,822,530.40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商品维修费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1,060,192.69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2,402,827.68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54,893,589.13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53,371,408.54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686,020,008.98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729,338,057.25</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0、管理费用" w:id="326"/>
      <w:bookmarkEnd w:id="326"/>
      <w:r>
        <w:rPr>
          <w:b w:val="0"/>
          <w:bCs w:val="0"/>
        </w:rPr>
      </w:r>
      <w:r>
        <w:rPr>
          <w:rFonts w:ascii="Times New Roman" w:hAnsi="Times New Roman" w:cs="Times New Roman" w:eastAsia="Times New Roman" w:hint="default"/>
        </w:rPr>
        <w:t>40</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人力成本费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140,310,750.02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140,105,916.01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18,071,974.67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16,968,811.40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16,872,630.71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14,781,328.57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摊销计提费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8,724,171.48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10,942,155.30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网络信息费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6,173,623.53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11,051,123.93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5,462,326.53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2,428,531.05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5,375,034.51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5,629,457.32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税费及政府规费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1,426,126.79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1,351,670.06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23,265,880.50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17,518,643.99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225,682,518.74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220,777,637.63</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1、研发费用" w:id="327"/>
      <w:bookmarkEnd w:id="327"/>
      <w:r>
        <w:rPr>
          <w:b w:val="0"/>
          <w:bCs w:val="0"/>
        </w:rPr>
      </w:r>
      <w:r>
        <w:rPr>
          <w:rFonts w:ascii="Times New Roman" w:hAnsi="Times New Roman" w:cs="Times New Roman" w:eastAsia="Times New Roman" w:hint="default"/>
        </w:rPr>
        <w:t>41</w:t>
      </w:r>
      <w:r>
        <w:rPr/>
        <w:t>、研发费用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人力成本费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9,667,610.26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10,880,707.31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摊销计提费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1,427,098.47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1,367,795.85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项目测试费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2,500,653.78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64,425.04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68,916.34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13,659,787.55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12,317,419.50</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2、财务费用" w:id="328"/>
      <w:bookmarkEnd w:id="328"/>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174,204,402.90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260,021,275.22</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34,177,114.40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51,677,810.32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-16,183,869.17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74,256.34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30,391,949.60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32,464,252.11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154,235,368.93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240,881,973.35</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3、其他收益" w:id="329"/>
      <w:bookmarkEnd w:id="329"/>
      <w:r>
        <w:rPr>
          <w:b w:val="0"/>
          <w:bCs w:val="0"/>
        </w:rPr>
      </w:r>
      <w:r>
        <w:rPr>
          <w:rFonts w:ascii="Times New Roman" w:hAnsi="Times New Roman" w:cs="Times New Roman" w:eastAsia="Times New Roman" w:hint="default"/>
        </w:rPr>
        <w:t>43</w:t>
      </w:r>
      <w:r>
        <w:rPr/>
        <w:t>、其他收益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年福田区促批发零售业增长激励方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规模奖励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433,208.59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电子商务示范企业基地支持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财政专项资金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信息化建设扶持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6,048,500.00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福田区产业发展专项资金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商业增长支持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平台建设项目类补助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加计抵减补助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619,876.71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转售专项补助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研究开发类补助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高新区第三批企业研究开发补助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2,278,000.00</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sz w:val="18"/>
                <w:szCs w:val="18"/>
              </w:rPr>
              <w:t>福田区统计局</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年第四季度重点零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售季度增长补贴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现代服务业季度增长支持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年第三批电子商务发展专项资金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年研究开发第二批资助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社保稳岗补贴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65,854.38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98,886.59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92,504.34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57,588.29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年国家高新补贴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42,653.96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12,520,497.98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5,094,474.88</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4、投资收益" w:id="330"/>
      <w:bookmarkEnd w:id="330"/>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-26,393,338.97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-214,258.50</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26,758,800.03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38,119,024.78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7,536,236.50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1,490,841.04</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处置交易性金融负债取得的投资收益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-2,272,000.00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12,941,863.12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18,108,710.19</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-2,741,105.06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1"/>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金融资产在持有期间的投资收益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41,556.34</w:t>
            </w:r>
          </w:p>
        </w:tc>
      </w:tr>
      <w:tr>
        <w:trPr>
          <w:trHeight w:val="71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1"/>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处置以公允价值计量且其变动计入当期损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益的金融资产取得的投资收益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29,602,400.84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46,413,243.90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56,565,486.41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5、公允价值变动收益" w:id="331"/>
      <w:bookmarkEnd w:id="331"/>
      <w:r>
        <w:rPr>
          <w:b w:val="0"/>
          <w:bCs w:val="0"/>
        </w:rPr>
      </w:r>
      <w:r>
        <w:rPr>
          <w:rFonts w:ascii="Times New Roman" w:hAnsi="Times New Roman" w:cs="Times New Roman" w:eastAsia="Times New Roman" w:hint="default"/>
        </w:rPr>
        <w:t>45</w:t>
      </w:r>
      <w:r>
        <w:rPr/>
        <w:t>、公允价值变动收益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434,475.73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-8,446,602.00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-6,204,660.75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-8,012,126.27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-6,204,660.75</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6、信用减值损失" w:id="332"/>
      <w:bookmarkEnd w:id="332"/>
      <w:r>
        <w:rPr>
          <w:b w:val="0"/>
          <w:bCs w:val="0"/>
        </w:rPr>
      </w:r>
      <w:r>
        <w:rPr>
          <w:rFonts w:ascii="Times New Roman" w:hAnsi="Times New Roman" w:cs="Times New Roman" w:eastAsia="Times New Roman" w:hint="default"/>
        </w:rPr>
        <w:t>46</w:t>
      </w:r>
      <w:r>
        <w:rPr/>
        <w:t>、信用减值损失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-31,605,780.63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-39,887,579.43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贷款信用减值损失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-117,563,215.73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应收利息坏账损失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-1,164,617.82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-190,221,193.61</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7、资产减值损失" w:id="333"/>
      <w:bookmarkEnd w:id="333"/>
      <w:r>
        <w:rPr>
          <w:b w:val="0"/>
          <w:bCs w:val="0"/>
        </w:rPr>
      </w:r>
      <w:r>
        <w:rPr>
          <w:rFonts w:ascii="Times New Roman" w:hAnsi="Times New Roman" w:cs="Times New Roman" w:eastAsia="Times New Roman" w:hint="default"/>
        </w:rPr>
        <w:t>47</w:t>
      </w:r>
      <w:r>
        <w:rPr/>
        <w:t>、资产减值损失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6"/>
        <w:jc w:val="left"/>
      </w:pPr>
      <w:r>
        <w:rPr/>
        <w:t>是否已执行新收入准则</w:t>
      </w:r>
    </w:p>
    <w:p>
      <w:pPr>
        <w:spacing w:after="0" w:line="240" w:lineRule="auto"/>
        <w:jc w:val="left"/>
        <w:sectPr>
          <w:pgSz w:w="11910" w:h="16840"/>
          <w:pgMar w:header="871" w:footer="1474" w:top="1060" w:bottom="16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-27,008,835.83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-109,896,222.10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-94,708,333.17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-413,408,644.20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-109,896,222.10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-535,125,813.20</w:t>
            </w:r>
          </w:p>
        </w:tc>
      </w:tr>
    </w:tbl>
    <w:p>
      <w:pPr>
        <w:pStyle w:val="BodyText"/>
        <w:spacing w:line="240" w:lineRule="auto" w:before="54"/>
        <w:ind w:right="1126"/>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1126"/>
        <w:jc w:val="left"/>
        <w:rPr>
          <w:b w:val="0"/>
          <w:bCs w:val="0"/>
        </w:rPr>
      </w:pPr>
      <w:bookmarkStart w:name="48、资产处置收益" w:id="334"/>
      <w:bookmarkEnd w:id="334"/>
      <w:r>
        <w:rPr>
          <w:b w:val="0"/>
          <w:bCs w:val="0"/>
        </w:rPr>
      </w:r>
      <w:r>
        <w:rPr>
          <w:rFonts w:ascii="Times New Roman" w:hAnsi="Times New Roman" w:cs="Times New Roman" w:eastAsia="Times New Roman" w:hint="default"/>
        </w:rPr>
        <w:t>48</w:t>
      </w:r>
      <w:r>
        <w:rPr/>
        <w:t>、资产处置收益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固定资产处置利得（损失以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82,497.53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-58,916.32</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9、营业外收入" w:id="335"/>
      <w:bookmarkEnd w:id="335"/>
      <w:r>
        <w:rPr>
          <w:b w:val="0"/>
          <w:bCs w:val="0"/>
        </w:rPr>
      </w:r>
      <w:r>
        <w:rPr>
          <w:rFonts w:ascii="Times New Roman" w:hAnsi="Times New Roman" w:cs="Times New Roman" w:eastAsia="Times New Roman" w:hint="default"/>
        </w:rPr>
        <w:t>49</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7,192,143.99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26,427,909.69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7,192,143.99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5,075.52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51,031.51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5,075.52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2,839,827.82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1,543,178.24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2,839,827.82</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480,198.23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480,198.23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4,705,275.00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4,195,950.05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4,705,275.00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15,222,520.56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32,918,069.49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15,222,520.56</w:t>
            </w:r>
          </w:p>
        </w:tc>
      </w:tr>
    </w:tbl>
    <w:p>
      <w:pPr>
        <w:pStyle w:val="BodyText"/>
        <w:spacing w:line="240" w:lineRule="auto" w:before="53"/>
        <w:ind w:right="1126"/>
        <w:jc w:val="left"/>
      </w:pPr>
      <w:r>
        <w:rPr>
          <w:spacing w:val="-3"/>
        </w:rPr>
        <w:t>计入当期损益的政府补助：</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566"/>
        <w:gridCol w:w="1561"/>
        <w:gridCol w:w="1066"/>
        <w:gridCol w:w="778"/>
        <w:gridCol w:w="1133"/>
        <w:gridCol w:w="1277"/>
        <w:gridCol w:w="1066"/>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6" w:right="95"/>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86"/>
                <w:sz w:val="18"/>
                <w:szCs w:val="18"/>
              </w:rPr>
              <w:t> </w:t>
            </w:r>
            <w:r>
              <w:rPr>
                <w:rFonts w:ascii="宋体" w:hAnsi="宋体" w:cs="宋体" w:eastAsia="宋体" w:hint="default"/>
                <w:sz w:val="18"/>
                <w:szCs w:val="18"/>
              </w:rPr>
              <w:t>原因</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6" w:right="17" w:hanging="183"/>
              <w:jc w:val="left"/>
              <w:rPr>
                <w:rFonts w:ascii="宋体" w:hAnsi="宋体" w:cs="宋体" w:eastAsia="宋体" w:hint="default"/>
                <w:sz w:val="18"/>
                <w:szCs w:val="18"/>
              </w:rPr>
            </w:pPr>
            <w:r>
              <w:rPr>
                <w:rFonts w:ascii="宋体" w:hAnsi="宋体" w:cs="宋体" w:eastAsia="宋体" w:hint="default"/>
                <w:sz w:val="18"/>
                <w:szCs w:val="18"/>
              </w:rPr>
              <w:t>是否特殊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5" w:right="104"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33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0"/>
              <w:jc w:val="both"/>
              <w:rPr>
                <w:rFonts w:ascii="宋体" w:hAnsi="宋体" w:cs="宋体" w:eastAsia="宋体" w:hint="default"/>
                <w:sz w:val="18"/>
                <w:szCs w:val="18"/>
              </w:rPr>
            </w:pPr>
            <w:r>
              <w:rPr>
                <w:rFonts w:ascii="宋体" w:hAnsi="宋体" w:cs="宋体" w:eastAsia="宋体" w:hint="default"/>
                <w:spacing w:val="-2"/>
                <w:sz w:val="18"/>
                <w:szCs w:val="18"/>
              </w:rPr>
              <w:t>因符合地方政府招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商引资等地方性扶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持政策而获得的补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6,951,080.48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22,870,671.74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深圳市福田区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现代服务业发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展支持奖励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80"/>
              <w:jc w:val="both"/>
              <w:rPr>
                <w:rFonts w:ascii="宋体" w:hAnsi="宋体" w:cs="宋体" w:eastAsia="宋体" w:hint="default"/>
                <w:sz w:val="18"/>
                <w:szCs w:val="18"/>
              </w:rPr>
            </w:pPr>
            <w:r>
              <w:rPr>
                <w:rFonts w:ascii="宋体" w:hAnsi="宋体" w:cs="宋体" w:eastAsia="宋体" w:hint="default"/>
                <w:spacing w:val="-2"/>
                <w:sz w:val="18"/>
                <w:szCs w:val="18"/>
              </w:rPr>
              <w:t>因符合地方政府招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商引资等地方性扶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持政策而获得的补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850"/>
        <w:gridCol w:w="566"/>
        <w:gridCol w:w="1561"/>
        <w:gridCol w:w="1066"/>
        <w:gridCol w:w="778"/>
        <w:gridCol w:w="1133"/>
        <w:gridCol w:w="1277"/>
        <w:gridCol w:w="1066"/>
      </w:tblGrid>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深圳市福田区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企业发展服务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中心补贴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0"/>
              <w:jc w:val="both"/>
              <w:rPr>
                <w:rFonts w:ascii="宋体" w:hAnsi="宋体" w:cs="宋体" w:eastAsia="宋体" w:hint="default"/>
                <w:sz w:val="18"/>
                <w:szCs w:val="18"/>
              </w:rPr>
            </w:pPr>
            <w:r>
              <w:rPr>
                <w:rFonts w:ascii="宋体" w:hAnsi="宋体" w:cs="宋体" w:eastAsia="宋体" w:hint="default"/>
                <w:spacing w:val="-2"/>
                <w:sz w:val="18"/>
                <w:szCs w:val="18"/>
              </w:rPr>
              <w:t>因符合地方政府招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商引资等地方性扶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持政策而获得的补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福田区国库连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锁商业企业支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持款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0"/>
              <w:jc w:val="both"/>
              <w:rPr>
                <w:rFonts w:ascii="宋体" w:hAnsi="宋体" w:cs="宋体" w:eastAsia="宋体" w:hint="default"/>
                <w:sz w:val="18"/>
                <w:szCs w:val="18"/>
              </w:rPr>
            </w:pPr>
            <w:r>
              <w:rPr>
                <w:rFonts w:ascii="宋体" w:hAnsi="宋体" w:cs="宋体" w:eastAsia="宋体" w:hint="default"/>
                <w:spacing w:val="-2"/>
                <w:sz w:val="18"/>
                <w:szCs w:val="18"/>
              </w:rPr>
              <w:t>因符合地方政府招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商引资等地方性扶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持政策而获得的补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现代服务业连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锁商业企业认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定支持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80"/>
              <w:jc w:val="both"/>
              <w:rPr>
                <w:rFonts w:ascii="宋体" w:hAnsi="宋体" w:cs="宋体" w:eastAsia="宋体" w:hint="default"/>
                <w:sz w:val="18"/>
                <w:szCs w:val="18"/>
              </w:rPr>
            </w:pPr>
            <w:r>
              <w:rPr>
                <w:rFonts w:ascii="宋体" w:hAnsi="宋体" w:cs="宋体" w:eastAsia="宋体" w:hint="default"/>
                <w:spacing w:val="-2"/>
                <w:sz w:val="18"/>
                <w:szCs w:val="18"/>
              </w:rPr>
              <w:t>因符合地方政府招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商引资等地方性扶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持政策而获得的补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历下区商贸流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通业发展引导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0"/>
              <w:jc w:val="both"/>
              <w:rPr>
                <w:rFonts w:ascii="宋体" w:hAnsi="宋体" w:cs="宋体" w:eastAsia="宋体" w:hint="default"/>
                <w:sz w:val="18"/>
                <w:szCs w:val="18"/>
              </w:rPr>
            </w:pPr>
            <w:r>
              <w:rPr>
                <w:rFonts w:ascii="宋体" w:hAnsi="宋体" w:cs="宋体" w:eastAsia="宋体" w:hint="default"/>
                <w:spacing w:val="-2"/>
                <w:sz w:val="18"/>
                <w:szCs w:val="18"/>
              </w:rPr>
              <w:t>因符合地方政府招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商引资等地方性扶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持政策而获得的补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政府部门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0"/>
              <w:jc w:val="both"/>
              <w:rPr>
                <w:rFonts w:ascii="宋体" w:hAnsi="宋体" w:cs="宋体" w:eastAsia="宋体" w:hint="default"/>
                <w:sz w:val="18"/>
                <w:szCs w:val="18"/>
              </w:rPr>
            </w:pPr>
            <w:r>
              <w:rPr>
                <w:rFonts w:ascii="宋体" w:hAnsi="宋体" w:cs="宋体" w:eastAsia="宋体" w:hint="default"/>
                <w:spacing w:val="-2"/>
                <w:sz w:val="18"/>
                <w:szCs w:val="18"/>
              </w:rPr>
              <w:t>因符合地方政府招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商引资等地方性扶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持政策而获得的补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21,063.51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157,237.95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6098"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
                <w:sz w:val="18"/>
                <w:szCs w:val="18"/>
              </w:rPr>
              <w:t> </w:t>
            </w:r>
            <w:r>
              <w:rPr>
                <w:rFonts w:ascii="宋体" w:hAnsi="宋体" w:cs="宋体" w:eastAsia="宋体" w:hint="default"/>
                <w:sz w:val="18"/>
                <w:szCs w:val="18"/>
              </w:rPr>
              <w:t>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7,192,143.99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26,427,909.69</w:t>
            </w:r>
          </w:p>
        </w:tc>
        <w:tc>
          <w:tcPr>
            <w:tcW w:w="1066"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5"/>
        <w:rPr>
          <w:rFonts w:ascii="宋体" w:hAnsi="宋体" w:cs="宋体" w:eastAsia="宋体" w:hint="default"/>
          <w:sz w:val="19"/>
          <w:szCs w:val="19"/>
        </w:rPr>
      </w:pPr>
    </w:p>
    <w:p>
      <w:pPr>
        <w:pStyle w:val="Heading3"/>
        <w:spacing w:line="240" w:lineRule="auto" w:before="36"/>
        <w:ind w:right="1126"/>
        <w:jc w:val="left"/>
        <w:rPr>
          <w:b w:val="0"/>
          <w:bCs w:val="0"/>
        </w:rPr>
      </w:pPr>
      <w:bookmarkStart w:name="50、营业外支出" w:id="336"/>
      <w:bookmarkEnd w:id="336"/>
      <w:r>
        <w:rPr>
          <w:b w:val="0"/>
          <w:bCs w:val="0"/>
        </w:rPr>
      </w:r>
      <w:r>
        <w:rPr>
          <w:rFonts w:ascii="Times New Roman" w:hAnsi="Times New Roman" w:cs="Times New Roman" w:eastAsia="Times New Roman" w:hint="default"/>
        </w:rPr>
        <w:t>50</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17,614.69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40,962.82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17,614.69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202,804.86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84,454.02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202,804.86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17,980.50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10,827.72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17,980.50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违约金支出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623,111.62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155,225.00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623,111.62</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2,280,409.16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397,224.84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2,280,409.16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3,141,920.83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738,694.40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3,141,920.83</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51、所得税费用" w:id="337"/>
      <w:bookmarkEnd w:id="337"/>
      <w:r>
        <w:rPr>
          <w:b w:val="0"/>
          <w:bCs w:val="0"/>
        </w:rPr>
      </w:r>
      <w:r>
        <w:rPr>
          <w:rFonts w:ascii="Times New Roman" w:hAnsi="Times New Roman" w:cs="Times New Roman" w:eastAsia="Times New Roman" w:hint="default"/>
        </w:rPr>
        <w:t>51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所得税费用表" w:id="338"/>
      <w:bookmarkEnd w:id="33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120,812,406.49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71,525,299.75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-46,762,210.80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-27,420,360.19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74,050,195.69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44,104,939.56</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会计利润与所得税费用调整过程" w:id="339"/>
      <w:bookmarkEnd w:id="33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394,733,047.63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98,683,261.90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-9,941,159.62</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-8,346,046.68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1,684,878.48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4,333,097.24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-23,628,352.34</w:t>
            </w:r>
          </w:p>
        </w:tc>
      </w:tr>
      <w:tr>
        <w:trPr>
          <w:trHeight w:val="71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9,037,754.64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-1,408,619.77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税率调整导致年初递延所得税资产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负债余额的变化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3,613,777.22</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21,604.62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74,050,195.69</w:t>
            </w:r>
          </w:p>
        </w:tc>
      </w:tr>
    </w:tbl>
    <w:p>
      <w:pPr>
        <w:spacing w:line="240" w:lineRule="auto" w:before="3"/>
        <w:rPr>
          <w:rFonts w:ascii="宋体" w:hAnsi="宋体" w:cs="宋体" w:eastAsia="宋体" w:hint="default"/>
          <w:sz w:val="19"/>
          <w:szCs w:val="19"/>
        </w:rPr>
      </w:pPr>
    </w:p>
    <w:p>
      <w:pPr>
        <w:spacing w:line="542" w:lineRule="auto" w:before="36"/>
        <w:ind w:left="153" w:right="8854" w:firstLine="0"/>
        <w:jc w:val="left"/>
        <w:rPr>
          <w:rFonts w:ascii="宋体" w:hAnsi="宋体" w:cs="宋体" w:eastAsia="宋体" w:hint="default"/>
          <w:sz w:val="21"/>
          <w:szCs w:val="21"/>
        </w:rPr>
      </w:pPr>
      <w:bookmarkStart w:name="52、其他综合收益" w:id="340"/>
      <w:bookmarkEnd w:id="340"/>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宋体" w:hAnsi="宋体" w:cs="宋体" w:eastAsia="宋体" w:hint="default"/>
          <w:spacing w:val="-86"/>
          <w:sz w:val="18"/>
          <w:szCs w:val="18"/>
        </w:rPr>
        <w:t> </w:t>
      </w:r>
      <w:bookmarkStart w:name="53、现金流量表项目" w:id="341"/>
      <w:bookmarkEnd w:id="341"/>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30"/>
        <w:ind w:right="1126"/>
        <w:jc w:val="left"/>
        <w:rPr>
          <w:b w:val="0"/>
          <w:bCs w:val="0"/>
        </w:rPr>
      </w:pPr>
      <w:bookmarkStart w:name="（1）收到的其他与经营活动有关的现金" w:id="342"/>
      <w:bookmarkEnd w:id="34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9,853,547.00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15,699,813.01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34,177,114.40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33,786,946.66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除税费返还外的其他政府补助收入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20,442,641.97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32,722,384.57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收到代垫款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9,851,051.48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180,720,586.11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收到的员工还款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2,828,529.10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大股东财务资助款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277,800,000.00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收到的其他款项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26,433,776.34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163,620,933.06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378,558,131.19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429,379,192.51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支付的其他与经营活动有关的现金" w:id="343"/>
      <w:bookmarkEnd w:id="34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42,045,428.67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177,677,586.38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大股东财务资助款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277,800,000.00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劳务佣金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88,884,650.35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140,959,072.73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商品物流费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87,082,806.30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73,351,290.66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60,261,869.48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54,501,968.91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41,791,283.43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41,464,856.73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56,323,955.12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40,262,716.95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30,391,949.60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32,396,629.25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50,781,899.90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30,451,542.58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16,671,474.75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22,451,987.72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13,048,767.34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21,969,300.36</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网络信息费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15,225,880.69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18,470,957.05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3"/>
                <w:sz w:val="18"/>
              </w:rPr>
              <w:t>111,694,119.21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131,174,788.38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15,319,467.71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8,733,311.88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907,323,552.55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793,866,009.58</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收到的其他与筹资活动有关的现金" w:id="344"/>
      <w:bookmarkEnd w:id="344"/>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513,760,000.00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520,248,000.00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312,850,000.00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526,270,000.00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391,510,000.00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pacing w:val="23"/>
                <w:sz w:val="18"/>
                <w:szCs w:val="18"/>
              </w:rPr>
              <w:t> </w:t>
            </w:r>
            <w:r>
              <w:rPr>
                <w:rFonts w:ascii="宋体" w:hAnsi="宋体" w:cs="宋体" w:eastAsia="宋体" w:hint="default"/>
                <w:spacing w:val="-3"/>
                <w:sz w:val="18"/>
                <w:szCs w:val="18"/>
              </w:rPr>
              <w:t>结构性存款利息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44,003,466.86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34,967,146.13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6" w:right="0"/>
              <w:jc w:val="left"/>
              <w:rPr>
                <w:rFonts w:ascii="Times New Roman" w:hAnsi="Times New Roman" w:cs="Times New Roman" w:eastAsia="Times New Roman" w:hint="default"/>
                <w:sz w:val="18"/>
                <w:szCs w:val="18"/>
              </w:rPr>
            </w:pPr>
            <w:r>
              <w:rPr>
                <w:rFonts w:ascii="Times New Roman"/>
                <w:sz w:val="18"/>
              </w:rPr>
              <w:t>1,878,393,466.86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637,215,146.13</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支付的其他与筹资活动有关的现金" w:id="345"/>
      <w:bookmarkEnd w:id="345"/>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448,000,000.00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522,030,000.00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支付银承保证金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38,557,791.07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支付信用证保证金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312,850,000.00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协定存单、结构性存款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300,090,000.00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901,510,000.00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1,662,345.28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533,378.70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788,310,136.35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1,826,923,378.70</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54、现金流量表补充资料" w:id="346"/>
      <w:bookmarkEnd w:id="346"/>
      <w:r>
        <w:rPr>
          <w:b w:val="0"/>
          <w:bCs w:val="0"/>
        </w:rPr>
      </w:r>
      <w:r>
        <w:rPr>
          <w:rFonts w:ascii="Times New Roman" w:hAnsi="Times New Roman" w:cs="Times New Roman" w:eastAsia="Times New Roman" w:hint="default"/>
        </w:rPr>
        <w:t>54</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现金流量表补充资料" w:id="347"/>
      <w:bookmarkEnd w:id="34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08"/>
        <w:gridCol w:w="1995"/>
        <w:gridCol w:w="2055"/>
      </w:tblGrid>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6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320,682,851.94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-69,894,655.85</w:t>
            </w:r>
          </w:p>
        </w:tc>
      </w:tr>
      <w:tr>
        <w:trPr>
          <w:trHeight w:val="404"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300,117,415.71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535,125,813.20</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3,986,317.29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4,814,475.35</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5,130,366.48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3,929,576.65</w:t>
            </w:r>
          </w:p>
        </w:tc>
      </w:tr>
      <w:tr>
        <w:trPr>
          <w:trHeight w:val="398"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8,431,377.68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10,610,699.56</w:t>
            </w:r>
          </w:p>
        </w:tc>
      </w:tr>
      <w:tr>
        <w:trPr>
          <w:trHeight w:val="716"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 w:firstLine="720"/>
              <w:jc w:val="left"/>
              <w:rPr>
                <w:rFonts w:ascii="宋体" w:hAnsi="宋体" w:cs="宋体" w:eastAsia="宋体" w:hint="default"/>
                <w:sz w:val="18"/>
                <w:szCs w:val="18"/>
              </w:rPr>
            </w:pPr>
            <w:r>
              <w:rPr>
                <w:rFonts w:ascii="宋体" w:hAnsi="宋体" w:cs="宋体" w:eastAsia="宋体" w:hint="default"/>
                <w:spacing w:val="-6"/>
                <w:sz w:val="18"/>
                <w:szCs w:val="18"/>
              </w:rPr>
              <w:t>处置固定资产、无形资产和其他长期资产的损失（收益以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-82,497.53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58,916.32</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12,539.17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-10,068.69</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8,012,126.27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6,204,660.75</w:t>
            </w:r>
          </w:p>
        </w:tc>
      </w:tr>
      <w:tr>
        <w:trPr>
          <w:trHeight w:val="398"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160,329,624.29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242,272,290.76</w:t>
            </w:r>
          </w:p>
        </w:tc>
      </w:tr>
      <w:tr>
        <w:trPr>
          <w:trHeight w:val="404"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-46,413,243.90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-56,565,486.41</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-32,787,705.26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-25,869,195.00</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-159,453.44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-1,551,165.19</w:t>
            </w:r>
          </w:p>
        </w:tc>
      </w:tr>
      <w:tr>
        <w:trPr>
          <w:trHeight w:val="398"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-88,773,338.18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1,487,738,294.82</w:t>
            </w:r>
          </w:p>
        </w:tc>
      </w:tr>
      <w:tr>
        <w:trPr>
          <w:trHeight w:val="404"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-750,493,540.28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1,204,298,619.07</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1,803,521,004.89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-2,848,914,035.43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08"/>
        <w:gridCol w:w="1995"/>
        <w:gridCol w:w="2055"/>
      </w:tblGrid>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1,691,513,845.13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492,248,739.91</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．不涉及现金收支的重大投资和筹资活动：</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6"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2,662,039,876.04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1,611,222,550.30</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1,611,222,550.30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1,497,244,671.89</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1,050,817,325.74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113,977,878.41</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本期收到的处置子公司的现金净额" w:id="348"/>
      <w:bookmarkEnd w:id="348"/>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82,650,000.00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海南先锋网信小额贷款有限公司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82,650,000.00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减：丧失控制权日子公司持有的现金及现金等价物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5,204,976.87</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海南先锋网信小额贷款有限公司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5,204,976.87</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77,445,023.13</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现金和现金等价物的构成" w:id="349"/>
      <w:bookmarkEnd w:id="349"/>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2,662,039,876.04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1,611,222,550.30</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661,401.32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276,329.89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2,598,225,607.61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1,604,379,317.32</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63,152,867.11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6,566,903.09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二、期末现金及现金等价物余额</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2,662,039,876.04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1,611,222,550.30</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55、所有权或使用权受到限制的资产" w:id="350"/>
      <w:bookmarkEnd w:id="350"/>
      <w:r>
        <w:rPr>
          <w:b w:val="0"/>
          <w:bCs w:val="0"/>
        </w:rPr>
      </w:r>
      <w:r>
        <w:rPr>
          <w:rFonts w:ascii="Times New Roman" w:hAnsi="Times New Roman" w:cs="Times New Roman" w:eastAsia="Times New Roman" w:hint="default"/>
        </w:rPr>
        <w:t>55</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776,720,136.35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见本附注七、</w:t>
            </w:r>
            <w:r>
              <w:rPr>
                <w:rFonts w:ascii="Times New Roman" w:hAnsi="Times New Roman" w:cs="Times New Roman" w:eastAsia="Times New Roman" w:hint="default"/>
                <w:sz w:val="18"/>
                <w:szCs w:val="18"/>
              </w:rPr>
              <w:t>1</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316,600,000.00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见本附注七、</w:t>
            </w:r>
            <w:r>
              <w:rPr>
                <w:rFonts w:ascii="Times New Roman" w:hAnsi="Times New Roman" w:cs="Times New Roman" w:eastAsia="Times New Roman" w:hint="default"/>
                <w:sz w:val="18"/>
                <w:szCs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12,590,000.00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见本附注七、</w:t>
            </w:r>
            <w:r>
              <w:rPr>
                <w:rFonts w:ascii="Times New Roman" w:hAnsi="Times New Roman" w:cs="Times New Roman" w:eastAsia="Times New Roman" w:hint="default"/>
                <w:sz w:val="18"/>
                <w:szCs w:val="18"/>
              </w:rPr>
              <w:t>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1,105,910,136.35</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56、外币货币性项目" w:id="351"/>
      <w:bookmarkEnd w:id="351"/>
      <w:r>
        <w:rPr>
          <w:b w:val="0"/>
          <w:bCs w:val="0"/>
        </w:rPr>
      </w:r>
      <w:r>
        <w:rPr>
          <w:rFonts w:ascii="Times New Roman" w:hAnsi="Times New Roman" w:cs="Times New Roman" w:eastAsia="Times New Roman" w:hint="default"/>
        </w:rPr>
        <w:t>56</w:t>
      </w:r>
      <w:r>
        <w:rPr/>
        <w:t>、外币货币性项目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外币货币性项目" w:id="352"/>
      <w:bookmarkEnd w:id="35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6"/>
              <w:ind w:right="19"/>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15,472,606.83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107,939,999.77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4,246,069.82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3,803,544.42</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27,050,680.87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188,710,959.89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5,870.59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5,258.76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564,166.95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3,935,741.48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460,580.00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412,578.35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106,790,000.00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744,988,398.00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214,500,000.00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192,144,810.00</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297,647.02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2,076,445.14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1,657.19</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2,844,706.13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2,548,230.86</w:t>
            </w:r>
          </w:p>
        </w:tc>
      </w:tr>
    </w:tbl>
    <w:p>
      <w:pPr>
        <w:spacing w:line="240" w:lineRule="auto" w:before="3"/>
        <w:rPr>
          <w:rFonts w:ascii="宋体" w:hAnsi="宋体" w:cs="宋体" w:eastAsia="宋体" w:hint="default"/>
          <w:sz w:val="19"/>
          <w:szCs w:val="19"/>
        </w:rPr>
      </w:pPr>
    </w:p>
    <w:p>
      <w:pPr>
        <w:pStyle w:val="Heading3"/>
        <w:spacing w:line="254" w:lineRule="auto" w:before="36"/>
        <w:ind w:right="1126"/>
        <w:jc w:val="left"/>
        <w:rPr>
          <w:b w:val="0"/>
          <w:bCs w:val="0"/>
        </w:rPr>
      </w:pPr>
      <w:bookmarkStart w:name="（2）境外经营实体说明，包括对于重要的境外经营实体，应披露其境外主要经营地、记账" w:id="353"/>
      <w:bookmarkEnd w:id="35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6"/>
        <w:ind w:right="0"/>
        <w:jc w:val="left"/>
      </w:pPr>
      <w:r>
        <w:rPr>
          <w:rFonts w:ascii="Times New Roman" w:hAnsi="Times New Roman" w:cs="Times New Roman" w:eastAsia="Times New Roman" w:hint="default"/>
          <w:spacing w:val="-6"/>
        </w:rPr>
        <w:t>1</w:t>
      </w:r>
      <w:r>
        <w:rPr>
          <w:spacing w:val="-6"/>
        </w:rPr>
        <w:t>）爱施德（香港）有限公司于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6  </w:t>
      </w:r>
      <w:r>
        <w:rPr>
          <w:rFonts w:ascii="Times New Roman" w:hAnsi="Times New Roman" w:cs="Times New Roman" w:eastAsia="Times New Roman" w:hint="default"/>
          <w:spacing w:val="13"/>
        </w:rPr>
        <w:t> </w:t>
      </w:r>
      <w:r>
        <w:rPr>
          <w:spacing w:val="-4"/>
        </w:rPr>
        <w:t>日在香港注册成立，为本公司的全资子公司，注册地址为香港湾仔轩尼诗</w:t>
      </w:r>
    </w:p>
    <w:p>
      <w:pPr>
        <w:pStyle w:val="BodyText"/>
        <w:spacing w:line="240" w:lineRule="auto" w:before="67"/>
        <w:ind w:right="1126"/>
        <w:jc w:val="left"/>
      </w:pPr>
      <w:r>
        <w:rPr/>
        <w:t>道 </w:t>
      </w:r>
      <w:r>
        <w:rPr>
          <w:rFonts w:ascii="Times New Roman" w:hAnsi="Times New Roman" w:cs="Times New Roman" w:eastAsia="Times New Roman" w:hint="default"/>
        </w:rPr>
        <w:t>250  </w:t>
      </w:r>
      <w:r>
        <w:rPr/>
        <w:t>号卓能广场 </w:t>
      </w:r>
      <w:r>
        <w:rPr>
          <w:rFonts w:ascii="Times New Roman" w:hAnsi="Times New Roman" w:cs="Times New Roman" w:eastAsia="Times New Roman" w:hint="default"/>
        </w:rPr>
        <w:t>16  </w:t>
      </w:r>
      <w:r>
        <w:rPr/>
        <w:t>楼</w:t>
      </w:r>
      <w:r>
        <w:rPr>
          <w:spacing w:val="33"/>
        </w:rPr>
        <w:t> </w:t>
      </w:r>
      <w:r>
        <w:rPr>
          <w:rFonts w:ascii="Times New Roman" w:hAnsi="Times New Roman" w:cs="Times New Roman" w:eastAsia="Times New Roman" w:hint="default"/>
          <w:spacing w:val="-3"/>
        </w:rPr>
        <w:t>D</w:t>
      </w:r>
      <w:r>
        <w:rPr>
          <w:spacing w:val="-3"/>
        </w:rPr>
        <w:t>，记账本位币为港币。</w:t>
      </w:r>
    </w:p>
    <w:p>
      <w:pPr>
        <w:pStyle w:val="BodyText"/>
        <w:spacing w:line="240" w:lineRule="auto" w:before="106"/>
        <w:ind w:right="0"/>
        <w:jc w:val="left"/>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Genesis </w:t>
      </w:r>
      <w:r>
        <w:rPr>
          <w:rFonts w:ascii="Times New Roman" w:hAnsi="Times New Roman" w:cs="Times New Roman" w:eastAsia="Times New Roman" w:hint="default"/>
          <w:spacing w:val="-3"/>
        </w:rPr>
        <w:t>(BVI) </w:t>
      </w:r>
      <w:r>
        <w:rPr>
          <w:rFonts w:ascii="Times New Roman" w:hAnsi="Times New Roman" w:cs="Times New Roman" w:eastAsia="Times New Roman" w:hint="default"/>
        </w:rPr>
        <w:t>Holding Ltd   </w:t>
      </w:r>
      <w:r>
        <w:rPr/>
        <w:t>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spacing w:val="-7"/>
        </w:rPr>
        <w:t>月成立，注册地在英属维尔京群岛，为爱施德（香港）有限公司的全资子公司。</w:t>
      </w:r>
    </w:p>
    <w:p>
      <w:pPr>
        <w:pStyle w:val="BodyText"/>
        <w:spacing w:line="240" w:lineRule="auto" w:before="101"/>
        <w:ind w:right="1126"/>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Genesis </w:t>
      </w:r>
      <w:r>
        <w:rPr>
          <w:rFonts w:ascii="Times New Roman" w:hAnsi="Times New Roman" w:cs="Times New Roman" w:eastAsia="Times New Roman" w:hint="default"/>
          <w:spacing w:val="-3"/>
        </w:rPr>
        <w:t>(Cayman) </w:t>
      </w:r>
      <w:r>
        <w:rPr>
          <w:rFonts w:ascii="Times New Roman" w:hAnsi="Times New Roman" w:cs="Times New Roman" w:eastAsia="Times New Roman" w:hint="default"/>
        </w:rPr>
        <w:t>Ltd   </w:t>
      </w:r>
      <w:r>
        <w:rPr/>
        <w:t>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spacing w:val="-3"/>
        </w:rPr>
        <w:t>月成立，注册地在开曼群岛，为爱施德（香港）有限公司的全资子公司。</w:t>
      </w:r>
    </w:p>
    <w:p>
      <w:pPr>
        <w:pStyle w:val="BodyText"/>
        <w:spacing w:line="240" w:lineRule="auto" w:before="102"/>
        <w:ind w:right="0"/>
        <w:jc w:val="left"/>
      </w:pPr>
      <w:r>
        <w:rPr>
          <w:rFonts w:ascii="Times New Roman" w:hAnsi="Times New Roman" w:cs="Times New Roman" w:eastAsia="Times New Roman" w:hint="default"/>
          <w:w w:val="101"/>
        </w:rPr>
        <w:t>4</w:t>
      </w:r>
      <w:r>
        <w:rPr>
          <w:spacing w:val="-87"/>
          <w:w w:val="101"/>
        </w:rPr>
        <w:t>）</w:t>
      </w:r>
      <w:r>
        <w:rPr>
          <w:spacing w:val="-5"/>
          <w:w w:val="101"/>
        </w:rPr>
        <w:t>中</w:t>
      </w:r>
      <w:r>
        <w:rPr>
          <w:w w:val="101"/>
        </w:rPr>
        <w:t>国</w:t>
      </w:r>
      <w:r>
        <w:rPr>
          <w:spacing w:val="-5"/>
          <w:w w:val="101"/>
        </w:rPr>
        <w:t>供</w:t>
      </w:r>
      <w:r>
        <w:rPr>
          <w:w w:val="101"/>
        </w:rPr>
        <w:t>应</w:t>
      </w:r>
      <w:r>
        <w:rPr>
          <w:spacing w:val="-5"/>
          <w:w w:val="101"/>
        </w:rPr>
        <w:t>链</w:t>
      </w:r>
      <w:r>
        <w:rPr>
          <w:w w:val="101"/>
        </w:rPr>
        <w:t>金</w:t>
      </w:r>
      <w:r>
        <w:rPr>
          <w:spacing w:val="-5"/>
          <w:w w:val="101"/>
        </w:rPr>
        <w:t>融服</w:t>
      </w:r>
      <w:r>
        <w:rPr>
          <w:w w:val="101"/>
        </w:rPr>
        <w:t>务</w:t>
      </w:r>
      <w:r>
        <w:rPr>
          <w:spacing w:val="-5"/>
          <w:w w:val="101"/>
        </w:rPr>
        <w:t>有</w:t>
      </w:r>
      <w:r>
        <w:rPr>
          <w:w w:val="101"/>
        </w:rPr>
        <w:t>限</w:t>
      </w:r>
      <w:r>
        <w:rPr>
          <w:spacing w:val="-5"/>
          <w:w w:val="101"/>
        </w:rPr>
        <w:t>公</w:t>
      </w:r>
      <w:r>
        <w:rPr>
          <w:w w:val="101"/>
        </w:rPr>
        <w:t>司于</w:t>
      </w:r>
      <w:r>
        <w:rPr>
          <w:spacing w:val="-4"/>
        </w:rPr>
        <w:t> </w:t>
      </w:r>
      <w:r>
        <w:rPr>
          <w:rFonts w:ascii="Times New Roman" w:hAnsi="Times New Roman" w:cs="Times New Roman" w:eastAsia="Times New Roman" w:hint="default"/>
          <w:w w:val="101"/>
        </w:rPr>
        <w:t>2016</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年</w:t>
      </w:r>
      <w:r>
        <w:rPr>
          <w:spacing w:val="-3"/>
        </w:rPr>
        <w:t> </w:t>
      </w:r>
      <w:r>
        <w:rPr>
          <w:rFonts w:ascii="Times New Roman" w:hAnsi="Times New Roman" w:cs="Times New Roman" w:eastAsia="Times New Roman" w:hint="default"/>
          <w:w w:val="101"/>
        </w:rPr>
        <w:t>4</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1"/>
        </w:rPr>
        <w:t>月</w:t>
      </w:r>
      <w:r>
        <w:rPr>
          <w:spacing w:val="-4"/>
        </w:rPr>
        <w:t> </w:t>
      </w:r>
      <w:r>
        <w:rPr>
          <w:rFonts w:ascii="Times New Roman" w:hAnsi="Times New Roman" w:cs="Times New Roman" w:eastAsia="Times New Roman" w:hint="default"/>
          <w:w w:val="101"/>
        </w:rPr>
        <w:t>19</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日</w:t>
      </w:r>
      <w:r>
        <w:rPr>
          <w:spacing w:val="-5"/>
          <w:w w:val="101"/>
        </w:rPr>
        <w:t>成立</w:t>
      </w:r>
      <w:r>
        <w:rPr>
          <w:spacing w:val="-92"/>
          <w:w w:val="101"/>
        </w:rPr>
        <w:t>，</w:t>
      </w:r>
      <w:r>
        <w:rPr>
          <w:w w:val="101"/>
        </w:rPr>
        <w:t>注</w:t>
      </w:r>
      <w:r>
        <w:rPr>
          <w:spacing w:val="-5"/>
          <w:w w:val="101"/>
        </w:rPr>
        <w:t>册</w:t>
      </w:r>
      <w:r>
        <w:rPr>
          <w:w w:val="101"/>
        </w:rPr>
        <w:t>地</w:t>
      </w:r>
      <w:r>
        <w:rPr>
          <w:spacing w:val="-5"/>
          <w:w w:val="101"/>
        </w:rPr>
        <w:t>香</w:t>
      </w:r>
      <w:r>
        <w:rPr>
          <w:w w:val="101"/>
        </w:rPr>
        <w:t>港</w:t>
      </w:r>
      <w:r>
        <w:rPr>
          <w:spacing w:val="-92"/>
          <w:w w:val="101"/>
        </w:rPr>
        <w:t>，</w:t>
      </w:r>
      <w:r>
        <w:rPr>
          <w:w w:val="101"/>
        </w:rPr>
        <w:t>为</w:t>
      </w:r>
      <w:r>
        <w:rPr>
          <w:spacing w:val="-5"/>
          <w:w w:val="101"/>
        </w:rPr>
        <w:t>深</w:t>
      </w:r>
      <w:r>
        <w:rPr>
          <w:w w:val="101"/>
        </w:rPr>
        <w:t>圳</w:t>
      </w:r>
      <w:r>
        <w:rPr>
          <w:spacing w:val="-5"/>
          <w:w w:val="101"/>
        </w:rPr>
        <w:t>市</w:t>
      </w:r>
      <w:r>
        <w:rPr>
          <w:w w:val="101"/>
        </w:rPr>
        <w:t>优</w:t>
      </w:r>
      <w:r>
        <w:rPr>
          <w:spacing w:val="-5"/>
          <w:w w:val="101"/>
        </w:rPr>
        <w:t>友</w:t>
      </w:r>
      <w:r>
        <w:rPr>
          <w:w w:val="101"/>
        </w:rPr>
        <w:t>金</w:t>
      </w:r>
      <w:r>
        <w:rPr>
          <w:spacing w:val="-5"/>
          <w:w w:val="101"/>
        </w:rPr>
        <w:t>融</w:t>
      </w:r>
      <w:r>
        <w:rPr>
          <w:w w:val="101"/>
        </w:rPr>
        <w:t>服</w:t>
      </w:r>
      <w:r>
        <w:rPr>
          <w:spacing w:val="-5"/>
          <w:w w:val="101"/>
        </w:rPr>
        <w:t>务</w:t>
      </w:r>
      <w:r>
        <w:rPr>
          <w:w w:val="101"/>
        </w:rPr>
        <w:t>有</w:t>
      </w:r>
      <w:r>
        <w:rPr>
          <w:spacing w:val="-5"/>
          <w:w w:val="101"/>
        </w:rPr>
        <w:t>限</w:t>
      </w:r>
      <w:r>
        <w:rPr>
          <w:w w:val="101"/>
        </w:rPr>
        <w:t>公</w:t>
      </w:r>
      <w:r>
        <w:rPr>
          <w:spacing w:val="-5"/>
          <w:w w:val="101"/>
        </w:rPr>
        <w:t>司</w:t>
      </w:r>
      <w:r>
        <w:rPr>
          <w:w w:val="101"/>
        </w:rPr>
        <w:t>的</w:t>
      </w:r>
      <w:r>
        <w:rPr>
          <w:spacing w:val="-5"/>
          <w:w w:val="101"/>
        </w:rPr>
        <w:t>全</w:t>
      </w:r>
      <w:r>
        <w:rPr>
          <w:w w:val="101"/>
        </w:rPr>
        <w:t>资</w:t>
      </w:r>
      <w:r>
        <w:rPr>
          <w:spacing w:val="-5"/>
          <w:w w:val="101"/>
        </w:rPr>
        <w:t>子</w:t>
      </w:r>
      <w:r>
        <w:rPr>
          <w:w w:val="101"/>
        </w:rPr>
        <w:t>公</w:t>
      </w:r>
      <w:r>
        <w:rPr>
          <w:spacing w:val="-5"/>
          <w:w w:val="101"/>
        </w:rPr>
        <w:t>司</w:t>
      </w:r>
      <w:r>
        <w:rPr>
          <w:w w:val="101"/>
        </w:rPr>
        <w:t>。</w:t>
      </w:r>
      <w:r>
        <w:rPr/>
      </w:r>
    </w:p>
    <w:p>
      <w:pPr>
        <w:pStyle w:val="BodyText"/>
        <w:spacing w:line="240" w:lineRule="auto" w:before="106"/>
        <w:ind w:right="1126"/>
        <w:jc w:val="left"/>
      </w:pPr>
      <w:r>
        <w:rPr>
          <w:rFonts w:ascii="Times New Roman" w:hAnsi="Times New Roman" w:cs="Times New Roman" w:eastAsia="Times New Roman" w:hint="default"/>
        </w:rPr>
        <w:t>5</w:t>
      </w:r>
      <w:r>
        <w:rPr/>
        <w:t>）展弘实业有限公司于</w:t>
      </w:r>
      <w:r>
        <w:rPr>
          <w:spacing w:val="-3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spacing w:val="-3"/>
        </w:rPr>
        <w:t>日成立，注册地香港，为深圳市优友供应链有限公司的全资子公司。</w:t>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MIAMI</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GIN</w:t>
      </w:r>
      <w:r>
        <w:rPr>
          <w:rFonts w:ascii="Times New Roman" w:hAnsi="Times New Roman" w:cs="Times New Roman" w:eastAsia="Times New Roman" w:hint="default"/>
          <w:spacing w:val="11"/>
        </w:rPr>
        <w:t> </w:t>
      </w:r>
      <w:r>
        <w:rPr>
          <w:rFonts w:ascii="Times New Roman" w:hAnsi="Times New Roman" w:cs="Times New Roman" w:eastAsia="Times New Roman" w:hint="default"/>
        </w:rPr>
        <w:t>HUNG</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3"/>
        </w:rPr>
        <w:t>INDUSTRIAL</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4"/>
        </w:rPr>
        <w:t>CORPORATION</w:t>
      </w:r>
      <w:r>
        <w:rPr>
          <w:rFonts w:ascii="Times New Roman" w:hAnsi="Times New Roman" w:cs="Times New Roman" w:eastAsia="Times New Roman" w:hint="default"/>
          <w:spacing w:val="9"/>
        </w:rPr>
        <w:t> </w:t>
      </w:r>
      <w:r>
        <w:rPr/>
        <w:t>于</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3"/>
        </w:rPr>
        <w:t>日成立，注册地美国迈阿密，为展宏实业有限公司</w:t>
      </w:r>
      <w:r>
        <w:rPr>
          <w:spacing w:val="-83"/>
        </w:rPr>
        <w:t> </w:t>
      </w:r>
      <w:r>
        <w:rPr>
          <w:spacing w:val="-83"/>
        </w:rPr>
      </w:r>
      <w:r>
        <w:rPr>
          <w:spacing w:val="-3"/>
        </w:rPr>
        <w:t>的全资子公司。</w:t>
      </w:r>
    </w:p>
    <w:p>
      <w:pPr>
        <w:spacing w:line="240" w:lineRule="auto" w:before="8"/>
        <w:rPr>
          <w:rFonts w:ascii="宋体" w:hAnsi="宋体" w:cs="宋体" w:eastAsia="宋体" w:hint="default"/>
          <w:sz w:val="22"/>
          <w:szCs w:val="22"/>
        </w:rPr>
      </w:pPr>
    </w:p>
    <w:p>
      <w:pPr>
        <w:pStyle w:val="Heading3"/>
        <w:spacing w:line="240" w:lineRule="auto"/>
        <w:ind w:right="1126"/>
        <w:jc w:val="left"/>
        <w:rPr>
          <w:b w:val="0"/>
          <w:bCs w:val="0"/>
        </w:rPr>
      </w:pPr>
      <w:bookmarkStart w:name="57、政府补助" w:id="354"/>
      <w:bookmarkEnd w:id="354"/>
      <w:r>
        <w:rPr>
          <w:b w:val="0"/>
          <w:bCs w:val="0"/>
        </w:rPr>
      </w:r>
      <w:r>
        <w:rPr>
          <w:rFonts w:ascii="Times New Roman" w:hAnsi="Times New Roman" w:cs="Times New Roman" w:eastAsia="Times New Roman" w:hint="default"/>
        </w:rPr>
        <w:t>57</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政府补助基本情况" w:id="355"/>
      <w:bookmarkEnd w:id="35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44"/>
        <w:gridCol w:w="1988"/>
        <w:gridCol w:w="1983"/>
        <w:gridCol w:w="2055"/>
      </w:tblGrid>
      <w:tr>
        <w:trPr>
          <w:trHeight w:val="404"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1"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年福田区促批发零售业增长激励方案</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1,550,000.00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规模奖励</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433,208.59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433,208.59</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电子商务示范企业基地支持</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财政专项资金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信息化建设扶持</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6,048,500.00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6,048,500.00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福田区产业发展专项资金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商业增长支持</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平台建设项目类补助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116,900.00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加计抵减补助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619,876.71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619,876.71</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转售专项补助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研究开发类补助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61,000.00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社保稳岗补贴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65,854.38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65,854.38</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个税手续费返还</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92,504.34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92,504.34</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42,653.96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42,653.96</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6,951,080.48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6,951,080.48</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福田区国库连锁商业企业支持款</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历下区商贸流通业发展引导资金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21,063.51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21,063.51</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贷款贴息支持</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冲减财务费用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398"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年第一批企业研究开发资助</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冲减研发费用</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730,000.00</w:t>
            </w:r>
          </w:p>
        </w:tc>
      </w:tr>
    </w:tbl>
    <w:p>
      <w:pPr>
        <w:spacing w:line="240" w:lineRule="auto" w:before="9"/>
        <w:rPr>
          <w:rFonts w:ascii="宋体" w:hAnsi="宋体" w:cs="宋体" w:eastAsia="宋体" w:hint="default"/>
          <w:sz w:val="17"/>
          <w:szCs w:val="17"/>
        </w:rPr>
      </w:pPr>
    </w:p>
    <w:p>
      <w:pPr>
        <w:pStyle w:val="Heading2"/>
        <w:spacing w:line="240" w:lineRule="auto" w:before="26"/>
        <w:ind w:right="1126"/>
        <w:jc w:val="left"/>
        <w:rPr>
          <w:b w:val="0"/>
          <w:bCs w:val="0"/>
        </w:rPr>
      </w:pPr>
      <w:bookmarkStart w:name="八、合并范围的变更" w:id="356"/>
      <w:bookmarkEnd w:id="356"/>
      <w:r>
        <w:rPr>
          <w:b w:val="0"/>
          <w:bCs w:val="0"/>
        </w:rPr>
      </w:r>
      <w:r>
        <w:rPr/>
        <w:t>八、合并范围的变更</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26"/>
        <w:jc w:val="left"/>
        <w:rPr>
          <w:b w:val="0"/>
          <w:bCs w:val="0"/>
        </w:rPr>
      </w:pPr>
      <w:bookmarkStart w:name="1、非同一控制下企业合并" w:id="357"/>
      <w:bookmarkEnd w:id="357"/>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本期发生的非同一控制下企业合并" w:id="358"/>
      <w:bookmarkEnd w:id="35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1"/>
        <w:gridCol w:w="850"/>
        <w:gridCol w:w="711"/>
        <w:gridCol w:w="989"/>
        <w:gridCol w:w="710"/>
        <w:gridCol w:w="855"/>
        <w:gridCol w:w="1061"/>
        <w:gridCol w:w="1061"/>
        <w:gridCol w:w="1066"/>
      </w:tblGrid>
      <w:tr>
        <w:trPr>
          <w:trHeight w:val="1027"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 w:right="0"/>
              <w:jc w:val="center"/>
              <w:rPr>
                <w:rFonts w:ascii="宋体" w:hAnsi="宋体" w:cs="宋体" w:eastAsia="宋体" w:hint="default"/>
                <w:sz w:val="18"/>
                <w:szCs w:val="18"/>
              </w:rPr>
            </w:pPr>
            <w:r>
              <w:rPr>
                <w:rFonts w:ascii="宋体" w:hAnsi="宋体" w:cs="宋体" w:eastAsia="宋体" w:hint="default"/>
                <w:sz w:val="18"/>
                <w:szCs w:val="18"/>
              </w:rPr>
              <w:t>被购买方名称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9" w:right="50" w:hanging="178"/>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时点</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81" w:right="75"/>
              <w:jc w:val="left"/>
              <w:rPr>
                <w:rFonts w:ascii="宋体" w:hAnsi="宋体" w:cs="宋体" w:eastAsia="宋体" w:hint="default"/>
                <w:sz w:val="18"/>
                <w:szCs w:val="18"/>
              </w:rPr>
            </w:pPr>
            <w:r>
              <w:rPr>
                <w:rFonts w:ascii="宋体" w:hAnsi="宋体" w:cs="宋体" w:eastAsia="宋体" w:hint="default"/>
                <w:sz w:val="18"/>
                <w:szCs w:val="18"/>
              </w:rPr>
              <w:t>股权取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得成本</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03" w:right="31" w:hanging="360"/>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81" w:right="74"/>
              <w:jc w:val="left"/>
              <w:rPr>
                <w:rFonts w:ascii="宋体" w:hAnsi="宋体" w:cs="宋体" w:eastAsia="宋体" w:hint="default"/>
                <w:sz w:val="18"/>
                <w:szCs w:val="18"/>
              </w:rPr>
            </w:pPr>
            <w:r>
              <w:rPr>
                <w:rFonts w:ascii="宋体" w:hAnsi="宋体" w:cs="宋体" w:eastAsia="宋体" w:hint="default"/>
                <w:sz w:val="18"/>
                <w:szCs w:val="18"/>
              </w:rPr>
              <w:t>股权取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得方式</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pacing w:val="-2"/>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6"/>
              <w:jc w:val="center"/>
              <w:rPr>
                <w:rFonts w:ascii="宋体" w:hAnsi="宋体" w:cs="宋体" w:eastAsia="宋体" w:hint="default"/>
                <w:sz w:val="18"/>
                <w:szCs w:val="18"/>
              </w:rPr>
            </w:pPr>
            <w:r>
              <w:rPr>
                <w:rFonts w:ascii="宋体" w:hAnsi="宋体" w:cs="宋体" w:eastAsia="宋体" w:hint="default"/>
                <w:spacing w:val="-3"/>
                <w:sz w:val="18"/>
                <w:szCs w:val="18"/>
              </w:rPr>
              <w:t>上海凝鹏通讯科技有限公司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2019/12/5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0" w:right="0"/>
              <w:jc w:val="left"/>
              <w:rPr>
                <w:rFonts w:ascii="Times New Roman" w:hAnsi="Times New Roman" w:cs="Times New Roman" w:eastAsia="Times New Roman" w:hint="default"/>
                <w:sz w:val="18"/>
                <w:szCs w:val="18"/>
              </w:rPr>
            </w:pPr>
            <w:r>
              <w:rPr>
                <w:rFonts w:ascii="Times New Roman"/>
                <w:sz w:val="18"/>
              </w:rPr>
              <w:t>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90.00%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5"/>
              <w:jc w:val="right"/>
              <w:rPr>
                <w:rFonts w:ascii="Times New Roman" w:hAnsi="Times New Roman" w:cs="Times New Roman" w:eastAsia="Times New Roman" w:hint="default"/>
                <w:sz w:val="18"/>
                <w:szCs w:val="18"/>
              </w:rPr>
            </w:pPr>
            <w:r>
              <w:rPr>
                <w:rFonts w:ascii="Times New Roman"/>
                <w:spacing w:val="-1"/>
                <w:sz w:val="18"/>
              </w:rPr>
              <w:t>2019/12/5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3,403,906.71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z w:val="18"/>
              </w:rPr>
              <w:t>-887,232.16</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合并成本及商誉" w:id="359"/>
      <w:bookmarkEnd w:id="35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224"/>
        <w:gridCol w:w="4333"/>
      </w:tblGrid>
      <w:tr>
        <w:trPr>
          <w:trHeight w:val="404"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3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减：取得的可辨认净资产公允价值份额</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380,142.42</w:t>
            </w:r>
          </w:p>
        </w:tc>
      </w:tr>
      <w:tr>
        <w:trPr>
          <w:trHeight w:val="403" w:hRule="exact"/>
        </w:trPr>
        <w:tc>
          <w:tcPr>
            <w:tcW w:w="5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商誉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合并成本小于取得的可辨认净资产公允价值份额的金额</w:t>
            </w:r>
          </w:p>
        </w:tc>
        <w:tc>
          <w:tcPr>
            <w:tcW w:w="43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-380,142.42</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被购买方于购买日可辨认资产、负债" w:id="360"/>
      <w:bookmarkEnd w:id="36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9"/>
        <w:gridCol w:w="3201"/>
        <w:gridCol w:w="3193"/>
      </w:tblGrid>
      <w:tr>
        <w:trPr>
          <w:trHeight w:val="206" w:hRule="exact"/>
        </w:trPr>
        <w:tc>
          <w:tcPr>
            <w:tcW w:w="316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15" w:right="0"/>
              <w:jc w:val="left"/>
              <w:rPr>
                <w:rFonts w:ascii="宋体" w:hAnsi="宋体" w:cs="宋体" w:eastAsia="宋体" w:hint="default"/>
                <w:sz w:val="18"/>
                <w:szCs w:val="18"/>
              </w:rPr>
            </w:pPr>
            <w:r>
              <w:rPr>
                <w:rFonts w:ascii="宋体" w:hAnsi="宋体" w:cs="宋体" w:eastAsia="宋体" w:hint="default"/>
                <w:spacing w:val="-3"/>
                <w:sz w:val="18"/>
                <w:szCs w:val="18"/>
              </w:rPr>
              <w:t>上海凝鹏通讯科技有限公司</w:t>
            </w:r>
          </w:p>
        </w:tc>
      </w:tr>
      <w:tr>
        <w:trPr>
          <w:trHeight w:val="192" w:hRule="exact"/>
        </w:trPr>
        <w:tc>
          <w:tcPr>
            <w:tcW w:w="31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94"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69" w:type="dxa"/>
            <w:vMerge/>
            <w:tcBorders>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72"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r>
        <w:trPr>
          <w:trHeight w:val="206" w:hRule="exact"/>
        </w:trPr>
        <w:tc>
          <w:tcPr>
            <w:tcW w:w="31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4" w:space="0" w:color="000000"/>
              <w:bottom w:val="single" w:sz="4" w:space="0" w:color="000000"/>
              <w:right w:val="single" w:sz="4" w:space="0" w:color="000000"/>
            </w:tcBorders>
            <w:shd w:val="clear" w:color="auto" w:fill="D2D2D2"/>
          </w:tcPr>
          <w:p>
            <w:pPr/>
          </w:p>
        </w:tc>
        <w:tc>
          <w:tcPr>
            <w:tcW w:w="3193"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914,068.23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914,068.23</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1,084,291.30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1,084,291.30</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3,213,107.84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3,213,107.84</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9,963,405.36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9,963,405.36</w:t>
            </w:r>
          </w:p>
        </w:tc>
      </w:tr>
      <w:tr>
        <w:trPr>
          <w:trHeight w:val="399"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11,905,333.10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11,905,333.10</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329,543.98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329,543.98</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2,517,615.18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2,517,615.18</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422,380.47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422,380.47</w:t>
            </w:r>
          </w:p>
        </w:tc>
      </w:tr>
      <w:tr>
        <w:trPr>
          <w:trHeight w:val="399"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42,238.05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42,238.05</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380,142.42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380,142.42</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处置子公司" w:id="361"/>
      <w:bookmarkEnd w:id="361"/>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474" w:top="1060" w:bottom="1660" w:left="980" w:right="0"/>
        </w:sectPr>
      </w:pPr>
    </w:p>
    <w:p>
      <w:pPr>
        <w:pStyle w:val="BodyText"/>
        <w:spacing w:line="240" w:lineRule="auto" w:before="46"/>
        <w:ind w:right="0"/>
        <w:jc w:val="left"/>
      </w:pPr>
      <w:r>
        <w:rPr>
          <w:spacing w:val="-3"/>
        </w:rPr>
        <w:t>是否存在单次处置对子公司投资即丧失控制权的情形</w:t>
      </w:r>
    </w:p>
    <w:p>
      <w:pPr>
        <w:pStyle w:val="BodyText"/>
        <w:spacing w:line="240" w:lineRule="auto" w:before="12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620" w:bottom="280" w:left="980" w:right="0"/>
          <w:cols w:num="2" w:equalWidth="0">
            <w:col w:w="4297" w:space="4534"/>
            <w:col w:w="2099"/>
          </w:cols>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35"/>
        <w:gridCol w:w="734"/>
        <w:gridCol w:w="740"/>
        <w:gridCol w:w="735"/>
        <w:gridCol w:w="734"/>
        <w:gridCol w:w="740"/>
        <w:gridCol w:w="734"/>
        <w:gridCol w:w="735"/>
        <w:gridCol w:w="739"/>
      </w:tblGrid>
      <w:tr>
        <w:trPr>
          <w:trHeight w:val="3836"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6"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置价款</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5" w:right="84"/>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点的确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定依据</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94"/>
              <w:jc w:val="center"/>
              <w:rPr>
                <w:rFonts w:ascii="宋体" w:hAnsi="宋体" w:cs="宋体" w:eastAsia="宋体" w:hint="default"/>
                <w:sz w:val="18"/>
                <w:szCs w:val="18"/>
              </w:rPr>
            </w:pPr>
            <w:r>
              <w:rPr>
                <w:rFonts w:ascii="宋体" w:hAnsi="宋体" w:cs="宋体" w:eastAsia="宋体" w:hint="default"/>
                <w:spacing w:val="-2"/>
                <w:sz w:val="18"/>
                <w:szCs w:val="18"/>
              </w:rPr>
              <w:t>处置价</w:t>
            </w:r>
            <w:r>
              <w:rPr>
                <w:rFonts w:ascii="宋体" w:hAnsi="宋体" w:cs="宋体" w:eastAsia="宋体" w:hint="default"/>
                <w:w w:val="101"/>
                <w:sz w:val="18"/>
                <w:szCs w:val="18"/>
              </w:rPr>
              <w:t> </w:t>
            </w:r>
            <w:r>
              <w:rPr>
                <w:rFonts w:ascii="宋体" w:hAnsi="宋体" w:cs="宋体" w:eastAsia="宋体" w:hint="default"/>
                <w:spacing w:val="-2"/>
                <w:sz w:val="18"/>
                <w:szCs w:val="18"/>
              </w:rPr>
              <w:t>款与处</w:t>
            </w:r>
            <w:r>
              <w:rPr>
                <w:rFonts w:ascii="宋体" w:hAnsi="宋体" w:cs="宋体" w:eastAsia="宋体" w:hint="default"/>
                <w:w w:val="101"/>
                <w:sz w:val="18"/>
                <w:szCs w:val="18"/>
              </w:rPr>
              <w:t> </w:t>
            </w:r>
            <w:r>
              <w:rPr>
                <w:rFonts w:ascii="宋体" w:hAnsi="宋体" w:cs="宋体" w:eastAsia="宋体" w:hint="default"/>
                <w:spacing w:val="-2"/>
                <w:sz w:val="18"/>
                <w:szCs w:val="18"/>
              </w:rPr>
              <w:t>置投资</w:t>
            </w:r>
            <w:r>
              <w:rPr>
                <w:rFonts w:ascii="宋体" w:hAnsi="宋体" w:cs="宋体" w:eastAsia="宋体" w:hint="default"/>
                <w:w w:val="101"/>
                <w:sz w:val="18"/>
                <w:szCs w:val="18"/>
              </w:rPr>
              <w:t> </w:t>
            </w:r>
            <w:r>
              <w:rPr>
                <w:rFonts w:ascii="宋体" w:hAnsi="宋体" w:cs="宋体" w:eastAsia="宋体" w:hint="default"/>
                <w:spacing w:val="-2"/>
                <w:sz w:val="18"/>
                <w:szCs w:val="18"/>
              </w:rPr>
              <w:t>对应的</w:t>
            </w:r>
            <w:r>
              <w:rPr>
                <w:rFonts w:ascii="宋体" w:hAnsi="宋体" w:cs="宋体" w:eastAsia="宋体" w:hint="default"/>
                <w:w w:val="101"/>
                <w:sz w:val="18"/>
                <w:szCs w:val="18"/>
              </w:rPr>
              <w:t> </w:t>
            </w:r>
            <w:r>
              <w:rPr>
                <w:rFonts w:ascii="宋体" w:hAnsi="宋体" w:cs="宋体" w:eastAsia="宋体" w:hint="default"/>
                <w:spacing w:val="-2"/>
                <w:sz w:val="18"/>
                <w:szCs w:val="18"/>
              </w:rPr>
              <w:t>合并财</w:t>
            </w:r>
            <w:r>
              <w:rPr>
                <w:rFonts w:ascii="宋体" w:hAnsi="宋体" w:cs="宋体" w:eastAsia="宋体" w:hint="default"/>
                <w:w w:val="101"/>
                <w:sz w:val="18"/>
                <w:szCs w:val="18"/>
              </w:rPr>
              <w:t> </w:t>
            </w:r>
            <w:r>
              <w:rPr>
                <w:rFonts w:ascii="宋体" w:hAnsi="宋体" w:cs="宋体" w:eastAsia="宋体" w:hint="default"/>
                <w:spacing w:val="-2"/>
                <w:sz w:val="18"/>
                <w:szCs w:val="18"/>
              </w:rPr>
              <w:t>务报表</w:t>
            </w:r>
            <w:r>
              <w:rPr>
                <w:rFonts w:ascii="宋体" w:hAnsi="宋体" w:cs="宋体" w:eastAsia="宋体" w:hint="default"/>
                <w:w w:val="101"/>
                <w:sz w:val="18"/>
                <w:szCs w:val="18"/>
              </w:rPr>
              <w:t> </w:t>
            </w:r>
            <w:r>
              <w:rPr>
                <w:rFonts w:ascii="宋体" w:hAnsi="宋体" w:cs="宋体" w:eastAsia="宋体" w:hint="default"/>
                <w:spacing w:val="-2"/>
                <w:sz w:val="18"/>
                <w:szCs w:val="18"/>
              </w:rPr>
              <w:t>层面享</w:t>
            </w:r>
            <w:r>
              <w:rPr>
                <w:rFonts w:ascii="宋体" w:hAnsi="宋体" w:cs="宋体" w:eastAsia="宋体" w:hint="default"/>
                <w:w w:val="101"/>
                <w:sz w:val="18"/>
                <w:szCs w:val="18"/>
              </w:rPr>
              <w:t> </w:t>
            </w:r>
            <w:r>
              <w:rPr>
                <w:rFonts w:ascii="宋体" w:hAnsi="宋体" w:cs="宋体" w:eastAsia="宋体" w:hint="default"/>
                <w:spacing w:val="-2"/>
                <w:sz w:val="18"/>
                <w:szCs w:val="18"/>
              </w:rPr>
              <w:t>有该子</w:t>
            </w:r>
            <w:r>
              <w:rPr>
                <w:rFonts w:ascii="宋体" w:hAnsi="宋体" w:cs="宋体" w:eastAsia="宋体" w:hint="default"/>
                <w:w w:val="101"/>
                <w:sz w:val="18"/>
                <w:szCs w:val="18"/>
              </w:rPr>
              <w:t> </w:t>
            </w:r>
            <w:r>
              <w:rPr>
                <w:rFonts w:ascii="宋体" w:hAnsi="宋体" w:cs="宋体" w:eastAsia="宋体" w:hint="default"/>
                <w:spacing w:val="-2"/>
                <w:sz w:val="18"/>
                <w:szCs w:val="18"/>
              </w:rPr>
              <w:t>公司净</w:t>
            </w:r>
            <w:r>
              <w:rPr>
                <w:rFonts w:ascii="宋体" w:hAnsi="宋体" w:cs="宋体" w:eastAsia="宋体" w:hint="default"/>
                <w:w w:val="101"/>
                <w:sz w:val="18"/>
                <w:szCs w:val="18"/>
              </w:rPr>
              <w:t> </w:t>
            </w:r>
            <w:r>
              <w:rPr>
                <w:rFonts w:ascii="宋体" w:hAnsi="宋体" w:cs="宋体" w:eastAsia="宋体" w:hint="default"/>
                <w:spacing w:val="-2"/>
                <w:sz w:val="18"/>
                <w:szCs w:val="18"/>
              </w:rPr>
              <w:t>资产份</w:t>
            </w:r>
            <w:r>
              <w:rPr>
                <w:rFonts w:ascii="宋体" w:hAnsi="宋体" w:cs="宋体" w:eastAsia="宋体" w:hint="default"/>
                <w:w w:val="101"/>
                <w:sz w:val="18"/>
                <w:szCs w:val="18"/>
              </w:rPr>
              <w:t> </w:t>
            </w:r>
            <w:r>
              <w:rPr>
                <w:rFonts w:ascii="宋体" w:hAnsi="宋体" w:cs="宋体" w:eastAsia="宋体" w:hint="default"/>
                <w:spacing w:val="-2"/>
                <w:sz w:val="18"/>
                <w:szCs w:val="18"/>
              </w:rPr>
              <w:t>额的差</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89"/>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公允价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按照公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重新计</w:t>
            </w:r>
            <w:r>
              <w:rPr>
                <w:rFonts w:ascii="宋体" w:hAnsi="宋体" w:cs="宋体" w:eastAsia="宋体" w:hint="default"/>
                <w:w w:val="101"/>
                <w:sz w:val="18"/>
                <w:szCs w:val="18"/>
              </w:rPr>
              <w:t> </w:t>
            </w:r>
            <w:r>
              <w:rPr>
                <w:rFonts w:ascii="宋体" w:hAnsi="宋体" w:cs="宋体" w:eastAsia="宋体" w:hint="default"/>
                <w:spacing w:val="-2"/>
                <w:sz w:val="18"/>
                <w:szCs w:val="18"/>
              </w:rPr>
              <w:t>量剩余</w:t>
            </w:r>
            <w:r>
              <w:rPr>
                <w:rFonts w:ascii="宋体" w:hAnsi="宋体" w:cs="宋体" w:eastAsia="宋体" w:hint="default"/>
                <w:w w:val="101"/>
                <w:sz w:val="18"/>
                <w:szCs w:val="18"/>
              </w:rPr>
              <w:t> </w:t>
            </w:r>
            <w:r>
              <w:rPr>
                <w:rFonts w:ascii="宋体" w:hAnsi="宋体" w:cs="宋体" w:eastAsia="宋体" w:hint="default"/>
                <w:spacing w:val="-2"/>
                <w:sz w:val="18"/>
                <w:szCs w:val="18"/>
              </w:rPr>
              <w:t>股权产</w:t>
            </w:r>
            <w:r>
              <w:rPr>
                <w:rFonts w:ascii="宋体" w:hAnsi="宋体" w:cs="宋体" w:eastAsia="宋体" w:hint="default"/>
                <w:w w:val="101"/>
                <w:sz w:val="18"/>
                <w:szCs w:val="18"/>
              </w:rPr>
              <w:t> </w:t>
            </w:r>
            <w:r>
              <w:rPr>
                <w:rFonts w:ascii="宋体" w:hAnsi="宋体" w:cs="宋体" w:eastAsia="宋体" w:hint="default"/>
                <w:spacing w:val="-2"/>
                <w:sz w:val="18"/>
                <w:szCs w:val="18"/>
              </w:rPr>
              <w:t>生的利</w:t>
            </w:r>
            <w:r>
              <w:rPr>
                <w:rFonts w:ascii="宋体" w:hAnsi="宋体" w:cs="宋体" w:eastAsia="宋体" w:hint="default"/>
                <w:w w:val="101"/>
                <w:sz w:val="18"/>
                <w:szCs w:val="18"/>
              </w:rPr>
              <w:t> </w:t>
            </w:r>
            <w:r>
              <w:rPr>
                <w:rFonts w:ascii="宋体" w:hAnsi="宋体" w:cs="宋体" w:eastAsia="宋体" w:hint="default"/>
                <w:spacing w:val="-2"/>
                <w:sz w:val="18"/>
                <w:szCs w:val="18"/>
              </w:rPr>
              <w:t>得或损</w:t>
            </w:r>
            <w:r>
              <w:rPr>
                <w:rFonts w:ascii="宋体" w:hAnsi="宋体" w:cs="宋体" w:eastAsia="宋体" w:hint="default"/>
                <w:w w:val="101"/>
                <w:sz w:val="18"/>
                <w:szCs w:val="18"/>
              </w:rPr>
              <w:t> </w:t>
            </w:r>
            <w:r>
              <w:rPr>
                <w:rFonts w:ascii="宋体" w:hAnsi="宋体" w:cs="宋体" w:eastAsia="宋体" w:hint="default"/>
                <w:sz w:val="18"/>
                <w:szCs w:val="18"/>
              </w:rPr>
              <w:t>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的确定</w:t>
            </w:r>
            <w:r>
              <w:rPr>
                <w:rFonts w:ascii="宋体" w:hAnsi="宋体" w:cs="宋体" w:eastAsia="宋体" w:hint="default"/>
                <w:w w:val="101"/>
                <w:sz w:val="18"/>
                <w:szCs w:val="18"/>
              </w:rPr>
              <w:t> </w:t>
            </w:r>
            <w:r>
              <w:rPr>
                <w:rFonts w:ascii="宋体" w:hAnsi="宋体" w:cs="宋体" w:eastAsia="宋体" w:hint="default"/>
                <w:spacing w:val="-2"/>
                <w:sz w:val="18"/>
                <w:szCs w:val="18"/>
              </w:rPr>
              <w:t>方法及</w:t>
            </w:r>
            <w:r>
              <w:rPr>
                <w:rFonts w:ascii="宋体" w:hAnsi="宋体" w:cs="宋体" w:eastAsia="宋体" w:hint="default"/>
                <w:w w:val="101"/>
                <w:sz w:val="18"/>
                <w:szCs w:val="18"/>
              </w:rPr>
              <w:t> </w:t>
            </w:r>
            <w:r>
              <w:rPr>
                <w:rFonts w:ascii="宋体" w:hAnsi="宋体" w:cs="宋体" w:eastAsia="宋体" w:hint="default"/>
                <w:spacing w:val="-2"/>
                <w:sz w:val="18"/>
                <w:szCs w:val="18"/>
              </w:rPr>
              <w:t>主要假</w:t>
            </w:r>
            <w:r>
              <w:rPr>
                <w:rFonts w:ascii="宋体" w:hAnsi="宋体" w:cs="宋体" w:eastAsia="宋体" w:hint="default"/>
                <w:w w:val="101"/>
                <w:sz w:val="18"/>
                <w:szCs w:val="18"/>
              </w:rPr>
              <w:t> </w:t>
            </w:r>
            <w:r>
              <w:rPr>
                <w:rFonts w:ascii="宋体" w:hAnsi="宋体" w:cs="宋体" w:eastAsia="宋体" w:hint="default"/>
                <w:sz w:val="18"/>
                <w:szCs w:val="18"/>
              </w:rPr>
              <w:t>设</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转入投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r>
      <w:tr>
        <w:trPr>
          <w:trHeight w:val="446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z w:val="18"/>
                <w:szCs w:val="18"/>
              </w:rPr>
              <w:t>海南先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锋网信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小额贷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137,750,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3" w:right="156"/>
              <w:jc w:val="left"/>
              <w:rPr>
                <w:rFonts w:ascii="宋体" w:hAnsi="宋体" w:cs="宋体" w:eastAsia="宋体" w:hint="default"/>
                <w:sz w:val="18"/>
                <w:szCs w:val="18"/>
              </w:rPr>
            </w:pPr>
            <w:r>
              <w:rPr>
                <w:rFonts w:ascii="宋体" w:hAnsi="宋体" w:cs="宋体" w:eastAsia="宋体" w:hint="default"/>
                <w:sz w:val="18"/>
                <w:szCs w:val="18"/>
              </w:rPr>
              <w:t>对外转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股权转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让协议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已经董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事会批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准，截止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316" w:lineRule="auto" w:before="63"/>
              <w:ind w:left="23" w:right="17"/>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日，公司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已收取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8265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26,715,2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53.88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5" w:lineRule="auto" w:before="53"/>
        <w:ind w:right="1119"/>
        <w:jc w:val="left"/>
        <w:rPr>
          <w:rFonts w:ascii="Times New Roman" w:hAnsi="Times New Roman" w:cs="Times New Roman" w:eastAsia="Times New Roman" w:hint="default"/>
        </w:rPr>
      </w:pPr>
      <w:r>
        <w:rPr>
          <w:spacing w:val="-3"/>
        </w:rPr>
        <w:t>其他说明：公司全资子公司北京瑞成汇达科技有限公司与北京海湾京城房地产开发有限公司以下简称</w:t>
      </w:r>
      <w:r>
        <w:rPr>
          <w:rFonts w:ascii="Times New Roman" w:hAnsi="Times New Roman" w:cs="Times New Roman" w:eastAsia="Times New Roman" w:hint="default"/>
          <w:spacing w:val="-3"/>
        </w:rPr>
        <w:t>“</w:t>
      </w:r>
      <w:r>
        <w:rPr>
          <w:spacing w:val="-3"/>
        </w:rPr>
        <w:t>海湾京城房地产</w:t>
      </w:r>
      <w:r>
        <w:rPr>
          <w:rFonts w:ascii="Times New Roman" w:hAnsi="Times New Roman" w:cs="Times New Roman" w:eastAsia="Times New Roman" w:hint="default"/>
          <w:spacing w:val="-3"/>
        </w:rPr>
        <w:t>” </w:t>
      </w:r>
      <w:r>
        <w:rPr/>
        <w:t>）</w:t>
      </w:r>
      <w:r>
        <w:rPr>
          <w:spacing w:val="-57"/>
        </w:rPr>
        <w:t> </w:t>
      </w:r>
      <w:r>
        <w:rPr>
          <w:spacing w:val="-6"/>
          <w:w w:val="101"/>
        </w:rPr>
        <w:t>签订股权转让协议，将持有的海南先锋网信小额贷款有限公司</w:t>
      </w:r>
      <w:r>
        <w:rPr>
          <w:spacing w:val="-58"/>
          <w:w w:val="101"/>
        </w:rPr>
        <w:t> </w:t>
      </w:r>
      <w:r>
        <w:rPr>
          <w:rFonts w:ascii="Times New Roman" w:hAnsi="Times New Roman" w:cs="Times New Roman" w:eastAsia="Times New Roman" w:hint="default"/>
          <w:spacing w:val="-3"/>
          <w:w w:val="101"/>
        </w:rPr>
        <w:t>51%</w:t>
      </w:r>
      <w:r>
        <w:rPr>
          <w:spacing w:val="-3"/>
          <w:w w:val="101"/>
        </w:rPr>
        <w:t>的股权作价</w:t>
      </w:r>
      <w:r>
        <w:rPr>
          <w:spacing w:val="-58"/>
          <w:w w:val="101"/>
        </w:rPr>
        <w:t> </w:t>
      </w:r>
      <w:r>
        <w:rPr>
          <w:rFonts w:ascii="Times New Roman" w:hAnsi="Times New Roman" w:cs="Times New Roman" w:eastAsia="Times New Roman" w:hint="default"/>
          <w:spacing w:val="-2"/>
          <w:w w:val="101"/>
        </w:rPr>
        <w:t>13,775</w:t>
      </w:r>
      <w:r>
        <w:rPr>
          <w:rFonts w:ascii="Times New Roman" w:hAnsi="Times New Roman" w:cs="Times New Roman" w:eastAsia="Times New Roman" w:hint="default"/>
          <w:w w:val="101"/>
        </w:rPr>
        <w:t> </w:t>
      </w:r>
      <w:r>
        <w:rPr>
          <w:rFonts w:ascii="Times New Roman" w:hAnsi="Times New Roman" w:cs="Times New Roman" w:eastAsia="Times New Roman" w:hint="default"/>
          <w:spacing w:val="14"/>
          <w:w w:val="101"/>
        </w:rPr>
        <w:t> </w:t>
      </w:r>
      <w:r>
        <w:rPr>
          <w:spacing w:val="-9"/>
          <w:w w:val="101"/>
        </w:rPr>
        <w:t>万元转让给海湾京城房地产，截至</w:t>
      </w:r>
      <w:r>
        <w:rPr>
          <w:spacing w:val="-64"/>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2"/>
        </w:rPr>
      </w:r>
    </w:p>
    <w:p>
      <w:pPr>
        <w:pStyle w:val="BodyText"/>
        <w:spacing w:line="338" w:lineRule="auto" w:before="21"/>
        <w:ind w:right="1126"/>
        <w:jc w:val="left"/>
      </w:pP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日，海湾京城房地产已支付转让价款的</w:t>
      </w:r>
      <w:r>
        <w:rPr>
          <w:spacing w:val="-41"/>
        </w:rPr>
        <w:t> </w:t>
      </w:r>
      <w:r>
        <w:rPr>
          <w:rFonts w:ascii="Times New Roman" w:hAnsi="Times New Roman" w:cs="Times New Roman" w:eastAsia="Times New Roman" w:hint="default"/>
        </w:rPr>
        <w:t>60%</w:t>
      </w:r>
      <w:r>
        <w:rPr/>
        <w:t>计</w:t>
      </w:r>
      <w:r>
        <w:rPr>
          <w:spacing w:val="-41"/>
        </w:rPr>
        <w:t> </w:t>
      </w:r>
      <w:r>
        <w:rPr>
          <w:rFonts w:ascii="Times New Roman" w:hAnsi="Times New Roman" w:cs="Times New Roman" w:eastAsia="Times New Roman" w:hint="default"/>
          <w:spacing w:val="-3"/>
        </w:rPr>
        <w:t>8,265</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日已收到剩余款项</w:t>
      </w:r>
      <w:r>
        <w:rPr>
          <w:spacing w:val="-41"/>
        </w:rPr>
        <w:t> </w:t>
      </w:r>
      <w:r>
        <w:rPr>
          <w:rFonts w:ascii="Times New Roman" w:hAnsi="Times New Roman" w:cs="Times New Roman" w:eastAsia="Times New Roman" w:hint="default"/>
        </w:rPr>
        <w:t>5,510</w:t>
      </w:r>
      <w:r>
        <w:rPr>
          <w:rFonts w:ascii="Times New Roman" w:hAnsi="Times New Roman" w:cs="Times New Roman" w:eastAsia="Times New Roman" w:hint="default"/>
          <w:spacing w:val="-2"/>
        </w:rPr>
        <w:t> </w:t>
      </w:r>
      <w:r>
        <w:rPr/>
        <w:t>万元。</w:t>
      </w:r>
      <w:r>
        <w:rPr>
          <w:spacing w:val="-87"/>
        </w:rPr>
        <w:t> </w:t>
      </w:r>
      <w:r>
        <w:rPr>
          <w:spacing w:val="-87"/>
        </w:rPr>
      </w:r>
      <w:r>
        <w:rPr>
          <w:spacing w:val="-3"/>
        </w:rPr>
        <w:t>是否存在通过多次交易分步处置对子公司投资且在本期丧失控制权的情形</w:t>
      </w:r>
    </w:p>
    <w:p>
      <w:pPr>
        <w:pStyle w:val="BodyText"/>
        <w:spacing w:line="240" w:lineRule="auto" w:before="46"/>
        <w:ind w:right="112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3、其他原因的合并范围变动" w:id="362"/>
      <w:bookmarkEnd w:id="362"/>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spacing w:val="-3"/>
        </w:rPr>
        <w:t>说明其他原因导致的合并范围变动（如，新设子公司、清算子公司等）及其相关情况：</w:t>
      </w:r>
    </w:p>
    <w:p>
      <w:pPr>
        <w:spacing w:line="240" w:lineRule="auto" w:before="4"/>
        <w:rPr>
          <w:rFonts w:ascii="宋体" w:hAnsi="宋体" w:cs="宋体" w:eastAsia="宋体" w:hint="default"/>
          <w:sz w:val="26"/>
          <w:szCs w:val="26"/>
        </w:rPr>
      </w:pPr>
    </w:p>
    <w:p>
      <w:pPr>
        <w:pStyle w:val="Heading3"/>
        <w:spacing w:line="240" w:lineRule="auto"/>
        <w:ind w:right="1126"/>
        <w:jc w:val="left"/>
        <w:rPr>
          <w:b w:val="0"/>
          <w:bCs w:val="0"/>
        </w:rPr>
      </w:pPr>
      <w:bookmarkStart w:name="（1）、本年新纳入合并范围的子公司" w:id="363"/>
      <w:bookmarkEnd w:id="363"/>
      <w:r>
        <w:rPr>
          <w:b w:val="0"/>
          <w:bCs w:val="0"/>
        </w:rPr>
      </w:r>
      <w:r>
        <w:rPr/>
        <w:t>（</w:t>
      </w:r>
      <w:r>
        <w:rPr>
          <w:rFonts w:ascii="Times New Roman" w:hAnsi="Times New Roman" w:cs="Times New Roman" w:eastAsia="Times New Roman" w:hint="default"/>
        </w:rPr>
        <w:t>1</w:t>
      </w:r>
      <w:r>
        <w:rPr/>
        <w:t>）、本年新纳入合并范围的子公司</w:t>
      </w:r>
      <w:r>
        <w:rPr>
          <w:b w:val="0"/>
          <w:bCs w:val="0"/>
        </w:rPr>
      </w:r>
    </w:p>
    <w:p>
      <w:pPr>
        <w:spacing w:line="240" w:lineRule="auto" w:before="11"/>
        <w:rPr>
          <w:rFonts w:ascii="宋体" w:hAnsi="宋体" w:cs="宋体" w:eastAsia="宋体" w:hint="default"/>
          <w:b/>
          <w:bCs/>
          <w:sz w:val="25"/>
          <w:szCs w:val="25"/>
        </w:rPr>
      </w:pPr>
    </w:p>
    <w:tbl>
      <w:tblPr>
        <w:tblW w:w="0" w:type="auto"/>
        <w:jc w:val="left"/>
        <w:tblInd w:w="441" w:type="dxa"/>
        <w:tblLayout w:type="fixed"/>
        <w:tblCellMar>
          <w:top w:w="0" w:type="dxa"/>
          <w:left w:w="0" w:type="dxa"/>
          <w:bottom w:w="0" w:type="dxa"/>
          <w:right w:w="0" w:type="dxa"/>
        </w:tblCellMar>
        <w:tblLook w:val="01E0"/>
      </w:tblPr>
      <w:tblGrid>
        <w:gridCol w:w="3026"/>
        <w:gridCol w:w="830"/>
        <w:gridCol w:w="927"/>
        <w:gridCol w:w="898"/>
        <w:gridCol w:w="1426"/>
        <w:gridCol w:w="1949"/>
      </w:tblGrid>
      <w:tr>
        <w:trPr>
          <w:trHeight w:val="341" w:hRule="exact"/>
        </w:trPr>
        <w:tc>
          <w:tcPr>
            <w:tcW w:w="30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5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9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4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94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46" w:hRule="exact"/>
        </w:trPr>
        <w:tc>
          <w:tcPr>
            <w:tcW w:w="3026" w:type="dxa"/>
            <w:vMerge/>
            <w:tcBorders>
              <w:left w:val="single" w:sz="4" w:space="0" w:color="000000"/>
              <w:bottom w:val="single" w:sz="4" w:space="0" w:color="000000"/>
              <w:right w:val="single" w:sz="4" w:space="0" w:color="000000"/>
            </w:tcBorders>
            <w:shd w:val="clear" w:color="auto" w:fill="D9D9D9"/>
          </w:tcPr>
          <w:p>
            <w:pPr/>
          </w:p>
        </w:tc>
        <w:tc>
          <w:tcPr>
            <w:tcW w:w="8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898" w:type="dxa"/>
            <w:vMerge/>
            <w:tcBorders>
              <w:left w:val="single" w:sz="4" w:space="0" w:color="000000"/>
              <w:bottom w:val="single" w:sz="4" w:space="0" w:color="000000"/>
              <w:right w:val="single" w:sz="4" w:space="0" w:color="000000"/>
            </w:tcBorders>
            <w:shd w:val="clear" w:color="auto" w:fill="D9D9D9"/>
          </w:tcPr>
          <w:p>
            <w:pPr/>
          </w:p>
        </w:tc>
        <w:tc>
          <w:tcPr>
            <w:tcW w:w="1426" w:type="dxa"/>
            <w:vMerge/>
            <w:tcBorders>
              <w:left w:val="single" w:sz="4" w:space="0" w:color="000000"/>
              <w:bottom w:val="single" w:sz="4" w:space="0" w:color="000000"/>
              <w:right w:val="single" w:sz="4" w:space="0" w:color="000000"/>
            </w:tcBorders>
            <w:shd w:val="clear" w:color="auto" w:fill="D9D9D9"/>
          </w:tcPr>
          <w:p>
            <w:pPr/>
          </w:p>
        </w:tc>
        <w:tc>
          <w:tcPr>
            <w:tcW w:w="1949" w:type="dxa"/>
            <w:vMerge/>
            <w:tcBorders>
              <w:left w:val="single" w:sz="4" w:space="0" w:color="000000"/>
              <w:bottom w:val="single" w:sz="4" w:space="0" w:color="000000"/>
              <w:right w:val="single" w:sz="4" w:space="0" w:color="000000"/>
            </w:tcBorders>
            <w:shd w:val="clear" w:color="auto" w:fill="D9D9D9"/>
          </w:tcPr>
          <w:p>
            <w:pPr/>
          </w:p>
        </w:tc>
      </w:tr>
      <w:tr>
        <w:trPr>
          <w:trHeight w:val="341"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深圳市云达数据科技有限公司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30.73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934,641.50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634,641.50</w:t>
            </w:r>
          </w:p>
        </w:tc>
      </w:tr>
      <w:tr>
        <w:trPr>
          <w:trHeight w:val="341"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优友金服（常熟）供应链有限公司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1,596,493.73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596,493.73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b/>
          <w:bCs/>
          <w:sz w:val="28"/>
          <w:szCs w:val="28"/>
        </w:rPr>
      </w:pPr>
    </w:p>
    <w:tbl>
      <w:tblPr>
        <w:tblW w:w="0" w:type="auto"/>
        <w:jc w:val="left"/>
        <w:tblInd w:w="441" w:type="dxa"/>
        <w:tblLayout w:type="fixed"/>
        <w:tblCellMar>
          <w:top w:w="0" w:type="dxa"/>
          <w:left w:w="0" w:type="dxa"/>
          <w:bottom w:w="0" w:type="dxa"/>
          <w:right w:w="0" w:type="dxa"/>
        </w:tblCellMar>
        <w:tblLook w:val="01E0"/>
      </w:tblPr>
      <w:tblGrid>
        <w:gridCol w:w="3026"/>
        <w:gridCol w:w="830"/>
        <w:gridCol w:w="927"/>
        <w:gridCol w:w="898"/>
        <w:gridCol w:w="1426"/>
        <w:gridCol w:w="1949"/>
      </w:tblGrid>
      <w:tr>
        <w:trPr>
          <w:trHeight w:val="341"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内蒙古优友贸易有限公司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-5,421.10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-5,421.10</w:t>
            </w:r>
          </w:p>
        </w:tc>
      </w:tr>
      <w:tr>
        <w:trPr>
          <w:trHeight w:val="346"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深圳市臻和通讯有限公司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-370,330.76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-370,330.76</w:t>
            </w:r>
          </w:p>
        </w:tc>
      </w:tr>
      <w:tr>
        <w:trPr>
          <w:trHeight w:val="341"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广东臻和实业有限公司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49,768,889.69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-231,110.31</w:t>
            </w:r>
          </w:p>
        </w:tc>
      </w:tr>
      <w:tr>
        <w:trPr>
          <w:trHeight w:val="341"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广东臻和科技有限公司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-1,161.92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-1,161.92</w:t>
            </w:r>
          </w:p>
        </w:tc>
      </w:tr>
      <w:tr>
        <w:trPr>
          <w:trHeight w:val="341"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深圳市臻和供应链有限公司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-2,051,787.50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-2,051,787.50</w:t>
            </w:r>
          </w:p>
        </w:tc>
      </w:tr>
      <w:tr>
        <w:trPr>
          <w:trHeight w:val="346"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深圳市实丰科技有限公司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3,781,092.20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-6,218,907.80</w:t>
            </w:r>
          </w:p>
        </w:tc>
      </w:tr>
      <w:tr>
        <w:trPr>
          <w:trHeight w:val="341"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杭州爱施迪通讯有限公司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21,740.27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21,740.27</w:t>
            </w:r>
          </w:p>
        </w:tc>
      </w:tr>
      <w:tr>
        <w:trPr>
          <w:trHeight w:val="341"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唐山乐酷商贸有限公司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653" w:hRule="exact"/>
        </w:trPr>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2"/>
              <w:ind w:left="4" w:right="383"/>
              <w:jc w:val="left"/>
              <w:rPr>
                <w:rFonts w:ascii="Times New Roman" w:hAnsi="Times New Roman" w:cs="Times New Roman" w:eastAsia="Times New Roman" w:hint="default"/>
                <w:sz w:val="18"/>
                <w:szCs w:val="18"/>
              </w:rPr>
            </w:pPr>
            <w:r>
              <w:rPr>
                <w:rFonts w:ascii="Times New Roman"/>
                <w:sz w:val="18"/>
              </w:rPr>
              <w:t>MIAMI </w:t>
            </w:r>
            <w:r>
              <w:rPr>
                <w:rFonts w:ascii="Times New Roman"/>
                <w:spacing w:val="-3"/>
                <w:sz w:val="18"/>
              </w:rPr>
              <w:t>GIN </w:t>
            </w:r>
            <w:r>
              <w:rPr>
                <w:rFonts w:ascii="Times New Roman"/>
                <w:sz w:val="18"/>
              </w:rPr>
              <w:t>HUNG</w:t>
            </w:r>
            <w:r>
              <w:rPr>
                <w:rFonts w:ascii="Times New Roman"/>
                <w:spacing w:val="1"/>
                <w:sz w:val="18"/>
              </w:rPr>
              <w:t> </w:t>
            </w:r>
            <w:r>
              <w:rPr>
                <w:rFonts w:ascii="Times New Roman"/>
                <w:sz w:val="18"/>
              </w:rPr>
              <w:t>INDUSTRIAL</w:t>
            </w:r>
            <w:r>
              <w:rPr>
                <w:rFonts w:ascii="Times New Roman"/>
                <w:w w:val="101"/>
                <w:sz w:val="18"/>
              </w:rPr>
              <w:t> </w:t>
            </w:r>
            <w:r>
              <w:rPr>
                <w:rFonts w:ascii="Times New Roman"/>
                <w:sz w:val="18"/>
              </w:rPr>
              <w:t>CORPORATION</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设立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bl>
    <w:p>
      <w:pPr>
        <w:spacing w:line="240" w:lineRule="auto" w:before="6"/>
        <w:rPr>
          <w:rFonts w:ascii="宋体" w:hAnsi="宋体" w:cs="宋体" w:eastAsia="宋体" w:hint="default"/>
          <w:b/>
          <w:bCs/>
          <w:sz w:val="6"/>
          <w:szCs w:val="6"/>
        </w:rPr>
      </w:pPr>
    </w:p>
    <w:p>
      <w:pPr>
        <w:pStyle w:val="BodyText"/>
        <w:spacing w:line="300" w:lineRule="auto" w:before="46"/>
        <w:ind w:right="1126" w:firstLine="360"/>
        <w:jc w:val="left"/>
      </w:pPr>
      <w:r>
        <w:rPr>
          <w:spacing w:val="-3"/>
        </w:rPr>
        <w:t>注：唐山乐酷商贸有限公司、</w:t>
      </w:r>
      <w:r>
        <w:rPr>
          <w:rFonts w:ascii="Times New Roman" w:hAnsi="Times New Roman" w:cs="Times New Roman" w:eastAsia="Times New Roman" w:hint="default"/>
          <w:spacing w:val="-3"/>
        </w:rPr>
        <w:t>MIAMI GIN </w:t>
      </w:r>
      <w:r>
        <w:rPr>
          <w:rFonts w:ascii="Times New Roman" w:hAnsi="Times New Roman" w:cs="Times New Roman" w:eastAsia="Times New Roman" w:hint="default"/>
        </w:rPr>
        <w:t>HUNG INDUSTRIAL CORPORATION</w:t>
      </w:r>
      <w:r>
        <w:rPr/>
        <w:t>截止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日尚未开展经</w:t>
      </w:r>
      <w:r>
        <w:rPr>
          <w:w w:val="101"/>
        </w:rPr>
        <w:t> </w:t>
      </w:r>
      <w:r>
        <w:rPr/>
        <w:t>营。</w:t>
      </w:r>
    </w:p>
    <w:p>
      <w:pPr>
        <w:spacing w:line="240" w:lineRule="auto" w:before="8"/>
        <w:rPr>
          <w:rFonts w:ascii="宋体" w:hAnsi="宋体" w:cs="宋体" w:eastAsia="宋体" w:hint="default"/>
          <w:sz w:val="23"/>
          <w:szCs w:val="23"/>
        </w:rPr>
      </w:pPr>
    </w:p>
    <w:p>
      <w:pPr>
        <w:pStyle w:val="Heading3"/>
        <w:spacing w:line="240" w:lineRule="auto"/>
        <w:ind w:right="1126"/>
        <w:jc w:val="left"/>
        <w:rPr>
          <w:b w:val="0"/>
          <w:bCs w:val="0"/>
        </w:rPr>
      </w:pPr>
      <w:bookmarkStart w:name="（2）、本年不再纳入合并范围的公司" w:id="364"/>
      <w:bookmarkEnd w:id="364"/>
      <w:r>
        <w:rPr>
          <w:b w:val="0"/>
          <w:bCs w:val="0"/>
        </w:rPr>
      </w:r>
      <w:r>
        <w:rPr/>
        <w:t>（</w:t>
      </w:r>
      <w:r>
        <w:rPr>
          <w:rFonts w:ascii="Times New Roman" w:hAnsi="Times New Roman" w:cs="Times New Roman" w:eastAsia="Times New Roman" w:hint="default"/>
        </w:rPr>
        <w:t>2</w:t>
      </w:r>
      <w:r>
        <w:rPr/>
        <w:t>）、本年不再纳入合并范围的公司</w:t>
      </w:r>
      <w:r>
        <w:rPr>
          <w:b w:val="0"/>
          <w:bCs w:val="0"/>
        </w:rPr>
      </w:r>
    </w:p>
    <w:p>
      <w:pPr>
        <w:spacing w:line="240" w:lineRule="auto" w:before="11"/>
        <w:rPr>
          <w:rFonts w:ascii="宋体" w:hAnsi="宋体" w:cs="宋体" w:eastAsia="宋体" w:hint="default"/>
          <w:b/>
          <w:bCs/>
          <w:sz w:val="25"/>
          <w:szCs w:val="25"/>
        </w:rPr>
      </w:pPr>
    </w:p>
    <w:tbl>
      <w:tblPr>
        <w:tblW w:w="0" w:type="auto"/>
        <w:jc w:val="left"/>
        <w:tblInd w:w="436" w:type="dxa"/>
        <w:tblLayout w:type="fixed"/>
        <w:tblCellMar>
          <w:top w:w="0" w:type="dxa"/>
          <w:left w:w="0" w:type="dxa"/>
          <w:bottom w:w="0" w:type="dxa"/>
          <w:right w:w="0" w:type="dxa"/>
        </w:tblCellMar>
        <w:tblLook w:val="01E0"/>
      </w:tblPr>
      <w:tblGrid>
        <w:gridCol w:w="3424"/>
        <w:gridCol w:w="980"/>
        <w:gridCol w:w="850"/>
        <w:gridCol w:w="1104"/>
        <w:gridCol w:w="1321"/>
        <w:gridCol w:w="1388"/>
      </w:tblGrid>
      <w:tr>
        <w:trPr>
          <w:trHeight w:val="341" w:hRule="exact"/>
        </w:trPr>
        <w:tc>
          <w:tcPr>
            <w:tcW w:w="342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82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处置方式</w:t>
            </w:r>
          </w:p>
        </w:tc>
        <w:tc>
          <w:tcPr>
            <w:tcW w:w="132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388"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34"/>
              <w:ind w:left="509" w:right="55" w:hanging="452"/>
              <w:jc w:val="left"/>
              <w:rPr>
                <w:rFonts w:ascii="宋体" w:hAnsi="宋体" w:cs="宋体" w:eastAsia="宋体" w:hint="default"/>
                <w:sz w:val="18"/>
                <w:szCs w:val="18"/>
              </w:rPr>
            </w:pPr>
            <w:r>
              <w:rPr>
                <w:rFonts w:ascii="宋体" w:hAnsi="宋体" w:cs="宋体" w:eastAsia="宋体" w:hint="default"/>
                <w:spacing w:val="-3"/>
                <w:sz w:val="18"/>
                <w:szCs w:val="18"/>
              </w:rPr>
              <w:t>年初至处置日净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利润</w:t>
            </w:r>
          </w:p>
        </w:tc>
      </w:tr>
      <w:tr>
        <w:trPr>
          <w:trHeight w:val="341" w:hRule="exact"/>
        </w:trPr>
        <w:tc>
          <w:tcPr>
            <w:tcW w:w="3424" w:type="dxa"/>
            <w:vMerge/>
            <w:tcBorders>
              <w:left w:val="single" w:sz="4" w:space="0" w:color="000000"/>
              <w:bottom w:val="single" w:sz="4" w:space="0" w:color="000000"/>
              <w:right w:val="single" w:sz="4" w:space="0" w:color="000000"/>
            </w:tcBorders>
            <w:shd w:val="clear" w:color="auto" w:fill="D9D9D9"/>
          </w:tcPr>
          <w:p>
            <w:pPr/>
          </w:p>
        </w:tc>
        <w:tc>
          <w:tcPr>
            <w:tcW w:w="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04" w:type="dxa"/>
            <w:vMerge/>
            <w:tcBorders>
              <w:left w:val="single" w:sz="4" w:space="0" w:color="000000"/>
              <w:bottom w:val="single" w:sz="4" w:space="0" w:color="000000"/>
              <w:right w:val="single" w:sz="4" w:space="0" w:color="000000"/>
            </w:tcBorders>
            <w:shd w:val="clear" w:color="auto" w:fill="D9D9D9"/>
          </w:tcPr>
          <w:p>
            <w:pPr/>
          </w:p>
        </w:tc>
        <w:tc>
          <w:tcPr>
            <w:tcW w:w="1321" w:type="dxa"/>
            <w:vMerge/>
            <w:tcBorders>
              <w:left w:val="single" w:sz="4" w:space="0" w:color="000000"/>
              <w:bottom w:val="single" w:sz="4" w:space="0" w:color="000000"/>
              <w:right w:val="single" w:sz="4" w:space="0" w:color="000000"/>
            </w:tcBorders>
            <w:shd w:val="clear" w:color="auto" w:fill="D9D9D9"/>
          </w:tcPr>
          <w:p>
            <w:pPr/>
          </w:p>
        </w:tc>
        <w:tc>
          <w:tcPr>
            <w:tcW w:w="1388" w:type="dxa"/>
            <w:vMerge/>
            <w:tcBorders>
              <w:left w:val="single" w:sz="4" w:space="0" w:color="000000"/>
              <w:bottom w:val="single" w:sz="4" w:space="0" w:color="000000"/>
              <w:right w:val="single" w:sz="4" w:space="0" w:color="000000"/>
            </w:tcBorders>
            <w:shd w:val="clear" w:color="auto" w:fill="D9D9D9"/>
          </w:tcPr>
          <w:p>
            <w:pP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上海爱仕得通讯器材有限公司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141,012.97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1,371.10</w:t>
            </w:r>
          </w:p>
        </w:tc>
      </w:tr>
      <w:tr>
        <w:trPr>
          <w:trHeight w:val="346"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济南享易无限数码有限公司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1,834,216.31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-1,256.50</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深圳市安派易讯移动科技有限公司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172,262.49</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北京酷玩瑞成网络信息有限责任公司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5,150,208.44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2"/>
                <w:sz w:val="18"/>
              </w:rPr>
              <w:t>-81,258.06</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成都市酷动数码科技有限公司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953,902.03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-2,510,738.13</w:t>
            </w:r>
          </w:p>
        </w:tc>
      </w:tr>
      <w:tr>
        <w:trPr>
          <w:trHeight w:val="346"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北京乐动数码商贸有限公司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5,816,524.60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-338.12</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唐山酷动商贸有限公司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5,832,034.58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-3,804.85</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南京酷之动数码产品有限公司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395,681.99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-2,365.39</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西安市爱星通通信器材有限公司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6,014,359.09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-1,878.54</w:t>
            </w:r>
          </w:p>
        </w:tc>
      </w:tr>
      <w:tr>
        <w:trPr>
          <w:trHeight w:val="346"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西藏山南雪狐科技有限公司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85.00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4,733,948.55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北京铮尚游文化传播有限公司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735,109.36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-493.72</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14"/>
              <w:jc w:val="left"/>
              <w:rPr>
                <w:rFonts w:ascii="宋体" w:hAnsi="宋体" w:cs="宋体" w:eastAsia="宋体" w:hint="default"/>
                <w:sz w:val="18"/>
                <w:szCs w:val="18"/>
              </w:rPr>
            </w:pPr>
            <w:r>
              <w:rPr>
                <w:rFonts w:ascii="宋体" w:hAnsi="宋体" w:cs="宋体" w:eastAsia="宋体" w:hint="default"/>
                <w:spacing w:val="-3"/>
                <w:sz w:val="18"/>
                <w:szCs w:val="18"/>
              </w:rPr>
              <w:t>共青城酷深投资管理合伙企业（有限合伙）</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447,325.68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-643.98</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14"/>
              <w:jc w:val="left"/>
              <w:rPr>
                <w:rFonts w:ascii="宋体" w:hAnsi="宋体" w:cs="宋体" w:eastAsia="宋体" w:hint="default"/>
                <w:sz w:val="18"/>
                <w:szCs w:val="18"/>
              </w:rPr>
            </w:pPr>
            <w:r>
              <w:rPr>
                <w:rFonts w:ascii="宋体" w:hAnsi="宋体" w:cs="宋体" w:eastAsia="宋体" w:hint="default"/>
                <w:spacing w:val="-3"/>
                <w:sz w:val="18"/>
                <w:szCs w:val="18"/>
              </w:rPr>
              <w:t>共青城酷粤投资管理合伙企业（有限合伙）</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487,857.38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-9,265.70</w:t>
            </w:r>
          </w:p>
        </w:tc>
      </w:tr>
      <w:tr>
        <w:trPr>
          <w:trHeight w:val="346"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14"/>
              <w:jc w:val="left"/>
              <w:rPr>
                <w:rFonts w:ascii="宋体" w:hAnsi="宋体" w:cs="宋体" w:eastAsia="宋体" w:hint="default"/>
                <w:sz w:val="18"/>
                <w:szCs w:val="18"/>
              </w:rPr>
            </w:pPr>
            <w:r>
              <w:rPr>
                <w:rFonts w:ascii="宋体" w:hAnsi="宋体" w:cs="宋体" w:eastAsia="宋体" w:hint="default"/>
                <w:spacing w:val="-3"/>
                <w:sz w:val="18"/>
                <w:szCs w:val="18"/>
              </w:rPr>
              <w:t>共青城酷湘投资管理合伙企业（有限合伙）</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40.00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506,554.34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2"/>
                <w:sz w:val="18"/>
              </w:rPr>
              <w:t>-14,261.91</w:t>
            </w:r>
          </w:p>
        </w:tc>
      </w:tr>
      <w:tr>
        <w:trPr>
          <w:trHeight w:val="653"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南京一号机商务信息咨询合伙企业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有限合</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9,825.89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25.00</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南京一号机通讯设备有限公司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22.60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广州酷爱通讯器材有限责任公司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533.80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-180.45</w:t>
            </w:r>
          </w:p>
        </w:tc>
      </w:tr>
      <w:tr>
        <w:trPr>
          <w:trHeight w:val="346"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深圳市酷爱通讯科技有限公司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17,418.55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-382.07</w:t>
            </w:r>
          </w:p>
        </w:tc>
      </w:tr>
      <w:tr>
        <w:trPr>
          <w:trHeight w:val="341"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长春市酷爱通讯科技有限责任公司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62"/>
              <w:jc w:val="right"/>
              <w:rPr>
                <w:rFonts w:ascii="宋体" w:hAnsi="宋体" w:cs="宋体" w:eastAsia="宋体" w:hint="default"/>
                <w:sz w:val="18"/>
                <w:szCs w:val="18"/>
              </w:rPr>
            </w:pPr>
            <w:r>
              <w:rPr>
                <w:rFonts w:ascii="宋体" w:hAnsi="宋体" w:cs="宋体" w:eastAsia="宋体" w:hint="default"/>
                <w:sz w:val="18"/>
                <w:szCs w:val="18"/>
              </w:rPr>
              <w:t>注销</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1,947,845.06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bl>
    <w:p>
      <w:pPr>
        <w:pStyle w:val="BodyText"/>
        <w:spacing w:line="240" w:lineRule="auto" w:before="10"/>
        <w:ind w:left="335" w:right="1126"/>
        <w:jc w:val="left"/>
      </w:pPr>
      <w:r>
        <w:rPr>
          <w:spacing w:val="-3"/>
        </w:rPr>
        <w:t>注：以上公司因在本年注销，不再纳入合并范围。</w:t>
      </w:r>
    </w:p>
    <w:p>
      <w:pPr>
        <w:spacing w:after="0" w:line="240" w:lineRule="auto"/>
        <w:jc w:val="left"/>
        <w:sectPr>
          <w:pgSz w:w="11910" w:h="16840"/>
          <w:pgMar w:header="871" w:footer="1474" w:top="1060" w:bottom="16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26"/>
        <w:jc w:val="left"/>
        <w:rPr>
          <w:b w:val="0"/>
          <w:bCs w:val="0"/>
        </w:rPr>
      </w:pPr>
      <w:bookmarkStart w:name="九、在其他主体中的权益" w:id="365"/>
      <w:bookmarkEnd w:id="365"/>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6"/>
        <w:jc w:val="left"/>
        <w:rPr>
          <w:b w:val="0"/>
          <w:bCs w:val="0"/>
        </w:rPr>
      </w:pPr>
      <w:bookmarkStart w:name="1、在子公司中的权益" w:id="366"/>
      <w:bookmarkEnd w:id="36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企业集团的构成" w:id="367"/>
      <w:bookmarkEnd w:id="36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405"/>
        <w:gridCol w:w="994"/>
        <w:gridCol w:w="850"/>
        <w:gridCol w:w="850"/>
        <w:gridCol w:w="850"/>
        <w:gridCol w:w="711"/>
        <w:gridCol w:w="1983"/>
      </w:tblGrid>
      <w:tr>
        <w:trPr>
          <w:trHeight w:val="403" w:hRule="exact"/>
        </w:trPr>
        <w:tc>
          <w:tcPr>
            <w:tcW w:w="3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340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8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深圳市爱施德通讯科技有限公司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北京酷人通讯科技有限公司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深圳市乐享无限文化有限公司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西藏酷爱通信有限公司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北京酷沃通讯器材有限公司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北京瑞成汇达科技有限公司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天津爱施迪通讯器材有限公司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北京酷联通讯科技有限公司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深圳市享易无限营销有限公司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爱施德（香港）有限公司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CORP</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优友电子商务（深圳）有限公司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85.00%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同一控制下收购取得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深圳市优友互联有限公司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60.00%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0.25%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壹号电子商务有限公司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深圳市酷爱星通讯科技有限责任公司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51.00%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9"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深圳市酷脉科技有限公司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60.00%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深圳市爱享投资有限公司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深圳市酷众科技有限公司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60.00%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江西酷兜科技有限公司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3"/>
              <w:jc w:val="left"/>
              <w:rPr>
                <w:rFonts w:ascii="宋体" w:hAnsi="宋体" w:cs="宋体" w:eastAsia="宋体" w:hint="default"/>
                <w:sz w:val="18"/>
                <w:szCs w:val="18"/>
              </w:rPr>
            </w:pPr>
            <w:r>
              <w:rPr>
                <w:rFonts w:ascii="宋体" w:hAnsi="宋体" w:cs="宋体" w:eastAsia="宋体" w:hint="default"/>
                <w:spacing w:val="-3"/>
                <w:sz w:val="18"/>
                <w:szCs w:val="18"/>
              </w:rPr>
              <w:t>江西赣江新区爱施德网络小额贷款有限公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广州爱施德股权投资管理有限公司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深圳市一号机科技有限公司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55.00%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江西爱保保险代理有限公司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95.00%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江西爱施德保险经纪有限公司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95.00%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405"/>
        <w:gridCol w:w="994"/>
        <w:gridCol w:w="850"/>
        <w:gridCol w:w="850"/>
        <w:gridCol w:w="850"/>
        <w:gridCol w:w="711"/>
        <w:gridCol w:w="1983"/>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深圳市实丰科技有限公司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杭州爱施迪通讯有限公司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合肥酷动数码科技有限公司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石家庄酷动数码有限公司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厦门酷动数码产品有限公司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福州酷动数码产品有限公司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西安市乐动电子数码有限公司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南昌市酷动数码有限责任公司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南宁酷动数码产品有限公司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青岛酷动数码产品有限公司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济南乐动数码有限公司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武汉酷动商贸有限公司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郑州酷动电子产品有限公司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杭州酷动数码有限公司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宁波酷动数码有限公司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金华酷动数码有限公司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天津乐动数码产品有限公司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海口酷动数码有限公司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苏州乐动数码产品有限公司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赣州市酷动数码有限公司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西藏乐意数码有限公司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长沙酷动数码产品有限公司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唐山乐酷商贸有限公司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深圳市合烁数码有限公司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天津市乐潮数码科技有限公司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福建爱施迪通讯器材有限公司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天津酷人通讯科技有限公司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深圳市网爱金融服务有限公司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深圳由你网络技术有限公司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深圳市凯辰网络有限公司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深圳市新凯辰科技有限公司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南宁市享易数码有限公司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Genesis </w:t>
            </w:r>
            <w:r>
              <w:rPr>
                <w:rFonts w:ascii="Times New Roman"/>
                <w:spacing w:val="-3"/>
                <w:sz w:val="18"/>
              </w:rPr>
              <w:t>(BVI)</w:t>
            </w:r>
            <w:r>
              <w:rPr>
                <w:rFonts w:ascii="Times New Roman"/>
                <w:spacing w:val="11"/>
                <w:sz w:val="18"/>
              </w:rPr>
              <w:t> </w:t>
            </w:r>
            <w:r>
              <w:rPr>
                <w:rFonts w:ascii="Times New Roman"/>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5"/>
              <w:jc w:val="left"/>
              <w:rPr>
                <w:rFonts w:ascii="宋体" w:hAnsi="宋体" w:cs="宋体" w:eastAsia="宋体" w:hint="default"/>
                <w:sz w:val="18"/>
                <w:szCs w:val="18"/>
              </w:rPr>
            </w:pPr>
            <w:r>
              <w:rPr>
                <w:rFonts w:ascii="宋体" w:hAnsi="宋体" w:cs="宋体" w:eastAsia="宋体" w:hint="default"/>
                <w:spacing w:val="-2"/>
                <w:sz w:val="18"/>
                <w:szCs w:val="18"/>
              </w:rPr>
              <w:t>英属维尔京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群岛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z w:val="18"/>
                <w:szCs w:val="18"/>
              </w:rPr>
              <w:t>英属维尔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京群岛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405"/>
        <w:gridCol w:w="994"/>
        <w:gridCol w:w="850"/>
        <w:gridCol w:w="850"/>
        <w:gridCol w:w="850"/>
        <w:gridCol w:w="711"/>
        <w:gridCol w:w="1983"/>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Genesis </w:t>
            </w:r>
            <w:r>
              <w:rPr>
                <w:rFonts w:ascii="Times New Roman"/>
                <w:spacing w:val="-3"/>
                <w:sz w:val="18"/>
              </w:rPr>
              <w:t>(cayman)</w:t>
            </w:r>
            <w:r>
              <w:rPr>
                <w:rFonts w:ascii="Times New Roman"/>
                <w:spacing w:val="18"/>
                <w:sz w:val="18"/>
              </w:rPr>
              <w:t> </w:t>
            </w:r>
            <w:r>
              <w:rPr>
                <w:rFonts w:ascii="Times New Roman"/>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深圳市神州通数码科技有限公司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85.00%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同一控制下合并取得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深圳市酷彩科技有限公司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85.00%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深圳市互动科技有限公司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85.00%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北京汇乐之音数字文化传播有限公司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85.00%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北京龙迹天地科技有限公司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85.00%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北京雪狐影视文化咨询有限公司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85.00%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北京天地互动信息技术有限公司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85.00%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北京数码明天科技发展有限公司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85.00%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同一控制下合并取得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北京优友信息科技有限公司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60.25%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北京聚美华科技有限公司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60.25%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深圳市云达数据科技有限公司①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30.92%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深圳市优友通讯器材有限公司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中国供应链金融服务有限公司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深圳市优友商业保理有限公司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深圳市优友供应链有限公司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深圳市优友信息技术有限公司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深圳金石创新科技有限公司②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45.90%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优友金服（常熟）供应链有限公司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展弘实业有限公司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股权受让</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748"/>
              <w:jc w:val="left"/>
              <w:rPr>
                <w:rFonts w:ascii="Times New Roman" w:hAnsi="Times New Roman" w:cs="Times New Roman" w:eastAsia="Times New Roman" w:hint="default"/>
                <w:sz w:val="18"/>
                <w:szCs w:val="18"/>
              </w:rPr>
            </w:pPr>
            <w:r>
              <w:rPr>
                <w:rFonts w:ascii="Times New Roman"/>
                <w:sz w:val="18"/>
              </w:rPr>
              <w:t>MIAMI</w:t>
            </w:r>
            <w:r>
              <w:rPr>
                <w:rFonts w:ascii="Times New Roman"/>
                <w:spacing w:val="1"/>
                <w:sz w:val="18"/>
              </w:rPr>
              <w:t> </w:t>
            </w:r>
            <w:r>
              <w:rPr>
                <w:rFonts w:ascii="Times New Roman"/>
                <w:spacing w:val="-3"/>
                <w:sz w:val="18"/>
              </w:rPr>
              <w:t>GIN</w:t>
            </w:r>
            <w:r>
              <w:rPr>
                <w:rFonts w:ascii="Times New Roman"/>
                <w:spacing w:val="8"/>
                <w:sz w:val="18"/>
              </w:rPr>
              <w:t> </w:t>
            </w:r>
            <w:r>
              <w:rPr>
                <w:rFonts w:ascii="Times New Roman"/>
                <w:sz w:val="18"/>
              </w:rPr>
              <w:t>HUNG</w:t>
            </w:r>
            <w:r>
              <w:rPr>
                <w:rFonts w:ascii="Times New Roman"/>
                <w:spacing w:val="8"/>
                <w:sz w:val="18"/>
              </w:rPr>
              <w:t> </w:t>
            </w:r>
            <w:r>
              <w:rPr>
                <w:rFonts w:ascii="Times New Roman"/>
                <w:spacing w:val="-3"/>
                <w:sz w:val="18"/>
              </w:rPr>
              <w:t>INDUSTRIAL</w:t>
            </w:r>
            <w:r>
              <w:rPr>
                <w:rFonts w:ascii="Times New Roman"/>
                <w:spacing w:val="-41"/>
                <w:sz w:val="18"/>
              </w:rPr>
              <w:t> </w:t>
            </w:r>
            <w:r>
              <w:rPr>
                <w:rFonts w:ascii="Times New Roman"/>
                <w:spacing w:val="-41"/>
                <w:sz w:val="18"/>
              </w:rPr>
            </w:r>
            <w:r>
              <w:rPr>
                <w:rFonts w:ascii="Times New Roman"/>
                <w:spacing w:val="-5"/>
                <w:sz w:val="18"/>
              </w:rPr>
              <w:t>CORPORATION</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迈阿密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内蒙古优友贸易有限公司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鄂尔多斯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鄂尔多斯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深圳市臻和通讯有限公司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广东臻和实业有限公司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深圳市臻和供应链有限公司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广东臻和科技有限公司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51.00%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深圳市爱保科技信息服务有限公司③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35.00%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北京威丰科技有限公司③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35.00%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r>
        <w:trPr>
          <w:trHeight w:val="715"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共青城优友投资管理合伙企业（有限合伙</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④</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53"/>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深圳市彩梦物联有限合伙企业（有限合伙</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④</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46.51%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上海凝鹏通讯科技有限公司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Times New Roman" w:hAnsi="Times New Roman" w:cs="Times New Roman" w:eastAsia="Times New Roman" w:hint="default"/>
                <w:sz w:val="18"/>
                <w:szCs w:val="18"/>
              </w:rPr>
            </w:pPr>
            <w:r>
              <w:rPr>
                <w:rFonts w:ascii="Times New Roman"/>
                <w:sz w:val="18"/>
              </w:rPr>
              <w:t>54.90%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非同一控制下合并取得</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right="1126"/>
        <w:jc w:val="left"/>
      </w:pPr>
      <w:r>
        <w:rPr/>
        <w:t>其他说明：</w:t>
      </w:r>
    </w:p>
    <w:p>
      <w:pPr>
        <w:pStyle w:val="BodyText"/>
        <w:spacing w:line="302" w:lineRule="auto" w:before="110"/>
        <w:ind w:right="1122" w:firstLine="360"/>
        <w:jc w:val="both"/>
      </w:pPr>
      <w:r>
        <w:rPr>
          <w:spacing w:val="-3"/>
        </w:rPr>
        <w:t>①本公司控股子公司深圳市优友互联有限公司（持股 </w:t>
      </w:r>
      <w:r>
        <w:rPr>
          <w:rFonts w:ascii="Times New Roman" w:hAnsi="Times New Roman" w:cs="Times New Roman" w:eastAsia="Times New Roman" w:hint="default"/>
          <w:spacing w:val="-3"/>
        </w:rPr>
        <w:t>60.25%</w:t>
      </w:r>
      <w:r>
        <w:rPr>
          <w:spacing w:val="-3"/>
        </w:rPr>
        <w:t>）持有深圳市云达数据科技有限公司</w:t>
      </w:r>
      <w:r>
        <w:rPr>
          <w:spacing w:val="12"/>
        </w:rPr>
        <w:t> </w:t>
      </w:r>
      <w:r>
        <w:rPr>
          <w:rFonts w:ascii="Times New Roman" w:hAnsi="Times New Roman" w:cs="Times New Roman" w:eastAsia="Times New Roman" w:hint="default"/>
          <w:spacing w:val="-3"/>
        </w:rPr>
        <w:t>51%</w:t>
      </w:r>
      <w:r>
        <w:rPr>
          <w:spacing w:val="-3"/>
        </w:rPr>
        <w:t>的股份，全资子</w:t>
      </w:r>
      <w:r>
        <w:rPr>
          <w:w w:val="101"/>
        </w:rPr>
        <w:t> </w:t>
      </w:r>
      <w:r>
        <w:rPr/>
        <w:t>公司深圳市爱享投资有限公司参股 </w:t>
      </w:r>
      <w:r>
        <w:rPr>
          <w:rFonts w:ascii="Times New Roman" w:hAnsi="Times New Roman" w:cs="Times New Roman" w:eastAsia="Times New Roman" w:hint="default"/>
          <w:spacing w:val="-4"/>
        </w:rPr>
        <w:t>1%</w:t>
      </w:r>
      <w:r>
        <w:rPr>
          <w:spacing w:val="-4"/>
        </w:rPr>
        <w:t>的共青城飞越投资合伙企业（有限合伙）持有深圳市云达数据科技有限公司 </w:t>
      </w:r>
      <w:r>
        <w:rPr>
          <w:rFonts w:ascii="Times New Roman" w:hAnsi="Times New Roman" w:cs="Times New Roman" w:eastAsia="Times New Roman" w:hint="default"/>
        </w:rPr>
        <w:t>19%</w:t>
      </w:r>
      <w:r>
        <w:rPr/>
        <w:t>的股</w:t>
      </w:r>
      <w:r>
        <w:rPr>
          <w:spacing w:val="-60"/>
        </w:rPr>
        <w:t> </w:t>
      </w:r>
      <w:r>
        <w:rPr/>
        <w:t>份，本公司间接持股</w:t>
      </w:r>
      <w:r>
        <w:rPr>
          <w:spacing w:val="-43"/>
        </w:rPr>
        <w:t> </w:t>
      </w:r>
      <w:r>
        <w:rPr>
          <w:rFonts w:ascii="Times New Roman" w:hAnsi="Times New Roman" w:cs="Times New Roman" w:eastAsia="Times New Roman" w:hint="default"/>
        </w:rPr>
        <w:t>30.92%</w:t>
      </w:r>
      <w:r>
        <w:rPr/>
        <w:t>；</w:t>
      </w:r>
    </w:p>
    <w:p>
      <w:pPr>
        <w:pStyle w:val="BodyText"/>
        <w:spacing w:line="304" w:lineRule="auto" w:before="49"/>
        <w:ind w:right="1194" w:firstLine="360"/>
        <w:jc w:val="both"/>
      </w:pPr>
      <w:r>
        <w:rPr>
          <w:spacing w:val="-3"/>
        </w:rPr>
        <w:t>②本公司控股子公司深圳市优友金融服务有限公司（持股 </w:t>
      </w:r>
      <w:r>
        <w:rPr>
          <w:rFonts w:ascii="Times New Roman" w:hAnsi="Times New Roman" w:cs="Times New Roman" w:eastAsia="Times New Roman" w:hint="default"/>
          <w:spacing w:val="-3"/>
        </w:rPr>
        <w:t>51%</w:t>
      </w:r>
      <w:r>
        <w:rPr>
          <w:spacing w:val="-3"/>
        </w:rPr>
        <w:t>）持有深圳金石创新科技有限公司</w:t>
      </w:r>
      <w:r>
        <w:rPr>
          <w:spacing w:val="39"/>
        </w:rPr>
        <w:t> </w:t>
      </w:r>
      <w:r>
        <w:rPr>
          <w:rFonts w:ascii="Times New Roman" w:hAnsi="Times New Roman" w:cs="Times New Roman" w:eastAsia="Times New Roman" w:hint="default"/>
          <w:spacing w:val="-3"/>
        </w:rPr>
        <w:t>90%</w:t>
      </w:r>
      <w:r>
        <w:rPr>
          <w:spacing w:val="-3"/>
        </w:rPr>
        <w:t>的股份，本公司</w:t>
      </w:r>
      <w:r>
        <w:rPr>
          <w:w w:val="101"/>
        </w:rPr>
        <w:t> </w:t>
      </w:r>
      <w:r>
        <w:rPr/>
        <w:t>间接持股</w:t>
      </w:r>
      <w:r>
        <w:rPr>
          <w:spacing w:val="-44"/>
        </w:rPr>
        <w:t> </w:t>
      </w:r>
      <w:r>
        <w:rPr>
          <w:rFonts w:ascii="Times New Roman" w:hAnsi="Times New Roman" w:cs="Times New Roman" w:eastAsia="Times New Roman" w:hint="default"/>
        </w:rPr>
        <w:t>45.90%</w:t>
      </w:r>
      <w:r>
        <w:rPr/>
        <w:t>；</w:t>
      </w:r>
    </w:p>
    <w:p>
      <w:pPr>
        <w:pStyle w:val="BodyText"/>
        <w:spacing w:line="307" w:lineRule="auto" w:before="42"/>
        <w:ind w:right="1124" w:firstLine="360"/>
        <w:jc w:val="both"/>
      </w:pPr>
      <w:r>
        <w:rPr>
          <w:spacing w:val="-4"/>
        </w:rPr>
        <w:t>③本公司之全资子公司深圳市爱享投资有限公司（以下简称</w:t>
      </w:r>
      <w:r>
        <w:rPr>
          <w:rFonts w:ascii="Times New Roman" w:hAnsi="Times New Roman" w:cs="Times New Roman" w:eastAsia="Times New Roman" w:hint="default"/>
          <w:spacing w:val="-4"/>
        </w:rPr>
        <w:t>“</w:t>
      </w:r>
      <w:r>
        <w:rPr>
          <w:spacing w:val="-4"/>
        </w:rPr>
        <w:t>爱享投资</w:t>
      </w:r>
      <w:r>
        <w:rPr>
          <w:rFonts w:ascii="Times New Roman" w:hAnsi="Times New Roman" w:cs="Times New Roman" w:eastAsia="Times New Roman" w:hint="default"/>
          <w:spacing w:val="-4"/>
        </w:rPr>
        <w:t>”</w:t>
      </w:r>
      <w:r>
        <w:rPr>
          <w:spacing w:val="-4"/>
        </w:rPr>
        <w:t>）持有深圳市爱保科技信息服务有限公司（以下</w:t>
      </w:r>
      <w:r>
        <w:rPr>
          <w:w w:val="101"/>
        </w:rPr>
        <w:t> </w:t>
      </w:r>
      <w:r>
        <w:rPr/>
        <w:t>简称</w:t>
      </w:r>
      <w:r>
        <w:rPr>
          <w:rFonts w:ascii="Times New Roman" w:hAnsi="Times New Roman" w:cs="Times New Roman" w:eastAsia="Times New Roman" w:hint="default"/>
        </w:rPr>
        <w:t>“</w:t>
      </w:r>
      <w:r>
        <w:rPr/>
        <w:t>爱保信息</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3"/>
        </w:rPr>
        <w:t>35%</w:t>
      </w:r>
      <w:r>
        <w:rPr>
          <w:spacing w:val="-3"/>
        </w:rPr>
        <w:t>的股份，公司董事会半数以上成员由爱享投资选派，足以对董事会的决议产生重大影响，且对公司</w:t>
      </w:r>
      <w:r>
        <w:rPr>
          <w:spacing w:val="-44"/>
        </w:rPr>
        <w:t> </w:t>
      </w:r>
      <w:r>
        <w:rPr>
          <w:spacing w:val="-44"/>
        </w:rPr>
      </w:r>
      <w:r>
        <w:rPr>
          <w:spacing w:val="-4"/>
        </w:rPr>
        <w:t>的经营方针、决策和业务运营起核心作用。故爱享投资控制爱保信息，将其纳入合并范围。爱保信息持有北京威丰科技有限</w:t>
      </w:r>
      <w:r>
        <w:rPr>
          <w:spacing w:val="40"/>
        </w:rPr>
        <w:t> </w:t>
      </w:r>
      <w:r>
        <w:rPr>
          <w:spacing w:val="40"/>
        </w:rPr>
      </w:r>
      <w:r>
        <w:rPr/>
        <w:t>公司</w:t>
      </w:r>
      <w:r>
        <w:rPr>
          <w:spacing w:val="-43"/>
        </w:rPr>
        <w:t> </w:t>
      </w:r>
      <w:r>
        <w:rPr>
          <w:rFonts w:ascii="Times New Roman" w:hAnsi="Times New Roman" w:cs="Times New Roman" w:eastAsia="Times New Roman" w:hint="default"/>
        </w:rPr>
        <w:t>100%</w:t>
      </w:r>
      <w:r>
        <w:rPr/>
        <w:t>股权；</w:t>
      </w:r>
    </w:p>
    <w:p>
      <w:pPr>
        <w:pStyle w:val="BodyText"/>
        <w:spacing w:line="314" w:lineRule="auto" w:before="40"/>
        <w:ind w:right="0" w:firstLine="360"/>
        <w:jc w:val="left"/>
      </w:pPr>
      <w:r>
        <w:rPr>
          <w:spacing w:val="-5"/>
          <w:w w:val="101"/>
        </w:rPr>
        <w:t>④爱享投资与公司部分核心人员共同投资设立共青城优友投资管理合伙企业（有限合伙）、深圳市彩梦物联有限合伙企</w:t>
      </w:r>
      <w:r>
        <w:rPr>
          <w:w w:val="101"/>
        </w:rPr>
        <w:t> </w:t>
      </w:r>
      <w:r>
        <w:rPr>
          <w:spacing w:val="-7"/>
          <w:w w:val="101"/>
        </w:rPr>
        <w:t>业（有限合伙）（以下简称</w:t>
      </w:r>
      <w:r>
        <w:rPr>
          <w:rFonts w:ascii="Times New Roman" w:hAnsi="Times New Roman" w:cs="Times New Roman" w:eastAsia="Times New Roman" w:hint="default"/>
          <w:spacing w:val="-7"/>
          <w:w w:val="101"/>
        </w:rPr>
        <w:t>“</w:t>
      </w:r>
      <w:r>
        <w:rPr>
          <w:spacing w:val="-7"/>
          <w:w w:val="101"/>
        </w:rPr>
        <w:t>合伙企业</w:t>
      </w:r>
      <w:r>
        <w:rPr>
          <w:rFonts w:ascii="Times New Roman" w:hAnsi="Times New Roman" w:cs="Times New Roman" w:eastAsia="Times New Roman" w:hint="default"/>
          <w:spacing w:val="-7"/>
          <w:w w:val="101"/>
        </w:rPr>
        <w:t>”</w:t>
      </w:r>
      <w:r>
        <w:rPr>
          <w:spacing w:val="-7"/>
          <w:w w:val="101"/>
        </w:rPr>
        <w:t>），系该等合伙企业的普通合伙人，执行合伙事务。该等合伙企业的合伙目的为与本公</w:t>
      </w:r>
      <w:r>
        <w:rPr>
          <w:spacing w:val="-83"/>
          <w:w w:val="101"/>
        </w:rPr>
        <w:t> </w:t>
      </w:r>
      <w:r>
        <w:rPr>
          <w:spacing w:val="-83"/>
          <w:w w:val="101"/>
        </w:rPr>
      </w:r>
      <w:r>
        <w:rPr>
          <w:spacing w:val="-3"/>
        </w:rPr>
        <w:t>司共同对外投资，所投资的公司均由本公司直接控制，且该等合伙企业除投资本公司控制的公司外无其他经营活动，所以，</w:t>
      </w:r>
      <w:r>
        <w:rPr>
          <w:spacing w:val="75"/>
        </w:rPr>
        <w:t> </w:t>
      </w:r>
      <w:r>
        <w:rPr>
          <w:spacing w:val="75"/>
        </w:rPr>
      </w:r>
      <w:r>
        <w:rPr>
          <w:spacing w:val="-3"/>
        </w:rPr>
        <w:t>爱享投资可对该等合伙企业实施控制；</w:t>
      </w:r>
    </w:p>
    <w:p>
      <w:pPr>
        <w:pStyle w:val="BodyText"/>
        <w:spacing w:line="240" w:lineRule="auto" w:before="64"/>
        <w:ind w:left="513" w:right="1126"/>
        <w:jc w:val="left"/>
      </w:pPr>
      <w:r>
        <w:rPr>
          <w:spacing w:val="-3"/>
        </w:rPr>
        <w:t>⑤持股比例按照公司最终在该等子公司的净资产中所享有的权益比例填列。</w:t>
      </w:r>
    </w:p>
    <w:p>
      <w:pPr>
        <w:spacing w:line="240" w:lineRule="auto" w:before="4"/>
        <w:rPr>
          <w:rFonts w:ascii="宋体" w:hAnsi="宋体" w:cs="宋体" w:eastAsia="宋体" w:hint="default"/>
          <w:sz w:val="26"/>
          <w:szCs w:val="26"/>
        </w:rPr>
      </w:pPr>
    </w:p>
    <w:p>
      <w:pPr>
        <w:pStyle w:val="Heading3"/>
        <w:spacing w:line="240" w:lineRule="auto"/>
        <w:ind w:right="1126"/>
        <w:jc w:val="left"/>
        <w:rPr>
          <w:b w:val="0"/>
          <w:bCs w:val="0"/>
        </w:rPr>
      </w:pPr>
      <w:bookmarkStart w:name="（2）重要的非全资子公司" w:id="368"/>
      <w:bookmarkEnd w:id="36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561"/>
        <w:gridCol w:w="1839"/>
        <w:gridCol w:w="1705"/>
        <w:gridCol w:w="1633"/>
      </w:tblGrid>
      <w:tr>
        <w:trPr>
          <w:trHeight w:val="76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pacing w:val="-2"/>
                <w:sz w:val="18"/>
                <w:szCs w:val="18"/>
              </w:rPr>
              <w:t>少数股东持股比例</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2"/>
              <w:ind w:left="648" w:right="99" w:hanging="543"/>
              <w:jc w:val="left"/>
              <w:rPr>
                <w:rFonts w:ascii="宋体" w:hAnsi="宋体" w:cs="宋体" w:eastAsia="宋体" w:hint="default"/>
                <w:sz w:val="18"/>
                <w:szCs w:val="18"/>
              </w:rPr>
            </w:pPr>
            <w:r>
              <w:rPr>
                <w:rFonts w:ascii="宋体" w:hAnsi="宋体" w:cs="宋体" w:eastAsia="宋体" w:hint="default"/>
                <w:spacing w:val="-3"/>
                <w:sz w:val="18"/>
                <w:szCs w:val="18"/>
              </w:rPr>
              <w:t>本期归属于少数股东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的损益</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2"/>
              <w:ind w:left="398" w:right="31" w:hanging="360"/>
              <w:jc w:val="left"/>
              <w:rPr>
                <w:rFonts w:ascii="宋体" w:hAnsi="宋体" w:cs="宋体" w:eastAsia="宋体" w:hint="default"/>
                <w:sz w:val="18"/>
                <w:szCs w:val="18"/>
              </w:rPr>
            </w:pPr>
            <w:r>
              <w:rPr>
                <w:rFonts w:ascii="宋体" w:hAnsi="宋体" w:cs="宋体" w:eastAsia="宋体" w:hint="default"/>
                <w:spacing w:val="-3"/>
                <w:sz w:val="18"/>
                <w:szCs w:val="18"/>
              </w:rPr>
              <w:t>本期向少数股东宣告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分派的股利</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2"/>
              <w:ind w:left="629" w:right="84" w:hanging="538"/>
              <w:jc w:val="left"/>
              <w:rPr>
                <w:rFonts w:ascii="宋体" w:hAnsi="宋体" w:cs="宋体" w:eastAsia="宋体" w:hint="default"/>
                <w:sz w:val="18"/>
                <w:szCs w:val="18"/>
              </w:rPr>
            </w:pPr>
            <w:r>
              <w:rPr>
                <w:rFonts w:ascii="宋体" w:hAnsi="宋体" w:cs="宋体" w:eastAsia="宋体" w:hint="default"/>
                <w:spacing w:val="-2"/>
                <w:sz w:val="18"/>
                <w:szCs w:val="18"/>
              </w:rPr>
              <w:t>期末少数股东权益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余额</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深圳市彩梦科技有限公司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193,072.16</w:t>
            </w:r>
          </w:p>
        </w:tc>
        <w:tc>
          <w:tcPr>
            <w:tcW w:w="170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6,242,873.46</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6,346,157.68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3" w:right="0"/>
              <w:jc w:val="left"/>
              <w:rPr>
                <w:rFonts w:ascii="Times New Roman" w:hAnsi="Times New Roman" w:cs="Times New Roman" w:eastAsia="Times New Roman" w:hint="default"/>
                <w:sz w:val="18"/>
                <w:szCs w:val="18"/>
              </w:rPr>
            </w:pPr>
            <w:r>
              <w:rPr>
                <w:rFonts w:ascii="Times New Roman"/>
                <w:sz w:val="18"/>
              </w:rPr>
              <w:t>26,714,625.71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18,802,891.22</w:t>
            </w: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深圳市优友互联有限公司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8,992,241.91</w:t>
            </w:r>
          </w:p>
        </w:tc>
        <w:tc>
          <w:tcPr>
            <w:tcW w:w="170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17,487,358.25</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重要非全资子公司的主要财务信息" w:id="369"/>
      <w:bookmarkEnd w:id="36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4"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彩梦科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42,237,1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72.98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4,017,63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46,254,8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12.30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4,635,65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5.88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4,635,65</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5.88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39,679,5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4,487,38</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3.91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44,166,9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61.34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3,834,95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3,834,95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2.63</w:t>
            </w:r>
          </w:p>
        </w:tc>
      </w:tr>
      <w:tr>
        <w:trPr>
          <w:trHeight w:val="1647"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优友金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1,915,93</w:t>
            </w:r>
          </w:p>
          <w:p>
            <w:pPr>
              <w:pStyle w:val="TableParagraph"/>
              <w:spacing w:line="240" w:lineRule="auto" w:before="110"/>
              <w:ind w:left="77" w:right="0"/>
              <w:jc w:val="left"/>
              <w:rPr>
                <w:rFonts w:ascii="Times New Roman" w:hAnsi="Times New Roman" w:cs="Times New Roman" w:eastAsia="Times New Roman" w:hint="default"/>
                <w:sz w:val="18"/>
                <w:szCs w:val="18"/>
              </w:rPr>
            </w:pPr>
            <w:r>
              <w:rPr>
                <w:rFonts w:ascii="Times New Roman"/>
                <w:sz w:val="18"/>
              </w:rPr>
              <w:t>8,399.35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13,535,8</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14.27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1,929,47</w:t>
            </w:r>
          </w:p>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4,213.62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1,890,81</w:t>
            </w:r>
          </w:p>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9,057.44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1,890,81</w:t>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9,057.44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983,832,</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800.23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8,261,25</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sz w:val="18"/>
              </w:rPr>
              <w:t>6.64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992,094,</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056.87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912,316,</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957.58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912,316,</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957.58</w:t>
            </w:r>
          </w:p>
        </w:tc>
      </w:tr>
    </w:tbl>
    <w:p>
      <w:pPr>
        <w:spacing w:after="0" w:line="240" w:lineRule="auto"/>
        <w:jc w:val="center"/>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2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优友互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214,776,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425.09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6,961,35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221,737,</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775.28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176,809,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779.70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176,809,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779.70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154,686,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978.46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8,513,60</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8.64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163,200,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587.10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141,829,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225.25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141,829,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225.25</w:t>
            </w:r>
          </w:p>
        </w:tc>
      </w:tr>
    </w:tbl>
    <w:p>
      <w:pPr>
        <w:pStyle w:val="BodyText"/>
        <w:spacing w:line="240" w:lineRule="auto" w:before="53"/>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205"/>
        <w:gridCol w:w="1061"/>
        <w:gridCol w:w="1061"/>
        <w:gridCol w:w="1066"/>
        <w:gridCol w:w="1066"/>
        <w:gridCol w:w="1066"/>
        <w:gridCol w:w="1061"/>
        <w:gridCol w:w="1061"/>
        <w:gridCol w:w="1071"/>
      </w:tblGrid>
      <w:tr>
        <w:trPr>
          <w:trHeight w:val="401" w:hRule="exact"/>
        </w:trPr>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205"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深圳市彩梦科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16,560,812.3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1,287,147.71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1,287,147.71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-1,162,916.51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32,731,506.6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862,176.74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862,176.74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-2,032,793.66</w:t>
            </w:r>
          </w:p>
        </w:tc>
      </w:tr>
      <w:tr>
        <w:trPr>
          <w:trHeight w:val="102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4"/>
              <w:jc w:val="both"/>
              <w:rPr>
                <w:rFonts w:ascii="宋体" w:hAnsi="宋体" w:cs="宋体" w:eastAsia="宋体" w:hint="default"/>
                <w:sz w:val="18"/>
                <w:szCs w:val="18"/>
              </w:rPr>
            </w:pPr>
            <w:r>
              <w:rPr>
                <w:rFonts w:ascii="宋体" w:hAnsi="宋体" w:cs="宋体" w:eastAsia="宋体" w:hint="default"/>
                <w:spacing w:val="-2"/>
                <w:sz w:val="18"/>
                <w:szCs w:val="18"/>
              </w:rPr>
              <w:t>深圳市优友金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融服务有限公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12,774,684,3</w:t>
            </w:r>
          </w:p>
          <w:p>
            <w:pPr>
              <w:pStyle w:val="TableParagraph"/>
              <w:spacing w:line="240" w:lineRule="auto" w:before="110"/>
              <w:ind w:left="623" w:right="0"/>
              <w:jc w:val="left"/>
              <w:rPr>
                <w:rFonts w:ascii="Times New Roman" w:hAnsi="Times New Roman" w:cs="Times New Roman" w:eastAsia="Times New Roman" w:hint="default"/>
                <w:sz w:val="18"/>
                <w:szCs w:val="18"/>
              </w:rPr>
            </w:pPr>
            <w:r>
              <w:rPr>
                <w:rFonts w:ascii="Times New Roman"/>
                <w:sz w:val="18"/>
              </w:rPr>
              <w:t>47.03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12,951,342.2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13,240,512.5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-299,200,830.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7,713,571,78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39,265,918.5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39,477,233.4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444,081,193.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98</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84"/>
              <w:jc w:val="left"/>
              <w:rPr>
                <w:rFonts w:ascii="宋体" w:hAnsi="宋体" w:cs="宋体" w:eastAsia="宋体" w:hint="default"/>
                <w:sz w:val="18"/>
                <w:szCs w:val="18"/>
              </w:rPr>
            </w:pPr>
            <w:r>
              <w:rPr>
                <w:rFonts w:ascii="宋体" w:hAnsi="宋体" w:cs="宋体" w:eastAsia="宋体" w:hint="default"/>
                <w:spacing w:val="-2"/>
                <w:sz w:val="18"/>
                <w:szCs w:val="18"/>
              </w:rPr>
              <w:t>深圳市优友互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联有限公司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175,717,055.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22,621,992.2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22,621,992.2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-3,606,101.24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153,287,987.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11,045,282.4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11,045,282.4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13,796,413.5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left="253" w:right="0"/>
        <w:jc w:val="left"/>
        <w:rPr>
          <w:b w:val="0"/>
          <w:bCs w:val="0"/>
        </w:rPr>
      </w:pPr>
      <w:bookmarkStart w:name="2、在合营安排或联营企业中的权益" w:id="370"/>
      <w:bookmarkEnd w:id="370"/>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3" w:right="0"/>
        <w:jc w:val="left"/>
        <w:rPr>
          <w:b w:val="0"/>
          <w:bCs w:val="0"/>
        </w:rPr>
      </w:pPr>
      <w:bookmarkStart w:name="（1）不重要的合营企业和联营企业的汇总财务信息" w:id="371"/>
      <w:bookmarkEnd w:id="371"/>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3304"/>
        <w:gridCol w:w="3070"/>
        <w:gridCol w:w="317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5,139,627.51</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32,738,065.61</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-26,363,294.32</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-214,258.50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-26,363,294.32</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-214,258.50</w:t>
            </w:r>
          </w:p>
        </w:tc>
      </w:tr>
    </w:tbl>
    <w:p>
      <w:pPr>
        <w:spacing w:line="240" w:lineRule="auto" w:before="9"/>
        <w:rPr>
          <w:rFonts w:ascii="宋体" w:hAnsi="宋体" w:cs="宋体" w:eastAsia="宋体" w:hint="default"/>
          <w:sz w:val="17"/>
          <w:szCs w:val="17"/>
        </w:rPr>
      </w:pPr>
    </w:p>
    <w:p>
      <w:pPr>
        <w:pStyle w:val="Heading2"/>
        <w:spacing w:line="240" w:lineRule="auto" w:before="26"/>
        <w:ind w:left="233" w:right="7859"/>
        <w:jc w:val="center"/>
        <w:rPr>
          <w:b w:val="0"/>
          <w:bCs w:val="0"/>
        </w:rPr>
      </w:pPr>
      <w:bookmarkStart w:name="十、与金融工具相关的风险" w:id="372"/>
      <w:bookmarkEnd w:id="372"/>
      <w:r>
        <w:rPr>
          <w:b w:val="0"/>
          <w:bCs w:val="0"/>
        </w:rPr>
      </w:r>
      <w:r>
        <w:rPr/>
        <w:t>十、与金融工具相关的风险</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253" w:right="0" w:firstLine="422"/>
        <w:jc w:val="left"/>
      </w:pPr>
      <w:r>
        <w:rPr>
          <w:spacing w:val="-2"/>
        </w:rPr>
        <w:t>本公司的主要金融工具包括股权投资、债权投资、借款、应收账款、发放贷款及垫款、应付账款，各项金融工具的详</w:t>
      </w:r>
      <w:r>
        <w:rPr>
          <w:w w:val="101"/>
        </w:rPr>
        <w:t> </w:t>
      </w:r>
      <w:r>
        <w:rPr>
          <w:spacing w:val="-6"/>
          <w:w w:val="101"/>
        </w:rPr>
        <w:t>细情况说明见本附注六相关项目。与这些金融工具有关的风险，以及本公司为降低这些风险所采取的风险管理政策如下所述。</w:t>
      </w:r>
      <w:r>
        <w:rPr>
          <w:spacing w:val="-66"/>
          <w:w w:val="101"/>
        </w:rPr>
        <w:t> </w:t>
      </w:r>
      <w:r>
        <w:rPr>
          <w:spacing w:val="-66"/>
          <w:w w:val="101"/>
        </w:rPr>
      </w:r>
      <w:r>
        <w:rPr>
          <w:spacing w:val="-3"/>
        </w:rPr>
        <w:t>本公司管理层对这些风险敞口进行管理和监控以确保将上述风险控制在限定的范围之内。</w:t>
      </w:r>
    </w:p>
    <w:p>
      <w:pPr>
        <w:pStyle w:val="BodyText"/>
        <w:spacing w:line="319" w:lineRule="auto" w:before="19"/>
        <w:ind w:left="253" w:right="1124" w:firstLine="422"/>
        <w:jc w:val="both"/>
      </w:pPr>
      <w:r>
        <w:rPr>
          <w:spacing w:val="-2"/>
        </w:rPr>
        <w:t>本公司采用敏感性分析技术分析风险变量的合理、可能变化对当期损益或股东权益可能产生的影响。由于任何风险变</w:t>
      </w:r>
      <w:r>
        <w:rPr>
          <w:w w:val="101"/>
        </w:rPr>
        <w:t> </w:t>
      </w:r>
      <w:r>
        <w:rPr>
          <w:spacing w:val="-4"/>
        </w:rPr>
        <w:t>量很少孤立地发生变化，而变量之间存在的相关性对某一风险变量的变化的最终影响金额将产生重大作用，因此下述内容是</w:t>
      </w:r>
      <w:r>
        <w:rPr>
          <w:spacing w:val="43"/>
        </w:rPr>
        <w:t> </w:t>
      </w:r>
      <w:r>
        <w:rPr>
          <w:spacing w:val="43"/>
        </w:rPr>
      </w:r>
      <w:r>
        <w:rPr>
          <w:spacing w:val="-3"/>
        </w:rPr>
        <w:t>在假设每一变量的变化是在独立的情况下进行的。</w:t>
      </w:r>
    </w:p>
    <w:p>
      <w:pPr>
        <w:pStyle w:val="Heading6"/>
        <w:spacing w:line="240" w:lineRule="auto" w:before="17"/>
        <w:ind w:left="675" w:right="0"/>
        <w:jc w:val="left"/>
        <w:rPr>
          <w:b w:val="0"/>
          <w:bCs w:val="0"/>
        </w:rPr>
      </w:pPr>
      <w:r>
        <w:rPr/>
        <w:t>（一）风险管理目标和政策</w:t>
      </w:r>
      <w:r>
        <w:rPr>
          <w:b w:val="0"/>
          <w:bCs w:val="0"/>
        </w:rPr>
      </w:r>
    </w:p>
    <w:p>
      <w:pPr>
        <w:spacing w:after="0" w:line="240" w:lineRule="auto"/>
        <w:jc w:val="left"/>
        <w:sectPr>
          <w:pgSz w:w="11910" w:h="16840"/>
          <w:pgMar w:header="871" w:footer="1474" w:top="1060" w:bottom="1660" w:left="880" w:right="0"/>
        </w:sectPr>
      </w:pPr>
    </w:p>
    <w:p>
      <w:pPr>
        <w:spacing w:line="240" w:lineRule="auto" w:before="1"/>
        <w:rPr>
          <w:rFonts w:ascii="宋体" w:hAnsi="宋体" w:cs="宋体" w:eastAsia="宋体" w:hint="default"/>
          <w:b/>
          <w:bCs/>
          <w:sz w:val="26"/>
          <w:szCs w:val="26"/>
        </w:rPr>
      </w:pPr>
    </w:p>
    <w:p>
      <w:pPr>
        <w:pStyle w:val="BodyText"/>
        <w:spacing w:line="319" w:lineRule="auto" w:before="46"/>
        <w:ind w:right="1124" w:firstLine="422"/>
        <w:jc w:val="both"/>
      </w:pPr>
      <w:r>
        <w:rPr>
          <w:spacing w:val="-2"/>
        </w:rPr>
        <w:t>本公司从事风险管理的目标是在风险和收益之间取得适当的平衡，将风险对本公司经营业绩的负面影响降低到最低水</w:t>
      </w:r>
      <w:r>
        <w:rPr>
          <w:w w:val="101"/>
        </w:rPr>
        <w:t> </w:t>
      </w:r>
      <w:r>
        <w:rPr>
          <w:spacing w:val="-4"/>
        </w:rPr>
        <w:t>平，使股东及其其他权益投资者的利益最大化。基于该风险管理目标，本公司风险管理的基本策略是确定和分析本公司所面</w:t>
      </w:r>
      <w:r>
        <w:rPr>
          <w:spacing w:val="43"/>
        </w:rPr>
        <w:t> </w:t>
      </w:r>
      <w:r>
        <w:rPr>
          <w:spacing w:val="43"/>
        </w:rPr>
      </w:r>
      <w:r>
        <w:rPr>
          <w:spacing w:val="-4"/>
        </w:rPr>
        <w:t>临的各种风险，建立适当的风险承受底线和进行风险管理，并及时可靠地对各种风险进行监督，将风险控制在限定的范围之</w:t>
      </w:r>
      <w:r>
        <w:rPr>
          <w:spacing w:val="43"/>
        </w:rPr>
        <w:t> </w:t>
      </w:r>
      <w:r>
        <w:rPr>
          <w:spacing w:val="43"/>
        </w:rPr>
      </w:r>
      <w:r>
        <w:rPr/>
        <w:t>内。</w:t>
      </w:r>
    </w:p>
    <w:p>
      <w:pPr>
        <w:pStyle w:val="Heading6"/>
        <w:spacing w:line="240" w:lineRule="auto" w:before="17"/>
        <w:ind w:left="575" w:right="1126"/>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575" w:right="1126"/>
        <w:jc w:val="left"/>
      </w:pPr>
      <w:r>
        <w:rPr/>
        <w:t>（</w:t>
      </w:r>
      <w:r>
        <w:rPr>
          <w:rFonts w:ascii="Times New Roman" w:hAnsi="Times New Roman" w:cs="Times New Roman" w:eastAsia="Times New Roman" w:hint="default"/>
        </w:rPr>
        <w:t>1</w:t>
      </w:r>
      <w:r>
        <w:rPr/>
        <w:t>）外汇风险</w:t>
      </w:r>
      <w:r>
        <w:rPr>
          <w:spacing w:val="-85"/>
        </w:rPr>
        <w:t> </w:t>
      </w:r>
      <w:r>
        <w:rPr>
          <w:spacing w:val="-85"/>
        </w:rPr>
      </w:r>
      <w:r>
        <w:rPr>
          <w:spacing w:val="-2"/>
        </w:rPr>
        <w:t>外汇风险指因汇率变动产生损失的风险。本公司承受外汇风险主要与港币、美元有关，除本公司的几个下属子公司以</w:t>
      </w:r>
    </w:p>
    <w:p>
      <w:pPr>
        <w:pStyle w:val="BodyText"/>
        <w:spacing w:line="309" w:lineRule="auto" w:before="31"/>
        <w:ind w:right="1122"/>
        <w:jc w:val="both"/>
      </w:pPr>
      <w:r>
        <w:rPr>
          <w:spacing w:val="-4"/>
        </w:rPr>
        <w:t>港币、美元进行采购和销售外，本公司的其他主要业务活动以人民币计价结算。于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日，除下表所述资产或负债</w:t>
      </w:r>
      <w:r>
        <w:rPr>
          <w:spacing w:val="56"/>
        </w:rPr>
        <w:t> </w:t>
      </w:r>
      <w:r>
        <w:rPr>
          <w:spacing w:val="56"/>
        </w:rPr>
      </w:r>
      <w:r>
        <w:rPr>
          <w:spacing w:val="-4"/>
        </w:rPr>
        <w:t>为港币、美元余额外，本公司的资产及负债均为人民币余额。该等外币余额的资产和负债产生的外汇风险可能对本公司的经</w:t>
      </w:r>
      <w:r>
        <w:rPr>
          <w:spacing w:val="38"/>
        </w:rPr>
        <w:t> </w:t>
      </w:r>
      <w:r>
        <w:rPr>
          <w:spacing w:val="38"/>
        </w:rPr>
      </w:r>
      <w:r>
        <w:rPr/>
        <w:t>营业绩产生影响。</w:t>
      </w:r>
    </w:p>
    <w:p>
      <w:pPr>
        <w:spacing w:line="240" w:lineRule="auto" w:before="2"/>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511"/>
        <w:gridCol w:w="2300"/>
        <w:gridCol w:w="2411"/>
        <w:gridCol w:w="2439"/>
      </w:tblGrid>
      <w:tr>
        <w:trPr>
          <w:trHeight w:val="326"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6"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15,472,606.83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1,781,986.67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1,781,986.67</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4,246,069.82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6,730,567.89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6,730,567.89</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27,050,680.87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11,094,942.15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11,094,942.15</w:t>
            </w:r>
          </w:p>
        </w:tc>
      </w:tr>
      <w:tr>
        <w:trPr>
          <w:trHeight w:val="346"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5,870.59</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56"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7,234,231.53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1,201,315.58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1,201,315.58</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6"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564,166.95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255,989.11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255,989.11</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460,580.00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98,677,168.43</w:t>
            </w:r>
          </w:p>
        </w:tc>
      </w:tr>
      <w:tr>
        <w:trPr>
          <w:trHeight w:val="346"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11,960,869.25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98,677,168.43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r>
        <w:trPr>
          <w:trHeight w:val="326"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55" w:hRule="exact"/>
        </w:trPr>
        <w:tc>
          <w:tcPr>
            <w:tcW w:w="25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2"/>
                <w:sz w:val="18"/>
              </w:rPr>
              <w:t>106,790,000.00</w:t>
            </w:r>
          </w:p>
        </w:tc>
        <w:tc>
          <w:tcPr>
            <w:tcW w:w="2411" w:type="dxa"/>
            <w:tcBorders>
              <w:top w:val="single" w:sz="8" w:space="0" w:color="000000"/>
              <w:left w:val="single" w:sz="4" w:space="0" w:color="000000"/>
              <w:bottom w:val="single" w:sz="4" w:space="0" w:color="000000"/>
              <w:right w:val="single" w:sz="4" w:space="0" w:color="000000"/>
            </w:tcBorders>
          </w:tcPr>
          <w:p>
            <w:pPr/>
          </w:p>
        </w:tc>
        <w:tc>
          <w:tcPr>
            <w:tcW w:w="2439" w:type="dxa"/>
            <w:tcBorders>
              <w:top w:val="single" w:sz="8" w:space="0" w:color="000000"/>
              <w:left w:val="single" w:sz="4" w:space="0" w:color="000000"/>
              <w:bottom w:val="single" w:sz="4" w:space="0" w:color="000000"/>
              <w:right w:val="single" w:sz="4" w:space="0" w:color="000000"/>
            </w:tcBorders>
          </w:tcPr>
          <w:p>
            <w:pPr/>
          </w:p>
        </w:tc>
      </w:tr>
      <w:tr>
        <w:trPr>
          <w:trHeight w:val="346"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214,500,000.00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574,000,000.00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574,000,000.00</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1,475,344.12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1,475,344.12</w:t>
            </w:r>
          </w:p>
        </w:tc>
      </w:tr>
      <w:tr>
        <w:trPr>
          <w:trHeight w:val="326"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60"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pacing w:val="-2"/>
                <w:sz w:val="18"/>
              </w:rPr>
              <w:t>297,647.02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pacing w:val="-1"/>
                <w:sz w:val="18"/>
              </w:rPr>
              <w:t>243,260.57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pacing w:val="-1"/>
                <w:sz w:val="18"/>
              </w:rPr>
              <w:t>243,260.57</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1,850.00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1,158,060.00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1,158,060.00</w:t>
            </w: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2,923,389.29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16,249.92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16,249.92</w:t>
            </w:r>
          </w:p>
        </w:tc>
      </w:tr>
      <w:tr>
        <w:trPr>
          <w:trHeight w:val="346"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184,083.72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26,547.50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26,547.50</w:t>
            </w:r>
          </w:p>
        </w:tc>
      </w:tr>
      <w:tr>
        <w:trPr>
          <w:trHeight w:val="326"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70" w:hRule="exact"/>
        </w:trPr>
        <w:tc>
          <w:tcPr>
            <w:tcW w:w="2511" w:type="dxa"/>
            <w:tcBorders>
              <w:top w:val="single" w:sz="8" w:space="0" w:color="000000"/>
              <w:left w:val="single" w:sz="4" w:space="0" w:color="000000"/>
              <w:bottom w:val="single" w:sz="8" w:space="0" w:color="D9D9D9"/>
              <w:right w:val="single" w:sz="4" w:space="0" w:color="000000"/>
            </w:tcBorders>
          </w:tcPr>
          <w:p>
            <w:pPr>
              <w:pStyle w:val="TableParagraph"/>
              <w:spacing w:line="240" w:lineRule="auto" w:before="3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8" w:space="0" w:color="000000"/>
              <w:left w:val="single" w:sz="4" w:space="0" w:color="000000"/>
              <w:bottom w:val="single" w:sz="8" w:space="0" w:color="D9D9D9"/>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411" w:type="dxa"/>
            <w:tcBorders>
              <w:top w:val="single" w:sz="8" w:space="0" w:color="000000"/>
              <w:left w:val="single" w:sz="4" w:space="0" w:color="000000"/>
              <w:bottom w:val="single" w:sz="8" w:space="0" w:color="D9D9D9"/>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597,605.76</w:t>
            </w:r>
          </w:p>
        </w:tc>
        <w:tc>
          <w:tcPr>
            <w:tcW w:w="2439" w:type="dxa"/>
            <w:tcBorders>
              <w:top w:val="single" w:sz="8" w:space="0" w:color="000000"/>
              <w:left w:val="single" w:sz="4" w:space="0" w:color="000000"/>
              <w:bottom w:val="single" w:sz="8" w:space="0" w:color="D9D9D9"/>
              <w:right w:val="single" w:sz="4"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597,605.76</w:t>
            </w:r>
          </w:p>
        </w:tc>
      </w:tr>
      <w:tr>
        <w:trPr>
          <w:trHeight w:val="312" w:hRule="exact"/>
        </w:trPr>
        <w:tc>
          <w:tcPr>
            <w:tcW w:w="25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after="0"/>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2511"/>
        <w:gridCol w:w="2300"/>
        <w:gridCol w:w="2411"/>
        <w:gridCol w:w="2439"/>
      </w:tblGrid>
      <w:tr>
        <w:trPr>
          <w:trHeight w:val="341"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39" w:right="0"/>
              <w:jc w:val="left"/>
              <w:rPr>
                <w:rFonts w:ascii="Times New Roman" w:hAnsi="Times New Roman" w:cs="Times New Roman" w:eastAsia="Times New Roman" w:hint="default"/>
                <w:sz w:val="18"/>
                <w:szCs w:val="18"/>
              </w:rPr>
            </w:pPr>
            <w:r>
              <w:rPr>
                <w:rFonts w:ascii="Times New Roman"/>
                <w:spacing w:val="-1"/>
                <w:sz w:val="18"/>
              </w:rPr>
              <w:t>2,844,706.13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tc>
      </w:tr>
    </w:tbl>
    <w:p>
      <w:pPr>
        <w:pStyle w:val="BodyText"/>
        <w:spacing w:line="240" w:lineRule="auto" w:before="10"/>
        <w:ind w:left="575" w:right="1126"/>
        <w:jc w:val="left"/>
      </w:pPr>
      <w:r>
        <w:rPr>
          <w:spacing w:val="-3"/>
        </w:rPr>
        <w:t>本公司密切关注汇率变动对本公司外汇风险的影响。本公司目前并未采取任何措施规避外汇风险。</w:t>
      </w:r>
    </w:p>
    <w:p>
      <w:pPr>
        <w:pStyle w:val="BodyText"/>
        <w:spacing w:line="300" w:lineRule="auto" w:before="76"/>
        <w:ind w:left="575" w:right="1126"/>
        <w:jc w:val="left"/>
      </w:pPr>
      <w:r>
        <w:rPr>
          <w:spacing w:val="-3"/>
        </w:rPr>
        <w:t>（</w:t>
      </w:r>
      <w:r>
        <w:rPr>
          <w:rFonts w:ascii="Times New Roman" w:hAnsi="Times New Roman" w:cs="Times New Roman" w:eastAsia="Times New Roman" w:hint="default"/>
          <w:spacing w:val="-3"/>
        </w:rPr>
        <w:t>2</w:t>
      </w:r>
      <w:r>
        <w:rPr>
          <w:spacing w:val="-3"/>
        </w:rPr>
        <w:t>）利率风险－现金流量变动风险</w:t>
      </w:r>
      <w:r>
        <w:rPr>
          <w:spacing w:val="-40"/>
        </w:rPr>
        <w:t> </w:t>
      </w:r>
      <w:r>
        <w:rPr>
          <w:spacing w:val="-40"/>
        </w:rPr>
      </w:r>
      <w:r>
        <w:rPr>
          <w:spacing w:val="-3"/>
        </w:rPr>
        <w:t>本公司因利率变动引起金融工具现金流量变动的风险主要与浮动利率银行借款</w:t>
      </w:r>
      <w:r>
        <w:rPr>
          <w:rFonts w:ascii="Times New Roman" w:hAnsi="Times New Roman" w:cs="Times New Roman" w:eastAsia="Times New Roman" w:hint="default"/>
          <w:spacing w:val="-3"/>
        </w:rPr>
        <w:t>(</w:t>
      </w:r>
      <w:r>
        <w:rPr>
          <w:spacing w:val="-3"/>
        </w:rPr>
        <w:t>详见本附注七、合并财务报表项目注释</w:t>
      </w:r>
    </w:p>
    <w:p>
      <w:pPr>
        <w:pStyle w:val="BodyText"/>
        <w:spacing w:line="240" w:lineRule="auto" w:before="13"/>
        <w:ind w:right="1126"/>
        <w:jc w:val="left"/>
      </w:pPr>
      <w:r>
        <w:rPr>
          <w:spacing w:val="-3"/>
        </w:rPr>
        <w:t>相关项目</w:t>
      </w:r>
      <w:r>
        <w:rPr>
          <w:rFonts w:ascii="Times New Roman" w:hAnsi="Times New Roman" w:cs="Times New Roman" w:eastAsia="Times New Roman" w:hint="default"/>
          <w:spacing w:val="-3"/>
        </w:rPr>
        <w:t>)</w:t>
      </w:r>
      <w:r>
        <w:rPr>
          <w:spacing w:val="-3"/>
        </w:rPr>
        <w:t>有关。本公司的政策是保持这些借款的浮动利率。</w:t>
      </w:r>
    </w:p>
    <w:p>
      <w:pPr>
        <w:pStyle w:val="BodyText"/>
        <w:spacing w:line="300" w:lineRule="auto" w:before="63"/>
        <w:ind w:left="575" w:right="1126"/>
        <w:jc w:val="left"/>
      </w:pPr>
      <w:r>
        <w:rPr/>
        <w:t>（</w:t>
      </w:r>
      <w:r>
        <w:rPr>
          <w:rFonts w:ascii="Times New Roman" w:hAnsi="Times New Roman" w:cs="Times New Roman" w:eastAsia="Times New Roman" w:hint="default"/>
        </w:rPr>
        <w:t>3</w:t>
      </w:r>
      <w:r>
        <w:rPr/>
        <w:t>）其他价格风险</w:t>
      </w:r>
      <w:r>
        <w:rPr>
          <w:spacing w:val="-85"/>
        </w:rPr>
        <w:t> </w:t>
      </w:r>
      <w:r>
        <w:rPr>
          <w:spacing w:val="-85"/>
        </w:rPr>
      </w:r>
      <w:r>
        <w:rPr>
          <w:spacing w:val="-2"/>
        </w:rPr>
        <w:t>本公司持有的分类为以公允价值计量且其变动计入当期损益、以公允价值计量且其变动计入其他综合收益的金融资产</w:t>
      </w:r>
    </w:p>
    <w:p>
      <w:pPr>
        <w:pStyle w:val="BodyText"/>
        <w:spacing w:line="300" w:lineRule="auto" w:before="31"/>
        <w:ind w:right="1126"/>
        <w:jc w:val="left"/>
      </w:pPr>
      <w:r>
        <w:rPr>
          <w:spacing w:val="-4"/>
        </w:rPr>
        <w:t>的投资（</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日或之前为可供出售金融资产和交易性金融资产）在资产负债表日以公允价值计量。因此，本公司承</w:t>
      </w:r>
      <w:r>
        <w:rPr>
          <w:spacing w:val="56"/>
        </w:rPr>
        <w:t> </w:t>
      </w:r>
      <w:r>
        <w:rPr>
          <w:spacing w:val="56"/>
        </w:rPr>
      </w:r>
      <w:r>
        <w:rPr>
          <w:spacing w:val="-3"/>
        </w:rPr>
        <w:t>担着证券市场变动的风险。本公司采取持有多种权益证券组合的方式降低权益证券投资的价格风险。</w:t>
      </w:r>
      <w:r>
        <w:rPr/>
      </w:r>
    </w:p>
    <w:p>
      <w:pPr>
        <w:pStyle w:val="Heading6"/>
        <w:spacing w:line="240" w:lineRule="auto" w:before="32"/>
        <w:ind w:left="575" w:right="1126"/>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00" w:lineRule="auto" w:before="63"/>
        <w:ind w:right="1126" w:firstLine="422"/>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w:t>
      </w:r>
      <w:r>
        <w:rPr>
          <w:w w:val="101"/>
        </w:rPr>
        <w:t> </w:t>
      </w:r>
      <w:r>
        <w:rPr>
          <w:spacing w:val="-3"/>
        </w:rPr>
        <w:t>融资产产生的损失以及本公司承担的财务担保，具体包括：</w:t>
      </w:r>
    </w:p>
    <w:p>
      <w:pPr>
        <w:pStyle w:val="BodyText"/>
        <w:spacing w:line="316" w:lineRule="auto" w:before="31"/>
        <w:ind w:right="1126" w:firstLine="364"/>
        <w:jc w:val="left"/>
      </w:pPr>
      <w:r>
        <w:rPr>
          <w:spacing w:val="-3"/>
        </w:rPr>
        <w:t>合并资产负债表中已确认的金融资产的账面金额；对于以公允价值计量的金融工具而言，账面价值反映了其风险敞口，</w:t>
      </w:r>
      <w:r>
        <w:rPr>
          <w:w w:val="101"/>
        </w:rPr>
        <w:t> </w:t>
      </w:r>
      <w:r>
        <w:rPr>
          <w:spacing w:val="-3"/>
        </w:rPr>
        <w:t>但并非最大风险敞口，其最大风险敞口将随着未来公允价值的变化而改变。</w:t>
      </w:r>
    </w:p>
    <w:p>
      <w:pPr>
        <w:pStyle w:val="BodyText"/>
        <w:spacing w:line="316" w:lineRule="auto" w:before="19"/>
        <w:ind w:right="1123" w:firstLine="422"/>
        <w:jc w:val="both"/>
      </w:pPr>
      <w:r>
        <w:rPr>
          <w:spacing w:val="-2"/>
        </w:rPr>
        <w:t>为降低信用风险，本公司成立了一个小组负责确定信用额度、进行信用审批，并执行其他监控程序以确保采取必要的</w:t>
      </w:r>
      <w:r>
        <w:rPr>
          <w:w w:val="101"/>
        </w:rPr>
        <w:t> </w:t>
      </w:r>
      <w:r>
        <w:rPr>
          <w:spacing w:val="-4"/>
        </w:rPr>
        <w:t>措施回收过期债权。此外，本公司于每个资产负债表日审核每一单项应收款的回收情况，以确保就无法回收的款项计提充分</w:t>
      </w:r>
      <w:r>
        <w:rPr>
          <w:spacing w:val="44"/>
        </w:rPr>
        <w:t> </w:t>
      </w:r>
      <w:r>
        <w:rPr>
          <w:spacing w:val="44"/>
        </w:rPr>
      </w:r>
      <w:r>
        <w:rPr>
          <w:spacing w:val="-3"/>
        </w:rPr>
        <w:t>的坏账准备。因此，本公司管理层认为本公司所承担的信用风险已经大为降低。</w:t>
      </w:r>
    </w:p>
    <w:p>
      <w:pPr>
        <w:pStyle w:val="BodyText"/>
        <w:spacing w:line="240" w:lineRule="auto" w:before="19"/>
        <w:ind w:left="575" w:right="1126"/>
        <w:jc w:val="left"/>
      </w:pPr>
      <w:r>
        <w:rPr>
          <w:spacing w:val="-3"/>
        </w:rPr>
        <w:t>本公司的流动资金存放在信用评级较高的银行，故流动资金的信用风险较低。</w:t>
      </w:r>
    </w:p>
    <w:p>
      <w:pPr>
        <w:pStyle w:val="BodyText"/>
        <w:spacing w:line="240" w:lineRule="auto" w:before="76"/>
        <w:ind w:left="575" w:right="1126"/>
        <w:jc w:val="left"/>
      </w:pPr>
      <w:r>
        <w:rPr>
          <w:spacing w:val="-3"/>
        </w:rPr>
        <w:t>（</w:t>
      </w:r>
      <w:r>
        <w:rPr>
          <w:rFonts w:ascii="Times New Roman" w:hAnsi="Times New Roman" w:cs="Times New Roman" w:eastAsia="Times New Roman" w:hint="default"/>
          <w:spacing w:val="-3"/>
        </w:rPr>
        <w:t>1</w:t>
      </w:r>
      <w:r>
        <w:rPr>
          <w:spacing w:val="-3"/>
        </w:rPr>
        <w:t>）本期末不存在已逾期未减值的金融资产。</w:t>
      </w:r>
    </w:p>
    <w:p>
      <w:pPr>
        <w:pStyle w:val="BodyText"/>
        <w:spacing w:line="240" w:lineRule="auto" w:before="63"/>
        <w:ind w:left="575" w:right="1126"/>
        <w:jc w:val="left"/>
      </w:pPr>
      <w:r>
        <w:rPr>
          <w:spacing w:val="-3"/>
        </w:rPr>
        <w:t>（</w:t>
      </w:r>
      <w:r>
        <w:rPr>
          <w:rFonts w:ascii="Times New Roman" w:hAnsi="Times New Roman" w:cs="Times New Roman" w:eastAsia="Times New Roman" w:hint="default"/>
          <w:spacing w:val="-3"/>
        </w:rPr>
        <w:t>2</w:t>
      </w:r>
      <w:r>
        <w:rPr>
          <w:spacing w:val="-3"/>
        </w:rPr>
        <w:t>）已发生单项减值的金融资产详见附注七、</w:t>
      </w:r>
      <w:r>
        <w:rPr>
          <w:rFonts w:ascii="Times New Roman" w:hAnsi="Times New Roman" w:cs="Times New Roman" w:eastAsia="Times New Roman" w:hint="default"/>
          <w:spacing w:val="-3"/>
        </w:rPr>
        <w:t>4</w:t>
      </w:r>
      <w:r>
        <w:rPr>
          <w:spacing w:val="-3"/>
        </w:rPr>
        <w:t>、应收账款</w:t>
      </w:r>
      <w:r>
        <w:rPr>
          <w:spacing w:val="66"/>
        </w:rPr>
        <w:t> </w:t>
      </w:r>
      <w:r>
        <w:rPr/>
        <w:t>和附注七、</w:t>
      </w:r>
      <w:r>
        <w:rPr>
          <w:rFonts w:ascii="Times New Roman" w:hAnsi="Times New Roman" w:cs="Times New Roman" w:eastAsia="Times New Roman" w:hint="default"/>
        </w:rPr>
        <w:t>6</w:t>
      </w:r>
      <w:r>
        <w:rPr/>
        <w:t>、其他应收款。</w:t>
      </w:r>
    </w:p>
    <w:p>
      <w:pPr>
        <w:pStyle w:val="BodyText"/>
        <w:spacing w:line="300" w:lineRule="auto" w:before="63"/>
        <w:ind w:left="575" w:right="1126"/>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spacing w:val="-87"/>
        </w:rPr>
        <w:t> </w:t>
      </w:r>
      <w:r>
        <w:rPr>
          <w:spacing w:val="-2"/>
        </w:rPr>
        <w:t>管理流动风险时，本公司保持管理层认为充分的现金及现金等价物并对其进行监控，以满足本公司经营需要，并降低</w:t>
      </w:r>
    </w:p>
    <w:p>
      <w:pPr>
        <w:pStyle w:val="BodyText"/>
        <w:spacing w:line="316" w:lineRule="auto" w:before="31"/>
        <w:ind w:left="575" w:right="1126" w:hanging="423"/>
        <w:jc w:val="left"/>
      </w:pPr>
      <w:r>
        <w:rPr>
          <w:spacing w:val="-3"/>
        </w:rPr>
        <w:t>现金流量波动的影响。本公司管理层对银行借款的使用情况进行监控并确保遵守借款协议。</w:t>
      </w:r>
      <w:r>
        <w:rPr>
          <w:spacing w:val="25"/>
        </w:rPr>
        <w:t> </w:t>
      </w:r>
      <w:r>
        <w:rPr>
          <w:spacing w:val="25"/>
        </w:rPr>
      </w:r>
      <w:r>
        <w:rPr/>
        <w:t>本公司将银行借款作为主要资金来源。</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日，本公司尚未使用的银行借款额度为人民币</w:t>
      </w:r>
      <w:r>
        <w:rPr>
          <w:rFonts w:ascii="Times New Roman" w:hAnsi="Times New Roman" w:cs="Times New Roman" w:eastAsia="Times New Roman" w:hint="default"/>
        </w:rPr>
        <w:t>1,584,623.13</w:t>
      </w:r>
      <w:r>
        <w:rPr/>
        <w:t>万元</w:t>
      </w:r>
    </w:p>
    <w:p>
      <w:pPr>
        <w:pStyle w:val="BodyText"/>
        <w:spacing w:line="248" w:lineRule="exact"/>
        <w:ind w:right="1126"/>
        <w:jc w:val="left"/>
      </w:pP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人民币</w:t>
      </w:r>
      <w:r>
        <w:rPr>
          <w:rFonts w:ascii="Times New Roman" w:hAnsi="Times New Roman" w:cs="Times New Roman" w:eastAsia="Times New Roman" w:hint="default"/>
        </w:rPr>
        <w:t>1,564,860.26</w:t>
      </w:r>
      <w:r>
        <w:rPr/>
        <w:t>万元）。</w:t>
      </w:r>
    </w:p>
    <w:p>
      <w:pPr>
        <w:spacing w:line="240" w:lineRule="auto" w:before="9"/>
        <w:rPr>
          <w:rFonts w:ascii="宋体" w:hAnsi="宋体" w:cs="宋体" w:eastAsia="宋体" w:hint="default"/>
          <w:sz w:val="23"/>
          <w:szCs w:val="23"/>
        </w:rPr>
      </w:pPr>
    </w:p>
    <w:p>
      <w:pPr>
        <w:pStyle w:val="Heading2"/>
        <w:spacing w:line="240" w:lineRule="auto"/>
        <w:ind w:right="1126"/>
        <w:jc w:val="left"/>
        <w:rPr>
          <w:b w:val="0"/>
          <w:bCs w:val="0"/>
        </w:rPr>
      </w:pPr>
      <w:bookmarkStart w:name="十一、公允价值的披露" w:id="373"/>
      <w:bookmarkEnd w:id="373"/>
      <w:r>
        <w:rPr>
          <w:b w:val="0"/>
          <w:bCs w:val="0"/>
        </w:rPr>
      </w:r>
      <w:r>
        <w:rPr/>
        <w:t>十一、公允价值的披露</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以公允价值计量的资产和负债的期末公允价值" w:id="374"/>
      <w:bookmarkEnd w:id="37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688"/>
        <w:gridCol w:w="1560"/>
        <w:gridCol w:w="1560"/>
        <w:gridCol w:w="1417"/>
        <w:gridCol w:w="1349"/>
      </w:tblGrid>
      <w:tr>
        <w:trPr>
          <w:trHeight w:val="401" w:hRule="exact"/>
        </w:trPr>
        <w:tc>
          <w:tcPr>
            <w:tcW w:w="36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3688"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95" w:right="51" w:hanging="543"/>
              <w:jc w:val="left"/>
              <w:rPr>
                <w:rFonts w:ascii="宋体" w:hAnsi="宋体" w:cs="宋体" w:eastAsia="宋体" w:hint="default"/>
                <w:sz w:val="18"/>
                <w:szCs w:val="18"/>
              </w:rPr>
            </w:pPr>
            <w:r>
              <w:rPr>
                <w:rFonts w:ascii="宋体" w:hAnsi="宋体" w:cs="宋体" w:eastAsia="宋体" w:hint="default"/>
                <w:spacing w:val="-2"/>
                <w:sz w:val="18"/>
                <w:szCs w:val="18"/>
              </w:rPr>
              <w:t>第一层次公允价值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计量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95" w:right="50" w:hanging="543"/>
              <w:jc w:val="left"/>
              <w:rPr>
                <w:rFonts w:ascii="宋体" w:hAnsi="宋体" w:cs="宋体" w:eastAsia="宋体" w:hint="default"/>
                <w:sz w:val="18"/>
                <w:szCs w:val="18"/>
              </w:rPr>
            </w:pPr>
            <w:r>
              <w:rPr>
                <w:rFonts w:ascii="宋体" w:hAnsi="宋体" w:cs="宋体" w:eastAsia="宋体" w:hint="default"/>
                <w:spacing w:val="-2"/>
                <w:sz w:val="18"/>
                <w:szCs w:val="18"/>
              </w:rPr>
              <w:t>第二层次公允价值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计量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437" w:right="65" w:hanging="361"/>
              <w:jc w:val="left"/>
              <w:rPr>
                <w:rFonts w:ascii="宋体" w:hAnsi="宋体" w:cs="宋体" w:eastAsia="宋体" w:hint="default"/>
                <w:sz w:val="18"/>
                <w:szCs w:val="18"/>
              </w:rPr>
            </w:pPr>
            <w:r>
              <w:rPr>
                <w:rFonts w:ascii="宋体" w:hAnsi="宋体" w:cs="宋体" w:eastAsia="宋体" w:hint="default"/>
                <w:spacing w:val="-3"/>
                <w:sz w:val="18"/>
                <w:szCs w:val="18"/>
              </w:rPr>
              <w:t>第三层次公允价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值计量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560" w:type="dxa"/>
            <w:tcBorders>
              <w:top w:val="single" w:sz="4" w:space="0" w:color="000000"/>
              <w:left w:val="single" w:sz="13"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25,224,475.73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155,224,475.73</w:t>
            </w:r>
          </w:p>
        </w:tc>
      </w:tr>
      <w:tr>
        <w:trPr>
          <w:trHeight w:val="710" w:hRule="exact"/>
        </w:trPr>
        <w:tc>
          <w:tcPr>
            <w:tcW w:w="3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340" w:val="left" w:leader="none"/>
              </w:tabs>
              <w:spacing w:line="300" w:lineRule="auto" w:before="53"/>
              <w:ind w:left="24"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w:t>
              <w:tab/>
            </w:r>
            <w:r>
              <w:rPr>
                <w:rFonts w:ascii="宋体" w:hAnsi="宋体" w:cs="宋体" w:eastAsia="宋体" w:hint="default"/>
                <w:spacing w:val="-3"/>
                <w:sz w:val="18"/>
                <w:szCs w:val="18"/>
              </w:rPr>
              <w:t>以公允价值计量且其变动计入当期损益的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金融资产</w:t>
            </w:r>
          </w:p>
        </w:tc>
        <w:tc>
          <w:tcPr>
            <w:tcW w:w="1560" w:type="dxa"/>
            <w:tcBorders>
              <w:top w:val="single" w:sz="4" w:space="0" w:color="000000"/>
              <w:left w:val="single" w:sz="13"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25,224,475.73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155,224,475.73</w:t>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其中：权益工具投资</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4"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9"/>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13,024,475.73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13,024,475.73</w:t>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77"/>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688"/>
        <w:gridCol w:w="1560"/>
        <w:gridCol w:w="1560"/>
        <w:gridCol w:w="1417"/>
        <w:gridCol w:w="1349"/>
      </w:tblGrid>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（二）其他权益工具投资</w:t>
            </w:r>
          </w:p>
        </w:tc>
        <w:tc>
          <w:tcPr>
            <w:tcW w:w="156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10,714,307.46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10,914,327.46</w:t>
            </w:r>
          </w:p>
        </w:tc>
      </w:tr>
      <w:tr>
        <w:trPr>
          <w:trHeight w:val="401" w:hRule="exact"/>
        </w:trPr>
        <w:tc>
          <w:tcPr>
            <w:tcW w:w="3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持续以公允价值计量的资产总额</w:t>
            </w:r>
          </w:p>
        </w:tc>
        <w:tc>
          <w:tcPr>
            <w:tcW w:w="156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10,714,307.46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130,000,000.00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25,424,495.73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166,138,803.19</w:t>
            </w:r>
          </w:p>
        </w:tc>
      </w:tr>
      <w:tr>
        <w:trPr>
          <w:trHeight w:val="401" w:hRule="exact"/>
        </w:trPr>
        <w:tc>
          <w:tcPr>
            <w:tcW w:w="3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156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8,446,602.00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8,446,602.00</w:t>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其中：衍生金融负债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8,446,602.00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8,446,602.00</w:t>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持续以公允价值计量的负债总额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8,446,602.00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8,446,602.00</w:t>
            </w:r>
          </w:p>
        </w:tc>
      </w:tr>
      <w:tr>
        <w:trPr>
          <w:trHeight w:val="401"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二、非持续的公允价值计量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5"/>
        <w:rPr>
          <w:rFonts w:ascii="宋体" w:hAnsi="宋体" w:cs="宋体" w:eastAsia="宋体" w:hint="default"/>
          <w:sz w:val="19"/>
          <w:szCs w:val="19"/>
        </w:rPr>
      </w:pPr>
    </w:p>
    <w:p>
      <w:pPr>
        <w:pStyle w:val="Heading3"/>
        <w:spacing w:line="240" w:lineRule="auto" w:before="36"/>
        <w:ind w:right="0"/>
        <w:jc w:val="both"/>
        <w:rPr>
          <w:b w:val="0"/>
          <w:bCs w:val="0"/>
        </w:rPr>
      </w:pPr>
      <w:bookmarkStart w:name="2、持续和非持续第一层次公允价值计量项目市价的确定依据" w:id="375"/>
      <w:bookmarkEnd w:id="37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6" w:firstLine="422"/>
        <w:jc w:val="left"/>
      </w:pPr>
      <w:r>
        <w:rPr>
          <w:spacing w:val="-4"/>
        </w:rPr>
        <w:t>（</w:t>
      </w:r>
      <w:r>
        <w:rPr>
          <w:rFonts w:ascii="宋体" w:hAnsi="宋体" w:cs="宋体" w:eastAsia="宋体" w:hint="default"/>
          <w:spacing w:val="-4"/>
        </w:rPr>
        <w:t>1</w:t>
      </w:r>
      <w:r>
        <w:rPr>
          <w:spacing w:val="-4"/>
        </w:rPr>
        <w:t>）以公允价值计量且变动计入其他综合收益的非交易性权益工具投资公允价值是根据香港联合交易所公开市场上市</w:t>
      </w:r>
      <w:r>
        <w:rPr>
          <w:w w:val="101"/>
        </w:rPr>
        <w:t> </w:t>
      </w:r>
      <w:r>
        <w:rPr>
          <w:spacing w:val="-3"/>
        </w:rPr>
        <w:t>股票收盘价作为市价依据；</w:t>
      </w:r>
    </w:p>
    <w:p>
      <w:pPr>
        <w:pStyle w:val="BodyText"/>
        <w:spacing w:line="240" w:lineRule="auto" w:before="19"/>
        <w:ind w:left="575" w:right="0"/>
        <w:jc w:val="left"/>
      </w:pPr>
      <w:r>
        <w:rPr>
          <w:w w:val="101"/>
        </w:rPr>
        <w:t>（</w:t>
      </w:r>
      <w:r>
        <w:rPr>
          <w:rFonts w:ascii="宋体" w:hAnsi="宋体" w:cs="宋体" w:eastAsia="宋体" w:hint="default"/>
          <w:w w:val="101"/>
        </w:rPr>
        <w:t>2</w:t>
      </w:r>
      <w:r>
        <w:rPr>
          <w:spacing w:val="-77"/>
          <w:w w:val="101"/>
        </w:rPr>
        <w:t>）</w:t>
      </w:r>
      <w:r>
        <w:rPr>
          <w:w w:val="101"/>
        </w:rPr>
        <w:t>本</w:t>
      </w:r>
      <w:r>
        <w:rPr>
          <w:spacing w:val="-5"/>
          <w:w w:val="101"/>
        </w:rPr>
        <w:t>公</w:t>
      </w:r>
      <w:r>
        <w:rPr>
          <w:w w:val="101"/>
        </w:rPr>
        <w:t>司</w:t>
      </w:r>
      <w:r>
        <w:rPr>
          <w:spacing w:val="-5"/>
          <w:w w:val="101"/>
        </w:rPr>
        <w:t>持</w:t>
      </w:r>
      <w:r>
        <w:rPr>
          <w:w w:val="101"/>
        </w:rPr>
        <w:t>有</w:t>
      </w:r>
      <w:r>
        <w:rPr>
          <w:spacing w:val="-5"/>
          <w:w w:val="101"/>
        </w:rPr>
        <w:t>的</w:t>
      </w:r>
      <w:r>
        <w:rPr>
          <w:w w:val="101"/>
        </w:rPr>
        <w:t>交</w:t>
      </w:r>
      <w:r>
        <w:rPr>
          <w:spacing w:val="-5"/>
          <w:w w:val="101"/>
        </w:rPr>
        <w:t>易</w:t>
      </w:r>
      <w:r>
        <w:rPr>
          <w:w w:val="101"/>
        </w:rPr>
        <w:t>性</w:t>
      </w:r>
      <w:r>
        <w:rPr>
          <w:spacing w:val="-5"/>
          <w:w w:val="101"/>
        </w:rPr>
        <w:t>金</w:t>
      </w:r>
      <w:r>
        <w:rPr>
          <w:w w:val="101"/>
        </w:rPr>
        <w:t>融</w:t>
      </w:r>
      <w:r>
        <w:rPr>
          <w:spacing w:val="-5"/>
          <w:w w:val="101"/>
        </w:rPr>
        <w:t>负</w:t>
      </w:r>
      <w:r>
        <w:rPr>
          <w:w w:val="101"/>
        </w:rPr>
        <w:t>债</w:t>
      </w:r>
      <w:r>
        <w:rPr>
          <w:spacing w:val="-5"/>
          <w:w w:val="101"/>
        </w:rPr>
        <w:t>系</w:t>
      </w:r>
      <w:r>
        <w:rPr>
          <w:w w:val="101"/>
        </w:rPr>
        <w:t>外</w:t>
      </w:r>
      <w:r>
        <w:rPr>
          <w:spacing w:val="-5"/>
          <w:w w:val="101"/>
        </w:rPr>
        <w:t>汇</w:t>
      </w:r>
      <w:r>
        <w:rPr>
          <w:w w:val="101"/>
        </w:rPr>
        <w:t>远</w:t>
      </w:r>
      <w:r>
        <w:rPr>
          <w:spacing w:val="-5"/>
          <w:w w:val="101"/>
        </w:rPr>
        <w:t>期</w:t>
      </w:r>
      <w:r>
        <w:rPr>
          <w:w w:val="101"/>
        </w:rPr>
        <w:t>合约</w:t>
      </w:r>
      <w:r>
        <w:rPr>
          <w:spacing w:val="-77"/>
          <w:w w:val="101"/>
        </w:rPr>
        <w:t>，</w:t>
      </w:r>
      <w:r>
        <w:rPr>
          <w:w w:val="101"/>
        </w:rPr>
        <w:t>期</w:t>
      </w:r>
      <w:r>
        <w:rPr>
          <w:spacing w:val="-5"/>
          <w:w w:val="101"/>
        </w:rPr>
        <w:t>末</w:t>
      </w:r>
      <w:r>
        <w:rPr>
          <w:w w:val="101"/>
        </w:rPr>
        <w:t>公</w:t>
      </w:r>
      <w:r>
        <w:rPr>
          <w:spacing w:val="-5"/>
          <w:w w:val="101"/>
        </w:rPr>
        <w:t>允</w:t>
      </w:r>
      <w:r>
        <w:rPr>
          <w:w w:val="101"/>
        </w:rPr>
        <w:t>价</w:t>
      </w:r>
      <w:r>
        <w:rPr>
          <w:spacing w:val="-5"/>
          <w:w w:val="101"/>
        </w:rPr>
        <w:t>值</w:t>
      </w:r>
      <w:r>
        <w:rPr>
          <w:w w:val="101"/>
        </w:rPr>
        <w:t>基</w:t>
      </w:r>
      <w:r>
        <w:rPr>
          <w:spacing w:val="1"/>
          <w:w w:val="101"/>
        </w:rPr>
        <w:t>于</w:t>
      </w:r>
      <w:r>
        <w:rPr>
          <w:rFonts w:ascii="宋体" w:hAnsi="宋体" w:cs="宋体" w:eastAsia="宋体" w:hint="default"/>
          <w:spacing w:val="-5"/>
          <w:w w:val="101"/>
        </w:rPr>
        <w:t>2</w:t>
      </w:r>
      <w:r>
        <w:rPr>
          <w:rFonts w:ascii="宋体" w:hAnsi="宋体" w:cs="宋体" w:eastAsia="宋体" w:hint="default"/>
          <w:w w:val="101"/>
        </w:rPr>
        <w:t>01</w:t>
      </w:r>
      <w:r>
        <w:rPr>
          <w:rFonts w:ascii="宋体" w:hAnsi="宋体" w:cs="宋体" w:eastAsia="宋体" w:hint="default"/>
          <w:spacing w:val="-5"/>
          <w:w w:val="101"/>
        </w:rPr>
        <w:t>9</w:t>
      </w:r>
      <w:r>
        <w:rPr>
          <w:w w:val="101"/>
        </w:rPr>
        <w:t>年</w:t>
      </w:r>
      <w:r>
        <w:rPr>
          <w:rFonts w:ascii="宋体" w:hAnsi="宋体" w:cs="宋体" w:eastAsia="宋体" w:hint="default"/>
          <w:w w:val="101"/>
        </w:rPr>
        <w:t>1</w:t>
      </w:r>
      <w:r>
        <w:rPr>
          <w:rFonts w:ascii="宋体" w:hAnsi="宋体" w:cs="宋体" w:eastAsia="宋体" w:hint="default"/>
          <w:spacing w:val="-5"/>
          <w:w w:val="101"/>
        </w:rPr>
        <w:t>2</w:t>
      </w:r>
      <w:r>
        <w:rPr>
          <w:w w:val="101"/>
        </w:rPr>
        <w:t>月</w:t>
      </w:r>
      <w:r>
        <w:rPr>
          <w:rFonts w:ascii="宋体" w:hAnsi="宋体" w:cs="宋体" w:eastAsia="宋体" w:hint="default"/>
          <w:w w:val="101"/>
        </w:rPr>
        <w:t>3</w:t>
      </w:r>
      <w:r>
        <w:rPr>
          <w:rFonts w:ascii="宋体" w:hAnsi="宋体" w:cs="宋体" w:eastAsia="宋体" w:hint="default"/>
          <w:spacing w:val="-5"/>
          <w:w w:val="101"/>
        </w:rPr>
        <w:t>1</w:t>
      </w:r>
      <w:r>
        <w:rPr>
          <w:w w:val="101"/>
        </w:rPr>
        <w:t>日</w:t>
      </w:r>
      <w:r>
        <w:rPr>
          <w:spacing w:val="-5"/>
          <w:w w:val="101"/>
        </w:rPr>
        <w:t>银</w:t>
      </w:r>
      <w:r>
        <w:rPr>
          <w:w w:val="101"/>
        </w:rPr>
        <w:t>行</w:t>
      </w:r>
      <w:r>
        <w:rPr>
          <w:spacing w:val="-5"/>
          <w:w w:val="101"/>
        </w:rPr>
        <w:t>公</w:t>
      </w:r>
      <w:r>
        <w:rPr>
          <w:w w:val="101"/>
        </w:rPr>
        <w:t>布</w:t>
      </w:r>
      <w:r>
        <w:rPr>
          <w:spacing w:val="-5"/>
          <w:w w:val="101"/>
        </w:rPr>
        <w:t>的</w:t>
      </w:r>
      <w:r>
        <w:rPr>
          <w:w w:val="101"/>
        </w:rPr>
        <w:t>交</w:t>
      </w:r>
      <w:r>
        <w:rPr>
          <w:spacing w:val="-5"/>
          <w:w w:val="101"/>
        </w:rPr>
        <w:t>易</w:t>
      </w:r>
      <w:r>
        <w:rPr>
          <w:w w:val="101"/>
        </w:rPr>
        <w:t>价</w:t>
      </w:r>
      <w:r>
        <w:rPr>
          <w:spacing w:val="-5"/>
          <w:w w:val="101"/>
        </w:rPr>
        <w:t>格</w:t>
      </w:r>
      <w:r>
        <w:rPr>
          <w:w w:val="101"/>
        </w:rPr>
        <w:t>进</w:t>
      </w:r>
      <w:r>
        <w:rPr>
          <w:spacing w:val="-5"/>
          <w:w w:val="101"/>
        </w:rPr>
        <w:t>行</w:t>
      </w:r>
      <w:r>
        <w:rPr>
          <w:w w:val="101"/>
        </w:rPr>
        <w:t>计</w:t>
      </w:r>
      <w:r>
        <w:rPr>
          <w:spacing w:val="-5"/>
          <w:w w:val="101"/>
        </w:rPr>
        <w:t>量</w:t>
      </w:r>
      <w:r>
        <w:rPr>
          <w:w w:val="101"/>
        </w:rPr>
        <w:t>。</w:t>
      </w:r>
      <w:r>
        <w:rPr/>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持续和非持续第二层次公允价值计量项目，采用的估值技术和重要参数的定性及定量信" w:id="376"/>
      <w:bookmarkEnd w:id="37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6" w:firstLine="422"/>
        <w:jc w:val="left"/>
      </w:pPr>
      <w:r>
        <w:rPr>
          <w:spacing w:val="-2"/>
        </w:rPr>
        <w:t>以公允价值计量且变动计入当期损益的权益工具投资，是以非活跃市场中相同或类似资产或负债的报价经调整后，作</w:t>
      </w:r>
      <w:r>
        <w:rPr>
          <w:w w:val="101"/>
        </w:rPr>
        <w:t> </w:t>
      </w:r>
      <w:r>
        <w:rPr>
          <w:spacing w:val="-3"/>
        </w:rPr>
        <w:t>为其估值技术和主要输入值。</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4、持续和非持续第三层次公允价值计量项目，采用的估值技术和重要参数的定性及定量信" w:id="377"/>
      <w:bookmarkEnd w:id="37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5" w:right="0"/>
        <w:jc w:val="left"/>
      </w:pPr>
      <w:r>
        <w:rPr>
          <w:spacing w:val="-7"/>
        </w:rPr>
        <w:t>（</w:t>
      </w:r>
      <w:r>
        <w:rPr>
          <w:rFonts w:ascii="宋体" w:hAnsi="宋体" w:cs="宋体" w:eastAsia="宋体" w:hint="default"/>
          <w:spacing w:val="-7"/>
        </w:rPr>
        <w:t>1</w:t>
      </w:r>
      <w:r>
        <w:rPr>
          <w:spacing w:val="-7"/>
        </w:rPr>
        <w:t>）第三层次的权益工具投资，不存在市场交易活动，导致相关可观察输入值无法取得，根据《企业会计准则第  </w:t>
      </w:r>
      <w:r>
        <w:rPr>
          <w:rFonts w:ascii="宋体" w:hAnsi="宋体" w:cs="宋体" w:eastAsia="宋体" w:hint="default"/>
        </w:rPr>
        <w:t>22</w:t>
      </w:r>
      <w:r>
        <w:rPr>
          <w:rFonts w:ascii="宋体" w:hAnsi="宋体" w:cs="宋体" w:eastAsia="宋体" w:hint="default"/>
          <w:spacing w:val="41"/>
        </w:rPr>
        <w:t> </w:t>
      </w:r>
      <w:r>
        <w:rPr/>
        <w:t>号</w:t>
      </w:r>
    </w:p>
    <w:p>
      <w:pPr>
        <w:pStyle w:val="BodyText"/>
        <w:spacing w:line="319" w:lineRule="auto" w:before="76"/>
        <w:ind w:right="1122"/>
        <w:jc w:val="both"/>
      </w:pPr>
      <w:r>
        <w:rPr>
          <w:spacing w:val="-4"/>
        </w:rPr>
        <w:t>——金融工具确认和计量》第四十四条规定，在有限情况下，如果用以确定公允价值的近期信息不足，或者公允价值的可能</w:t>
      </w:r>
      <w:r>
        <w:rPr>
          <w:spacing w:val="42"/>
        </w:rPr>
        <w:t> </w:t>
      </w:r>
      <w:r>
        <w:rPr>
          <w:spacing w:val="42"/>
        </w:rPr>
      </w:r>
      <w:r>
        <w:rPr>
          <w:spacing w:val="-4"/>
        </w:rPr>
        <w:t>估计金额分布范围很广，而成本代表了该范围内对公允价值的最佳估计的，该成本可代表其在该分布范围内对公允价值的恰</w:t>
      </w:r>
      <w:r>
        <w:rPr>
          <w:spacing w:val="43"/>
        </w:rPr>
        <w:t> </w:t>
      </w:r>
      <w:r>
        <w:rPr>
          <w:spacing w:val="43"/>
        </w:rPr>
      </w:r>
      <w:r>
        <w:rPr/>
        <w:t>当估计；</w:t>
      </w:r>
    </w:p>
    <w:p>
      <w:pPr>
        <w:pStyle w:val="BodyText"/>
        <w:spacing w:line="240" w:lineRule="auto" w:before="17"/>
        <w:ind w:left="575" w:right="1126"/>
        <w:jc w:val="left"/>
      </w:pPr>
      <w:r>
        <w:rPr>
          <w:spacing w:val="-3"/>
        </w:rPr>
        <w:t>（</w:t>
      </w:r>
      <w:r>
        <w:rPr>
          <w:rFonts w:ascii="宋体" w:hAnsi="宋体" w:cs="宋体" w:eastAsia="宋体" w:hint="default"/>
          <w:spacing w:val="-3"/>
        </w:rPr>
        <w:t>2</w:t>
      </w:r>
      <w:r>
        <w:rPr>
          <w:spacing w:val="-3"/>
        </w:rPr>
        <w:t>）结构性存款、银行理财产品期限较短，账面价值与公允价值相近，采用账面价值作为公允价值。</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bookmarkStart w:name="十二、关联方及关联交易" w:id="378"/>
      <w:bookmarkEnd w:id="378"/>
      <w:r>
        <w:rPr>
          <w:b w:val="0"/>
          <w:bCs w:val="0"/>
        </w:rPr>
      </w:r>
      <w:r>
        <w:rPr/>
        <w:t>十二、关联方及关联交易</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bookmarkStart w:name="1、本企业的母公司情况" w:id="379"/>
      <w:bookmarkEnd w:id="37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977"/>
        <w:gridCol w:w="1277"/>
        <w:gridCol w:w="994"/>
        <w:gridCol w:w="1133"/>
        <w:gridCol w:w="1594"/>
        <w:gridCol w:w="1594"/>
      </w:tblGrid>
      <w:tr>
        <w:trPr>
          <w:trHeight w:val="71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48.37%</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深圳市华夏风投资有限公司①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58.23%</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黄绍武②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59.39%</w:t>
            </w:r>
          </w:p>
        </w:tc>
      </w:tr>
    </w:tbl>
    <w:p>
      <w:pPr>
        <w:pStyle w:val="BodyText"/>
        <w:spacing w:line="240" w:lineRule="auto" w:before="53"/>
        <w:ind w:right="1126"/>
        <w:jc w:val="left"/>
      </w:pPr>
      <w:r>
        <w:rPr>
          <w:spacing w:val="-3"/>
        </w:rPr>
        <w:t>本企业的母公司情况的说明：</w:t>
      </w:r>
    </w:p>
    <w:p>
      <w:pPr>
        <w:spacing w:line="240" w:lineRule="auto" w:before="8"/>
        <w:rPr>
          <w:rFonts w:ascii="宋体" w:hAnsi="宋体" w:cs="宋体" w:eastAsia="宋体" w:hint="default"/>
          <w:sz w:val="14"/>
          <w:szCs w:val="14"/>
        </w:rPr>
      </w:pPr>
    </w:p>
    <w:p>
      <w:pPr>
        <w:pStyle w:val="BodyText"/>
        <w:spacing w:line="300" w:lineRule="auto"/>
        <w:ind w:right="1122" w:firstLine="422"/>
        <w:jc w:val="both"/>
      </w:pPr>
      <w:r>
        <w:rPr>
          <w:spacing w:val="-2"/>
        </w:rPr>
        <w:t>①深圳市华夏风投资有限公司分别持有深圳市神州通投资集团有限公司与赣江新区全球星投资管理有限公司</w:t>
      </w:r>
      <w:r>
        <w:rPr>
          <w:rFonts w:ascii="Times New Roman" w:hAnsi="Times New Roman" w:cs="Times New Roman" w:eastAsia="Times New Roman" w:hint="default"/>
          <w:spacing w:val="-2"/>
        </w:rPr>
        <w:t>66.50%</w:t>
      </w:r>
      <w:r>
        <w:rPr>
          <w:spacing w:val="-2"/>
        </w:rPr>
        <w:t>股</w:t>
      </w:r>
      <w:r>
        <w:rPr>
          <w:w w:val="101"/>
        </w:rPr>
        <w:t> </w:t>
      </w:r>
      <w:r>
        <w:rPr>
          <w:spacing w:val="-3"/>
        </w:rPr>
        <w:t>权，通过深圳市神州通投资集团有限公司持有本公司</w:t>
      </w:r>
      <w:r>
        <w:rPr>
          <w:rFonts w:ascii="Times New Roman" w:hAnsi="Times New Roman" w:cs="Times New Roman" w:eastAsia="Times New Roman" w:hint="default"/>
          <w:spacing w:val="-3"/>
        </w:rPr>
        <w:t>32.17%</w:t>
      </w:r>
      <w:r>
        <w:rPr>
          <w:spacing w:val="-3"/>
        </w:rPr>
        <w:t>股权，通过赣江新区全球星投资管理有限公司持有本公司</w:t>
      </w:r>
      <w:r>
        <w:rPr>
          <w:rFonts w:ascii="Times New Roman" w:hAnsi="Times New Roman" w:cs="Times New Roman" w:eastAsia="Times New Roman" w:hint="default"/>
          <w:spacing w:val="-3"/>
        </w:rPr>
        <w:t>6.56%</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股权，合计持有本公司</w:t>
      </w:r>
      <w:r>
        <w:rPr>
          <w:rFonts w:ascii="Times New Roman" w:hAnsi="Times New Roman" w:cs="Times New Roman" w:eastAsia="Times New Roman" w:hint="default"/>
        </w:rPr>
        <w:t>38.72%</w:t>
      </w:r>
      <w:r>
        <w:rPr/>
        <w:t>股权。</w:t>
      </w:r>
    </w:p>
    <w:p>
      <w:pPr>
        <w:pStyle w:val="BodyText"/>
        <w:spacing w:line="240" w:lineRule="auto" w:before="133"/>
        <w:ind w:left="575" w:right="1126"/>
        <w:jc w:val="left"/>
      </w:pPr>
      <w:r>
        <w:rPr>
          <w:spacing w:val="-3"/>
        </w:rPr>
        <w:t>②黄绍武直接及间接持有深圳市华夏风投资有限公司</w:t>
      </w:r>
      <w:r>
        <w:rPr>
          <w:rFonts w:ascii="Times New Roman" w:hAnsi="Times New Roman" w:cs="Times New Roman" w:eastAsia="Times New Roman" w:hint="default"/>
          <w:spacing w:val="-3"/>
        </w:rPr>
        <w:t>99.80</w:t>
      </w:r>
      <w:r>
        <w:rPr>
          <w:spacing w:val="-3"/>
        </w:rPr>
        <w:t>％股权，通过该公司间接持有本公司</w:t>
      </w:r>
      <w:r>
        <w:rPr>
          <w:rFonts w:ascii="Times New Roman" w:hAnsi="Times New Roman" w:cs="Times New Roman" w:eastAsia="Times New Roman" w:hint="default"/>
          <w:spacing w:val="-3"/>
        </w:rPr>
        <w:t>38.64%</w:t>
      </w:r>
      <w:r>
        <w:rPr>
          <w:spacing w:val="-3"/>
        </w:rPr>
        <w:t>股权；黄绍武直</w:t>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1126"/>
        <w:jc w:val="left"/>
      </w:pPr>
      <w:r>
        <w:rPr/>
        <w:t>接持有本公司</w:t>
      </w:r>
      <w:r>
        <w:rPr>
          <w:rFonts w:ascii="Times New Roman" w:hAnsi="Times New Roman" w:cs="Times New Roman" w:eastAsia="Times New Roman" w:hint="default"/>
        </w:rPr>
        <w:t>1.16%</w:t>
      </w:r>
      <w:r>
        <w:rPr/>
        <w:t>股权，合计持有本公司</w:t>
      </w:r>
      <w:r>
        <w:rPr>
          <w:rFonts w:ascii="Times New Roman" w:hAnsi="Times New Roman" w:cs="Times New Roman" w:eastAsia="Times New Roman" w:hint="default"/>
        </w:rPr>
        <w:t>39.80%</w:t>
      </w:r>
      <w:r>
        <w:rPr/>
        <w:t>股权。</w:t>
      </w:r>
    </w:p>
    <w:p>
      <w:pPr>
        <w:spacing w:line="240" w:lineRule="auto" w:before="4"/>
        <w:rPr>
          <w:rFonts w:ascii="宋体" w:hAnsi="宋体" w:cs="宋体" w:eastAsia="宋体" w:hint="default"/>
          <w:sz w:val="14"/>
          <w:szCs w:val="14"/>
        </w:rPr>
      </w:pPr>
    </w:p>
    <w:p>
      <w:pPr>
        <w:pStyle w:val="BodyText"/>
        <w:spacing w:line="240" w:lineRule="auto"/>
        <w:ind w:left="513" w:right="1126"/>
        <w:jc w:val="left"/>
      </w:pPr>
      <w:r>
        <w:rPr>
          <w:spacing w:val="-3"/>
        </w:rPr>
        <w:t>③本企业最终控制方是黄绍武。</w:t>
      </w:r>
    </w:p>
    <w:p>
      <w:pPr>
        <w:spacing w:line="240" w:lineRule="auto" w:before="12"/>
        <w:rPr>
          <w:rFonts w:ascii="宋体" w:hAnsi="宋体" w:cs="宋体" w:eastAsia="宋体" w:hint="default"/>
          <w:sz w:val="13"/>
          <w:szCs w:val="13"/>
        </w:rPr>
      </w:pPr>
    </w:p>
    <w:p>
      <w:pPr>
        <w:pStyle w:val="BodyText"/>
        <w:spacing w:line="240" w:lineRule="auto"/>
        <w:ind w:left="513" w:right="1126"/>
        <w:jc w:val="left"/>
      </w:pPr>
      <w:r>
        <w:rPr>
          <w:spacing w:val="-3"/>
        </w:rPr>
        <w:t>④以上控股股东所持股权比例以</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日公司发行在外总股数</w:t>
      </w:r>
      <w:r>
        <w:rPr>
          <w:spacing w:val="-36"/>
        </w:rPr>
        <w:t> </w:t>
      </w:r>
      <w:r>
        <w:rPr>
          <w:rFonts w:ascii="Times New Roman" w:hAnsi="Times New Roman" w:cs="Times New Roman" w:eastAsia="Times New Roman" w:hint="default"/>
        </w:rPr>
        <w:t>1,239,281,806</w:t>
      </w:r>
      <w:r>
        <w:rPr>
          <w:rFonts w:ascii="Times New Roman" w:hAnsi="Times New Roman" w:cs="Times New Roman" w:eastAsia="Times New Roman" w:hint="default"/>
          <w:spacing w:val="4"/>
        </w:rPr>
        <w:t> </w:t>
      </w:r>
      <w:r>
        <w:rPr>
          <w:spacing w:val="-3"/>
        </w:rPr>
        <w:t>股为基础计算。</w:t>
      </w:r>
    </w:p>
    <w:p>
      <w:pPr>
        <w:spacing w:line="240" w:lineRule="auto" w:before="0"/>
        <w:rPr>
          <w:rFonts w:ascii="宋体" w:hAnsi="宋体" w:cs="宋体" w:eastAsia="宋体" w:hint="default"/>
          <w:sz w:val="26"/>
          <w:szCs w:val="26"/>
        </w:rPr>
      </w:pPr>
    </w:p>
    <w:p>
      <w:pPr>
        <w:pStyle w:val="Heading3"/>
        <w:spacing w:line="240" w:lineRule="auto"/>
        <w:ind w:right="1126"/>
        <w:jc w:val="left"/>
        <w:rPr>
          <w:b w:val="0"/>
          <w:bCs w:val="0"/>
        </w:rPr>
      </w:pPr>
      <w:bookmarkStart w:name="2、本企业的子公司情况" w:id="380"/>
      <w:bookmarkEnd w:id="38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spacing w:val="-3"/>
        </w:rPr>
        <w:t>本企业子公司的情况详见附注九、在其他主体中的权益。</w:t>
      </w:r>
    </w:p>
    <w:p>
      <w:pPr>
        <w:spacing w:line="240" w:lineRule="auto" w:before="4"/>
        <w:rPr>
          <w:rFonts w:ascii="宋体" w:hAnsi="宋体" w:cs="宋体" w:eastAsia="宋体" w:hint="default"/>
          <w:sz w:val="26"/>
          <w:szCs w:val="26"/>
        </w:rPr>
      </w:pPr>
    </w:p>
    <w:p>
      <w:pPr>
        <w:pStyle w:val="Heading3"/>
        <w:spacing w:line="240" w:lineRule="auto"/>
        <w:ind w:right="1126"/>
        <w:jc w:val="left"/>
        <w:rPr>
          <w:b w:val="0"/>
          <w:bCs w:val="0"/>
        </w:rPr>
      </w:pPr>
      <w:bookmarkStart w:name="3、本企业合营和联营企业情况" w:id="381"/>
      <w:bookmarkEnd w:id="381"/>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spacing w:val="-3"/>
        </w:rPr>
        <w:t>本企业重要的合营或联营企业详见附注九、在其他主体中的权益。</w:t>
      </w:r>
    </w:p>
    <w:p>
      <w:pPr>
        <w:spacing w:line="240" w:lineRule="auto" w:before="4"/>
        <w:rPr>
          <w:rFonts w:ascii="宋体" w:hAnsi="宋体" w:cs="宋体" w:eastAsia="宋体" w:hint="default"/>
          <w:sz w:val="26"/>
          <w:szCs w:val="26"/>
        </w:rPr>
      </w:pPr>
    </w:p>
    <w:p>
      <w:pPr>
        <w:pStyle w:val="Heading3"/>
        <w:spacing w:line="240" w:lineRule="auto"/>
        <w:ind w:right="1126"/>
        <w:jc w:val="left"/>
        <w:rPr>
          <w:b w:val="0"/>
          <w:bCs w:val="0"/>
        </w:rPr>
      </w:pPr>
      <w:bookmarkStart w:name="4、其他关联方情况" w:id="382"/>
      <w:bookmarkEnd w:id="38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398"/>
        <w:gridCol w:w="5171"/>
      </w:tblGrid>
      <w:tr>
        <w:trPr>
          <w:trHeight w:val="403" w:hRule="exact"/>
        </w:trPr>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5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94"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赣江新区全球星投资管理有限公司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上海酷武供应链管理股份有限公司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转让前与本公司受同一控制人控制</w:t>
            </w: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深圳市神州通油茶营销有限公司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与本公司受同一控制人控制</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新余爱乐投资管理中心（有限合伙）</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本公司高管控制的有限合伙企业</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深圳市神州通在线科技有限公司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与本公司受同一控制人控制</w:t>
            </w: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深圳市优宝在线科技有限公司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本公司之控股子公司参股的企业</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通联支付网络服务股份有限公司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本公司实际控制人担任董事的企业</w:t>
            </w: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店商互联（北京）科技发展有限公司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本公司之全资子公司参股的企业</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天音通信有限公司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本公司之实际控制人的关系密切的家庭成员担任董事的企业</w:t>
            </w: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先锋创业有限公司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转让前系本公司之控股子公司的参股股东实际控制人控制的企业</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先锋智道（北京）科技有限公司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转让前系本公司之控股子公司的参股股东实际控制人控制的企业</w:t>
            </w: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上海驿圆股权投资基金有限公司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转让前系本公司之控股子公司的参股股东实际控制人控制的企业</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深圳百禾商业保理有限公司</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转让前系本公司之控股子公司的参股股东实际控制人控制的企业</w:t>
            </w:r>
          </w:p>
        </w:tc>
      </w:tr>
    </w:tbl>
    <w:p>
      <w:pPr>
        <w:pStyle w:val="BodyText"/>
        <w:spacing w:line="240" w:lineRule="auto" w:before="53"/>
        <w:ind w:right="1126"/>
        <w:jc w:val="left"/>
      </w:pPr>
      <w:r>
        <w:rPr/>
        <w:t>其他说明</w:t>
      </w:r>
    </w:p>
    <w:p>
      <w:pPr>
        <w:spacing w:line="240" w:lineRule="auto" w:before="8"/>
        <w:rPr>
          <w:rFonts w:ascii="宋体" w:hAnsi="宋体" w:cs="宋体" w:eastAsia="宋体" w:hint="default"/>
          <w:sz w:val="14"/>
          <w:szCs w:val="14"/>
        </w:rPr>
      </w:pPr>
    </w:p>
    <w:p>
      <w:pPr>
        <w:pStyle w:val="BodyText"/>
        <w:spacing w:line="300" w:lineRule="auto"/>
        <w:ind w:right="1126" w:firstLine="422"/>
        <w:jc w:val="left"/>
      </w:pPr>
      <w:r>
        <w:rPr/>
        <w:t>本公司之母公司于 </w:t>
      </w:r>
      <w:r>
        <w:rPr>
          <w:rFonts w:ascii="Times New Roman" w:hAnsi="Times New Roman" w:cs="Times New Roman" w:eastAsia="Times New Roman" w:hint="default"/>
        </w:rPr>
        <w:t>2018</w:t>
      </w:r>
      <w:r>
        <w:rPr>
          <w:rFonts w:ascii="Times New Roman" w:hAnsi="Times New Roman" w:cs="Times New Roman" w:eastAsia="Times New Roman" w:hint="default"/>
          <w:spacing w:val="33"/>
        </w:rPr>
        <w:t> </w:t>
      </w:r>
      <w:r>
        <w:rPr/>
        <w:t>年度内已转让其持有的上海酷武供应链管理股份有限公司的股权，相关股权转让协议已签订</w:t>
      </w:r>
      <w:r>
        <w:rPr>
          <w:w w:val="101"/>
        </w:rPr>
        <w:t> </w:t>
      </w:r>
      <w:r>
        <w:rPr>
          <w:spacing w:val="-3"/>
        </w:rPr>
        <w:t>并公证，亦已在上年末收到股权转让款，上海酷武供应链管理股份有限公司已不再是公司关联方。</w:t>
      </w:r>
    </w:p>
    <w:p>
      <w:pPr>
        <w:pStyle w:val="BodyText"/>
        <w:spacing w:line="300" w:lineRule="auto" w:before="152"/>
        <w:ind w:right="1126" w:firstLine="422"/>
        <w:jc w:val="left"/>
      </w:pPr>
      <w:r>
        <w:rPr>
          <w:spacing w:val="-2"/>
        </w:rPr>
        <w:t>海南先锋网信小额贷款有限公司已于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月对外转让，故先锋创业有限公司、先锋智道（北京）科技有限公司、</w:t>
      </w:r>
      <w:r>
        <w:rPr>
          <w:w w:val="101"/>
        </w:rPr>
        <w:t> </w:t>
      </w:r>
      <w:r>
        <w:rPr>
          <w:spacing w:val="-3"/>
        </w:rPr>
        <w:t>上海驿圆股权投资基金有限公司、深圳百禾商业保理有限公司已不再是公司关联方。</w:t>
      </w:r>
    </w:p>
    <w:p>
      <w:pPr>
        <w:spacing w:after="0" w:line="300" w:lineRule="auto"/>
        <w:jc w:val="left"/>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5、关联交易情况" w:id="383"/>
      <w:bookmarkEnd w:id="38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购销商品、提供和接受劳务的关联交易" w:id="384"/>
      <w:bookmarkEnd w:id="38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3"/>
          <w:szCs w:val="23"/>
        </w:rPr>
      </w:pPr>
    </w:p>
    <w:p>
      <w:pPr>
        <w:pStyle w:val="Heading6"/>
        <w:spacing w:line="240" w:lineRule="auto" w:before="46"/>
        <w:ind w:right="1126"/>
        <w:jc w:val="left"/>
        <w:rPr>
          <w:b w:val="0"/>
          <w:bCs w:val="0"/>
        </w:rPr>
      </w:pPr>
      <w:r>
        <w:rPr/>
        <w:t>采购商品</w:t>
      </w:r>
      <w:r>
        <w:rPr>
          <w:rFonts w:ascii="Times New Roman" w:hAnsi="Times New Roman" w:cs="Times New Roman" w:eastAsia="Times New Roman" w:hint="default"/>
        </w:rPr>
        <w:t>/</w:t>
      </w:r>
      <w:r>
        <w:rPr/>
        <w:t>接受劳务情况表</w:t>
      </w:r>
      <w:r>
        <w:rPr>
          <w:b w:val="0"/>
          <w:bCs w:val="0"/>
        </w:rPr>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273"/>
        <w:gridCol w:w="1138"/>
        <w:gridCol w:w="1416"/>
        <w:gridCol w:w="1561"/>
        <w:gridCol w:w="1349"/>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990,877.42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深圳市神州通油茶营销有限公司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297,307.27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547,038.60</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上海酷武供应链管理股份有限公司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4,123,576.06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12,154,534.44</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深圳市神州通在线科技有限公司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12,660.45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51,423.83</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深圳市优宝在线科技有限公司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307,854.31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通联支付网络服务股份有限公司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1,066.41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见注释</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天音通信有限公司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446,837.17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见注释</w:t>
            </w:r>
          </w:p>
        </w:tc>
        <w:tc>
          <w:tcPr>
            <w:tcW w:w="1349" w:type="dxa"/>
            <w:tcBorders>
              <w:top w:val="single" w:sz="4" w:space="0" w:color="000000"/>
              <w:left w:val="single" w:sz="4" w:space="0" w:color="000000"/>
              <w:bottom w:val="single" w:sz="4" w:space="0" w:color="000000"/>
              <w:right w:val="single" w:sz="4" w:space="0" w:color="000000"/>
            </w:tcBorders>
          </w:tcPr>
          <w:p>
            <w:pPr/>
          </w:p>
        </w:tc>
      </w:tr>
    </w:tbl>
    <w:p>
      <w:pPr>
        <w:pStyle w:val="Heading6"/>
        <w:spacing w:line="240" w:lineRule="auto"/>
        <w:ind w:right="1126"/>
        <w:jc w:val="left"/>
        <w:rPr>
          <w:b w:val="0"/>
          <w:bCs w:val="0"/>
        </w:rPr>
      </w:pPr>
      <w:r>
        <w:rPr/>
        <w:t>出售商品</w:t>
      </w:r>
      <w:r>
        <w:rPr>
          <w:rFonts w:ascii="Times New Roman" w:hAnsi="Times New Roman" w:cs="Times New Roman" w:eastAsia="Times New Roman" w:hint="default"/>
        </w:rPr>
        <w:t>/</w:t>
      </w:r>
      <w:r>
        <w:rPr/>
        <w:t>提供劳务情况表</w:t>
      </w:r>
      <w:r>
        <w:rPr>
          <w:b w:val="0"/>
          <w:bCs w:val="0"/>
        </w:rPr>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05"/>
        <w:gridCol w:w="2266"/>
        <w:gridCol w:w="1705"/>
        <w:gridCol w:w="2194"/>
      </w:tblGrid>
      <w:tr>
        <w:trPr>
          <w:trHeight w:val="404"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深圳市神州通油茶营销有限公司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70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49,894.33</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上海酷武供应链管理股份有限公司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70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23,706.90</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70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46,160.94</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先锋智道（北京）科技有限公司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发放贷款及垫款利息收入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302,672.96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1,426,886.81</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店商互联（北京）科技发展有限公司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发放贷款及垫款利息收入</w:t>
            </w:r>
          </w:p>
        </w:tc>
        <w:tc>
          <w:tcPr>
            <w:tcW w:w="170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270,197.88</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上海驿圆股权投资基金有限公司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发放贷款及垫款利息收入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117,924.53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1,383,647.82</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深圳百禾商业保理有限公司</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发放贷款及垫款利息收入</w:t>
            </w:r>
          </w:p>
        </w:tc>
        <w:tc>
          <w:tcPr>
            <w:tcW w:w="1705"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904,088.06</w:t>
            </w:r>
          </w:p>
        </w:tc>
      </w:tr>
    </w:tbl>
    <w:p>
      <w:pPr>
        <w:pStyle w:val="BodyText"/>
        <w:spacing w:line="319" w:lineRule="auto" w:before="10"/>
        <w:ind w:right="1126" w:firstLine="220"/>
        <w:jc w:val="left"/>
      </w:pPr>
      <w:r>
        <w:rPr>
          <w:spacing w:val="-3"/>
        </w:rPr>
        <w:t>注释：公司已及时披露报告期内发生的重大关联交易事项，报告期内累计关联交易总额未达到按照发生关联交易的不同</w:t>
      </w:r>
      <w:r>
        <w:rPr>
          <w:w w:val="101"/>
        </w:rPr>
        <w:t> </w:t>
      </w:r>
      <w:r>
        <w:rPr>
          <w:spacing w:val="-3"/>
        </w:rPr>
        <w:t>类型分别披露的标准（累计关联交易总额高于</w:t>
      </w:r>
      <w:r>
        <w:rPr>
          <w:rFonts w:ascii="Times New Roman" w:hAnsi="Times New Roman" w:cs="Times New Roman" w:eastAsia="Times New Roman" w:hint="default"/>
          <w:spacing w:val="-3"/>
        </w:rPr>
        <w:t>3000</w:t>
      </w:r>
      <w:r>
        <w:rPr>
          <w:spacing w:val="-3"/>
        </w:rPr>
        <w:t>万元且占公司最近一期经审计净资产值</w:t>
      </w:r>
      <w:r>
        <w:rPr>
          <w:rFonts w:ascii="Times New Roman" w:hAnsi="Times New Roman" w:cs="Times New Roman" w:eastAsia="Times New Roman" w:hint="default"/>
          <w:spacing w:val="-3"/>
        </w:rPr>
        <w:t>5%</w:t>
      </w:r>
      <w:r>
        <w:rPr>
          <w:spacing w:val="-3"/>
        </w:rPr>
        <w:t>以上）。</w:t>
      </w:r>
    </w:p>
    <w:p>
      <w:pPr>
        <w:spacing w:line="240" w:lineRule="auto" w:before="12"/>
        <w:rPr>
          <w:rFonts w:ascii="宋体" w:hAnsi="宋体" w:cs="宋体" w:eastAsia="宋体" w:hint="default"/>
          <w:sz w:val="20"/>
          <w:szCs w:val="20"/>
        </w:rPr>
      </w:pPr>
    </w:p>
    <w:p>
      <w:pPr>
        <w:pStyle w:val="Heading3"/>
        <w:spacing w:line="240" w:lineRule="auto"/>
        <w:ind w:right="1126"/>
        <w:jc w:val="left"/>
        <w:rPr>
          <w:b w:val="0"/>
          <w:bCs w:val="0"/>
        </w:rPr>
      </w:pPr>
      <w:bookmarkStart w:name="（2）关联租赁情况" w:id="385"/>
      <w:bookmarkEnd w:id="385"/>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26"/>
        <w:jc w:val="left"/>
      </w:pPr>
      <w:r>
        <w:rPr>
          <w:spacing w:val="-3"/>
        </w:rPr>
        <w:t>本公司作为承租方：</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05"/>
        <w:gridCol w:w="1700"/>
        <w:gridCol w:w="2075"/>
        <w:gridCol w:w="2391"/>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9" w:right="0"/>
              <w:jc w:val="left"/>
              <w:rPr>
                <w:rFonts w:ascii="Times New Roman" w:hAnsi="Times New Roman" w:cs="Times New Roman" w:eastAsia="Times New Roman" w:hint="default"/>
                <w:sz w:val="18"/>
                <w:szCs w:val="18"/>
              </w:rPr>
            </w:pPr>
            <w:r>
              <w:rPr>
                <w:rFonts w:ascii="Times New Roman"/>
                <w:sz w:val="18"/>
              </w:rPr>
              <w:t>796,845.35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关联租赁情况说明：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 </w:t>
      </w:r>
      <w:r>
        <w:rPr/>
        <w:t>日至</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4"/>
        </w:rPr>
        <w:t>日，公司承租的健兴科技大厦</w:t>
      </w:r>
      <w:r>
        <w:rPr>
          <w:spacing w:val="-40"/>
        </w:rPr>
        <w:t> </w:t>
      </w: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座</w:t>
      </w:r>
      <w:r>
        <w:rPr>
          <w:spacing w:val="-40"/>
        </w:rPr>
        <w:t> </w:t>
      </w:r>
      <w:r>
        <w:rPr>
          <w:rFonts w:ascii="Times New Roman" w:hAnsi="Times New Roman" w:cs="Times New Roman" w:eastAsia="Times New Roman" w:hint="default"/>
        </w:rPr>
        <w:t>704-706</w:t>
      </w:r>
      <w:r>
        <w:rPr>
          <w:rFonts w:ascii="Times New Roman" w:hAnsi="Times New Roman" w:cs="Times New Roman" w:eastAsia="Times New Roman" w:hint="default"/>
          <w:spacing w:val="5"/>
        </w:rPr>
        <w:t> </w:t>
      </w:r>
      <w:r>
        <w:rPr>
          <w:spacing w:val="-3"/>
        </w:rPr>
        <w:t>房的租赁主体变更为深</w:t>
      </w:r>
    </w:p>
    <w:p>
      <w:pPr>
        <w:pStyle w:val="BodyText"/>
        <w:spacing w:line="240" w:lineRule="auto" w:before="58"/>
        <w:ind w:right="1126"/>
        <w:jc w:val="left"/>
      </w:pPr>
      <w:r>
        <w:rPr>
          <w:spacing w:val="-3"/>
        </w:rPr>
        <w:t>圳市神州通投资集团有限公司，租期为 </w:t>
      </w:r>
      <w:r>
        <w:rPr>
          <w:rFonts w:ascii="Times New Roman" w:hAnsi="Times New Roman" w:cs="Times New Roman" w:eastAsia="Times New Roman" w:hint="default"/>
        </w:rPr>
        <w:t>1  </w:t>
      </w:r>
      <w:r>
        <w:rPr>
          <w:rFonts w:ascii="Times New Roman" w:hAnsi="Times New Roman" w:cs="Times New Roman" w:eastAsia="Times New Roman" w:hint="default"/>
          <w:spacing w:val="21"/>
        </w:rPr>
        <w:t> </w:t>
      </w:r>
      <w:r>
        <w:rPr>
          <w:spacing w:val="-3"/>
        </w:rPr>
        <w:t>年，与深圳市神州通投资集团有限公司签订租赁合同并支付租赁费，每月租金为</w:t>
      </w:r>
    </w:p>
    <w:p>
      <w:pPr>
        <w:pStyle w:val="BodyText"/>
        <w:spacing w:line="240" w:lineRule="auto" w:before="68"/>
        <w:ind w:right="1126"/>
        <w:jc w:val="left"/>
      </w:pPr>
      <w:r>
        <w:rPr>
          <w:rFonts w:ascii="Times New Roman" w:hAnsi="Times New Roman" w:cs="Times New Roman" w:eastAsia="Times New Roman" w:hint="default"/>
        </w:rPr>
        <w:t>70,874.54 </w:t>
      </w:r>
      <w:r>
        <w:rPr/>
        <w:t>元。</w:t>
      </w:r>
      <w:r>
        <w:rPr>
          <w:rFonts w:ascii="Times New Roman" w:hAnsi="Times New Roman" w:cs="Times New Roman" w:eastAsia="Times New Roman" w:hint="default"/>
        </w:rPr>
        <w:t>2019 </w:t>
      </w:r>
      <w:r>
        <w:rPr>
          <w:spacing w:val="-3"/>
        </w:rPr>
        <w:t>年度共发生物业租赁费金额为 </w:t>
      </w:r>
      <w:r>
        <w:rPr>
          <w:rFonts w:ascii="Times New Roman" w:hAnsi="Times New Roman" w:cs="Times New Roman" w:eastAsia="Times New Roman" w:hint="default"/>
        </w:rPr>
        <w:t>796,845.35</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1" w:footer="1474" w:top="1060" w:bottom="16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1126"/>
        <w:jc w:val="left"/>
        <w:rPr>
          <w:b w:val="0"/>
          <w:bCs w:val="0"/>
        </w:rPr>
      </w:pPr>
      <w:bookmarkStart w:name="（3）关联担保情况" w:id="386"/>
      <w:bookmarkEnd w:id="386"/>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6"/>
        <w:rPr>
          <w:rFonts w:ascii="宋体" w:hAnsi="宋体" w:cs="宋体" w:eastAsia="宋体" w:hint="default"/>
          <w:b/>
          <w:bCs/>
          <w:sz w:val="23"/>
          <w:szCs w:val="23"/>
        </w:rPr>
      </w:pPr>
    </w:p>
    <w:p>
      <w:pPr>
        <w:pStyle w:val="Heading6"/>
        <w:spacing w:line="240" w:lineRule="auto" w:before="46"/>
        <w:ind w:right="1126"/>
        <w:jc w:val="left"/>
        <w:rPr>
          <w:b w:val="0"/>
          <w:bCs w:val="0"/>
        </w:rPr>
      </w:pPr>
      <w:r>
        <w:rPr/>
        <w:t>本公司作为担保方</w:t>
      </w:r>
      <w:r>
        <w:rPr>
          <w:b w:val="0"/>
          <w:bCs w:val="0"/>
        </w:rPr>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4"/>
        <w:gridCol w:w="1561"/>
        <w:gridCol w:w="1700"/>
        <w:gridCol w:w="1705"/>
        <w:gridCol w:w="1916"/>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250,000,000.00</w:t>
            </w:r>
          </w:p>
        </w:tc>
        <w:tc>
          <w:tcPr>
            <w:tcW w:w="3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①</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西藏酷爱通信有限公司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1,000,000,000.00</w:t>
            </w:r>
          </w:p>
        </w:tc>
        <w:tc>
          <w:tcPr>
            <w:tcW w:w="3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250,000,000.00</w:t>
            </w:r>
          </w:p>
        </w:tc>
        <w:tc>
          <w:tcPr>
            <w:tcW w:w="3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③</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深圳市酷众科技有限公司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④</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深圳市酷脉科技有限公司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⑤</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32"/>
              <w:jc w:val="left"/>
              <w:rPr>
                <w:rFonts w:ascii="宋体" w:hAnsi="宋体" w:cs="宋体" w:eastAsia="宋体" w:hint="default"/>
                <w:sz w:val="18"/>
                <w:szCs w:val="18"/>
              </w:rPr>
            </w:pPr>
            <w:r>
              <w:rPr>
                <w:rFonts w:ascii="宋体" w:hAnsi="宋体" w:cs="宋体" w:eastAsia="宋体" w:hint="default"/>
                <w:spacing w:val="-3"/>
                <w:sz w:val="18"/>
                <w:szCs w:val="18"/>
              </w:rPr>
              <w:t>深圳市爱施德股份有限公司及其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子公司⑥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2,000,000,000.00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西藏酷爱通信有限公司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西藏酷爱通信有限公司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西藏酷爱通信有限公司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中国供应链金融服务有限公司⑦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Heading6"/>
        <w:spacing w:line="240" w:lineRule="auto"/>
        <w:ind w:right="1126"/>
        <w:jc w:val="left"/>
        <w:rPr>
          <w:b w:val="0"/>
          <w:bCs w:val="0"/>
        </w:rPr>
      </w:pPr>
      <w:r>
        <w:rPr/>
        <w:t>本公司作为被担保方</w:t>
      </w:r>
      <w:r>
        <w:rPr>
          <w:b w:val="0"/>
          <w:bCs w:val="0"/>
        </w:rPr>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4"/>
        <w:gridCol w:w="1561"/>
        <w:gridCol w:w="1700"/>
        <w:gridCol w:w="1705"/>
        <w:gridCol w:w="1916"/>
      </w:tblGrid>
      <w:tr>
        <w:trPr>
          <w:trHeight w:val="39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696"/>
        <w:gridCol w:w="1561"/>
        <w:gridCol w:w="1700"/>
        <w:gridCol w:w="1705"/>
        <w:gridCol w:w="1916"/>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深圳市神州通投资集团有限公司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650,000,000.00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1126"/>
        <w:jc w:val="left"/>
      </w:pPr>
      <w:r>
        <w:rPr/>
        <w:t>关联担保情况说明</w:t>
      </w:r>
    </w:p>
    <w:p>
      <w:pPr>
        <w:pStyle w:val="BodyText"/>
        <w:spacing w:line="240" w:lineRule="auto" w:before="110"/>
        <w:ind w:left="513" w:right="0"/>
        <w:jc w:val="left"/>
      </w:pPr>
      <w:r>
        <w:rPr/>
        <w:t>①</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42"/>
        </w:rPr>
        <w:t> </w:t>
      </w:r>
      <w:r>
        <w:rPr>
          <w:spacing w:val="-4"/>
        </w:rPr>
        <w:t>日，经公司第四届董事会第十八次（临时）会议决议，本公司为全资子公司深圳市酷动数码有限公司</w:t>
      </w:r>
    </w:p>
    <w:p>
      <w:pPr>
        <w:pStyle w:val="BodyText"/>
        <w:spacing w:line="304" w:lineRule="auto" w:before="63"/>
        <w:ind w:right="1126"/>
        <w:jc w:val="left"/>
      </w:pPr>
      <w:r>
        <w:rPr>
          <w:spacing w:val="-3"/>
        </w:rPr>
        <w:t>向供应商苹果电脑贸易（上海）有限公司申请赊销额度提供担保，担保总额不超过人民币 </w:t>
      </w:r>
      <w:r>
        <w:rPr>
          <w:rFonts w:ascii="Times New Roman" w:hAnsi="Times New Roman" w:cs="Times New Roman" w:eastAsia="Times New Roman" w:hint="default"/>
        </w:rPr>
        <w:t>25,000.00 </w:t>
      </w:r>
      <w:r>
        <w:rPr/>
        <w:t>万元，担保期限为深圳</w:t>
      </w:r>
      <w:r>
        <w:rPr>
          <w:spacing w:val="-61"/>
        </w:rPr>
        <w:t> </w:t>
      </w:r>
      <w:r>
        <w:rPr>
          <w:spacing w:val="-61"/>
        </w:rPr>
      </w:r>
      <w:r>
        <w:rPr>
          <w:spacing w:val="-3"/>
        </w:rPr>
        <w:t>市酷动数码有限公司与苹果电脑贸易（上海）有限公司采购合同项下的最后付款到期日起三年。</w:t>
      </w:r>
    </w:p>
    <w:p>
      <w:pPr>
        <w:pStyle w:val="BodyText"/>
        <w:spacing w:line="240" w:lineRule="auto" w:before="66"/>
        <w:ind w:left="513" w:right="0"/>
        <w:jc w:val="left"/>
      </w:pPr>
      <w:r>
        <w:rPr/>
        <w:t>②</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43"/>
        </w:rPr>
        <w:t> </w:t>
      </w:r>
      <w:r>
        <w:rPr>
          <w:spacing w:val="-4"/>
        </w:rPr>
        <w:t>日，经公司第四届董事会第十八次（临时）会议决议，本公司为全资子公司西藏酷爱通信有限公司向</w:t>
      </w:r>
    </w:p>
    <w:p>
      <w:pPr>
        <w:pStyle w:val="BodyText"/>
        <w:spacing w:line="304" w:lineRule="auto" w:before="63"/>
        <w:ind w:right="1126"/>
        <w:jc w:val="left"/>
      </w:pPr>
      <w:r>
        <w:rPr>
          <w:spacing w:val="-4"/>
        </w:rPr>
        <w:t>供应商苹果电脑贸易（上海）有限公司申请赊销额度提供担保，担保总额不超过人民币 </w:t>
      </w:r>
      <w:r>
        <w:rPr>
          <w:rFonts w:ascii="Times New Roman" w:hAnsi="Times New Roman" w:cs="Times New Roman" w:eastAsia="Times New Roman" w:hint="default"/>
        </w:rPr>
        <w:t>100,000.00 </w:t>
      </w:r>
      <w:r>
        <w:rPr>
          <w:spacing w:val="-5"/>
        </w:rPr>
        <w:t>万元，担保期限为西藏酷</w:t>
      </w:r>
      <w:r>
        <w:rPr>
          <w:spacing w:val="-54"/>
        </w:rPr>
        <w:t> </w:t>
      </w:r>
      <w:r>
        <w:rPr>
          <w:spacing w:val="-54"/>
        </w:rPr>
      </w:r>
      <w:r>
        <w:rPr>
          <w:spacing w:val="-3"/>
        </w:rPr>
        <w:t>爱通信有限公司与苹果电脑贸易（上海）有限公司采购合同项下的最后付款到期日起三年。</w:t>
      </w:r>
    </w:p>
    <w:p>
      <w:pPr>
        <w:pStyle w:val="BodyText"/>
        <w:spacing w:line="307" w:lineRule="auto" w:before="62"/>
        <w:ind w:right="1124" w:firstLine="360"/>
        <w:jc w:val="both"/>
      </w:pPr>
      <w:r>
        <w:rPr/>
        <w:t>③</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28"/>
        </w:rPr>
        <w:t> </w:t>
      </w:r>
      <w:r>
        <w:rPr>
          <w:spacing w:val="-4"/>
        </w:rPr>
        <w:t>日，经公司第四届董事会第十八次（临时）会议决议，本公司全资子公司西藏酷爱通信有限公司为全</w:t>
      </w:r>
      <w:r>
        <w:rPr>
          <w:w w:val="101"/>
        </w:rPr>
        <w:t> </w:t>
      </w:r>
      <w:r>
        <w:rPr>
          <w:spacing w:val="-4"/>
        </w:rPr>
        <w:t>资子公司深圳市酷动数码有限公司向供应商苹果电脑贸易（上海）有限公司申请赊销额度提供担保，担保总额不超过人民币</w:t>
      </w:r>
      <w:r>
        <w:rPr>
          <w:spacing w:val="43"/>
        </w:rPr>
        <w:t> </w:t>
      </w:r>
      <w:r>
        <w:rPr>
          <w:spacing w:val="43"/>
        </w:rPr>
      </w:r>
      <w:r>
        <w:rPr>
          <w:rFonts w:ascii="Times New Roman" w:hAnsi="Times New Roman" w:cs="Times New Roman" w:eastAsia="Times New Roman" w:hint="default"/>
        </w:rPr>
        <w:t>25,000.00 </w:t>
      </w:r>
      <w:r>
        <w:rPr>
          <w:spacing w:val="-3"/>
        </w:rPr>
        <w:t>万元，担保期限为西藏酷爱通信有限公司与苹果电脑贸易（上海）有限公司采购合同项下的最后付款到期日起三</w:t>
      </w:r>
      <w:r>
        <w:rPr>
          <w:spacing w:val="12"/>
        </w:rPr>
        <w:t> </w:t>
      </w:r>
      <w:r>
        <w:rPr>
          <w:spacing w:val="12"/>
        </w:rPr>
      </w:r>
      <w:r>
        <w:rPr/>
        <w:t>年。</w:t>
      </w:r>
    </w:p>
    <w:p>
      <w:pPr>
        <w:pStyle w:val="BodyText"/>
        <w:spacing w:line="240" w:lineRule="auto" w:before="59"/>
        <w:ind w:left="513" w:right="0"/>
        <w:jc w:val="left"/>
      </w:pPr>
      <w:r>
        <w:rPr/>
        <w:t>④</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26 </w:t>
      </w:r>
      <w:r>
        <w:rPr>
          <w:rFonts w:ascii="Times New Roman" w:hAnsi="Times New Roman" w:cs="Times New Roman" w:eastAsia="Times New Roman" w:hint="default"/>
          <w:spacing w:val="2"/>
        </w:rPr>
        <w:t> </w:t>
      </w:r>
      <w:r>
        <w:rPr>
          <w:spacing w:val="-4"/>
        </w:rPr>
        <w:t>日，经公司第四届董事会第二十三次（临时）会议决议公告，本公司为控股子公司深圳市酷众科技有</w:t>
      </w:r>
    </w:p>
    <w:p>
      <w:pPr>
        <w:pStyle w:val="BodyText"/>
        <w:spacing w:line="304" w:lineRule="auto" w:before="63"/>
        <w:ind w:right="1126"/>
        <w:jc w:val="left"/>
      </w:pPr>
      <w:r>
        <w:rPr>
          <w:spacing w:val="-4"/>
        </w:rPr>
        <w:t>限公司向供应商苹果电脑贸易（上海）有限公司申请赊销额度提供担保，担保总额不超过人民币 </w:t>
      </w:r>
      <w:r>
        <w:rPr>
          <w:rFonts w:ascii="Times New Roman" w:hAnsi="Times New Roman" w:cs="Times New Roman" w:eastAsia="Times New Roman" w:hint="default"/>
        </w:rPr>
        <w:t>5,000.00 </w:t>
      </w:r>
      <w:r>
        <w:rPr>
          <w:spacing w:val="-5"/>
        </w:rPr>
        <w:t>万元，担保期限为</w:t>
      </w:r>
      <w:r>
        <w:rPr>
          <w:spacing w:val="-53"/>
        </w:rPr>
        <w:t> </w:t>
      </w:r>
      <w:r>
        <w:rPr>
          <w:spacing w:val="-53"/>
        </w:rPr>
      </w:r>
      <w:r>
        <w:rPr>
          <w:spacing w:val="-3"/>
        </w:rPr>
        <w:t>深圳市酷众科技有限公司与苹果电脑贸易（上海）有限公司采购合同项下的最后付款到期日起三年。</w:t>
      </w:r>
    </w:p>
    <w:p>
      <w:pPr>
        <w:pStyle w:val="BodyText"/>
        <w:spacing w:line="240" w:lineRule="auto" w:before="66"/>
        <w:ind w:left="513" w:right="0"/>
        <w:jc w:val="left"/>
      </w:pPr>
      <w:r>
        <w:rPr/>
        <w:t>⑤</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26 </w:t>
      </w:r>
      <w:r>
        <w:rPr>
          <w:rFonts w:ascii="Times New Roman" w:hAnsi="Times New Roman" w:cs="Times New Roman" w:eastAsia="Times New Roman" w:hint="default"/>
          <w:spacing w:val="4"/>
        </w:rPr>
        <w:t> </w:t>
      </w:r>
      <w:r>
        <w:rPr>
          <w:spacing w:val="-4"/>
        </w:rPr>
        <w:t>日，经公司第四届董事会第二十三次（临时）会议决议公告，本公司为控股子公司深圳市酷脉科技有</w:t>
      </w:r>
    </w:p>
    <w:p>
      <w:pPr>
        <w:pStyle w:val="BodyText"/>
        <w:spacing w:line="304" w:lineRule="auto" w:before="63"/>
        <w:ind w:right="1126"/>
        <w:jc w:val="left"/>
      </w:pPr>
      <w:r>
        <w:rPr>
          <w:spacing w:val="-4"/>
        </w:rPr>
        <w:t>限公司向供应商苹果电脑贸易（上海）有限公司申请赊销额度提供担保，担保总额不超过人民币 </w:t>
      </w:r>
      <w:r>
        <w:rPr>
          <w:rFonts w:ascii="Times New Roman" w:hAnsi="Times New Roman" w:cs="Times New Roman" w:eastAsia="Times New Roman" w:hint="default"/>
        </w:rPr>
        <w:t>5,000.00 </w:t>
      </w:r>
      <w:r>
        <w:rPr>
          <w:spacing w:val="-5"/>
        </w:rPr>
        <w:t>万元，担保期限为</w:t>
      </w:r>
      <w:r>
        <w:rPr>
          <w:spacing w:val="-53"/>
        </w:rPr>
        <w:t> </w:t>
      </w:r>
      <w:r>
        <w:rPr>
          <w:spacing w:val="-53"/>
        </w:rPr>
      </w:r>
      <w:r>
        <w:rPr>
          <w:spacing w:val="-3"/>
        </w:rPr>
        <w:t>深圳市酷脉科技有限公司与苹果电脑贸易（上海）有限公司采购合同项下的最后付款到期日起三年。</w:t>
      </w:r>
    </w:p>
    <w:p>
      <w:pPr>
        <w:pStyle w:val="BodyText"/>
        <w:spacing w:line="302" w:lineRule="auto" w:before="62"/>
        <w:ind w:right="1123" w:firstLine="360"/>
        <w:jc w:val="both"/>
      </w:pPr>
      <w:r>
        <w:rPr/>
        <w:t>⑥公司于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07 </w:t>
      </w:r>
      <w:r>
        <w:rPr/>
        <w:t>月 </w:t>
      </w:r>
      <w:r>
        <w:rPr>
          <w:rFonts w:ascii="Times New Roman" w:hAnsi="Times New Roman" w:cs="Times New Roman" w:eastAsia="Times New Roman" w:hint="default"/>
          <w:spacing w:val="-3"/>
        </w:rPr>
        <w:t>05</w:t>
      </w:r>
      <w:r>
        <w:rPr>
          <w:rFonts w:ascii="Times New Roman" w:hAnsi="Times New Roman" w:cs="Times New Roman" w:eastAsia="Times New Roman" w:hint="default"/>
          <w:spacing w:val="30"/>
        </w:rPr>
        <w:t> </w:t>
      </w:r>
      <w:r>
        <w:rPr>
          <w:spacing w:val="-4"/>
        </w:rPr>
        <w:t>日召开第四届董事会第二十六次（临时）会议，同意公司及子公司与国内资信较好的商业</w:t>
      </w:r>
      <w:r>
        <w:rPr>
          <w:w w:val="101"/>
        </w:rPr>
        <w:t> </w:t>
      </w:r>
      <w:r>
        <w:rPr>
          <w:spacing w:val="-3"/>
        </w:rPr>
        <w:t>银行合作开展票据池业务，共享不超过人民币贰拾亿元整（</w:t>
      </w:r>
      <w:r>
        <w:rPr>
          <w:rFonts w:ascii="Times New Roman" w:hAnsi="Times New Roman" w:cs="Times New Roman" w:eastAsia="Times New Roman" w:hint="default"/>
          <w:spacing w:val="-3"/>
        </w:rPr>
        <w:t>20 </w:t>
      </w:r>
      <w:r>
        <w:rPr>
          <w:spacing w:val="-3"/>
        </w:rPr>
        <w:t>亿元）的票据池额度，即用于与所有合作银行开展票据池业</w:t>
      </w:r>
      <w:r>
        <w:rPr>
          <w:spacing w:val="-49"/>
        </w:rPr>
        <w:t> </w:t>
      </w:r>
      <w:r>
        <w:rPr>
          <w:spacing w:val="-49"/>
        </w:rPr>
      </w:r>
      <w:r>
        <w:rPr>
          <w:spacing w:val="-3"/>
          <w:w w:val="101"/>
        </w:rPr>
        <w:t>务的质押、抵押的票据累计即期余额不超过人民币贰拾亿元整（</w:t>
      </w:r>
      <w:r>
        <w:rPr>
          <w:rFonts w:ascii="Times New Roman" w:hAnsi="Times New Roman" w:cs="Times New Roman" w:eastAsia="Times New Roman" w:hint="default"/>
          <w:spacing w:val="-3"/>
          <w:w w:val="101"/>
        </w:rPr>
        <w:t>20</w:t>
      </w:r>
      <w:r>
        <w:rPr>
          <w:rFonts w:ascii="Times New Roman" w:hAnsi="Times New Roman" w:cs="Times New Roman" w:eastAsia="Times New Roman" w:hint="default"/>
          <w:spacing w:val="23"/>
          <w:w w:val="101"/>
        </w:rPr>
        <w:t> </w:t>
      </w:r>
      <w:r>
        <w:rPr>
          <w:spacing w:val="-7"/>
          <w:w w:val="101"/>
        </w:rPr>
        <w:t>亿元），业务开展期限内，该额度可滚动使用。</w:t>
      </w:r>
      <w:r>
        <w:rPr>
          <w:spacing w:val="-7"/>
        </w:rPr>
      </w:r>
    </w:p>
    <w:p>
      <w:pPr>
        <w:pStyle w:val="BodyText"/>
        <w:spacing w:line="240" w:lineRule="auto" w:before="49"/>
        <w:ind w:left="513" w:right="1126"/>
        <w:jc w:val="left"/>
      </w:pPr>
      <w:r>
        <w:rPr>
          <w:spacing w:val="-3"/>
        </w:rPr>
        <w:t>⑦本公司为全资子公司中国供应链金融服务有限公司的担保金额为港币 </w:t>
      </w:r>
      <w:r>
        <w:rPr>
          <w:rFonts w:ascii="Times New Roman" w:hAnsi="Times New Roman" w:cs="Times New Roman" w:eastAsia="Times New Roman" w:hint="default"/>
        </w:rPr>
        <w:t>21,450.00 </w:t>
      </w:r>
      <w:r>
        <w:rPr>
          <w:rFonts w:ascii="Times New Roman" w:hAnsi="Times New Roman" w:cs="Times New Roman" w:eastAsia="Times New Roman" w:hint="default"/>
          <w:spacing w:val="3"/>
        </w:rPr>
        <w:t> </w:t>
      </w:r>
      <w:r>
        <w:rPr/>
        <w:t>万元。</w:t>
      </w:r>
    </w:p>
    <w:p>
      <w:pPr>
        <w:pStyle w:val="BodyText"/>
        <w:spacing w:line="240" w:lineRule="auto" w:before="106"/>
        <w:ind w:left="513" w:right="1126"/>
        <w:jc w:val="left"/>
      </w:pPr>
      <w:r>
        <w:rPr>
          <w:spacing w:val="-3"/>
        </w:rPr>
        <w:t>⑧担保起始和到期日为合同签订日期，实际担保期间为自合同生效之日起至主合同项下债务履行期限届满之日起两年。</w:t>
      </w:r>
    </w:p>
    <w:p>
      <w:pPr>
        <w:spacing w:line="240" w:lineRule="auto" w:before="4"/>
        <w:rPr>
          <w:rFonts w:ascii="宋体" w:hAnsi="宋体" w:cs="宋体" w:eastAsia="宋体" w:hint="default"/>
          <w:sz w:val="26"/>
          <w:szCs w:val="26"/>
        </w:rPr>
      </w:pPr>
    </w:p>
    <w:p>
      <w:pPr>
        <w:pStyle w:val="Heading3"/>
        <w:spacing w:line="240" w:lineRule="auto"/>
        <w:ind w:right="1126"/>
        <w:jc w:val="left"/>
        <w:rPr>
          <w:b w:val="0"/>
          <w:bCs w:val="0"/>
        </w:rPr>
      </w:pPr>
      <w:bookmarkStart w:name="（4）关联方资产转让、债务重组情况" w:id="387"/>
      <w:bookmarkEnd w:id="387"/>
      <w:r>
        <w:rPr>
          <w:b w:val="0"/>
          <w:bCs w:val="0"/>
        </w:rPr>
      </w: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2838"/>
        <w:gridCol w:w="1844"/>
        <w:gridCol w:w="1911"/>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赣江新区全球星投资管理有限公司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转让国鑫基金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的出资份额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2" w:right="0"/>
              <w:jc w:val="left"/>
              <w:rPr>
                <w:rFonts w:ascii="Times New Roman" w:hAnsi="Times New Roman" w:cs="Times New Roman" w:eastAsia="Times New Roman" w:hint="default"/>
                <w:sz w:val="18"/>
                <w:szCs w:val="18"/>
              </w:rPr>
            </w:pPr>
            <w:r>
              <w:rPr>
                <w:rFonts w:ascii="Times New Roman"/>
                <w:sz w:val="18"/>
              </w:rPr>
              <w:t>18,000,000.00</w:t>
            </w: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5）关键管理人员报酬" w:id="388"/>
      <w:bookmarkEnd w:id="388"/>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15,721,648.84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11,267,785.39</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6）其他关联交易" w:id="389"/>
      <w:bookmarkEnd w:id="389"/>
      <w:r>
        <w:rPr>
          <w:b w:val="0"/>
          <w:bCs w:val="0"/>
        </w:rPr>
      </w:r>
      <w:r>
        <w:rPr/>
        <w:t>（</w:t>
      </w:r>
      <w:r>
        <w:rPr>
          <w:rFonts w:ascii="Times New Roman" w:hAnsi="Times New Roman" w:cs="Times New Roman" w:eastAsia="Times New Roman" w:hint="default"/>
        </w:rPr>
        <w:t>6</w:t>
      </w:r>
      <w:r>
        <w:rPr/>
        <w:t>）其他关联交易</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17" w:firstLine="360"/>
        <w:jc w:val="left"/>
      </w:pPr>
      <w:r>
        <w:rPr>
          <w:spacing w:val="-5"/>
          <w:w w:val="101"/>
        </w:rPr>
        <w:t>为缓解上市公司短期资金周转压力，其控股股东深圳市神州通投资集团有限公司及其一致行动人赣江新区全球星投资管</w:t>
      </w:r>
      <w:r>
        <w:rPr>
          <w:w w:val="101"/>
        </w:rPr>
        <w:t> </w:t>
      </w:r>
      <w:r>
        <w:rPr>
          <w:spacing w:val="-3"/>
        </w:rPr>
        <w:t>理有限公司向上市公司提供总额不超过 </w:t>
      </w:r>
      <w:r>
        <w:rPr>
          <w:rFonts w:ascii="Times New Roman" w:hAnsi="Times New Roman" w:cs="Times New Roman" w:eastAsia="Times New Roman" w:hint="default"/>
        </w:rPr>
        <w:t>3  </w:t>
      </w:r>
      <w:r>
        <w:rPr>
          <w:rFonts w:ascii="Times New Roman" w:hAnsi="Times New Roman" w:cs="Times New Roman" w:eastAsia="Times New Roman" w:hint="default"/>
          <w:spacing w:val="13"/>
        </w:rPr>
        <w:t> </w:t>
      </w:r>
      <w:r>
        <w:rPr>
          <w:spacing w:val="-5"/>
        </w:rPr>
        <w:t>亿元（人民币）的无偿财务资助，有效期最长为两年，在有效期内可以连续循环使</w:t>
      </w:r>
    </w:p>
    <w:p>
      <w:pPr>
        <w:pStyle w:val="BodyText"/>
        <w:spacing w:line="248" w:lineRule="exact"/>
        <w:ind w:right="0"/>
        <w:jc w:val="left"/>
      </w:pPr>
      <w:r>
        <w:rPr>
          <w:spacing w:val="-4"/>
        </w:rPr>
        <w:t>用。公司于 </w:t>
      </w:r>
      <w:r>
        <w:rPr>
          <w:rFonts w:ascii="Times New Roman" w:hAnsi="Times New Roman" w:cs="Times New Roman" w:eastAsia="Times New Roman" w:hint="default"/>
        </w:rPr>
        <w:t>2019  </w:t>
      </w:r>
      <w:r>
        <w:rPr>
          <w:spacing w:val="-3"/>
        </w:rPr>
        <w:t>年度内共收到深圳市神州通投资集团有限公司财务资助金额合计 </w:t>
      </w:r>
      <w:r>
        <w:rPr>
          <w:rFonts w:ascii="Times New Roman" w:hAnsi="Times New Roman" w:cs="Times New Roman" w:eastAsia="Times New Roman" w:hint="default"/>
        </w:rPr>
        <w:t>27,780</w:t>
      </w:r>
      <w:r>
        <w:rPr>
          <w:rFonts w:ascii="Times New Roman" w:hAnsi="Times New Roman" w:cs="Times New Roman" w:eastAsia="Times New Roman" w:hint="default"/>
          <w:spacing w:val="-3"/>
        </w:rPr>
        <w:t> </w:t>
      </w:r>
      <w:r>
        <w:rPr>
          <w:spacing w:val="-4"/>
        </w:rPr>
        <w:t>万元，用于公司日常采购需求，截</w:t>
      </w:r>
    </w:p>
    <w:p>
      <w:pPr>
        <w:spacing w:after="0" w:line="248" w:lineRule="exact"/>
        <w:jc w:val="left"/>
        <w:sectPr>
          <w:pgSz w:w="11910" w:h="16840"/>
          <w:pgMar w:header="871" w:footer="1474" w:top="1060" w:bottom="16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1126"/>
        <w:jc w:val="left"/>
      </w:pPr>
      <w:r>
        <w:rPr/>
        <w:t>至</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日，公司已归还财务资助款</w:t>
      </w:r>
      <w:r>
        <w:rPr>
          <w:spacing w:val="-36"/>
        </w:rPr>
        <w:t> </w:t>
      </w:r>
      <w:r>
        <w:rPr>
          <w:rFonts w:ascii="Times New Roman" w:hAnsi="Times New Roman" w:cs="Times New Roman" w:eastAsia="Times New Roman" w:hint="default"/>
        </w:rPr>
        <w:t>27,780</w:t>
      </w:r>
      <w:r>
        <w:rPr>
          <w:rFonts w:ascii="Times New Roman" w:hAnsi="Times New Roman" w:cs="Times New Roman" w:eastAsia="Times New Roman" w:hint="default"/>
          <w:spacing w:val="9"/>
        </w:rPr>
        <w:t> </w:t>
      </w:r>
      <w:r>
        <w:rPr>
          <w:spacing w:val="-3"/>
        </w:rPr>
        <w:t>万元，财务资助全部结清。</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6、关联方应收应付款项" w:id="390"/>
      <w:bookmarkEnd w:id="39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应收项目" w:id="391"/>
      <w:bookmarkEnd w:id="39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3088"/>
        <w:gridCol w:w="1416"/>
        <w:gridCol w:w="1133"/>
        <w:gridCol w:w="1138"/>
        <w:gridCol w:w="1200"/>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308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深圳市神州通油茶营销有限公司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先锋智道（北京）科技有限公司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店商互联（北京）科技发展有限公司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7,268,320.00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7,268,320.00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上海驿圆股权投资基金有限公司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先锋智道（北京）科技有限公司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54,166.67</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店商互联（北京）科技发展有限公司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218,049.60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218,049.60</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应付项目" w:id="392"/>
      <w:bookmarkEnd w:id="39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996"/>
        <w:gridCol w:w="2127"/>
        <w:gridCol w:w="2055"/>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天音通信有限公司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7,318.00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上海酷武供应链管理股份有限公司</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5" w:right="0"/>
              <w:jc w:val="left"/>
              <w:rPr>
                <w:rFonts w:ascii="Times New Roman" w:hAnsi="Times New Roman" w:cs="Times New Roman" w:eastAsia="Times New Roman" w:hint="default"/>
                <w:sz w:val="18"/>
                <w:szCs w:val="18"/>
              </w:rPr>
            </w:pPr>
            <w:r>
              <w:rPr>
                <w:rFonts w:ascii="Times New Roman"/>
                <w:sz w:val="18"/>
              </w:rPr>
              <w:t>1,141,362.39</w:t>
            </w:r>
          </w:p>
        </w:tc>
      </w:tr>
    </w:tbl>
    <w:p>
      <w:pPr>
        <w:spacing w:line="240" w:lineRule="auto" w:before="9"/>
        <w:rPr>
          <w:rFonts w:ascii="宋体" w:hAnsi="宋体" w:cs="宋体" w:eastAsia="宋体" w:hint="default"/>
          <w:sz w:val="17"/>
          <w:szCs w:val="17"/>
        </w:rPr>
      </w:pPr>
    </w:p>
    <w:p>
      <w:pPr>
        <w:pStyle w:val="Heading2"/>
        <w:spacing w:line="240" w:lineRule="auto" w:before="26"/>
        <w:ind w:right="1126"/>
        <w:jc w:val="left"/>
        <w:rPr>
          <w:b w:val="0"/>
          <w:bCs w:val="0"/>
        </w:rPr>
      </w:pPr>
      <w:bookmarkStart w:name="十三、承诺及或有事项" w:id="393"/>
      <w:bookmarkEnd w:id="393"/>
      <w:r>
        <w:rPr>
          <w:b w:val="0"/>
          <w:bCs w:val="0"/>
        </w:rPr>
      </w:r>
      <w:r>
        <w:rPr/>
        <w:t>十三、承诺及或有事项</w:t>
      </w:r>
      <w:r>
        <w:rPr>
          <w:b w:val="0"/>
          <w:bCs w:val="0"/>
        </w:rPr>
      </w:r>
    </w:p>
    <w:p>
      <w:pPr>
        <w:pStyle w:val="Heading3"/>
        <w:spacing w:line="610" w:lineRule="atLeast" w:before="11"/>
        <w:ind w:left="244" w:right="8939" w:hanging="92"/>
        <w:jc w:val="left"/>
        <w:rPr>
          <w:b w:val="0"/>
          <w:bCs w:val="0"/>
        </w:rPr>
      </w:pPr>
      <w:bookmarkStart w:name="1、重要承诺事项" w:id="394"/>
      <w:bookmarkEnd w:id="394"/>
      <w:r>
        <w:rPr>
          <w:b w:val="0"/>
          <w:bCs w:val="0"/>
        </w:rPr>
      </w:r>
      <w:r>
        <w:rPr>
          <w:rFonts w:ascii="Times New Roman" w:hAnsi="Times New Roman" w:cs="Times New Roman" w:eastAsia="Times New Roman" w:hint="default"/>
        </w:rPr>
        <w:t>1</w:t>
      </w:r>
      <w:r>
        <w:rPr/>
        <w:t>、重要承诺事项</w:t>
      </w:r>
      <w:r>
        <w:rPr>
          <w:spacing w:val="-103"/>
        </w:rPr>
        <w:t> </w:t>
      </w:r>
      <w:r>
        <w:rPr>
          <w:rFonts w:ascii="Times New Roman" w:hAnsi="Times New Roman" w:cs="Times New Roman" w:eastAsia="Times New Roman" w:hint="default"/>
        </w:rPr>
        <w:t>(1)</w:t>
      </w:r>
      <w:r>
        <w:rPr/>
        <w:t>、经营租赁承诺</w:t>
      </w:r>
      <w:r>
        <w:rPr>
          <w:b w:val="0"/>
          <w:bCs w:val="0"/>
        </w:rPr>
      </w:r>
    </w:p>
    <w:p>
      <w:pPr>
        <w:pStyle w:val="BodyText"/>
        <w:spacing w:line="240" w:lineRule="auto" w:before="166"/>
        <w:ind w:right="1126"/>
        <w:jc w:val="left"/>
      </w:pPr>
      <w:r>
        <w:rPr>
          <w:spacing w:val="-3"/>
        </w:rPr>
        <w:t>至资产负债表日止，本公司对外签订的不可撤销的经营租赁合约情况如下：</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510"/>
        <w:gridCol w:w="2737"/>
        <w:gridCol w:w="2737"/>
      </w:tblGrid>
      <w:tr>
        <w:trPr>
          <w:trHeight w:val="331" w:hRule="exact"/>
        </w:trPr>
        <w:tc>
          <w:tcPr>
            <w:tcW w:w="3510"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7"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25"/>
              <w:ind w:left="82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5" w:hRule="exact"/>
        </w:trPr>
        <w:tc>
          <w:tcPr>
            <w:tcW w:w="35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pacing w:val="-3"/>
                <w:sz w:val="18"/>
                <w:szCs w:val="18"/>
              </w:rPr>
              <w:t>不可撤销经营租赁的最低租赁付款额：</w:t>
            </w:r>
          </w:p>
        </w:tc>
        <w:tc>
          <w:tcPr>
            <w:tcW w:w="2737" w:type="dxa"/>
            <w:tcBorders>
              <w:top w:val="single" w:sz="8" w:space="0" w:color="000000"/>
              <w:left w:val="single" w:sz="4" w:space="0" w:color="000000"/>
              <w:bottom w:val="single" w:sz="4" w:space="0" w:color="000000"/>
              <w:right w:val="single" w:sz="4" w:space="0" w:color="000000"/>
            </w:tcBorders>
          </w:tcPr>
          <w:p>
            <w:pPr/>
          </w:p>
        </w:tc>
        <w:tc>
          <w:tcPr>
            <w:tcW w:w="2737" w:type="dxa"/>
            <w:tcBorders>
              <w:top w:val="single" w:sz="8" w:space="0" w:color="000000"/>
              <w:left w:val="single" w:sz="4" w:space="0" w:color="000000"/>
              <w:bottom w:val="single" w:sz="4" w:space="0" w:color="000000"/>
              <w:right w:val="single" w:sz="4" w:space="0" w:color="000000"/>
            </w:tcBorders>
          </w:tcPr>
          <w:p>
            <w:pP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48,706,324.06</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54,481,052.08</w:t>
            </w: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26,237,180.98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33,103,083.83</w:t>
            </w:r>
          </w:p>
        </w:tc>
      </w:tr>
      <w:tr>
        <w:trPr>
          <w:trHeight w:val="346"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12,024,416.18</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18,886,734.41</w:t>
            </w: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17,053,495.93</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24,221,317.31</w:t>
            </w:r>
          </w:p>
        </w:tc>
      </w:tr>
      <w:tr>
        <w:trPr>
          <w:trHeight w:val="341" w:hRule="exact"/>
        </w:trPr>
        <w:tc>
          <w:tcPr>
            <w:tcW w:w="3510"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104,021,417.15</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130,692,187.63</w:t>
            </w:r>
          </w:p>
        </w:tc>
      </w:tr>
    </w:tbl>
    <w:p>
      <w:pPr>
        <w:spacing w:line="240" w:lineRule="auto" w:before="4"/>
        <w:rPr>
          <w:rFonts w:ascii="宋体" w:hAnsi="宋体" w:cs="宋体" w:eastAsia="宋体" w:hint="default"/>
          <w:sz w:val="5"/>
          <w:szCs w:val="5"/>
        </w:rPr>
      </w:pPr>
    </w:p>
    <w:p>
      <w:pPr>
        <w:pStyle w:val="Heading3"/>
        <w:spacing w:line="240" w:lineRule="auto" w:before="36"/>
        <w:ind w:right="1126"/>
        <w:jc w:val="left"/>
        <w:rPr>
          <w:b w:val="0"/>
          <w:bCs w:val="0"/>
        </w:rPr>
      </w:pPr>
      <w:r>
        <w:rPr>
          <w:rFonts w:ascii="Times New Roman" w:hAnsi="Times New Roman" w:cs="Times New Roman" w:eastAsia="Times New Roman" w:hint="default"/>
        </w:rPr>
        <w:t>(2)</w:t>
      </w:r>
      <w:r>
        <w:rPr/>
        <w:t>、其他承诺事项</w:t>
      </w:r>
      <w:r>
        <w:rPr>
          <w:b w:val="0"/>
          <w:bCs w:val="0"/>
        </w:rPr>
      </w:r>
    </w:p>
    <w:p>
      <w:pPr>
        <w:spacing w:line="240" w:lineRule="auto" w:before="12"/>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3405"/>
        <w:gridCol w:w="2833"/>
        <w:gridCol w:w="1844"/>
        <w:gridCol w:w="996"/>
      </w:tblGrid>
      <w:tr>
        <w:trPr>
          <w:trHeight w:val="338" w:hRule="exact"/>
        </w:trPr>
        <w:tc>
          <w:tcPr>
            <w:tcW w:w="3405"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83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认缴方</w:t>
            </w:r>
          </w:p>
        </w:tc>
        <w:tc>
          <w:tcPr>
            <w:tcW w:w="1844"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pacing w:val="-2"/>
                <w:sz w:val="18"/>
                <w:szCs w:val="18"/>
              </w:rPr>
              <w:t>已认缴但未出资的金额</w:t>
            </w:r>
          </w:p>
        </w:tc>
        <w:tc>
          <w:tcPr>
            <w:tcW w:w="996"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拟出资方式</w:t>
            </w:r>
          </w:p>
        </w:tc>
      </w:tr>
    </w:tbl>
    <w:p>
      <w:pPr>
        <w:spacing w:after="0" w:line="240" w:lineRule="auto"/>
        <w:jc w:val="left"/>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405"/>
        <w:gridCol w:w="2833"/>
        <w:gridCol w:w="1844"/>
        <w:gridCol w:w="994"/>
      </w:tblGrid>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壹号电子商务有限公司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4100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爱施德（香港）有限公司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港币</w:t>
            </w:r>
            <w:r>
              <w:rPr>
                <w:rFonts w:ascii="Times New Roman" w:hAnsi="Times New Roman" w:cs="Times New Roman" w:eastAsia="Times New Roman" w:hint="default"/>
                <w:spacing w:val="-3"/>
                <w:sz w:val="18"/>
                <w:szCs w:val="18"/>
              </w:rPr>
              <w:t>480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深圳市酷脉科技有限公司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540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深圳市爱享投资有限公司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1198</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深圳市酷众科技有限公司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600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江西酷兜科技有限公司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广州爱施德股权投资管理有限公司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49998</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江西爱保保险代理有限公司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4750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江西爱施德保险经纪有限公司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4750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杭州爱施迪通讯有限公司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深圳市网爱金融服务有限公司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北京瑞成汇达科技有限公司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408</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深圳由你网络技术有限公司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北京瑞成汇达科技有限公司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459</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深圳市凯辰网络有限公司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深圳由你网络技术有限公司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深圳市新凯辰科技有限公司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深圳由你网络技术有限公司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深圳市云达数据科技有限公司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深圳市优友互联有限公司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510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33"/>
              <w:jc w:val="left"/>
              <w:rPr>
                <w:rFonts w:ascii="宋体" w:hAnsi="宋体" w:cs="宋体" w:eastAsia="宋体" w:hint="default"/>
                <w:sz w:val="18"/>
                <w:szCs w:val="18"/>
              </w:rPr>
            </w:pPr>
            <w:r>
              <w:rPr>
                <w:rFonts w:ascii="宋体" w:hAnsi="宋体" w:cs="宋体" w:eastAsia="宋体" w:hint="default"/>
                <w:spacing w:val="-3"/>
                <w:sz w:val="18"/>
                <w:szCs w:val="18"/>
              </w:rPr>
              <w:t>深圳市彩梦物联有限合伙企业（有限合伙）</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pacing w:val="-3"/>
                <w:sz w:val="18"/>
                <w:szCs w:val="18"/>
              </w:rPr>
              <w:t>深圳市爱享投资有限公司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21.39</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深圳市优友商业保理有限公司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995</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深圳市优友供应链有限公司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4995</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深圳市优友信息技术有限公司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深圳金石创新科技有限公司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810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优友金服（常熟）供应链有限公司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内蒙古优友贸易有限公司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2000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深圳市臻和通讯有限公司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1000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广东臻和科技有限公司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1000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深圳市臻和供应链有限公司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人民币</w:t>
            </w:r>
            <w:r>
              <w:rPr>
                <w:rFonts w:ascii="Times New Roman" w:hAnsi="Times New Roman" w:cs="Times New Roman" w:eastAsia="Times New Roman" w:hint="default"/>
                <w:spacing w:val="-3"/>
                <w:sz w:val="18"/>
                <w:szCs w:val="18"/>
              </w:rPr>
              <w:t>1000</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展弘实业有限公司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深圳市优友供应链有限公司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1</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中国供应链金融服务有限公司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展弘实业有限公司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1</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r>
        <w:trPr>
          <w:trHeight w:val="341"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北京威丰科技有限公司</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深圳市爱保科技信息服务有限公司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货币资金</w:t>
            </w:r>
          </w:p>
        </w:tc>
      </w:tr>
    </w:tbl>
    <w:p>
      <w:pPr>
        <w:spacing w:line="240" w:lineRule="auto" w:before="3"/>
        <w:rPr>
          <w:rFonts w:ascii="宋体" w:hAnsi="宋体" w:cs="宋体" w:eastAsia="宋体" w:hint="default"/>
          <w:b/>
          <w:bCs/>
          <w:sz w:val="19"/>
          <w:szCs w:val="19"/>
        </w:rPr>
      </w:pPr>
    </w:p>
    <w:p>
      <w:pPr>
        <w:pStyle w:val="Heading3"/>
        <w:spacing w:line="240" w:lineRule="auto" w:before="36"/>
        <w:ind w:right="1126"/>
        <w:jc w:val="left"/>
        <w:rPr>
          <w:b w:val="0"/>
          <w:bCs w:val="0"/>
        </w:rPr>
      </w:pPr>
      <w:bookmarkStart w:name="2、或有事项" w:id="395"/>
      <w:bookmarkEnd w:id="39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资产负债表日存在的重要或有事项" w:id="396"/>
      <w:bookmarkEnd w:id="39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5" w:right="0"/>
        <w:jc w:val="left"/>
      </w:pPr>
      <w:r>
        <w:rPr>
          <w:rFonts w:ascii="Times New Roman" w:hAnsi="Times New Roman" w:cs="Times New Roman" w:eastAsia="Times New Roman" w:hint="default"/>
        </w:rPr>
        <w:t>1</w:t>
      </w:r>
      <w:r>
        <w:rPr/>
        <w:t>）为其他单位提供债务担保形成的或有负债及其财务影响为关联方提供担保详见</w:t>
      </w:r>
      <w:r>
        <w:rPr>
          <w:rFonts w:ascii="Times New Roman" w:hAnsi="Times New Roman" w:cs="Times New Roman" w:eastAsia="Times New Roman" w:hint="default"/>
        </w:rPr>
        <w:t>“</w:t>
      </w:r>
      <w:r>
        <w:rPr/>
        <w:t>本附注十二、关联方及关联交易</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3"/>
          <w:szCs w:val="13"/>
        </w:rPr>
      </w:pPr>
    </w:p>
    <w:p>
      <w:pPr>
        <w:pStyle w:val="BodyText"/>
        <w:spacing w:line="240" w:lineRule="auto"/>
        <w:ind w:left="575" w:right="1126"/>
        <w:jc w:val="left"/>
      </w:pPr>
      <w:r>
        <w:rPr>
          <w:rFonts w:ascii="Times New Roman" w:hAnsi="Times New Roman" w:cs="Times New Roman" w:eastAsia="Times New Roman" w:hint="default"/>
          <w:spacing w:val="-3"/>
        </w:rPr>
        <w:t>2</w:t>
      </w:r>
      <w:r>
        <w:rPr>
          <w:spacing w:val="-3"/>
        </w:rPr>
        <w:t>）与合营企业或联营企业投资相关的或有负债参见财务报告</w:t>
      </w:r>
      <w:r>
        <w:rPr>
          <w:rFonts w:ascii="Times New Roman" w:hAnsi="Times New Roman" w:cs="Times New Roman" w:eastAsia="Times New Roman" w:hint="default"/>
          <w:spacing w:val="-3"/>
        </w:rPr>
        <w:t>“</w:t>
      </w:r>
      <w:r>
        <w:rPr>
          <w:spacing w:val="-3"/>
        </w:rPr>
        <w:t>附注九、在其他主体中的权益</w:t>
      </w:r>
      <w:r>
        <w:rPr>
          <w:rFonts w:ascii="Times New Roman" w:hAnsi="Times New Roman" w:cs="Times New Roman" w:eastAsia="Times New Roman" w:hint="default"/>
          <w:spacing w:val="-3"/>
        </w:rPr>
        <w:t>”</w:t>
      </w:r>
      <w:r>
        <w:rPr>
          <w:spacing w:val="-3"/>
        </w:rPr>
        <w:t>部分。</w:t>
      </w:r>
    </w:p>
    <w:p>
      <w:pPr>
        <w:spacing w:line="240" w:lineRule="auto" w:before="13"/>
        <w:rPr>
          <w:rFonts w:ascii="宋体" w:hAnsi="宋体" w:cs="宋体" w:eastAsia="宋体" w:hint="default"/>
          <w:sz w:val="13"/>
          <w:szCs w:val="13"/>
        </w:rPr>
      </w:pPr>
    </w:p>
    <w:p>
      <w:pPr>
        <w:pStyle w:val="BodyText"/>
        <w:spacing w:line="240" w:lineRule="auto"/>
        <w:ind w:left="575" w:right="1126"/>
        <w:jc w:val="left"/>
      </w:pPr>
      <w:r>
        <w:rPr>
          <w:rFonts w:ascii="Times New Roman" w:hAnsi="Times New Roman" w:cs="Times New Roman" w:eastAsia="Times New Roman" w:hint="default"/>
        </w:rPr>
        <w:t>3</w:t>
      </w:r>
      <w:r>
        <w:rPr/>
        <w:t>）开出保函</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日，本公司开具的保函余额为</w:t>
      </w:r>
      <w:r>
        <w:rPr>
          <w:rFonts w:ascii="Times New Roman" w:hAnsi="Times New Roman" w:cs="Times New Roman" w:eastAsia="Times New Roman" w:hint="default"/>
        </w:rPr>
        <w:t>1,212,000,000</w:t>
      </w:r>
      <w:r>
        <w:rPr/>
        <w:t>元，其中存入保函保证金余额 </w:t>
      </w:r>
      <w:r>
        <w:rPr>
          <w:rFonts w:ascii="Times New Roman" w:hAnsi="Times New Roman" w:cs="Times New Roman" w:eastAsia="Times New Roman" w:hint="default"/>
        </w:rPr>
        <w:t>536,500,000.00 </w:t>
      </w:r>
      <w:r>
        <w:rPr>
          <w:rFonts w:ascii="Times New Roman" w:hAnsi="Times New Roman" w:cs="Times New Roman" w:eastAsia="Times New Roman" w:hint="default"/>
          <w:spacing w:val="37"/>
        </w:rPr>
        <w:t> </w:t>
      </w:r>
      <w:r>
        <w:rPr/>
        <w:t>元（其中</w:t>
      </w:r>
    </w:p>
    <w:p>
      <w:pPr>
        <w:pStyle w:val="BodyText"/>
        <w:spacing w:line="240" w:lineRule="auto" w:before="63"/>
        <w:ind w:right="1126"/>
        <w:jc w:val="left"/>
      </w:pPr>
      <w:r>
        <w:rPr>
          <w:rFonts w:ascii="Times New Roman" w:hAnsi="Times New Roman" w:cs="Times New Roman" w:eastAsia="Times New Roman" w:hint="default"/>
        </w:rPr>
        <w:t>87,500,000.00</w:t>
      </w:r>
      <w:r>
        <w:rPr/>
        <w:t>元为定期存单质押作为保函保证金）。</w:t>
      </w:r>
    </w:p>
    <w:p>
      <w:pPr>
        <w:spacing w:line="240" w:lineRule="auto" w:before="13"/>
        <w:rPr>
          <w:rFonts w:ascii="宋体" w:hAnsi="宋体" w:cs="宋体" w:eastAsia="宋体" w:hint="default"/>
          <w:sz w:val="13"/>
          <w:szCs w:val="13"/>
        </w:rPr>
      </w:pPr>
    </w:p>
    <w:p>
      <w:pPr>
        <w:pStyle w:val="BodyText"/>
        <w:spacing w:line="240" w:lineRule="auto"/>
        <w:ind w:left="575" w:right="1126"/>
        <w:jc w:val="left"/>
      </w:pPr>
      <w:r>
        <w:rPr>
          <w:rFonts w:ascii="Times New Roman" w:hAnsi="Times New Roman" w:cs="Times New Roman" w:eastAsia="Times New Roman" w:hint="default"/>
        </w:rPr>
        <w:t>4</w:t>
      </w:r>
      <w:r>
        <w:rPr/>
        <w:t>）未决诉讼</w:t>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firstLine="422"/>
        <w:jc w:val="both"/>
      </w:pPr>
      <w:r>
        <w:rPr>
          <w:spacing w:val="-2"/>
        </w:rPr>
        <w:t>①深圳市优友供应链有限公司（以下简称“优友供应链公司”）诉中国农垦集团有限公司（以下简称“农垦集团”）</w:t>
      </w:r>
      <w:r>
        <w:rPr>
          <w:w w:val="101"/>
        </w:rPr>
        <w:t> </w:t>
      </w:r>
      <w:r>
        <w:rPr>
          <w:spacing w:val="-3"/>
        </w:rPr>
        <w:t>买卖合同纠纷案</w:t>
      </w:r>
    </w:p>
    <w:p>
      <w:pPr>
        <w:pStyle w:val="BodyText"/>
        <w:spacing w:line="319" w:lineRule="auto" w:before="139"/>
        <w:ind w:right="1122" w:firstLine="422"/>
        <w:jc w:val="both"/>
      </w:pPr>
      <w:r>
        <w:rPr>
          <w:spacing w:val="-2"/>
        </w:rPr>
        <w:t>本公司之间接控股子公司优友供应链公司向农垦集团销售玉米，农垦集团收到相关货物后拒向优友供应链公司支付货</w:t>
      </w:r>
      <w:r>
        <w:rPr>
          <w:w w:val="101"/>
        </w:rPr>
        <w:t> </w:t>
      </w:r>
      <w:r>
        <w:rPr/>
        <w:t>款，截止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日，农垦集团尚欠优友供应链公司</w:t>
      </w:r>
      <w:r>
        <w:rPr>
          <w:spacing w:val="30"/>
        </w:rPr>
        <w:t> </w:t>
      </w:r>
      <w:r>
        <w:rPr>
          <w:rFonts w:ascii="宋体" w:hAnsi="宋体" w:cs="宋体" w:eastAsia="宋体" w:hint="default"/>
        </w:rPr>
        <w:t>63,380,000.00</w:t>
      </w:r>
      <w:r>
        <w:rPr>
          <w:rFonts w:ascii="宋体" w:hAnsi="宋体" w:cs="宋体" w:eastAsia="宋体" w:hint="default"/>
          <w:spacing w:val="28"/>
        </w:rPr>
        <w:t> </w:t>
      </w:r>
      <w:r>
        <w:rPr>
          <w:spacing w:val="-3"/>
        </w:rPr>
        <w:t>元货款。优友供应链公司向深圳市中级人民法院</w:t>
      </w:r>
      <w:r>
        <w:rPr>
          <w:spacing w:val="-84"/>
        </w:rPr>
        <w:t> </w:t>
      </w:r>
      <w:r>
        <w:rPr>
          <w:spacing w:val="-84"/>
        </w:rPr>
      </w:r>
      <w:r>
        <w:rPr>
          <w:spacing w:val="-4"/>
        </w:rPr>
        <w:t>申请立案，诉求为农垦集团向优友供应链公司支付货款及违约金，优友供应链公司已申请冻结农垦集团持有中农发种业集团</w:t>
      </w:r>
      <w:r>
        <w:rPr>
          <w:spacing w:val="43"/>
        </w:rPr>
        <w:t> </w:t>
      </w:r>
      <w:r>
        <w:rPr>
          <w:spacing w:val="43"/>
        </w:rPr>
      </w:r>
      <w:r>
        <w:rPr>
          <w:spacing w:val="-2"/>
        </w:rPr>
        <w:t>股份有限公司</w:t>
      </w:r>
      <w:r>
        <w:rPr>
          <w:rFonts w:ascii="宋体" w:hAnsi="宋体" w:cs="宋体" w:eastAsia="宋体" w:hint="default"/>
          <w:spacing w:val="-2"/>
        </w:rPr>
        <w:t>44,896,226</w:t>
      </w:r>
      <w:r>
        <w:rPr>
          <w:spacing w:val="-2"/>
        </w:rPr>
        <w:t>股股票。深圳市中级人民法院于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16</w:t>
      </w:r>
      <w:r>
        <w:rPr>
          <w:spacing w:val="-2"/>
        </w:rPr>
        <w:t>日作出支持优友供应链公司的胜诉判决，农垦集团提</w:t>
      </w:r>
      <w:r>
        <w:rPr>
          <w:spacing w:val="37"/>
        </w:rPr>
        <w:t> </w:t>
      </w:r>
      <w:r>
        <w:rPr>
          <w:spacing w:val="37"/>
        </w:rPr>
      </w:r>
      <w:r>
        <w:rPr>
          <w:spacing w:val="-4"/>
        </w:rPr>
        <w:t>起上诉，广东省高级人民法院于</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28</w:t>
      </w:r>
      <w:r>
        <w:rPr>
          <w:spacing w:val="-4"/>
        </w:rPr>
        <w:t>日开庭审理，截止本报告批准报出日尚未作出判决。截止</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日，优</w:t>
      </w:r>
      <w:r>
        <w:rPr>
          <w:spacing w:val="73"/>
        </w:rPr>
        <w:t> </w:t>
      </w:r>
      <w:r>
        <w:rPr>
          <w:spacing w:val="73"/>
        </w:rPr>
      </w:r>
      <w:r>
        <w:rPr>
          <w:spacing w:val="-3"/>
        </w:rPr>
        <w:t>友供应链公司针对该项债权已计提 </w:t>
      </w:r>
      <w:r>
        <w:rPr>
          <w:rFonts w:ascii="宋体" w:hAnsi="宋体" w:cs="宋体" w:eastAsia="宋体" w:hint="default"/>
        </w:rPr>
        <w:t>10,166,152.00</w:t>
      </w:r>
      <w:r>
        <w:rPr>
          <w:rFonts w:ascii="宋体" w:hAnsi="宋体" w:cs="宋体" w:eastAsia="宋体" w:hint="default"/>
          <w:spacing w:val="51"/>
        </w:rPr>
        <w:t> </w:t>
      </w:r>
      <w:r>
        <w:rPr/>
        <w:t>元坏账准备。</w:t>
      </w:r>
    </w:p>
    <w:p>
      <w:pPr>
        <w:pStyle w:val="BodyText"/>
        <w:spacing w:line="316" w:lineRule="auto" w:before="137"/>
        <w:ind w:right="1118" w:firstLine="422"/>
        <w:jc w:val="both"/>
      </w:pPr>
      <w:r>
        <w:rPr>
          <w:spacing w:val="-6"/>
        </w:rPr>
        <w:t>②深圳市优友商业保理有限公司（以下简称“优友保理公司”）诉深圳市飞马国际供应链股份有限公司（以下简称“飞</w:t>
      </w:r>
      <w:r>
        <w:rPr>
          <w:w w:val="101"/>
        </w:rPr>
        <w:t> </w:t>
      </w:r>
      <w:r>
        <w:rPr>
          <w:spacing w:val="-3"/>
        </w:rPr>
        <w:t>马国际公司”）保理款纠纷案</w:t>
      </w:r>
    </w:p>
    <w:p>
      <w:pPr>
        <w:pStyle w:val="BodyText"/>
        <w:spacing w:line="319" w:lineRule="auto" w:before="139"/>
        <w:ind w:right="1119" w:firstLine="422"/>
        <w:jc w:val="both"/>
      </w:pPr>
      <w:r>
        <w:rPr>
          <w:rFonts w:ascii="宋体" w:hAnsi="宋体" w:cs="宋体" w:eastAsia="宋体" w:hint="default"/>
        </w:rPr>
        <w:t>2018 </w:t>
      </w:r>
      <w:r>
        <w:rPr/>
        <w:t>年期间，</w:t>
      </w:r>
      <w:r>
        <w:rPr>
          <w:spacing w:val="38"/>
        </w:rPr>
        <w:t> </w:t>
      </w:r>
      <w:r>
        <w:rPr/>
        <w:t>优友保理公司与上海寰亚电力运营管理有限公司（以下简称“寰亚电力公司”）签订《国内商业保理</w:t>
      </w:r>
      <w:r>
        <w:rPr>
          <w:w w:val="101"/>
        </w:rPr>
        <w:t> </w:t>
      </w:r>
      <w:r>
        <w:rPr>
          <w:spacing w:val="-4"/>
        </w:rPr>
        <w:t>合同》，对寰亚电力公司提供商业保理服务，寰亚电力公司将其所持有飞马国际公司的应收款转让给优友保理公司获取保理</w:t>
      </w:r>
      <w:r>
        <w:rPr>
          <w:spacing w:val="38"/>
        </w:rPr>
        <w:t> </w:t>
      </w:r>
      <w:r>
        <w:rPr>
          <w:spacing w:val="38"/>
        </w:rPr>
      </w:r>
      <w:r>
        <w:rPr>
          <w:spacing w:val="-4"/>
        </w:rPr>
        <w:t>融资款，飞马国际公司通过商业承兑汇票向寰亚电力公司结算，故寰亚电力公司将飞马国际公司的商业承兑汇票背书给了优</w:t>
      </w:r>
      <w:r>
        <w:rPr>
          <w:spacing w:val="42"/>
        </w:rPr>
        <w:t> </w:t>
      </w:r>
      <w:r>
        <w:rPr>
          <w:spacing w:val="42"/>
        </w:rPr>
      </w:r>
      <w:r>
        <w:rPr>
          <w:spacing w:val="-3"/>
        </w:rPr>
        <w:t>友保理公司，商业承兑汇票到期后，飞马国际公司拒绝承兑。截止</w:t>
      </w:r>
      <w:r>
        <w:rPr>
          <w:rFonts w:ascii="宋体" w:hAnsi="宋体" w:cs="宋体" w:eastAsia="宋体" w:hint="default"/>
          <w:spacing w:val="-3"/>
        </w:rPr>
        <w:t>2019</w:t>
      </w:r>
      <w:r>
        <w:rPr>
          <w:rFonts w:ascii="宋体" w:hAnsi="宋体" w:cs="宋体" w:eastAsia="宋体" w:hint="default"/>
          <w:spacing w:val="25"/>
        </w:rPr>
        <w:t> </w:t>
      </w:r>
      <w:r>
        <w:rPr/>
        <w:t>年</w:t>
      </w:r>
      <w:r>
        <w:rPr>
          <w:spacing w:val="32"/>
        </w:rPr>
        <w:t> </w:t>
      </w:r>
      <w:r>
        <w:rPr>
          <w:rFonts w:ascii="宋体" w:hAnsi="宋体" w:cs="宋体" w:eastAsia="宋体" w:hint="default"/>
        </w:rPr>
        <w:t>12</w:t>
      </w:r>
      <w:r>
        <w:rPr>
          <w:rFonts w:ascii="宋体" w:hAnsi="宋体" w:cs="宋体" w:eastAsia="宋体" w:hint="default"/>
          <w:spacing w:val="25"/>
        </w:rPr>
        <w:t> </w:t>
      </w:r>
      <w:r>
        <w:rPr/>
        <w:t>月</w:t>
      </w:r>
      <w:r>
        <w:rPr>
          <w:spacing w:val="25"/>
        </w:rPr>
        <w:t> </w:t>
      </w:r>
      <w:r>
        <w:rPr>
          <w:rFonts w:ascii="宋体" w:hAnsi="宋体" w:cs="宋体" w:eastAsia="宋体" w:hint="default"/>
        </w:rPr>
        <w:t>31</w:t>
      </w:r>
      <w:r>
        <w:rPr>
          <w:rFonts w:ascii="宋体" w:hAnsi="宋体" w:cs="宋体" w:eastAsia="宋体" w:hint="default"/>
          <w:spacing w:val="32"/>
        </w:rPr>
        <w:t> </w:t>
      </w:r>
      <w:r>
        <w:rPr>
          <w:spacing w:val="-3"/>
        </w:rPr>
        <w:t>日，优友保理公司就该保理业务应收</w:t>
      </w:r>
      <w:r>
        <w:rPr>
          <w:spacing w:val="-82"/>
        </w:rPr>
        <w:t> </w:t>
      </w:r>
      <w:r>
        <w:rPr>
          <w:spacing w:val="-82"/>
        </w:rPr>
      </w:r>
      <w:r>
        <w:rPr>
          <w:spacing w:val="-2"/>
        </w:rPr>
        <w:t>款项为</w:t>
      </w:r>
      <w:r>
        <w:rPr>
          <w:rFonts w:ascii="宋体" w:hAnsi="宋体" w:cs="宋体" w:eastAsia="宋体" w:hint="default"/>
          <w:spacing w:val="-2"/>
        </w:rPr>
        <w:t>77,973,548.46</w:t>
      </w:r>
      <w:r>
        <w:rPr>
          <w:spacing w:val="-2"/>
        </w:rPr>
        <w:t>元，针对该项债权已计提坏账准备</w:t>
      </w:r>
      <w:r>
        <w:rPr>
          <w:rFonts w:ascii="宋体" w:hAnsi="宋体" w:cs="宋体" w:eastAsia="宋体" w:hint="default"/>
          <w:spacing w:val="-2"/>
        </w:rPr>
        <w:t>1,559,470.97</w:t>
      </w:r>
      <w:r>
        <w:rPr>
          <w:spacing w:val="-2"/>
        </w:rPr>
        <w:t>元。优友保理公司向深圳市福田区人民法院提起以下</w:t>
      </w:r>
      <w:r>
        <w:rPr>
          <w:spacing w:val="50"/>
        </w:rPr>
        <w:t> </w:t>
      </w:r>
      <w:r>
        <w:rPr>
          <w:spacing w:val="50"/>
        </w:rPr>
      </w:r>
      <w:r>
        <w:rPr/>
        <w:t>诉讼：</w:t>
      </w:r>
    </w:p>
    <w:p>
      <w:pPr>
        <w:pStyle w:val="BodyText"/>
        <w:spacing w:line="316" w:lineRule="auto" w:before="137"/>
        <w:ind w:right="1122" w:firstLine="422"/>
        <w:jc w:val="both"/>
      </w:pPr>
      <w:r>
        <w:rPr>
          <w:rFonts w:ascii="宋体" w:hAnsi="宋体" w:cs="宋体" w:eastAsia="宋体" w:hint="default"/>
          <w:spacing w:val="-4"/>
        </w:rPr>
        <w:t>A</w:t>
      </w:r>
      <w:r>
        <w:rPr>
          <w:spacing w:val="-4"/>
        </w:rPr>
        <w:t>、优友保理公司向深圳市福田区人民法院申请立案，诉求为被告飞马国际公司、寰亚电力公司（对优友保理公司尚未</w:t>
      </w:r>
      <w:r>
        <w:rPr>
          <w:w w:val="101"/>
        </w:rPr>
        <w:t> </w:t>
      </w:r>
      <w:r>
        <w:rPr>
          <w:spacing w:val="-4"/>
        </w:rPr>
        <w:t>收回的应收款项承担付款义务）、黄壮勉（连带责任保证人）、俞倪荣（连带责任保证人）、谢雨桐（连带责任保证人）支</w:t>
      </w:r>
      <w:r>
        <w:rPr>
          <w:spacing w:val="40"/>
        </w:rPr>
        <w:t> </w:t>
      </w:r>
      <w:r>
        <w:rPr>
          <w:spacing w:val="40"/>
        </w:rPr>
      </w:r>
      <w:r>
        <w:rPr>
          <w:spacing w:val="-2"/>
          <w:w w:val="101"/>
        </w:rPr>
        <w:t>付票据款项</w:t>
      </w:r>
      <w:r>
        <w:rPr>
          <w:w w:val="101"/>
        </w:rPr>
        <w:t> </w:t>
      </w:r>
      <w:r>
        <w:rPr>
          <w:rFonts w:ascii="宋体" w:hAnsi="宋体" w:cs="宋体" w:eastAsia="宋体" w:hint="default"/>
          <w:spacing w:val="-5"/>
          <w:w w:val="101"/>
        </w:rPr>
        <w:t>28,296,517.81</w:t>
      </w:r>
      <w:r>
        <w:rPr>
          <w:spacing w:val="-5"/>
          <w:w w:val="101"/>
        </w:rPr>
        <w:t>元及逾期利息等。深圳市福田区人民法院于</w:t>
      </w:r>
      <w:r>
        <w:rPr>
          <w:w w:val="101"/>
        </w:rPr>
        <w:t> </w:t>
      </w:r>
      <w:r>
        <w:rPr>
          <w:rFonts w:ascii="宋体" w:hAnsi="宋体" w:cs="宋体" w:eastAsia="宋体" w:hint="default"/>
          <w:w w:val="101"/>
        </w:rPr>
        <w:t>2018 </w:t>
      </w:r>
      <w:r>
        <w:rPr>
          <w:w w:val="101"/>
        </w:rPr>
        <w:t>年 </w:t>
      </w:r>
      <w:r>
        <w:rPr>
          <w:rFonts w:ascii="宋体" w:hAnsi="宋体" w:cs="宋体" w:eastAsia="宋体" w:hint="default"/>
          <w:w w:val="101"/>
        </w:rPr>
        <w:t>8 </w:t>
      </w:r>
      <w:r>
        <w:rPr>
          <w:w w:val="101"/>
        </w:rPr>
        <w:t>月 </w:t>
      </w:r>
      <w:r>
        <w:rPr>
          <w:rFonts w:ascii="宋体" w:hAnsi="宋体" w:cs="宋体" w:eastAsia="宋体" w:hint="default"/>
          <w:w w:val="101"/>
        </w:rPr>
        <w:t>6 </w:t>
      </w:r>
      <w:r>
        <w:rPr>
          <w:spacing w:val="-16"/>
          <w:w w:val="101"/>
        </w:rPr>
        <w:t>日立案，并于</w:t>
      </w:r>
      <w:r>
        <w:rPr>
          <w:w w:val="101"/>
        </w:rPr>
        <w:t> </w:t>
      </w:r>
      <w:r>
        <w:rPr>
          <w:rFonts w:ascii="宋体" w:hAnsi="宋体" w:cs="宋体" w:eastAsia="宋体" w:hint="default"/>
          <w:w w:val="101"/>
        </w:rPr>
        <w:t>2018 </w:t>
      </w:r>
      <w:r>
        <w:rPr>
          <w:w w:val="101"/>
        </w:rPr>
        <w:t>年 </w:t>
      </w:r>
      <w:r>
        <w:rPr>
          <w:rFonts w:ascii="宋体" w:hAnsi="宋体" w:cs="宋体" w:eastAsia="宋体" w:hint="default"/>
          <w:w w:val="101"/>
        </w:rPr>
        <w:t>11</w:t>
      </w:r>
      <w:r>
        <w:rPr>
          <w:w w:val="101"/>
        </w:rPr>
        <w:t>月 </w:t>
      </w:r>
      <w:r>
        <w:rPr>
          <w:rFonts w:ascii="宋体" w:hAnsi="宋体" w:cs="宋体" w:eastAsia="宋体" w:hint="default"/>
          <w:w w:val="101"/>
        </w:rPr>
        <w:t>16</w:t>
      </w:r>
      <w:r>
        <w:rPr>
          <w:rFonts w:ascii="宋体" w:hAnsi="宋体" w:cs="宋体" w:eastAsia="宋体" w:hint="default"/>
          <w:spacing w:val="-46"/>
          <w:w w:val="101"/>
        </w:rPr>
        <w:t> </w:t>
      </w:r>
      <w:r>
        <w:rPr>
          <w:w w:val="101"/>
        </w:rPr>
        <w:t>日 </w:t>
      </w:r>
      <w:r>
        <w:rPr>
          <w:spacing w:val="-5"/>
        </w:rPr>
        <w:t>通过优友保理公司的财产保全申请，查封、冻结相关房产、股权、银行存款。深圳市福田区人民法院于 </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19</w:t>
      </w:r>
      <w:r>
        <w:rPr/>
        <w:t>日作出</w:t>
      </w:r>
      <w:r>
        <w:rPr>
          <w:spacing w:val="-30"/>
        </w:rPr>
        <w:t> </w:t>
      </w:r>
      <w:r>
        <w:rPr>
          <w:spacing w:val="-30"/>
        </w:rPr>
      </w:r>
      <w:r>
        <w:rPr>
          <w:spacing w:val="-3"/>
        </w:rPr>
        <w:t>支持优友保理公司的判决，判令飞马国际公司支付</w:t>
      </w:r>
      <w:r>
        <w:rPr>
          <w:rFonts w:ascii="宋体" w:hAnsi="宋体" w:cs="宋体" w:eastAsia="宋体" w:hint="default"/>
          <w:spacing w:val="-3"/>
        </w:rPr>
        <w:t>28,296,517.81</w:t>
      </w:r>
      <w:r>
        <w:rPr>
          <w:spacing w:val="-3"/>
        </w:rPr>
        <w:t>元票据款及利息，后飞马国际公司向深圳市中级人民法院</w:t>
      </w:r>
      <w:r>
        <w:rPr>
          <w:spacing w:val="7"/>
        </w:rPr>
        <w:t> </w:t>
      </w:r>
      <w:r>
        <w:rPr>
          <w:spacing w:val="7"/>
        </w:rPr>
      </w:r>
      <w:r>
        <w:rPr>
          <w:spacing w:val="-3"/>
        </w:rPr>
        <w:t>提出上诉，深圳市中级人民法院于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w:t>
      </w:r>
      <w:r>
        <w:rPr>
          <w:spacing w:val="-3"/>
        </w:rPr>
        <w:t>日开庭审理，截止本报告批准报出日尚未作出二审判决。</w:t>
      </w:r>
    </w:p>
    <w:p>
      <w:pPr>
        <w:pStyle w:val="BodyText"/>
        <w:spacing w:line="319" w:lineRule="auto" w:before="139"/>
        <w:ind w:right="0" w:firstLine="422"/>
        <w:jc w:val="left"/>
      </w:pPr>
      <w:r>
        <w:rPr>
          <w:rFonts w:ascii="宋体" w:hAnsi="宋体" w:cs="宋体" w:eastAsia="宋体" w:hint="default"/>
          <w:spacing w:val="-4"/>
        </w:rPr>
        <w:t>B</w:t>
      </w:r>
      <w:r>
        <w:rPr>
          <w:spacing w:val="-4"/>
        </w:rPr>
        <w:t>、优友保理公司向深圳市福田区人民法院申请立案，诉求为被告飞马国际公司、寰亚电力公司（对优友保理公司尚未</w:t>
      </w:r>
      <w:r>
        <w:rPr>
          <w:w w:val="101"/>
        </w:rPr>
        <w:t> </w:t>
      </w:r>
      <w:r>
        <w:rPr>
          <w:spacing w:val="-3"/>
        </w:rPr>
        <w:t>收回的应收款项承担付款义务）、黄壮勉（连带责任保证人）、俞倪荣（连带责任保证人）、谢雨桐（连带责任保证人）、</w:t>
      </w:r>
      <w:r>
        <w:rPr>
          <w:spacing w:val="77"/>
        </w:rPr>
        <w:t> </w:t>
      </w:r>
      <w:r>
        <w:rPr>
          <w:spacing w:val="77"/>
        </w:rPr>
      </w:r>
      <w:r>
        <w:rPr>
          <w:spacing w:val="-6"/>
        </w:rPr>
        <w:t>谭寓丹（抵押人）支付票据款项</w:t>
      </w:r>
      <w:r>
        <w:rPr>
          <w:rFonts w:ascii="宋体" w:hAnsi="宋体" w:cs="宋体" w:eastAsia="宋体" w:hint="default"/>
          <w:spacing w:val="-6"/>
        </w:rPr>
        <w:t>21,964,162.75</w:t>
      </w:r>
      <w:r>
        <w:rPr>
          <w:rFonts w:ascii="宋体" w:hAnsi="宋体" w:cs="宋体" w:eastAsia="宋体" w:hint="default"/>
          <w:spacing w:val="26"/>
        </w:rPr>
        <w:t> </w:t>
      </w:r>
      <w:r>
        <w:rPr>
          <w:spacing w:val="-6"/>
        </w:rPr>
        <w:t>元（原金额</w:t>
      </w:r>
      <w:r>
        <w:rPr>
          <w:rFonts w:ascii="宋体" w:hAnsi="宋体" w:cs="宋体" w:eastAsia="宋体" w:hint="default"/>
          <w:spacing w:val="-6"/>
        </w:rPr>
        <w:t>26,190,908.22</w:t>
      </w:r>
      <w:r>
        <w:rPr>
          <w:spacing w:val="-6"/>
        </w:rPr>
        <w:t>元，已偿还</w:t>
      </w:r>
      <w:r>
        <w:rPr>
          <w:rFonts w:ascii="宋体" w:hAnsi="宋体" w:cs="宋体" w:eastAsia="宋体" w:hint="default"/>
          <w:spacing w:val="-6"/>
        </w:rPr>
        <w:t>4,226,745.47</w:t>
      </w:r>
      <w:r>
        <w:rPr>
          <w:spacing w:val="-6"/>
        </w:rPr>
        <w:t>元）和</w:t>
      </w:r>
      <w:r>
        <w:rPr>
          <w:spacing w:val="26"/>
        </w:rPr>
        <w:t> </w:t>
      </w:r>
      <w:r>
        <w:rPr>
          <w:rFonts w:ascii="宋体" w:hAnsi="宋体" w:cs="宋体" w:eastAsia="宋体" w:hint="default"/>
        </w:rPr>
        <w:t>27,712,867.90</w:t>
      </w:r>
      <w:r>
        <w:rPr>
          <w:rFonts w:ascii="宋体" w:hAnsi="宋体" w:cs="宋体" w:eastAsia="宋体" w:hint="default"/>
          <w:spacing w:val="33"/>
        </w:rPr>
        <w:t> </w:t>
      </w:r>
      <w:r>
        <w:rPr/>
        <w:t>元</w:t>
      </w:r>
      <w:r>
        <w:rPr>
          <w:spacing w:val="-53"/>
        </w:rPr>
        <w:t> </w:t>
      </w:r>
      <w:r>
        <w:rPr>
          <w:spacing w:val="-6"/>
          <w:w w:val="101"/>
        </w:rPr>
        <w:t>及逾期利息等。深圳市福田区人民法院于</w:t>
      </w:r>
      <w:r>
        <w:rPr>
          <w:rFonts w:ascii="宋体" w:hAnsi="宋体" w:cs="宋体" w:eastAsia="宋体" w:hint="default"/>
          <w:spacing w:val="-6"/>
          <w:w w:val="101"/>
        </w:rPr>
        <w:t>2018</w:t>
      </w:r>
      <w:r>
        <w:rPr>
          <w:rFonts w:ascii="宋体" w:hAnsi="宋体" w:cs="宋体" w:eastAsia="宋体" w:hint="default"/>
          <w:spacing w:val="-2"/>
          <w:w w:val="101"/>
        </w:rPr>
        <w:t> </w:t>
      </w:r>
      <w:r>
        <w:rPr>
          <w:w w:val="101"/>
        </w:rPr>
        <w:t>年</w:t>
      </w:r>
      <w:r>
        <w:rPr>
          <w:spacing w:val="-3"/>
          <w:w w:val="101"/>
        </w:rPr>
        <w:t> </w:t>
      </w:r>
      <w:r>
        <w:rPr>
          <w:rFonts w:ascii="宋体" w:hAnsi="宋体" w:cs="宋体" w:eastAsia="宋体" w:hint="default"/>
          <w:w w:val="101"/>
        </w:rPr>
        <w:t>9</w:t>
      </w:r>
      <w:r>
        <w:rPr>
          <w:rFonts w:ascii="宋体" w:hAnsi="宋体" w:cs="宋体" w:eastAsia="宋体" w:hint="default"/>
          <w:spacing w:val="2"/>
          <w:w w:val="101"/>
        </w:rPr>
        <w:t> </w:t>
      </w:r>
      <w:r>
        <w:rPr>
          <w:w w:val="101"/>
        </w:rPr>
        <w:t>月</w:t>
      </w:r>
      <w:r>
        <w:rPr>
          <w:spacing w:val="-3"/>
          <w:w w:val="101"/>
        </w:rPr>
        <w:t> </w:t>
      </w:r>
      <w:r>
        <w:rPr>
          <w:rFonts w:ascii="宋体" w:hAnsi="宋体" w:cs="宋体" w:eastAsia="宋体" w:hint="default"/>
          <w:w w:val="101"/>
        </w:rPr>
        <w:t>27</w:t>
      </w:r>
      <w:r>
        <w:rPr>
          <w:rFonts w:ascii="宋体" w:hAnsi="宋体" w:cs="宋体" w:eastAsia="宋体" w:hint="default"/>
          <w:spacing w:val="-3"/>
          <w:w w:val="101"/>
        </w:rPr>
        <w:t> </w:t>
      </w:r>
      <w:r>
        <w:rPr>
          <w:spacing w:val="-8"/>
          <w:w w:val="101"/>
        </w:rPr>
        <w:t>日受理，并合并审理，于</w:t>
      </w:r>
      <w:r>
        <w:rPr>
          <w:rFonts w:ascii="宋体" w:hAnsi="宋体" w:cs="宋体" w:eastAsia="宋体" w:hint="default"/>
          <w:spacing w:val="-8"/>
          <w:w w:val="101"/>
        </w:rPr>
        <w:t>2019</w:t>
      </w:r>
      <w:r>
        <w:rPr>
          <w:spacing w:val="-8"/>
          <w:w w:val="101"/>
        </w:rPr>
        <w:t>年</w:t>
      </w:r>
      <w:r>
        <w:rPr>
          <w:rFonts w:ascii="宋体" w:hAnsi="宋体" w:cs="宋体" w:eastAsia="宋体" w:hint="default"/>
          <w:spacing w:val="-8"/>
          <w:w w:val="101"/>
        </w:rPr>
        <w:t>10</w:t>
      </w:r>
      <w:r>
        <w:rPr>
          <w:spacing w:val="-8"/>
          <w:w w:val="101"/>
        </w:rPr>
        <w:t>月</w:t>
      </w:r>
      <w:r>
        <w:rPr>
          <w:rFonts w:ascii="宋体" w:hAnsi="宋体" w:cs="宋体" w:eastAsia="宋体" w:hint="default"/>
          <w:spacing w:val="-8"/>
          <w:w w:val="101"/>
        </w:rPr>
        <w:t>15</w:t>
      </w:r>
      <w:r>
        <w:rPr>
          <w:spacing w:val="-8"/>
          <w:w w:val="101"/>
        </w:rPr>
        <w:t>日判决优友保理公司胜诉，</w:t>
      </w:r>
      <w:r>
        <w:rPr>
          <w:spacing w:val="-89"/>
          <w:w w:val="101"/>
        </w:rPr>
        <w:t> </w:t>
      </w:r>
      <w:r>
        <w:rPr>
          <w:spacing w:val="-89"/>
          <w:w w:val="101"/>
        </w:rPr>
      </w:r>
      <w:r>
        <w:rPr>
          <w:spacing w:val="-3"/>
        </w:rPr>
        <w:t>后飞马国际公司向深圳市中级人民法院提出上诉，深圳市中级人民法院于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5</w:t>
      </w:r>
      <w:r>
        <w:rPr>
          <w:spacing w:val="-3"/>
        </w:rPr>
        <w:t>日开庭审理，并于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19</w:t>
      </w:r>
      <w:r>
        <w:rPr>
          <w:spacing w:val="-3"/>
        </w:rPr>
        <w:t>日判</w:t>
      </w:r>
      <w:r>
        <w:rPr>
          <w:spacing w:val="5"/>
        </w:rPr>
        <w:t> </w:t>
      </w:r>
      <w:r>
        <w:rPr>
          <w:spacing w:val="-2"/>
        </w:rPr>
        <w:t>决维持原判。优友保理公司于</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15</w:t>
      </w:r>
      <w:r>
        <w:rPr>
          <w:spacing w:val="-2"/>
        </w:rPr>
        <w:t>日向法院提交强制执行申请，</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10</w:t>
      </w:r>
      <w:r>
        <w:rPr>
          <w:spacing w:val="-2"/>
        </w:rPr>
        <w:t>日、</w:t>
      </w:r>
      <w:r>
        <w:rPr>
          <w:rFonts w:ascii="宋体" w:hAnsi="宋体" w:cs="宋体" w:eastAsia="宋体" w:hint="default"/>
          <w:spacing w:val="-2"/>
        </w:rPr>
        <w:t>4</w:t>
      </w:r>
      <w:r>
        <w:rPr>
          <w:spacing w:val="-2"/>
        </w:rPr>
        <w:t>月</w:t>
      </w:r>
      <w:r>
        <w:rPr>
          <w:rFonts w:ascii="宋体" w:hAnsi="宋体" w:cs="宋体" w:eastAsia="宋体" w:hint="default"/>
          <w:spacing w:val="-2"/>
        </w:rPr>
        <w:t>14</w:t>
      </w:r>
      <w:r>
        <w:rPr>
          <w:spacing w:val="-2"/>
        </w:rPr>
        <w:t>日分别收到福田法院从飞马</w:t>
      </w:r>
      <w:r>
        <w:rPr>
          <w:spacing w:val="37"/>
        </w:rPr>
        <w:t> </w:t>
      </w:r>
      <w:r>
        <w:rPr>
          <w:spacing w:val="37"/>
        </w:rPr>
      </w:r>
      <w:r>
        <w:rPr/>
        <w:t>国际银行账户划扣的执行款共计</w:t>
      </w:r>
      <w:r>
        <w:rPr>
          <w:rFonts w:ascii="宋体" w:hAnsi="宋体" w:cs="宋体" w:eastAsia="宋体" w:hint="default"/>
        </w:rPr>
        <w:t>5,485,842.07</w:t>
      </w:r>
      <w:r>
        <w:rPr/>
        <w:t>元。</w:t>
      </w:r>
    </w:p>
    <w:p>
      <w:pPr>
        <w:pStyle w:val="BodyText"/>
        <w:spacing w:line="316" w:lineRule="auto" w:before="137"/>
        <w:ind w:right="1122" w:firstLine="422"/>
        <w:jc w:val="both"/>
      </w:pPr>
      <w:r>
        <w:rPr>
          <w:spacing w:val="-5"/>
        </w:rPr>
        <w:t>在优友保理公司申请强制执行后，寰亚电力公司、俞倪荣、谢雨彤和谭寓丹于</w:t>
      </w:r>
      <w:r>
        <w:rPr>
          <w:rFonts w:ascii="宋体" w:hAnsi="宋体" w:cs="宋体" w:eastAsia="宋体" w:hint="default"/>
          <w:spacing w:val="-5"/>
        </w:rPr>
        <w:t>2020</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2</w:t>
      </w:r>
      <w:r>
        <w:rPr>
          <w:spacing w:val="-5"/>
        </w:rPr>
        <w:t>日与优友保理公司达成和解，</w:t>
      </w:r>
      <w:r>
        <w:rPr>
          <w:w w:val="101"/>
        </w:rPr>
        <w:t> </w:t>
      </w:r>
      <w:r>
        <w:rPr>
          <w:spacing w:val="-2"/>
        </w:rPr>
        <w:t>承诺分期归还所欠本金合计</w:t>
      </w:r>
      <w:r>
        <w:rPr>
          <w:rFonts w:ascii="宋体" w:hAnsi="宋体" w:cs="宋体" w:eastAsia="宋体" w:hint="default"/>
          <w:spacing w:val="-2"/>
        </w:rPr>
        <w:t>77,973,548.46</w:t>
      </w:r>
      <w:r>
        <w:rPr>
          <w:spacing w:val="-2"/>
        </w:rPr>
        <w:t>元。达成和解后，寰亚电力公司已于</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w:t>
      </w:r>
      <w:r>
        <w:rPr>
          <w:spacing w:val="-2"/>
        </w:rPr>
        <w:t>日偿还</w:t>
      </w:r>
      <w:r>
        <w:rPr>
          <w:rFonts w:ascii="宋体" w:hAnsi="宋体" w:cs="宋体" w:eastAsia="宋体" w:hint="default"/>
          <w:spacing w:val="-2"/>
        </w:rPr>
        <w:t>2,000.00</w:t>
      </w:r>
      <w:r>
        <w:rPr>
          <w:spacing w:val="-2"/>
        </w:rPr>
        <w:t>万元欠款，剩余</w:t>
      </w:r>
      <w:r>
        <w:rPr>
          <w:spacing w:val="46"/>
        </w:rPr>
        <w:t> </w:t>
      </w:r>
      <w:r>
        <w:rPr>
          <w:spacing w:val="46"/>
        </w:rPr>
      </w:r>
      <w:r>
        <w:rPr/>
        <w:t>本金在</w:t>
      </w:r>
      <w:r>
        <w:rPr>
          <w:rFonts w:ascii="宋体" w:hAnsi="宋体" w:cs="宋体" w:eastAsia="宋体" w:hint="default"/>
        </w:rPr>
        <w:t>2021</w:t>
      </w:r>
      <w:r>
        <w:rPr/>
        <w:t>年</w:t>
      </w:r>
      <w:r>
        <w:rPr>
          <w:rFonts w:ascii="宋体" w:hAnsi="宋体" w:cs="宋体" w:eastAsia="宋体" w:hint="default"/>
        </w:rPr>
        <w:t>4</w:t>
      </w:r>
      <w:r>
        <w:rPr/>
        <w:t>月</w:t>
      </w:r>
      <w:r>
        <w:rPr>
          <w:rFonts w:ascii="宋体" w:hAnsi="宋体" w:cs="宋体" w:eastAsia="宋体" w:hint="default"/>
        </w:rPr>
        <w:t>5</w:t>
      </w:r>
      <w:r>
        <w:rPr/>
        <w:t>日之前分期还清。</w:t>
      </w:r>
    </w:p>
    <w:p>
      <w:pPr>
        <w:pStyle w:val="BodyText"/>
        <w:spacing w:line="319" w:lineRule="auto" w:before="139"/>
        <w:ind w:right="1122" w:firstLine="422"/>
        <w:jc w:val="both"/>
      </w:pPr>
      <w:r>
        <w:rPr>
          <w:spacing w:val="-2"/>
        </w:rPr>
        <w:t>③优友供应链公司诉江苏浩聚电力燃料有限公司（以下简称“浩聚燃料公司”）、王坤、大连东煤供应链服务有限公</w:t>
      </w:r>
      <w:r>
        <w:rPr>
          <w:w w:val="101"/>
        </w:rPr>
        <w:t> </w:t>
      </w:r>
      <w:r>
        <w:rPr>
          <w:spacing w:val="-3"/>
        </w:rPr>
        <w:t>司（以下简称“大连东煤公司”）、泰德煤网股份有限公司（以下简称“泰德煤网公司”）、李洪国买卖合同纠纷案</w:t>
      </w:r>
    </w:p>
    <w:p>
      <w:pPr>
        <w:pStyle w:val="BodyText"/>
        <w:spacing w:line="319" w:lineRule="auto" w:before="137"/>
        <w:ind w:right="1122" w:firstLine="422"/>
        <w:jc w:val="both"/>
      </w:pPr>
      <w:r>
        <w:rPr>
          <w:spacing w:val="-2"/>
        </w:rPr>
        <w:t>本公司之间接控股子公司优友供应链公司于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至</w:t>
      </w:r>
      <w:r>
        <w:rPr>
          <w:rFonts w:ascii="宋体" w:hAnsi="宋体" w:cs="宋体" w:eastAsia="宋体" w:hint="default"/>
          <w:spacing w:val="-2"/>
        </w:rPr>
        <w:t>6</w:t>
      </w:r>
      <w:r>
        <w:rPr>
          <w:spacing w:val="-2"/>
        </w:rPr>
        <w:t>月期间向浩聚燃料公司采购煤炭，并委托大连东煤公司提供货</w:t>
      </w:r>
      <w:r>
        <w:rPr>
          <w:w w:val="101"/>
        </w:rPr>
        <w:t> </w:t>
      </w:r>
      <w:r>
        <w:rPr>
          <w:spacing w:val="-4"/>
        </w:rPr>
        <w:t>物代理，在优友供应链公司支付货款后，浩聚燃料公司所交付的煤炭质量不符，浩聚燃料公司及其实际控制人王坤未按约定</w:t>
      </w:r>
      <w:r>
        <w:rPr>
          <w:spacing w:val="43"/>
        </w:rPr>
        <w:t> </w:t>
      </w:r>
      <w:r>
        <w:rPr>
          <w:spacing w:val="43"/>
        </w:rPr>
      </w:r>
      <w:r>
        <w:rPr>
          <w:spacing w:val="-4"/>
        </w:rPr>
        <w:t>承诺退还货款，优友供应链公司遂于</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7</w:t>
      </w:r>
      <w:r>
        <w:rPr>
          <w:spacing w:val="-4"/>
        </w:rPr>
        <w:t>日向福田区人民法院提出诉讼：（</w:t>
      </w:r>
      <w:r>
        <w:rPr>
          <w:rFonts w:ascii="宋体" w:hAnsi="宋体" w:cs="宋体" w:eastAsia="宋体" w:hint="default"/>
          <w:spacing w:val="-4"/>
        </w:rPr>
        <w:t>1</w:t>
      </w:r>
      <w:r>
        <w:rPr>
          <w:spacing w:val="-4"/>
        </w:rPr>
        <w:t>）追偿浩聚燃料公司货款</w:t>
      </w:r>
      <w:r>
        <w:rPr>
          <w:rFonts w:ascii="宋体" w:hAnsi="宋体" w:cs="宋体" w:eastAsia="宋体" w:hint="default"/>
          <w:spacing w:val="-4"/>
        </w:rPr>
        <w:t>21,581,164.21</w:t>
      </w:r>
      <w:r>
        <w:rPr>
          <w:rFonts w:ascii="宋体" w:hAnsi="宋体" w:cs="宋体" w:eastAsia="宋体" w:hint="default"/>
          <w:spacing w:val="81"/>
        </w:rPr>
        <w:t> </w:t>
      </w:r>
      <w:r>
        <w:rPr>
          <w:rFonts w:ascii="宋体" w:hAnsi="宋体" w:cs="宋体" w:eastAsia="宋体" w:hint="default"/>
          <w:spacing w:val="81"/>
        </w:rPr>
      </w:r>
      <w:r>
        <w:rPr>
          <w:spacing w:val="-4"/>
        </w:rPr>
        <w:t>元及利息，（</w:t>
      </w:r>
      <w:r>
        <w:rPr>
          <w:rFonts w:ascii="宋体" w:hAnsi="宋体" w:cs="宋体" w:eastAsia="宋体" w:hint="default"/>
          <w:spacing w:val="-4"/>
        </w:rPr>
        <w:t>2</w:t>
      </w:r>
      <w:r>
        <w:rPr>
          <w:spacing w:val="-4"/>
        </w:rPr>
        <w:t>）王坤对浩聚燃料公司的还款义务承担连带责任，（</w:t>
      </w:r>
      <w:r>
        <w:rPr>
          <w:rFonts w:ascii="宋体" w:hAnsi="宋体" w:cs="宋体" w:eastAsia="宋体" w:hint="default"/>
          <w:spacing w:val="-4"/>
        </w:rPr>
        <w:t>3</w:t>
      </w:r>
      <w:r>
        <w:rPr>
          <w:spacing w:val="-4"/>
        </w:rPr>
        <w:t>）如浩聚燃料公司、王坤未能偿还债务，由大连东煤公</w:t>
      </w:r>
      <w:r>
        <w:rPr>
          <w:spacing w:val="40"/>
        </w:rPr>
        <w:t> </w:t>
      </w:r>
      <w:r>
        <w:rPr>
          <w:spacing w:val="40"/>
        </w:rPr>
      </w:r>
      <w:r>
        <w:rPr>
          <w:spacing w:val="-6"/>
        </w:rPr>
        <w:t>司、泰德煤网公司代偿，（</w:t>
      </w:r>
      <w:r>
        <w:rPr>
          <w:rFonts w:ascii="宋体" w:hAnsi="宋体" w:cs="宋体" w:eastAsia="宋体" w:hint="default"/>
          <w:spacing w:val="-6"/>
        </w:rPr>
        <w:t>4</w:t>
      </w:r>
      <w:r>
        <w:rPr>
          <w:spacing w:val="-6"/>
        </w:rPr>
        <w:t>）李洪国对大连东煤公司、泰德煤网公司承担连带清偿责任。福田法院于</w:t>
      </w:r>
      <w:r>
        <w:rPr>
          <w:rFonts w:ascii="宋体" w:hAnsi="宋体" w:cs="宋体" w:eastAsia="宋体" w:hint="default"/>
          <w:spacing w:val="-6"/>
        </w:rPr>
        <w:t>2019</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28</w:t>
      </w:r>
      <w:r>
        <w:rPr>
          <w:spacing w:val="-6"/>
        </w:rPr>
        <w:t>日开庭，</w:t>
      </w:r>
      <w:r>
        <w:rPr>
          <w:spacing w:val="1"/>
        </w:rPr>
        <w:t> </w:t>
      </w:r>
      <w:r>
        <w:rPr>
          <w:spacing w:val="1"/>
        </w:rPr>
      </w:r>
      <w:r>
        <w:rPr>
          <w:spacing w:val="-3"/>
        </w:rPr>
        <w:t>并于</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13</w:t>
      </w:r>
      <w:r>
        <w:rPr>
          <w:spacing w:val="-3"/>
        </w:rPr>
        <w:t>日作出判决：（</w:t>
      </w:r>
      <w:r>
        <w:rPr>
          <w:rFonts w:ascii="宋体" w:hAnsi="宋体" w:cs="宋体" w:eastAsia="宋体" w:hint="default"/>
          <w:spacing w:val="-3"/>
        </w:rPr>
        <w:t>1</w:t>
      </w:r>
      <w:r>
        <w:rPr>
          <w:spacing w:val="-3"/>
        </w:rPr>
        <w:t>）浩聚燃料公司向优友供应链公司偿还欠款及利息，（</w:t>
      </w:r>
      <w:r>
        <w:rPr>
          <w:rFonts w:ascii="宋体" w:hAnsi="宋体" w:cs="宋体" w:eastAsia="宋体" w:hint="default"/>
          <w:spacing w:val="-3"/>
        </w:rPr>
        <w:t>2</w:t>
      </w:r>
      <w:r>
        <w:rPr>
          <w:spacing w:val="-3"/>
        </w:rPr>
        <w:t>）王坤对浩聚燃料公司的债务承</w:t>
      </w:r>
    </w:p>
    <w:p>
      <w:pPr>
        <w:spacing w:after="0" w:line="319" w:lineRule="auto"/>
        <w:jc w:val="both"/>
        <w:sectPr>
          <w:pgSz w:w="11910" w:h="16840"/>
          <w:pgMar w:header="871" w:footer="1474" w:top="1060" w:bottom="1660" w:left="980" w:right="0"/>
        </w:sectPr>
      </w:pPr>
    </w:p>
    <w:p>
      <w:pPr>
        <w:spacing w:line="240" w:lineRule="auto" w:before="1"/>
        <w:rPr>
          <w:rFonts w:ascii="宋体" w:hAnsi="宋体" w:cs="宋体" w:eastAsia="宋体" w:hint="default"/>
          <w:sz w:val="26"/>
          <w:szCs w:val="26"/>
        </w:rPr>
      </w:pPr>
    </w:p>
    <w:p>
      <w:pPr>
        <w:pStyle w:val="BodyText"/>
        <w:spacing w:line="319" w:lineRule="auto" w:before="46"/>
        <w:ind w:left="213" w:right="1122"/>
        <w:jc w:val="both"/>
      </w:pPr>
      <w:r>
        <w:rPr>
          <w:spacing w:val="-3"/>
        </w:rPr>
        <w:t>担连带清偿责任，（</w:t>
      </w:r>
      <w:r>
        <w:rPr>
          <w:rFonts w:ascii="宋体" w:hAnsi="宋体" w:cs="宋体" w:eastAsia="宋体" w:hint="default"/>
          <w:spacing w:val="-3"/>
        </w:rPr>
        <w:t>3</w:t>
      </w:r>
      <w:r>
        <w:rPr>
          <w:spacing w:val="-3"/>
        </w:rPr>
        <w:t>）如浩聚燃料公司不能偿还债务，优友供应链公司有权以王坤抵押的房产折价或者拍卖、变卖后所得</w:t>
      </w:r>
      <w:r>
        <w:rPr>
          <w:spacing w:val="75"/>
        </w:rPr>
        <w:t> </w:t>
      </w:r>
      <w:r>
        <w:rPr>
          <w:spacing w:val="75"/>
        </w:rPr>
      </w:r>
      <w:r>
        <w:rPr>
          <w:spacing w:val="-3"/>
        </w:rPr>
        <w:t>的价款优先受偿，（</w:t>
      </w:r>
      <w:r>
        <w:rPr>
          <w:rFonts w:ascii="宋体" w:hAnsi="宋体" w:cs="宋体" w:eastAsia="宋体" w:hint="default"/>
          <w:spacing w:val="-3"/>
        </w:rPr>
        <w:t>4</w:t>
      </w:r>
      <w:r>
        <w:rPr>
          <w:spacing w:val="-3"/>
        </w:rPr>
        <w:t>）驳回其他诉讼请求。一审判决已进行邮寄送达，浩聚燃料公司在签收后</w:t>
      </w:r>
      <w:r>
        <w:rPr>
          <w:rFonts w:ascii="宋体" w:hAnsi="宋体" w:cs="宋体" w:eastAsia="宋体" w:hint="default"/>
          <w:spacing w:val="-3"/>
        </w:rPr>
        <w:t>15</w:t>
      </w:r>
      <w:r>
        <w:rPr>
          <w:spacing w:val="-3"/>
        </w:rPr>
        <w:t>日内有权提出上诉。截止</w:t>
      </w:r>
      <w:r>
        <w:rPr>
          <w:spacing w:val="79"/>
        </w:rPr>
        <w:t> </w:t>
      </w:r>
      <w:r>
        <w:rPr>
          <w:spacing w:val="79"/>
        </w:rPr>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日，优友供应链公司已处置购入的存货，账面仍有</w:t>
      </w:r>
      <w:r>
        <w:rPr>
          <w:rFonts w:ascii="宋体" w:hAnsi="宋体" w:cs="宋体" w:eastAsia="宋体" w:hint="default"/>
          <w:spacing w:val="-4"/>
        </w:rPr>
        <w:t>9,901,210.01</w:t>
      </w:r>
      <w:r>
        <w:rPr>
          <w:spacing w:val="-4"/>
        </w:rPr>
        <w:t>元应收款项，优友供应链公司就该项债权已计</w:t>
      </w:r>
      <w:r>
        <w:rPr>
          <w:spacing w:val="-3"/>
        </w:rPr>
        <w:t> </w:t>
      </w:r>
      <w:r>
        <w:rPr>
          <w:spacing w:val="-3"/>
        </w:rPr>
      </w:r>
      <w:r>
        <w:rPr/>
        <w:t>提坏账准备</w:t>
      </w:r>
      <w:r>
        <w:rPr>
          <w:rFonts w:ascii="宋体" w:hAnsi="宋体" w:cs="宋体" w:eastAsia="宋体" w:hint="default"/>
        </w:rPr>
        <w:t>990,121.00</w:t>
      </w:r>
      <w:r>
        <w:rPr/>
        <w:t>元。</w:t>
      </w:r>
    </w:p>
    <w:p>
      <w:pPr>
        <w:pStyle w:val="BodyText"/>
        <w:spacing w:line="316" w:lineRule="auto" w:before="137"/>
        <w:ind w:left="213" w:right="1124" w:firstLine="422"/>
        <w:jc w:val="both"/>
      </w:pPr>
      <w:r>
        <w:rPr>
          <w:spacing w:val="-2"/>
        </w:rPr>
        <w:t>④西藏乐意数码有限公司（以下简称“西藏乐意”）、深圳市酷动数码有限公司（以下简称“深圳酷动”）诉中国人</w:t>
      </w:r>
      <w:r>
        <w:rPr>
          <w:w w:val="101"/>
        </w:rPr>
        <w:t> </w:t>
      </w:r>
      <w:r>
        <w:rPr>
          <w:spacing w:val="-3"/>
        </w:rPr>
        <w:t>民财产保险股份有限公司深圳市分公司（以下简称“人保保险”）理赔纠纷</w:t>
      </w:r>
    </w:p>
    <w:p>
      <w:pPr>
        <w:pStyle w:val="BodyText"/>
        <w:spacing w:line="316" w:lineRule="auto" w:before="139"/>
        <w:ind w:left="213" w:right="1122" w:firstLine="422"/>
        <w:jc w:val="both"/>
      </w:pPr>
      <w:r>
        <w:rPr>
          <w:rFonts w:ascii="宋体" w:hAnsi="宋体" w:cs="宋体" w:eastAsia="宋体" w:hint="default"/>
        </w:rPr>
        <w:t>2018</w:t>
      </w:r>
      <w:r>
        <w:rPr>
          <w:rFonts w:ascii="宋体" w:hAnsi="宋体" w:cs="宋体" w:eastAsia="宋体" w:hint="default"/>
          <w:spacing w:val="22"/>
        </w:rPr>
        <w:t> </w:t>
      </w:r>
      <w:r>
        <w:rPr>
          <w:spacing w:val="-4"/>
        </w:rPr>
        <w:t>年期间，公司全资子公司西藏乐意、深圳酷动与人保保险签订《电子产品意外保险合作协议书》及《电子产品意</w:t>
      </w:r>
      <w:r>
        <w:rPr>
          <w:w w:val="101"/>
        </w:rPr>
        <w:t> </w:t>
      </w:r>
      <w:r>
        <w:rPr>
          <w:spacing w:val="-4"/>
        </w:rPr>
        <w:t>外保险合作协议书之补充协议书》，约定人保保险作为西藏乐意、深圳酷动指定的电子产品承保人，协议生效后，人保保险</w:t>
      </w:r>
      <w:r>
        <w:rPr>
          <w:spacing w:val="41"/>
        </w:rPr>
        <w:t> </w:t>
      </w:r>
      <w:r>
        <w:rPr>
          <w:spacing w:val="41"/>
        </w:rPr>
      </w:r>
      <w:r>
        <w:rPr>
          <w:spacing w:val="-4"/>
        </w:rPr>
        <w:t>未按约定履行理赔义务，截止</w:t>
      </w:r>
      <w:r>
        <w:rPr>
          <w:rFonts w:ascii="宋体" w:hAnsi="宋体" w:cs="宋体" w:eastAsia="宋体" w:hint="default"/>
          <w:spacing w:val="-4"/>
        </w:rPr>
        <w:t>2019</w:t>
      </w:r>
      <w:r>
        <w:rPr>
          <w:rFonts w:ascii="宋体" w:hAnsi="宋体" w:cs="宋体" w:eastAsia="宋体" w:hint="default"/>
          <w:spacing w:val="25"/>
        </w:rPr>
        <w:t> </w:t>
      </w:r>
      <w:r>
        <w:rPr/>
        <w:t>年</w:t>
      </w:r>
      <w:r>
        <w:rPr>
          <w:spacing w:val="31"/>
        </w:rPr>
        <w:t> </w:t>
      </w:r>
      <w:r>
        <w:rPr>
          <w:rFonts w:ascii="宋体" w:hAnsi="宋体" w:cs="宋体" w:eastAsia="宋体" w:hint="default"/>
        </w:rPr>
        <w:t>12</w:t>
      </w:r>
      <w:r>
        <w:rPr>
          <w:rFonts w:ascii="宋体" w:hAnsi="宋体" w:cs="宋体" w:eastAsia="宋体" w:hint="default"/>
          <w:spacing w:val="26"/>
        </w:rPr>
        <w:t> </w:t>
      </w:r>
      <w:r>
        <w:rPr/>
        <w:t>月</w:t>
      </w:r>
      <w:r>
        <w:rPr>
          <w:spacing w:val="25"/>
        </w:rPr>
        <w:t> </w:t>
      </w:r>
      <w:r>
        <w:rPr>
          <w:rFonts w:ascii="宋体" w:hAnsi="宋体" w:cs="宋体" w:eastAsia="宋体" w:hint="default"/>
        </w:rPr>
        <w:t>31</w:t>
      </w:r>
      <w:r>
        <w:rPr>
          <w:rFonts w:ascii="宋体" w:hAnsi="宋体" w:cs="宋体" w:eastAsia="宋体" w:hint="default"/>
          <w:spacing w:val="25"/>
        </w:rPr>
        <w:t> </w:t>
      </w:r>
      <w:r>
        <w:rPr>
          <w:spacing w:val="-4"/>
        </w:rPr>
        <w:t>日，西藏乐意、深圳酷动就该保险业务应收款项为</w:t>
      </w:r>
      <w:r>
        <w:rPr>
          <w:rFonts w:ascii="宋体" w:hAnsi="宋体" w:cs="宋体" w:eastAsia="宋体" w:hint="default"/>
          <w:spacing w:val="-4"/>
        </w:rPr>
        <w:t>26,096,929.40</w:t>
      </w:r>
      <w:r>
        <w:rPr>
          <w:spacing w:val="-4"/>
        </w:rPr>
        <w:t>元。西藏</w:t>
      </w:r>
      <w:r>
        <w:rPr>
          <w:spacing w:val="-84"/>
        </w:rPr>
        <w:t> </w:t>
      </w:r>
      <w:r>
        <w:rPr>
          <w:spacing w:val="-84"/>
        </w:rPr>
      </w:r>
      <w:r>
        <w:rPr>
          <w:spacing w:val="-3"/>
        </w:rPr>
        <w:t>乐意、深圳酷动于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19</w:t>
      </w:r>
      <w:r>
        <w:rPr>
          <w:spacing w:val="-3"/>
        </w:rPr>
        <w:t>日向深圳市福田区人民法院提交立案申请，</w:t>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15</w:t>
      </w:r>
      <w:r>
        <w:rPr>
          <w:spacing w:val="-3"/>
        </w:rPr>
        <w:t>日，西藏乐意、深圳酷动和人保保</w:t>
      </w:r>
      <w:r>
        <w:rPr>
          <w:spacing w:val="7"/>
        </w:rPr>
        <w:t> </w:t>
      </w:r>
      <w:r>
        <w:rPr>
          <w:spacing w:val="7"/>
        </w:rPr>
      </w:r>
      <w:r>
        <w:rPr>
          <w:spacing w:val="-1"/>
        </w:rPr>
        <w:t>险三方签订《和解协议》，约定人保保险分批向西藏乐意、深圳酷动合计支付</w:t>
      </w:r>
      <w:r>
        <w:rPr>
          <w:rFonts w:ascii="宋体" w:hAnsi="宋体" w:cs="宋体" w:eastAsia="宋体" w:hint="default"/>
          <w:spacing w:val="-1"/>
        </w:rPr>
        <w:t>1,200.00</w:t>
      </w:r>
      <w:r>
        <w:rPr>
          <w:spacing w:val="-1"/>
        </w:rPr>
        <w:t>万元，西藏乐意、深圳酷动于</w:t>
      </w:r>
      <w:r>
        <w:rPr>
          <w:rFonts w:ascii="宋体" w:hAnsi="宋体" w:cs="宋体" w:eastAsia="宋体" w:hint="default"/>
          <w:spacing w:val="-1"/>
        </w:rPr>
        <w:t>2020</w:t>
      </w:r>
      <w:r>
        <w:rPr>
          <w:rFonts w:ascii="宋体" w:hAnsi="宋体" w:cs="宋体" w:eastAsia="宋体" w:hint="default"/>
          <w:spacing w:val="73"/>
        </w:rPr>
        <w:t> </w:t>
      </w:r>
      <w:r>
        <w:rPr/>
        <w:t>年</w:t>
      </w:r>
      <w:r>
        <w:rPr>
          <w:rFonts w:ascii="宋体" w:hAnsi="宋体" w:cs="宋体" w:eastAsia="宋体" w:hint="default"/>
        </w:rPr>
        <w:t>4</w:t>
      </w:r>
      <w:r>
        <w:rPr/>
        <w:t>月</w:t>
      </w:r>
      <w:r>
        <w:rPr>
          <w:rFonts w:ascii="宋体" w:hAnsi="宋体" w:cs="宋体" w:eastAsia="宋体" w:hint="default"/>
        </w:rPr>
        <w:t>17</w:t>
      </w:r>
      <w:r>
        <w:rPr/>
        <w:t>日申请撤诉。截止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日针对该项债权已计提坏账准备</w:t>
      </w:r>
      <w:r>
        <w:rPr>
          <w:rFonts w:ascii="宋体" w:hAnsi="宋体" w:cs="宋体" w:eastAsia="宋体" w:hint="default"/>
        </w:rPr>
        <w:t>14,499,833.56</w:t>
      </w:r>
      <w:r>
        <w:rPr/>
        <w:t>元。</w:t>
      </w:r>
    </w:p>
    <w:p>
      <w:pPr>
        <w:spacing w:line="240" w:lineRule="auto" w:before="4"/>
        <w:rPr>
          <w:rFonts w:ascii="宋体" w:hAnsi="宋体" w:cs="宋体" w:eastAsia="宋体" w:hint="default"/>
          <w:sz w:val="20"/>
          <w:szCs w:val="20"/>
        </w:rPr>
      </w:pPr>
    </w:p>
    <w:p>
      <w:pPr>
        <w:pStyle w:val="Heading2"/>
        <w:spacing w:line="240" w:lineRule="auto"/>
        <w:ind w:left="213" w:right="0"/>
        <w:jc w:val="both"/>
        <w:rPr>
          <w:b w:val="0"/>
          <w:bCs w:val="0"/>
        </w:rPr>
      </w:pPr>
      <w:bookmarkStart w:name="十四、资产负债表日后事项" w:id="397"/>
      <w:bookmarkEnd w:id="397"/>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3" w:right="0"/>
        <w:jc w:val="both"/>
        <w:rPr>
          <w:b w:val="0"/>
          <w:bCs w:val="0"/>
        </w:rPr>
      </w:pPr>
      <w:bookmarkStart w:name="1、利润分配情况" w:id="398"/>
      <w:bookmarkEnd w:id="398"/>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983"/>
        <w:gridCol w:w="5873"/>
      </w:tblGrid>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5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247,856,361.20</w:t>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5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left="213" w:right="0"/>
        <w:jc w:val="left"/>
        <w:rPr>
          <w:b w:val="0"/>
          <w:bCs w:val="0"/>
        </w:rPr>
      </w:pPr>
      <w:bookmarkStart w:name="2、其他资产负债表日后事项说明" w:id="399"/>
      <w:bookmarkEnd w:id="399"/>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430" w:lineRule="atLeast" w:before="163"/>
        <w:ind w:left="635" w:right="0" w:hanging="42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）为控股子公司深圳市优友互联有限公司提供综合融资授信担保</w:t>
      </w:r>
      <w:r>
        <w:rPr>
          <w:rFonts w:ascii="宋体" w:hAnsi="宋体" w:cs="宋体" w:eastAsia="宋体" w:hint="default"/>
          <w:b/>
          <w:bCs/>
          <w:w w:val="100"/>
          <w:sz w:val="18"/>
          <w:szCs w:val="18"/>
        </w:rPr>
        <w:t> </w:t>
      </w:r>
      <w:r>
        <w:rPr>
          <w:rFonts w:ascii="宋体" w:hAnsi="宋体" w:cs="宋体" w:eastAsia="宋体" w:hint="default"/>
          <w:spacing w:val="-4"/>
          <w:sz w:val="18"/>
          <w:szCs w:val="18"/>
        </w:rPr>
        <w:t>根据公司</w:t>
      </w:r>
      <w:r>
        <w:rPr>
          <w:rFonts w:ascii="Times New Roman" w:hAnsi="Times New Roman" w:cs="Times New Roman" w:eastAsia="Times New Roman" w:hint="default"/>
          <w:spacing w:val="-4"/>
          <w:sz w:val="18"/>
          <w:szCs w:val="18"/>
        </w:rPr>
        <w:t>2020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27</w:t>
      </w:r>
      <w:r>
        <w:rPr>
          <w:rFonts w:ascii="宋体" w:hAnsi="宋体" w:cs="宋体" w:eastAsia="宋体" w:hint="default"/>
          <w:spacing w:val="-4"/>
          <w:sz w:val="18"/>
          <w:szCs w:val="18"/>
        </w:rPr>
        <w:t>日召开的第五届董事会第五次（临时）会议，决议通过了公司为控股子公司深圳市优友互联有限</w:t>
      </w:r>
    </w:p>
    <w:p>
      <w:pPr>
        <w:pStyle w:val="BodyText"/>
        <w:spacing w:line="309" w:lineRule="auto" w:before="63"/>
        <w:ind w:left="213" w:right="1122"/>
        <w:jc w:val="both"/>
      </w:pPr>
      <w:r>
        <w:rPr>
          <w:spacing w:val="-4"/>
          <w:w w:val="101"/>
        </w:rPr>
        <w:t>公司拟向深圳市高新投小额贷款有限公司申请共计人民币肆千万元的综合融资授信额度提供担保。深圳市优友互联有限公司</w:t>
      </w:r>
      <w:r>
        <w:rPr>
          <w:w w:val="101"/>
        </w:rPr>
        <w:t> </w:t>
      </w:r>
      <w:r>
        <w:rPr>
          <w:spacing w:val="-4"/>
        </w:rPr>
        <w:t>为本次担保事项的被担保人，同时作为本次担保事项的反担保人，以连带责任保证担保的方式提供反担保。本议案业经</w:t>
      </w:r>
      <w:r>
        <w:rPr>
          <w:rFonts w:ascii="Times New Roman" w:hAnsi="Times New Roman" w:cs="Times New Roman" w:eastAsia="Times New Roman" w:hint="default"/>
          <w:spacing w:val="-4"/>
        </w:rPr>
        <w:t>2020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 </w:t>
      </w:r>
      <w:r>
        <w:rPr>
          <w:rFonts w:ascii="Times New Roman" w:hAnsi="Times New Roman" w:cs="Times New Roman" w:eastAsia="Times New Roman" w:hint="default"/>
          <w:spacing w:val="37"/>
        </w:rPr>
        <w:t> </w:t>
      </w:r>
      <w:r>
        <w:rPr>
          <w:spacing w:val="-3"/>
        </w:rPr>
        <w:t>日召开的第二次临时股东大会决议通过。</w:t>
      </w:r>
    </w:p>
    <w:p>
      <w:pPr>
        <w:pStyle w:val="Heading6"/>
        <w:spacing w:line="240" w:lineRule="auto" w:before="125"/>
        <w:ind w:left="213" w:right="0"/>
        <w:jc w:val="left"/>
        <w:rPr>
          <w:b w:val="0"/>
          <w:bCs w:val="0"/>
        </w:rPr>
      </w:pPr>
      <w:r>
        <w:rPr/>
        <w:t>（</w:t>
      </w:r>
      <w:r>
        <w:rPr>
          <w:rFonts w:ascii="Times New Roman" w:hAnsi="Times New Roman" w:cs="Times New Roman" w:eastAsia="Times New Roman" w:hint="default"/>
        </w:rPr>
        <w:t>2</w:t>
      </w:r>
      <w:r>
        <w:rPr/>
        <w:t>）为控股子公司深圳市优友通讯器材有限公司申请银行综合授信提供担保</w:t>
      </w:r>
      <w:r>
        <w:rPr>
          <w:b w:val="0"/>
          <w:bCs w:val="0"/>
        </w:rPr>
      </w:r>
    </w:p>
    <w:p>
      <w:pPr>
        <w:spacing w:line="240" w:lineRule="auto" w:before="13"/>
        <w:rPr>
          <w:rFonts w:ascii="宋体" w:hAnsi="宋体" w:cs="宋体" w:eastAsia="宋体" w:hint="default"/>
          <w:b/>
          <w:bCs/>
          <w:sz w:val="13"/>
          <w:szCs w:val="13"/>
        </w:rPr>
      </w:pPr>
    </w:p>
    <w:p>
      <w:pPr>
        <w:pStyle w:val="BodyText"/>
        <w:spacing w:line="307" w:lineRule="auto"/>
        <w:ind w:left="213" w:right="1122" w:firstLine="422"/>
        <w:jc w:val="both"/>
      </w:pPr>
      <w:r>
        <w:rPr>
          <w:spacing w:val="-4"/>
        </w:rPr>
        <w:t>根据公司</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27</w:t>
      </w:r>
      <w:r>
        <w:rPr>
          <w:spacing w:val="-4"/>
        </w:rPr>
        <w:t>日召开的第五届董事会第五次（临时）会议，决议通过了公司为控股子公司深圳市优友通讯器材</w:t>
      </w:r>
      <w:r>
        <w:rPr>
          <w:w w:val="101"/>
        </w:rPr>
        <w:t> </w:t>
      </w:r>
      <w:r>
        <w:rPr>
          <w:spacing w:val="-4"/>
        </w:rPr>
        <w:t>有限公司拟向深圳市各银行申请共计人民币</w:t>
      </w:r>
      <w:r>
        <w:rPr>
          <w:rFonts w:ascii="Times New Roman" w:hAnsi="Times New Roman" w:cs="Times New Roman" w:eastAsia="Times New Roman" w:hint="default"/>
          <w:spacing w:val="-4"/>
        </w:rPr>
        <w:t>12</w:t>
      </w:r>
      <w:r>
        <w:rPr>
          <w:spacing w:val="-4"/>
        </w:rPr>
        <w:t>亿元的综合授信额度提供担保，其中：银行敞口授信额度人民币伍亿元整，银</w:t>
      </w:r>
      <w:r>
        <w:rPr>
          <w:spacing w:val="43"/>
        </w:rPr>
        <w:t> </w:t>
      </w:r>
      <w:r>
        <w:rPr>
          <w:spacing w:val="43"/>
        </w:rPr>
      </w:r>
      <w:r>
        <w:rPr>
          <w:spacing w:val="-4"/>
        </w:rPr>
        <w:t>行其他授信额度人民币柒亿元整。深圳市优友通讯器材有限公司为本次担保事项的被担保人，同时作为本次担保事项的反担</w:t>
      </w:r>
      <w:r>
        <w:rPr>
          <w:spacing w:val="43"/>
        </w:rPr>
        <w:t> </w:t>
      </w:r>
      <w:r>
        <w:rPr>
          <w:spacing w:val="43"/>
        </w:rPr>
      </w:r>
      <w:r>
        <w:rPr>
          <w:spacing w:val="-3"/>
        </w:rPr>
        <w:t>保人，以连带责任保证担保的方式提供反担保。本议案业经</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    </w:t>
      </w:r>
      <w:r>
        <w:rPr>
          <w:rFonts w:ascii="Times New Roman" w:hAnsi="Times New Roman" w:cs="Times New Roman" w:eastAsia="Times New Roman" w:hint="default"/>
          <w:spacing w:val="16"/>
        </w:rPr>
        <w:t> </w:t>
      </w:r>
      <w:r>
        <w:rPr>
          <w:spacing w:val="-3"/>
        </w:rPr>
        <w:t>日召开的第二次临时股东大会决议通过。</w:t>
      </w:r>
    </w:p>
    <w:p>
      <w:pPr>
        <w:pStyle w:val="Heading6"/>
        <w:spacing w:line="240" w:lineRule="auto" w:before="127"/>
        <w:ind w:left="213" w:right="0"/>
        <w:jc w:val="left"/>
        <w:rPr>
          <w:b w:val="0"/>
          <w:bCs w:val="0"/>
        </w:rPr>
      </w:pPr>
      <w:r>
        <w:rPr/>
        <w:t>（</w:t>
      </w:r>
      <w:r>
        <w:rPr>
          <w:rFonts w:ascii="Times New Roman" w:hAnsi="Times New Roman" w:cs="Times New Roman" w:eastAsia="Times New Roman" w:hint="default"/>
        </w:rPr>
        <w:t>3</w:t>
      </w:r>
      <w:r>
        <w:rPr/>
        <w:t>）为控股子公司深圳市实丰科技有限公司增加提供履约担保额度</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213" w:right="1122" w:firstLine="422"/>
        <w:jc w:val="both"/>
      </w:pPr>
      <w:r>
        <w:rPr>
          <w:spacing w:val="-4"/>
        </w:rPr>
        <w:t>根据公司</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27</w:t>
      </w:r>
      <w:r>
        <w:rPr>
          <w:spacing w:val="-4"/>
        </w:rPr>
        <w:t>日召开的第五届董事会第五次（临时）会议，决议通过了公司拟出具担保函为深圳市实丰科技有</w:t>
      </w:r>
      <w:r>
        <w:rPr>
          <w:w w:val="101"/>
        </w:rPr>
        <w:t> </w:t>
      </w:r>
      <w:r>
        <w:rPr>
          <w:spacing w:val="-3"/>
        </w:rPr>
        <w:t>限公司与三星</w:t>
      </w:r>
      <w:r>
        <w:rPr>
          <w:rFonts w:ascii="Times New Roman" w:hAnsi="Times New Roman" w:cs="Times New Roman" w:eastAsia="Times New Roman" w:hint="default"/>
          <w:spacing w:val="-3"/>
        </w:rPr>
        <w:t>(</w:t>
      </w:r>
      <w:r>
        <w:rPr>
          <w:spacing w:val="-3"/>
        </w:rPr>
        <w:t>中国</w:t>
      </w:r>
      <w:r>
        <w:rPr>
          <w:rFonts w:ascii="Times New Roman" w:hAnsi="Times New Roman" w:cs="Times New Roman" w:eastAsia="Times New Roman" w:hint="default"/>
          <w:spacing w:val="-3"/>
        </w:rPr>
        <w:t>)</w:t>
      </w:r>
      <w:r>
        <w:rPr>
          <w:spacing w:val="-3"/>
        </w:rPr>
        <w:t>投资有限公司于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月签署的《经销协议》（中承担的履约义务增加提供不超过伍亿元人民币担保</w:t>
      </w:r>
      <w:r>
        <w:rPr>
          <w:spacing w:val="53"/>
        </w:rPr>
        <w:t> </w:t>
      </w:r>
      <w:r>
        <w:rPr>
          <w:spacing w:val="53"/>
        </w:rPr>
      </w:r>
      <w:r>
        <w:rPr/>
        <w:t>额度的连带责任担保。本议案业经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 </w:t>
      </w:r>
      <w:r>
        <w:rPr>
          <w:rFonts w:ascii="Times New Roman" w:hAnsi="Times New Roman" w:cs="Times New Roman" w:eastAsia="Times New Roman" w:hint="default"/>
          <w:spacing w:val="37"/>
        </w:rPr>
        <w:t> </w:t>
      </w:r>
      <w:r>
        <w:rPr>
          <w:spacing w:val="-3"/>
        </w:rPr>
        <w:t>日召开的第二次临时股东大会决议通过。</w:t>
      </w:r>
    </w:p>
    <w:p>
      <w:pPr>
        <w:spacing w:line="410" w:lineRule="auto" w:before="124"/>
        <w:ind w:left="573"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）新型冠状病毒肺炎疫情的影响</w:t>
      </w:r>
      <w:r>
        <w:rPr>
          <w:rFonts w:ascii="宋体" w:hAnsi="宋体" w:cs="宋体" w:eastAsia="宋体" w:hint="default"/>
          <w:b/>
          <w:bCs/>
          <w:w w:val="100"/>
          <w:sz w:val="18"/>
          <w:szCs w:val="18"/>
        </w:rPr>
        <w:t> </w:t>
      </w:r>
      <w:r>
        <w:rPr>
          <w:rFonts w:ascii="宋体" w:hAnsi="宋体" w:cs="宋体" w:eastAsia="宋体" w:hint="default"/>
          <w:spacing w:val="-4"/>
          <w:sz w:val="18"/>
          <w:szCs w:val="18"/>
        </w:rPr>
        <w:t>新型冠状病毒感染的肺炎疫情爆发以来，本公司密切关注肺炎疫情发展情况，评估和积极应对其对本公司财务状况、经</w:t>
      </w:r>
    </w:p>
    <w:p>
      <w:pPr>
        <w:spacing w:after="0" w:line="410" w:lineRule="auto"/>
        <w:jc w:val="left"/>
        <w:rPr>
          <w:rFonts w:ascii="宋体" w:hAnsi="宋体" w:cs="宋体" w:eastAsia="宋体" w:hint="default"/>
          <w:sz w:val="18"/>
          <w:szCs w:val="18"/>
        </w:rPr>
        <w:sectPr>
          <w:pgSz w:w="11910" w:h="16840"/>
          <w:pgMar w:header="871" w:footer="1474" w:top="1060" w:bottom="1660" w:left="920" w:right="0"/>
        </w:sectPr>
      </w:pPr>
    </w:p>
    <w:p>
      <w:pPr>
        <w:spacing w:line="240" w:lineRule="auto" w:before="10"/>
        <w:rPr>
          <w:rFonts w:ascii="宋体" w:hAnsi="宋体" w:cs="宋体" w:eastAsia="宋体" w:hint="default"/>
          <w:sz w:val="22"/>
          <w:szCs w:val="22"/>
        </w:rPr>
      </w:pPr>
    </w:p>
    <w:p>
      <w:pPr>
        <w:pStyle w:val="BodyText"/>
        <w:spacing w:line="357" w:lineRule="auto" w:before="46"/>
        <w:ind w:right="1126"/>
        <w:jc w:val="left"/>
      </w:pPr>
      <w:r>
        <w:rPr>
          <w:spacing w:val="-4"/>
        </w:rPr>
        <w:t>营成果等方面的影响。本公司预计此次疫情将对本公司的生产和经营造成一定的暂时性影响，影响程度取决于疫情防控的进</w:t>
      </w:r>
      <w:r>
        <w:rPr>
          <w:spacing w:val="42"/>
        </w:rPr>
        <w:t> </w:t>
      </w:r>
      <w:r>
        <w:rPr>
          <w:spacing w:val="42"/>
        </w:rPr>
      </w:r>
      <w:r>
        <w:rPr>
          <w:spacing w:val="-3"/>
        </w:rPr>
        <w:t>展情况、持续时间以及各地防控政策的实施情况。截止至本报告批准报出日，尚未发现重大不利影响。</w:t>
      </w:r>
    </w:p>
    <w:p>
      <w:pPr>
        <w:spacing w:line="240" w:lineRule="auto" w:before="11"/>
        <w:rPr>
          <w:rFonts w:ascii="宋体" w:hAnsi="宋体" w:cs="宋体" w:eastAsia="宋体" w:hint="default"/>
          <w:sz w:val="23"/>
          <w:szCs w:val="23"/>
        </w:rPr>
      </w:pPr>
    </w:p>
    <w:p>
      <w:pPr>
        <w:pStyle w:val="Heading2"/>
        <w:spacing w:line="240" w:lineRule="auto"/>
        <w:ind w:right="1126"/>
        <w:jc w:val="left"/>
        <w:rPr>
          <w:b w:val="0"/>
          <w:bCs w:val="0"/>
        </w:rPr>
      </w:pPr>
      <w:bookmarkStart w:name="十五、其他重要事项" w:id="400"/>
      <w:bookmarkEnd w:id="400"/>
      <w:r>
        <w:rPr>
          <w:b w:val="0"/>
          <w:bCs w:val="0"/>
        </w:rPr>
      </w:r>
      <w:r>
        <w:rPr/>
        <w:t>十五、其他重要事项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26"/>
        <w:jc w:val="left"/>
        <w:rPr>
          <w:b w:val="0"/>
          <w:bCs w:val="0"/>
        </w:rPr>
      </w:pPr>
      <w:bookmarkStart w:name="1、分部信息" w:id="401"/>
      <w:bookmarkEnd w:id="401"/>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报告分部的确定依据与会计政策" w:id="402"/>
      <w:bookmarkEnd w:id="40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right="1122" w:firstLine="422"/>
        <w:jc w:val="both"/>
      </w:pPr>
      <w:r>
        <w:rPr>
          <w:spacing w:val="-2"/>
        </w:rPr>
        <w:t>根据本公司的内部组织结构、管理要求及内部报告制度，本公司的经营业务划分为</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28"/>
        </w:rPr>
        <w:t> </w:t>
      </w:r>
      <w:r>
        <w:rPr>
          <w:spacing w:val="-2"/>
        </w:rPr>
        <w:t>个经营分部，本公司的管理层定</w:t>
      </w:r>
      <w:r>
        <w:rPr>
          <w:w w:val="101"/>
        </w:rPr>
        <w:t> </w:t>
      </w:r>
      <w:r>
        <w:rPr/>
        <w:t>期评价这些分部的经营成果，以决定向其分配资源及评价其业绩。在经营分部的基础上本公司确定了 </w:t>
      </w:r>
      <w:r>
        <w:rPr>
          <w:rFonts w:ascii="Times New Roman" w:hAnsi="Times New Roman" w:cs="Times New Roman" w:eastAsia="Times New Roman" w:hint="default"/>
        </w:rPr>
        <w:t>4 </w:t>
      </w:r>
      <w:r>
        <w:rPr/>
        <w:t>个报告分部，分别</w:t>
      </w:r>
      <w:r>
        <w:rPr>
          <w:spacing w:val="-79"/>
        </w:rPr>
        <w:t> </w:t>
      </w:r>
      <w:r>
        <w:rPr>
          <w:spacing w:val="-79"/>
        </w:rPr>
      </w:r>
      <w:r>
        <w:rPr>
          <w:spacing w:val="-4"/>
        </w:rPr>
        <w:t>为分销、零售、金融及供应链、其他。这些报告分部是以业务类别为基础确定的。本公司各个报告分部提供的主要产品及劳</w:t>
      </w:r>
      <w:r>
        <w:rPr>
          <w:spacing w:val="40"/>
        </w:rPr>
        <w:t> </w:t>
      </w:r>
      <w:r>
        <w:rPr>
          <w:spacing w:val="40"/>
        </w:rPr>
      </w:r>
      <w:r>
        <w:rPr/>
        <w:t>务分别为： ①分销板块主要包括国内手机分销业务，海外业务； ②零售板块主要包括苹果零售店、电商业务； ③金融及</w:t>
      </w:r>
      <w:r>
        <w:rPr>
          <w:spacing w:val="-83"/>
        </w:rPr>
        <w:t> </w:t>
      </w:r>
      <w:r>
        <w:rPr>
          <w:spacing w:val="-83"/>
        </w:rPr>
      </w:r>
      <w:r>
        <w:rPr>
          <w:spacing w:val="-3"/>
        </w:rPr>
        <w:t>供应链板块主要包括金融服务业务，供应链服务，小额贷款服务； </w:t>
      </w:r>
      <w:r>
        <w:rPr>
          <w:spacing w:val="35"/>
        </w:rPr>
        <w:t> </w:t>
      </w:r>
      <w:r>
        <w:rPr>
          <w:spacing w:val="-3"/>
        </w:rPr>
        <w:t>④其他包括移动转售业务、互联网业务等。</w:t>
      </w:r>
    </w:p>
    <w:p>
      <w:pPr>
        <w:spacing w:line="240" w:lineRule="auto" w:before="1"/>
        <w:rPr>
          <w:rFonts w:ascii="宋体" w:hAnsi="宋体" w:cs="宋体" w:eastAsia="宋体" w:hint="default"/>
          <w:sz w:val="23"/>
          <w:szCs w:val="23"/>
        </w:rPr>
      </w:pPr>
    </w:p>
    <w:p>
      <w:pPr>
        <w:pStyle w:val="Heading3"/>
        <w:spacing w:line="240" w:lineRule="auto"/>
        <w:ind w:right="1126"/>
        <w:jc w:val="left"/>
        <w:rPr>
          <w:b w:val="0"/>
          <w:bCs w:val="0"/>
        </w:rPr>
      </w:pPr>
      <w:bookmarkStart w:name="（2）报告分部的财务信息" w:id="403"/>
      <w:bookmarkEnd w:id="4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70"/>
        <w:gridCol w:w="1428"/>
        <w:gridCol w:w="1421"/>
        <w:gridCol w:w="1556"/>
        <w:gridCol w:w="1277"/>
        <w:gridCol w:w="1417"/>
        <w:gridCol w:w="1493"/>
      </w:tblGrid>
      <w:tr>
        <w:trPr>
          <w:trHeight w:val="40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智能终端分销</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智慧零售</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2"/>
                <w:sz w:val="18"/>
                <w:szCs w:val="18"/>
              </w:rPr>
              <w:t>金融及供应链服务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41,293,565,674.59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2,699,248,528.31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12,950,027,627.01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192,678,624.47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pacing w:val="-1"/>
                <w:sz w:val="18"/>
              </w:rPr>
              <w:t>-1,166,197,841.35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55,969,322,613.03</w:t>
            </w:r>
          </w:p>
        </w:tc>
      </w:tr>
      <w:tr>
        <w:trPr>
          <w:trHeight w:val="40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40,060,172,899.82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2,485,492,751.45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12,657,034,682.63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109,981,994.31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pacing w:val="-1"/>
                <w:sz w:val="18"/>
              </w:rPr>
              <w:t>-1,105,547,217.23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54,207,135,110.98</w:t>
            </w:r>
          </w:p>
        </w:tc>
      </w:tr>
      <w:tr>
        <w:trPr>
          <w:trHeight w:val="398"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2"/>
                <w:sz w:val="18"/>
              </w:rPr>
              <w:t>9,538,116,258.76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1,076,883,391.20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3,042,639,236.40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575,702,716.97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pacing w:val="-1"/>
                <w:sz w:val="18"/>
              </w:rPr>
              <w:t>-4,009,141,462.82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10,224,200,140.51</w:t>
            </w:r>
          </w:p>
        </w:tc>
      </w:tr>
      <w:tr>
        <w:trPr>
          <w:trHeight w:val="40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4,510,952,733.92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872,817,525.03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1,887,654,175.80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713,371,233.36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pacing w:val="-1"/>
                <w:sz w:val="18"/>
              </w:rPr>
              <w:t>-2,748,955,418.14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5,235,840,249.97</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其他" w:id="404"/>
      <w:bookmarkEnd w:id="404"/>
      <w:r>
        <w:rPr>
          <w:b w:val="0"/>
          <w:bCs w:val="0"/>
        </w:rPr>
      </w:r>
      <w:r>
        <w:rPr>
          <w:rFonts w:ascii="Times New Roman" w:hAnsi="Times New Roman" w:cs="Times New Roman" w:eastAsia="Times New Roman" w:hint="default"/>
        </w:rPr>
        <w:t>2</w:t>
      </w:r>
      <w:r>
        <w:rPr/>
        <w:t>、其他</w:t>
      </w:r>
      <w:r>
        <w:rPr>
          <w:b w:val="0"/>
          <w:bCs w:val="0"/>
        </w:rPr>
      </w:r>
    </w:p>
    <w:p>
      <w:pPr>
        <w:spacing w:line="430" w:lineRule="atLeast" w:before="163"/>
        <w:ind w:left="575" w:right="1126" w:hanging="42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）、深圳市爱施德股份有限公司</w:t>
      </w:r>
      <w:r>
        <w:rPr>
          <w:rFonts w:ascii="宋体" w:hAnsi="宋体" w:cs="宋体" w:eastAsia="宋体" w:hint="default"/>
          <w:b/>
          <w:bCs/>
          <w:spacing w:val="-14"/>
          <w:sz w:val="18"/>
          <w:szCs w:val="18"/>
        </w:rPr>
        <w:t> </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7"/>
          <w:sz w:val="18"/>
          <w:szCs w:val="18"/>
        </w:rPr>
        <w:t> </w:t>
      </w:r>
      <w:r>
        <w:rPr>
          <w:rFonts w:ascii="宋体" w:hAnsi="宋体" w:cs="宋体" w:eastAsia="宋体" w:hint="default"/>
          <w:b/>
          <w:bCs/>
          <w:sz w:val="18"/>
          <w:szCs w:val="18"/>
        </w:rPr>
        <w:t>年公司债券到期兑付本息</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日发行的期限三年、附第二年末发行人调整票面利率及投资者回售选择权的深圳市爱施德股份有限</w:t>
      </w:r>
    </w:p>
    <w:p>
      <w:pPr>
        <w:pStyle w:val="BodyText"/>
        <w:spacing w:line="300" w:lineRule="auto" w:before="63"/>
        <w:ind w:right="0"/>
        <w:jc w:val="left"/>
      </w:pPr>
      <w:r>
        <w:rPr>
          <w:spacing w:val="-3"/>
        </w:rPr>
        <w:t>公司</w:t>
      </w:r>
      <w:r>
        <w:rPr>
          <w:rFonts w:ascii="Times New Roman" w:hAnsi="Times New Roman" w:cs="Times New Roman" w:eastAsia="Times New Roman" w:hint="default"/>
          <w:spacing w:val="-3"/>
        </w:rPr>
        <w:t>2017</w:t>
      </w:r>
      <w:r>
        <w:rPr>
          <w:spacing w:val="-3"/>
        </w:rPr>
        <w:t>年公司债券（简称</w:t>
      </w:r>
      <w:r>
        <w:rPr>
          <w:rFonts w:ascii="Times New Roman" w:hAnsi="Times New Roman" w:cs="Times New Roman" w:eastAsia="Times New Roman" w:hint="default"/>
          <w:spacing w:val="-3"/>
        </w:rPr>
        <w:t>“17</w:t>
      </w:r>
      <w:r>
        <w:rPr>
          <w:spacing w:val="-3"/>
        </w:rPr>
        <w:t>深爱债</w:t>
      </w:r>
      <w:r>
        <w:rPr>
          <w:rFonts w:ascii="Times New Roman" w:hAnsi="Times New Roman" w:cs="Times New Roman" w:eastAsia="Times New Roman" w:hint="default"/>
          <w:spacing w:val="-3"/>
        </w:rPr>
        <w:t>”</w:t>
      </w:r>
      <w:r>
        <w:rPr>
          <w:spacing w:val="-3"/>
        </w:rPr>
        <w:t>），至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4</w:t>
      </w:r>
      <w:r>
        <w:rPr>
          <w:spacing w:val="-3"/>
        </w:rPr>
        <w:t>日已满</w:t>
      </w:r>
      <w:r>
        <w:rPr>
          <w:rFonts w:ascii="Times New Roman" w:hAnsi="Times New Roman" w:cs="Times New Roman" w:eastAsia="Times New Roman" w:hint="default"/>
          <w:spacing w:val="-3"/>
        </w:rPr>
        <w:t>2</w:t>
      </w:r>
      <w:r>
        <w:rPr>
          <w:spacing w:val="-3"/>
        </w:rPr>
        <w:t>年，投资者全部选择回售，公司已于</w:t>
      </w:r>
      <w:r>
        <w:rPr>
          <w:spacing w:val="65"/>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日兑付本</w:t>
      </w:r>
      <w:r>
        <w:rPr>
          <w:spacing w:val="-66"/>
        </w:rPr>
        <w:t> </w:t>
      </w:r>
      <w:r>
        <w:rPr>
          <w:spacing w:val="-66"/>
        </w:rPr>
      </w:r>
      <w:r>
        <w:rPr/>
        <w:t>期债券的本金余额 </w:t>
      </w:r>
      <w:r>
        <w:rPr>
          <w:rFonts w:ascii="Times New Roman" w:hAnsi="Times New Roman" w:cs="Times New Roman" w:eastAsia="Times New Roman" w:hint="default"/>
        </w:rPr>
        <w:t>600,000,000.00  </w:t>
      </w:r>
      <w:r>
        <w:rPr/>
        <w:t>元，以及自 </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9</w:t>
      </w:r>
      <w:r>
        <w:rPr/>
        <w:t>月 </w:t>
      </w:r>
      <w:r>
        <w:rPr>
          <w:rFonts w:ascii="Times New Roman" w:hAnsi="Times New Roman" w:cs="Times New Roman" w:eastAsia="Times New Roman" w:hint="default"/>
        </w:rPr>
        <w:t>4</w:t>
      </w:r>
      <w:r>
        <w:rPr/>
        <w:t>日至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3</w:t>
      </w:r>
      <w:r>
        <w:rPr>
          <w:spacing w:val="-3"/>
        </w:rPr>
        <w:t>日期间的利息。</w:t>
      </w:r>
    </w:p>
    <w:p>
      <w:pPr>
        <w:pStyle w:val="Heading6"/>
        <w:spacing w:line="240" w:lineRule="auto" w:before="133"/>
        <w:ind w:right="1126"/>
        <w:jc w:val="left"/>
        <w:rPr>
          <w:b w:val="0"/>
          <w:bCs w:val="0"/>
        </w:rPr>
      </w:pPr>
      <w:r>
        <w:rPr/>
        <w:t>（</w:t>
      </w:r>
      <w:r>
        <w:rPr>
          <w:rFonts w:ascii="Times New Roman" w:hAnsi="Times New Roman" w:cs="Times New Roman" w:eastAsia="Times New Roman" w:hint="default"/>
        </w:rPr>
        <w:t>2</w:t>
      </w:r>
      <w:r>
        <w:rPr/>
        <w:t>）、转让国鑫基金管理有限公司之认缴出资额</w:t>
      </w:r>
      <w:r>
        <w:rPr>
          <w:b w:val="0"/>
          <w:bCs w:val="0"/>
        </w:rPr>
      </w:r>
    </w:p>
    <w:p>
      <w:pPr>
        <w:spacing w:line="240" w:lineRule="auto" w:before="13"/>
        <w:rPr>
          <w:rFonts w:ascii="宋体" w:hAnsi="宋体" w:cs="宋体" w:eastAsia="宋体" w:hint="default"/>
          <w:b/>
          <w:bCs/>
          <w:sz w:val="13"/>
          <w:szCs w:val="13"/>
        </w:rPr>
      </w:pPr>
    </w:p>
    <w:p>
      <w:pPr>
        <w:pStyle w:val="BodyText"/>
        <w:spacing w:line="307" w:lineRule="auto"/>
        <w:ind w:right="0" w:firstLine="422"/>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22</w:t>
      </w:r>
      <w:r>
        <w:rPr>
          <w:spacing w:val="-3"/>
        </w:rPr>
        <w:t>日，公司与赣江新区全球星投资管理有限公司（以下简称</w:t>
      </w:r>
      <w:r>
        <w:rPr>
          <w:rFonts w:ascii="Times New Roman" w:hAnsi="Times New Roman" w:cs="Times New Roman" w:eastAsia="Times New Roman" w:hint="default"/>
          <w:spacing w:val="-3"/>
        </w:rPr>
        <w:t>“</w:t>
      </w:r>
      <w:r>
        <w:rPr>
          <w:spacing w:val="-3"/>
        </w:rPr>
        <w:t>赣江新区全球星</w:t>
      </w:r>
      <w:r>
        <w:rPr>
          <w:rFonts w:ascii="Times New Roman" w:hAnsi="Times New Roman" w:cs="Times New Roman" w:eastAsia="Times New Roman" w:hint="default"/>
          <w:spacing w:val="-3"/>
        </w:rPr>
        <w:t>”</w:t>
      </w:r>
      <w:r>
        <w:rPr>
          <w:spacing w:val="-3"/>
        </w:rPr>
        <w:t>）、张礼庆在深圳签署了《深</w:t>
      </w:r>
      <w:r>
        <w:rPr>
          <w:w w:val="101"/>
        </w:rPr>
        <w:t> </w:t>
      </w:r>
      <w:r>
        <w:rPr>
          <w:spacing w:val="-6"/>
          <w:w w:val="101"/>
        </w:rPr>
        <w:t>圳市爱施德股份有限公司与赣江新区全球星投资管理有限公司、张礼庆关于国鑫基金管理有限公司的认缴出资额转让协议》，</w:t>
      </w:r>
      <w:r>
        <w:rPr>
          <w:spacing w:val="-71"/>
          <w:w w:val="101"/>
        </w:rPr>
        <w:t> </w:t>
      </w:r>
      <w:r>
        <w:rPr>
          <w:spacing w:val="-71"/>
          <w:w w:val="101"/>
        </w:rPr>
      </w:r>
      <w:r>
        <w:rPr/>
        <w:t>同意公司作价</w:t>
      </w:r>
      <w:r>
        <w:rPr>
          <w:rFonts w:ascii="Times New Roman" w:hAnsi="Times New Roman" w:cs="Times New Roman" w:eastAsia="Times New Roman" w:hint="default"/>
        </w:rPr>
        <w:t>1,800</w:t>
      </w:r>
      <w:r>
        <w:rPr/>
        <w:t>万元向赣江新区全球星转让国鑫基金管理有限公司</w:t>
      </w:r>
      <w:r>
        <w:rPr>
          <w:rFonts w:ascii="Times New Roman" w:hAnsi="Times New Roman" w:cs="Times New Roman" w:eastAsia="Times New Roman" w:hint="default"/>
        </w:rPr>
        <w:t>40%</w:t>
      </w:r>
      <w:r>
        <w:rPr/>
        <w:t>的认缴出资额。截止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日，公司已收</w:t>
      </w:r>
      <w:r>
        <w:rPr>
          <w:spacing w:val="-4"/>
        </w:rPr>
        <w:t> </w:t>
      </w:r>
      <w:r>
        <w:rPr>
          <w:spacing w:val="-4"/>
        </w:rPr>
      </w:r>
      <w:r>
        <w:rPr/>
        <w:t>到转让款合计</w:t>
      </w:r>
      <w:r>
        <w:rPr>
          <w:rFonts w:ascii="Times New Roman" w:hAnsi="Times New Roman" w:cs="Times New Roman" w:eastAsia="Times New Roman" w:hint="default"/>
        </w:rPr>
        <w:t>1,800</w:t>
      </w:r>
      <w:r>
        <w:rPr/>
        <w:t>万元。</w:t>
      </w:r>
    </w:p>
    <w:p>
      <w:pPr>
        <w:pStyle w:val="Heading6"/>
        <w:spacing w:line="240" w:lineRule="auto" w:before="127"/>
        <w:ind w:right="1126"/>
        <w:jc w:val="left"/>
        <w:rPr>
          <w:b w:val="0"/>
          <w:bCs w:val="0"/>
        </w:rPr>
      </w:pPr>
      <w:r>
        <w:rPr/>
        <w:t>（</w:t>
      </w:r>
      <w:r>
        <w:rPr>
          <w:rFonts w:ascii="Times New Roman" w:hAnsi="Times New Roman" w:cs="Times New Roman" w:eastAsia="Times New Roman" w:hint="default"/>
        </w:rPr>
        <w:t>3</w:t>
      </w:r>
      <w:r>
        <w:rPr/>
        <w:t>）、发行公司债券</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123" w:firstLine="422"/>
        <w:jc w:val="both"/>
      </w:pPr>
      <w:r>
        <w:rPr/>
        <w:t>根据公司</w:t>
      </w:r>
      <w:r>
        <w:rPr>
          <w:spacing w:val="20"/>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日召开第四届董事会第二十四次（定期）会议，决议通过公司拟公开发行本金总额不超过人民</w:t>
      </w:r>
      <w:r>
        <w:rPr>
          <w:w w:val="101"/>
        </w:rPr>
        <w:t> </w:t>
      </w:r>
      <w:r>
        <w:rPr/>
        <w:t>币</w:t>
      </w:r>
      <w:r>
        <w:rPr>
          <w:rFonts w:ascii="Times New Roman" w:hAnsi="Times New Roman" w:cs="Times New Roman" w:eastAsia="Times New Roman" w:hint="default"/>
        </w:rPr>
        <w:t>13 </w:t>
      </w:r>
      <w:r>
        <w:rPr/>
        <w:t>亿元（含</w:t>
      </w:r>
      <w:r>
        <w:rPr>
          <w:rFonts w:ascii="Times New Roman" w:hAnsi="Times New Roman" w:cs="Times New Roman" w:eastAsia="Times New Roman" w:hint="default"/>
        </w:rPr>
        <w:t>13 </w:t>
      </w:r>
      <w:r>
        <w:rPr/>
        <w:t>亿元）、期限不超过 </w:t>
      </w:r>
      <w:r>
        <w:rPr>
          <w:rFonts w:ascii="Times New Roman" w:hAnsi="Times New Roman" w:cs="Times New Roman" w:eastAsia="Times New Roman" w:hint="default"/>
        </w:rPr>
        <w:t>5 </w:t>
      </w:r>
      <w:r>
        <w:rPr/>
        <w:t>年期（含</w:t>
      </w:r>
      <w:r>
        <w:rPr>
          <w:rFonts w:ascii="Times New Roman" w:hAnsi="Times New Roman" w:cs="Times New Roman" w:eastAsia="Times New Roman" w:hint="default"/>
        </w:rPr>
        <w:t>5</w:t>
      </w:r>
      <w:r>
        <w:rPr/>
        <w:t>年）、每张票面金额为人民币</w:t>
      </w:r>
      <w:r>
        <w:rPr>
          <w:rFonts w:ascii="Times New Roman" w:hAnsi="Times New Roman" w:cs="Times New Roman" w:eastAsia="Times New Roman" w:hint="default"/>
        </w:rPr>
        <w:t>100</w:t>
      </w:r>
      <w:r>
        <w:rPr/>
        <w:t>元、平价发行、每年付息一次、到期</w:t>
      </w:r>
      <w:r>
        <w:rPr>
          <w:spacing w:val="-80"/>
        </w:rPr>
        <w:t> </w:t>
      </w:r>
      <w:r>
        <w:rPr>
          <w:spacing w:val="-80"/>
        </w:rPr>
      </w:r>
      <w:r>
        <w:rPr>
          <w:spacing w:val="-3"/>
        </w:rPr>
        <w:t>一次还本、固定收益的公司债券。本议案业经</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8</w:t>
      </w:r>
      <w:r>
        <w:rPr>
          <w:spacing w:val="-3"/>
        </w:rPr>
        <w:t>日召开的</w:t>
      </w:r>
      <w:r>
        <w:rPr>
          <w:rFonts w:ascii="Times New Roman" w:hAnsi="Times New Roman" w:cs="Times New Roman" w:eastAsia="Times New Roman" w:hint="default"/>
          <w:spacing w:val="-3"/>
        </w:rPr>
        <w:t>2018</w:t>
      </w:r>
      <w:r>
        <w:rPr>
          <w:spacing w:val="-3"/>
        </w:rPr>
        <w:t>年度股东大会决议通过。</w:t>
      </w:r>
    </w:p>
    <w:p>
      <w:pPr>
        <w:pStyle w:val="Heading6"/>
        <w:spacing w:line="240" w:lineRule="auto" w:before="133"/>
        <w:ind w:right="1126"/>
        <w:jc w:val="left"/>
        <w:rPr>
          <w:b w:val="0"/>
          <w:bCs w:val="0"/>
        </w:rPr>
      </w:pPr>
      <w:r>
        <w:rPr/>
        <w:t>（</w:t>
      </w:r>
      <w:r>
        <w:rPr>
          <w:rFonts w:ascii="Times New Roman" w:hAnsi="Times New Roman" w:cs="Times New Roman" w:eastAsia="Times New Roman" w:hint="default"/>
        </w:rPr>
        <w:t>4</w:t>
      </w:r>
      <w:r>
        <w:rPr/>
        <w:t>）、控股股东股权质押情况</w:t>
      </w:r>
      <w:r>
        <w:rPr>
          <w:b w:val="0"/>
          <w:bCs w:val="0"/>
        </w:rPr>
      </w:r>
    </w:p>
    <w:p>
      <w:pPr>
        <w:spacing w:after="0" w:line="240" w:lineRule="auto"/>
        <w:jc w:val="left"/>
        <w:sectPr>
          <w:pgSz w:w="11910" w:h="16840"/>
          <w:pgMar w:header="871" w:footer="1474" w:top="1060" w:bottom="1660" w:left="980" w:right="0"/>
        </w:sectPr>
      </w:pPr>
    </w:p>
    <w:p>
      <w:pPr>
        <w:spacing w:line="240" w:lineRule="auto" w:before="1"/>
        <w:rPr>
          <w:rFonts w:ascii="宋体" w:hAnsi="宋体" w:cs="宋体" w:eastAsia="宋体" w:hint="default"/>
          <w:b/>
          <w:bCs/>
          <w:sz w:val="26"/>
          <w:szCs w:val="26"/>
        </w:rPr>
      </w:pPr>
    </w:p>
    <w:p>
      <w:pPr>
        <w:pStyle w:val="BodyText"/>
        <w:spacing w:line="300" w:lineRule="auto" w:before="46"/>
        <w:ind w:right="1126" w:firstLine="422"/>
        <w:jc w:val="left"/>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日，深圳市神州通投资集团有限公司共持有公司股份</w:t>
      </w:r>
      <w:r>
        <w:rPr>
          <w:rFonts w:ascii="Times New Roman" w:hAnsi="Times New Roman" w:cs="Times New Roman" w:eastAsia="Times New Roman" w:hint="default"/>
          <w:spacing w:val="-3"/>
        </w:rPr>
        <w:t>599,464,303</w:t>
      </w:r>
      <w:r>
        <w:rPr>
          <w:spacing w:val="-3"/>
        </w:rPr>
        <w:t>股，占公司股份总数的</w:t>
      </w:r>
      <w:r>
        <w:rPr>
          <w:spacing w:val="10"/>
        </w:rPr>
        <w:t> </w:t>
      </w:r>
      <w:r>
        <w:rPr>
          <w:rFonts w:ascii="Times New Roman" w:hAnsi="Times New Roman" w:cs="Times New Roman" w:eastAsia="Times New Roman" w:hint="default"/>
          <w:spacing w:val="-7"/>
        </w:rPr>
        <w:t>48.37%</w:t>
      </w:r>
      <w:r>
        <w:rPr>
          <w:spacing w:val="-7"/>
        </w:rPr>
        <w:t>，其</w:t>
      </w:r>
      <w:r>
        <w:rPr>
          <w:spacing w:val="-20"/>
          <w:w w:val="101"/>
        </w:rPr>
        <w:t> </w:t>
      </w:r>
      <w:r>
        <w:rPr>
          <w:spacing w:val="-2"/>
        </w:rPr>
        <w:t>中处于质押状态的股份为</w:t>
      </w:r>
      <w:r>
        <w:rPr>
          <w:rFonts w:ascii="Times New Roman" w:hAnsi="Times New Roman" w:cs="Times New Roman" w:eastAsia="Times New Roman" w:hint="default"/>
          <w:spacing w:val="-2"/>
        </w:rPr>
        <w:t>386,600,00</w:t>
      </w:r>
      <w:r>
        <w:rPr>
          <w:spacing w:val="-2"/>
        </w:rPr>
        <w:t>股，占公司股份总数的</w:t>
      </w:r>
      <w:r>
        <w:rPr>
          <w:spacing w:val="56"/>
        </w:rPr>
        <w:t> </w:t>
      </w:r>
      <w:r>
        <w:rPr>
          <w:rFonts w:ascii="Times New Roman" w:hAnsi="Times New Roman" w:cs="Times New Roman" w:eastAsia="Times New Roman" w:hint="default"/>
          <w:spacing w:val="-2"/>
        </w:rPr>
        <w:t>31.62%</w:t>
      </w:r>
      <w:r>
        <w:rPr>
          <w:spacing w:val="-2"/>
        </w:rPr>
        <w:t>。</w:t>
      </w:r>
    </w:p>
    <w:p>
      <w:pPr>
        <w:spacing w:line="240" w:lineRule="auto" w:before="12"/>
        <w:rPr>
          <w:rFonts w:ascii="宋体" w:hAnsi="宋体" w:cs="宋体" w:eastAsia="宋体" w:hint="default"/>
          <w:sz w:val="19"/>
          <w:szCs w:val="19"/>
        </w:rPr>
      </w:pPr>
    </w:p>
    <w:p>
      <w:pPr>
        <w:pStyle w:val="Heading2"/>
        <w:spacing w:line="240" w:lineRule="auto"/>
        <w:ind w:right="1126"/>
        <w:jc w:val="left"/>
        <w:rPr>
          <w:b w:val="0"/>
          <w:bCs w:val="0"/>
        </w:rPr>
      </w:pPr>
      <w:bookmarkStart w:name="十六、母公司财务报表主要项目注释" w:id="405"/>
      <w:bookmarkEnd w:id="405"/>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6"/>
        <w:jc w:val="left"/>
        <w:rPr>
          <w:b w:val="0"/>
          <w:bCs w:val="0"/>
        </w:rPr>
      </w:pPr>
      <w:bookmarkStart w:name="1、应收账款" w:id="406"/>
      <w:bookmarkEnd w:id="40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6"/>
        <w:jc w:val="left"/>
        <w:rPr>
          <w:b w:val="0"/>
          <w:bCs w:val="0"/>
        </w:rPr>
      </w:pPr>
      <w:bookmarkStart w:name="（1）应收账款分类披露" w:id="407"/>
      <w:bookmarkEnd w:id="40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5"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37"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7"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7"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22,633,0</w:t>
            </w:r>
          </w:p>
          <w:p>
            <w:pPr>
              <w:pStyle w:val="TableParagraph"/>
              <w:spacing w:line="240" w:lineRule="auto" w:before="110"/>
              <w:ind w:left="314" w:right="0"/>
              <w:jc w:val="left"/>
              <w:rPr>
                <w:rFonts w:ascii="Times New Roman" w:hAnsi="Times New Roman" w:cs="Times New Roman" w:eastAsia="Times New Roman" w:hint="default"/>
                <w:sz w:val="18"/>
                <w:szCs w:val="18"/>
              </w:rPr>
            </w:pPr>
            <w:r>
              <w:rPr>
                <w:rFonts w:ascii="Times New Roman"/>
                <w:sz w:val="18"/>
              </w:rPr>
              <w:t>70.08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22,386,6</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74.74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246,395.3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2,903,299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2,903,299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12,463,2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31.44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12,463,2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31.44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单项金额不重大</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10,169,8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38.64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9,923,44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246,395.3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2,903,299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2,903,299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815,336,</w:t>
            </w:r>
          </w:p>
          <w:p>
            <w:pPr>
              <w:pStyle w:val="TableParagraph"/>
              <w:spacing w:line="240" w:lineRule="auto" w:before="110"/>
              <w:ind w:left="203" w:right="0"/>
              <w:jc w:val="center"/>
              <w:rPr>
                <w:rFonts w:ascii="Times New Roman" w:hAnsi="Times New Roman" w:cs="Times New Roman" w:eastAsia="Times New Roman" w:hint="default"/>
                <w:sz w:val="18"/>
                <w:szCs w:val="18"/>
              </w:rPr>
            </w:pPr>
            <w:r>
              <w:rPr>
                <w:rFonts w:ascii="Times New Roman"/>
                <w:sz w:val="18"/>
              </w:rPr>
              <w:t>480.06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493,378.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814,843,1</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01.82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1,110,960</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,145.16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4,994,319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1,105,965,8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26.14</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815,336,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480.06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493,378.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814,843,1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01.82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1,110,960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,145.16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4,994,319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1,105,965,8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26.14</w:t>
            </w:r>
          </w:p>
        </w:tc>
      </w:tr>
      <w:tr>
        <w:trPr>
          <w:trHeight w:val="71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837,969,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550.14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22,880,0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52.98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815,089,4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97.16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1,113,863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,444.40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7,897,618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1,105,965,8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26.14</w:t>
            </w:r>
          </w:p>
        </w:tc>
      </w:tr>
    </w:tbl>
    <w:p>
      <w:pPr>
        <w:pStyle w:val="BodyText"/>
        <w:spacing w:line="240" w:lineRule="auto" w:before="53"/>
        <w:ind w:right="1126"/>
        <w:jc w:val="left"/>
      </w:pPr>
      <w:r>
        <w:rPr>
          <w:spacing w:val="-3"/>
        </w:rPr>
        <w:t>按单项计提坏账准备：期末单项金额重大单项计提坏账准备的应收账款</w:t>
      </w:r>
    </w:p>
    <w:p>
      <w:pPr>
        <w:pStyle w:val="BodyText"/>
        <w:spacing w:line="240" w:lineRule="auto" w:before="119"/>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C</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12,463,231.44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12,463,231.44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38"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客户财务状况恶化，款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项预计无法收回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12,463,231.44</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12,463,231.44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1126"/>
        <w:jc w:val="left"/>
      </w:pPr>
      <w:r>
        <w:rPr>
          <w:spacing w:val="-3"/>
        </w:rPr>
        <w:t>按组合计提坏账准备：账龄组合</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7169"/>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814,532,711.48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416,416.90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124,925.07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62,382.78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43,667.93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324,764.83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324,764.83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815,336,480.06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493,378.24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62" w:lineRule="auto" w:before="53"/>
        <w:ind w:right="1126"/>
        <w:jc w:val="left"/>
      </w:pPr>
      <w:r>
        <w:rPr>
          <w:spacing w:val="-3"/>
        </w:rPr>
        <w:t>确定该组合依据的说明：以应收款项的账龄分析作为信用风险特征划分组合。</w:t>
      </w:r>
      <w:r>
        <w:rPr>
          <w:spacing w:val="8"/>
        </w:rPr>
        <w:t> </w:t>
      </w:r>
      <w:r>
        <w:rPr>
          <w:spacing w:val="8"/>
        </w:rPr>
      </w:r>
      <w:r>
        <w:rPr>
          <w:spacing w:val="-3"/>
        </w:rPr>
        <w:t>如是按照预期信用损失一般模型计提应收账款坏账准备，请参照其他应收款的披露方式披露坏账准备的相关信息：</w:t>
      </w:r>
    </w:p>
    <w:p>
      <w:pPr>
        <w:pStyle w:val="BodyText"/>
        <w:spacing w:line="343" w:lineRule="auto" w:before="23"/>
        <w:ind w:right="885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38"/>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823,834,163.24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814,532,711.48</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8,860,706.21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440,745.55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9,343,216.20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4,792,170.70</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837,969,550.14</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本期计提、收回或转回的坏账准备情况" w:id="408"/>
      <w:bookmarkEnd w:id="40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1126"/>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7,897,618.26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14,982,434.72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22,880,052.98</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7,897,618.26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14,982,434.72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22,880,052.98</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3）按欠款方归集的期末余额前五名的应收账款情况" w:id="409"/>
      <w:bookmarkEnd w:id="40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8" w:right="0"/>
              <w:jc w:val="left"/>
              <w:rPr>
                <w:rFonts w:ascii="Times New Roman" w:hAnsi="Times New Roman" w:cs="Times New Roman" w:eastAsia="Times New Roman" w:hint="default"/>
                <w:sz w:val="18"/>
                <w:szCs w:val="18"/>
              </w:rPr>
            </w:pPr>
            <w:r>
              <w:rPr>
                <w:rFonts w:ascii="Times New Roman"/>
                <w:sz w:val="18"/>
              </w:rPr>
              <w:t>205,094,995.31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24.47%</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136,811,661.20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2,385,732.78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134,140,954.50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104,535,392.79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12.47%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24,376,712.00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604,959,715.80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72.19%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4）因金融资产转移而终止确认的应收账款" w:id="410"/>
      <w:bookmarkEnd w:id="410"/>
      <w:r>
        <w:rPr>
          <w:b w:val="0"/>
          <w:bCs w:val="0"/>
        </w:rPr>
      </w:r>
      <w:r>
        <w:rPr/>
        <w:t>（</w:t>
      </w:r>
      <w:r>
        <w:rPr>
          <w:rFonts w:ascii="Times New Roman" w:hAnsi="Times New Roman" w:cs="Times New Roman" w:eastAsia="Times New Roman" w:hint="default"/>
        </w:rPr>
        <w:t>4</w:t>
      </w:r>
      <w:r>
        <w:rPr/>
        <w:t>）因金融资产转移而终止确认的应收账款</w:t>
      </w:r>
      <w:r>
        <w:rPr>
          <w:b w:val="0"/>
          <w:bCs w:val="0"/>
        </w:rPr>
      </w:r>
    </w:p>
    <w:p>
      <w:pPr>
        <w:spacing w:line="240" w:lineRule="auto" w:before="7"/>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092"/>
        <w:gridCol w:w="2896"/>
        <w:gridCol w:w="3674"/>
      </w:tblGrid>
      <w:tr>
        <w:trPr>
          <w:trHeight w:val="331" w:hRule="exact"/>
        </w:trPr>
        <w:tc>
          <w:tcPr>
            <w:tcW w:w="30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21"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56" w:right="0"/>
              <w:jc w:val="left"/>
              <w:rPr>
                <w:rFonts w:ascii="宋体" w:hAnsi="宋体" w:cs="宋体" w:eastAsia="宋体" w:hint="default"/>
                <w:sz w:val="18"/>
                <w:szCs w:val="18"/>
              </w:rPr>
            </w:pPr>
            <w:r>
              <w:rPr>
                <w:rFonts w:ascii="宋体" w:hAnsi="宋体" w:cs="宋体" w:eastAsia="宋体" w:hint="default"/>
                <w:spacing w:val="-3"/>
                <w:sz w:val="18"/>
                <w:szCs w:val="18"/>
              </w:rPr>
              <w:t>终止确认的应收账款金额</w:t>
            </w:r>
          </w:p>
        </w:tc>
        <w:tc>
          <w:tcPr>
            <w:tcW w:w="3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31" w:right="0"/>
              <w:jc w:val="left"/>
              <w:rPr>
                <w:rFonts w:ascii="宋体" w:hAnsi="宋体" w:cs="宋体" w:eastAsia="宋体" w:hint="default"/>
                <w:sz w:val="18"/>
                <w:szCs w:val="18"/>
              </w:rPr>
            </w:pPr>
            <w:r>
              <w:rPr>
                <w:rFonts w:ascii="宋体" w:hAnsi="宋体" w:cs="宋体" w:eastAsia="宋体" w:hint="default"/>
                <w:sz w:val="18"/>
                <w:szCs w:val="18"/>
              </w:rPr>
              <w:t>与终止确认相关的费用</w:t>
            </w:r>
          </w:p>
        </w:tc>
      </w:tr>
      <w:tr>
        <w:trPr>
          <w:trHeight w:val="355"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应收货款保理</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5"/>
              <w:jc w:val="right"/>
              <w:rPr>
                <w:rFonts w:ascii="Times New Roman" w:hAnsi="Times New Roman" w:cs="Times New Roman" w:eastAsia="Times New Roman" w:hint="default"/>
                <w:sz w:val="18"/>
                <w:szCs w:val="18"/>
              </w:rPr>
            </w:pPr>
            <w:r>
              <w:rPr>
                <w:rFonts w:ascii="Times New Roman"/>
                <w:spacing w:val="-2"/>
                <w:sz w:val="18"/>
              </w:rPr>
              <w:t>1,134,072,218.31</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2,741,105.06</w:t>
            </w:r>
          </w:p>
        </w:tc>
      </w:tr>
      <w:tr>
        <w:trPr>
          <w:trHeight w:val="341" w:hRule="exact"/>
        </w:trPr>
        <w:tc>
          <w:tcPr>
            <w:tcW w:w="30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1,134,072,218.31</w:t>
            </w:r>
          </w:p>
        </w:tc>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2,741,105.06</w:t>
            </w:r>
          </w:p>
        </w:tc>
      </w:tr>
    </w:tbl>
    <w:p>
      <w:pPr>
        <w:pStyle w:val="BodyText"/>
        <w:spacing w:line="300" w:lineRule="auto" w:before="10"/>
        <w:ind w:right="1126" w:firstLine="422"/>
        <w:jc w:val="left"/>
      </w:pPr>
      <w:r>
        <w:rPr>
          <w:spacing w:val="7"/>
        </w:rPr>
        <w:t>注：①于</w:t>
      </w:r>
      <w:r>
        <w:rPr>
          <w:rFonts w:ascii="Times New Roman" w:hAnsi="Times New Roman" w:cs="Times New Roman" w:eastAsia="Times New Roman" w:hint="default"/>
          <w:spacing w:val="7"/>
        </w:rPr>
        <w:t>2019</w:t>
      </w:r>
      <w:r>
        <w:rPr>
          <w:spacing w:val="7"/>
        </w:rPr>
        <w:t>年度，本公司向保理公司以不附追索权的方式转让了应收账款</w:t>
      </w:r>
      <w:r>
        <w:rPr>
          <w:rFonts w:ascii="Times New Roman" w:hAnsi="Times New Roman" w:cs="Times New Roman" w:eastAsia="Times New Roman" w:hint="default"/>
          <w:spacing w:val="7"/>
        </w:rPr>
        <w:t>1,134,072,218.31</w:t>
      </w:r>
      <w:r>
        <w:rPr>
          <w:spacing w:val="7"/>
        </w:rPr>
        <w:t>元（上年同期：</w:t>
      </w:r>
      <w:r>
        <w:rPr>
          <w:w w:val="101"/>
        </w:rPr>
        <w:t> </w:t>
      </w:r>
      <w:r>
        <w:rPr>
          <w:rFonts w:ascii="Times New Roman" w:hAnsi="Times New Roman" w:cs="Times New Roman" w:eastAsia="Times New Roman" w:hint="default"/>
        </w:rPr>
        <w:t>942,003,120.30</w:t>
      </w:r>
      <w:r>
        <w:rPr/>
        <w:t>元），相关的费用为</w:t>
      </w:r>
      <w:r>
        <w:rPr>
          <w:rFonts w:ascii="Times New Roman" w:hAnsi="Times New Roman" w:cs="Times New Roman" w:eastAsia="Times New Roman" w:hint="default"/>
        </w:rPr>
        <w:t>2,741,105.06</w:t>
      </w:r>
      <w:r>
        <w:rPr/>
        <w:t>元（上年同期：</w:t>
      </w:r>
      <w:r>
        <w:rPr>
          <w:rFonts w:ascii="Times New Roman" w:hAnsi="Times New Roman" w:cs="Times New Roman" w:eastAsia="Times New Roman" w:hint="default"/>
        </w:rPr>
        <w:t>5,179,585.33</w:t>
      </w:r>
      <w:r>
        <w:rPr/>
        <w:t>元）。</w:t>
      </w:r>
    </w:p>
    <w:p>
      <w:pPr>
        <w:pStyle w:val="BodyText"/>
        <w:spacing w:line="312" w:lineRule="auto" w:before="13"/>
        <w:ind w:right="1482" w:firstLine="422"/>
        <w:jc w:val="both"/>
      </w:pPr>
      <w:r>
        <w:rPr>
          <w:spacing w:val="-5"/>
        </w:rPr>
        <w:t>②上述应收货款保理均产生于本公司与客户子公司苏宁商业保理有限公司（以下简称</w:t>
      </w:r>
      <w:r>
        <w:rPr>
          <w:rFonts w:ascii="Times New Roman" w:hAnsi="Times New Roman" w:cs="Times New Roman" w:eastAsia="Times New Roman" w:hint="default"/>
          <w:spacing w:val="-5"/>
        </w:rPr>
        <w:t>“</w:t>
      </w:r>
      <w:r>
        <w:rPr>
          <w:spacing w:val="-5"/>
        </w:rPr>
        <w:t>苏宁保理公司</w:t>
      </w:r>
      <w:r>
        <w:rPr>
          <w:rFonts w:ascii="Times New Roman" w:hAnsi="Times New Roman" w:cs="Times New Roman" w:eastAsia="Times New Roman" w:hint="default"/>
          <w:spacing w:val="-5"/>
        </w:rPr>
        <w:t>”</w:t>
      </w:r>
      <w:r>
        <w:rPr>
          <w:spacing w:val="-5"/>
        </w:rPr>
        <w:t>）签订的《无</w:t>
      </w:r>
      <w:r>
        <w:rPr>
          <w:w w:val="101"/>
        </w:rPr>
        <w:t> </w:t>
      </w:r>
      <w:r>
        <w:rPr>
          <w:spacing w:val="-4"/>
        </w:rPr>
        <w:t>追索权保理业务协议》，约定公司将应收苏宁集团及其旗下子公司的款项以不附追索权的方式转让给苏宁保理公司，协</w:t>
      </w:r>
      <w:r>
        <w:rPr>
          <w:spacing w:val="35"/>
        </w:rPr>
        <w:t> </w:t>
      </w:r>
      <w:r>
        <w:rPr>
          <w:spacing w:val="35"/>
        </w:rPr>
      </w:r>
      <w:r>
        <w:rPr>
          <w:spacing w:val="-4"/>
        </w:rPr>
        <w:t>议未约定保理费率，由双方根据实际情况协商确定分摊比例，无法在资产负债表日测算其公允价值，且公司应收货款保</w:t>
      </w:r>
      <w:r>
        <w:rPr>
          <w:spacing w:val="35"/>
        </w:rPr>
        <w:t> </w:t>
      </w:r>
      <w:r>
        <w:rPr>
          <w:spacing w:val="35"/>
        </w:rPr>
      </w:r>
      <w:r>
        <w:rPr>
          <w:spacing w:val="-3"/>
        </w:rPr>
        <w:t>理业务的实质仍为收取合同现金流量为目的，故按摊余成本计量，不重分类至应收款项融资。</w:t>
      </w:r>
    </w:p>
    <w:p>
      <w:pPr>
        <w:spacing w:line="240" w:lineRule="auto" w:before="12"/>
        <w:rPr>
          <w:rFonts w:ascii="宋体" w:hAnsi="宋体" w:cs="宋体" w:eastAsia="宋体" w:hint="default"/>
          <w:sz w:val="22"/>
          <w:szCs w:val="22"/>
        </w:rPr>
      </w:pPr>
    </w:p>
    <w:p>
      <w:pPr>
        <w:pStyle w:val="Heading3"/>
        <w:spacing w:line="240" w:lineRule="auto"/>
        <w:ind w:right="1126"/>
        <w:jc w:val="left"/>
        <w:rPr>
          <w:b w:val="0"/>
          <w:bCs w:val="0"/>
        </w:rPr>
      </w:pPr>
      <w:bookmarkStart w:name="2、其他应收款" w:id="411"/>
      <w:bookmarkEnd w:id="41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8,228,726.67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1,996,096,891.11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975,019,459.00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1,996,096,891.11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983,248,185.67</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1）应收利息" w:id="412"/>
      <w:bookmarkEnd w:id="41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应收利息分类" w:id="413"/>
      <w:bookmarkEnd w:id="413"/>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3,781,466.40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结构性存款固定收益</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4,447,260.27</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8,228,726.67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1126"/>
        <w:jc w:val="left"/>
        <w:rPr>
          <w:b w:val="0"/>
          <w:bCs w:val="0"/>
        </w:rPr>
      </w:pPr>
      <w:bookmarkStart w:name="（2）其他应收款" w:id="414"/>
      <w:bookmarkEnd w:id="414"/>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其他应收款按款项性质分类情况" w:id="415"/>
      <w:bookmarkEnd w:id="41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2,064,573,354.73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961,009,041.86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17,835,555.76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62,851,778.91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28,786,926.41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29,075,871.16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630,536.29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967,120.65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代扣社保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887,411.54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702,919.98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2,112,713,784.73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1,054,606,732.56</w:t>
            </w:r>
          </w:p>
        </w:tc>
      </w:tr>
    </w:tbl>
    <w:p>
      <w:pPr>
        <w:spacing w:line="240" w:lineRule="auto" w:before="3"/>
        <w:rPr>
          <w:rFonts w:ascii="宋体" w:hAnsi="宋体" w:cs="宋体" w:eastAsia="宋体" w:hint="default"/>
          <w:sz w:val="19"/>
          <w:szCs w:val="19"/>
        </w:rPr>
      </w:pPr>
    </w:p>
    <w:p>
      <w:pPr>
        <w:pStyle w:val="Heading3"/>
        <w:spacing w:line="240" w:lineRule="auto" w:before="36"/>
        <w:ind w:right="1126"/>
        <w:jc w:val="left"/>
        <w:rPr>
          <w:b w:val="0"/>
          <w:bCs w:val="0"/>
        </w:rPr>
      </w:pPr>
      <w:bookmarkStart w:name="2）坏账准备计提情况" w:id="416"/>
      <w:bookmarkEnd w:id="41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99"/>
        <w:gridCol w:w="1561"/>
        <w:gridCol w:w="2127"/>
        <w:gridCol w:w="1983"/>
        <w:gridCol w:w="1488"/>
      </w:tblGrid>
      <w:tr>
        <w:trPr>
          <w:trHeight w:val="403"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4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1" w:hRule="exact"/>
        </w:trPr>
        <w:tc>
          <w:tcPr>
            <w:tcW w:w="23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503" w:right="17" w:hanging="48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06" w:right="79"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4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2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983" w:type="dxa"/>
            <w:vMerge/>
            <w:tcBorders>
              <w:left w:val="single" w:sz="4" w:space="0" w:color="000000"/>
              <w:bottom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78,261,113.56</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1,326,160.00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79,587,273.56</w:t>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日余额在本期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31,505,660.23</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5,523,959.83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37,029,620.06</w:t>
            </w:r>
          </w:p>
        </w:tc>
      </w:tr>
      <w:tr>
        <w:trPr>
          <w:trHeight w:val="398"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109,766,773.79</w:t>
            </w:r>
          </w:p>
        </w:tc>
        <w:tc>
          <w:tcPr>
            <w:tcW w:w="212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6,850,119.83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116,616,893.62</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10" w:h="16840"/>
          <w:pgMar w:footer="1474" w:header="871" w:top="1060" w:bottom="16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620" w:bottom="28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1,858,667,486.59</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165,186,800.25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49,377,953.24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25,224,918.82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6,914,574.22</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7,342,051.61</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2,112,713,784.73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20" w:bottom="280" w:left="980" w:right="0"/>
        </w:sectPr>
      </w:pPr>
    </w:p>
    <w:p>
      <w:pPr>
        <w:spacing w:line="240" w:lineRule="auto" w:before="4"/>
        <w:rPr>
          <w:rFonts w:ascii="宋体" w:hAnsi="宋体" w:cs="宋体" w:eastAsia="宋体" w:hint="default"/>
          <w:sz w:val="25"/>
          <w:szCs w:val="25"/>
        </w:rPr>
      </w:pPr>
    </w:p>
    <w:p>
      <w:pPr>
        <w:pStyle w:val="Heading3"/>
        <w:spacing w:line="240" w:lineRule="auto" w:before="36"/>
        <w:ind w:left="253" w:right="0"/>
        <w:jc w:val="left"/>
        <w:rPr>
          <w:b w:val="0"/>
          <w:bCs w:val="0"/>
        </w:rPr>
      </w:pPr>
      <w:bookmarkStart w:name="3）本期计提、收回或转回的坏账准备情况" w:id="417"/>
      <w:bookmarkEnd w:id="41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53"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1580"/>
        <w:gridCol w:w="1541"/>
        <w:gridCol w:w="1417"/>
        <w:gridCol w:w="1417"/>
        <w:gridCol w:w="854"/>
        <w:gridCol w:w="1186"/>
        <w:gridCol w:w="1580"/>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541"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79,587,273.56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37,029,620.06</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116,616,893.62</w:t>
            </w:r>
          </w:p>
        </w:tc>
      </w:tr>
      <w:tr>
        <w:trPr>
          <w:trHeight w:val="40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79,587,273.56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37,029,620.06</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116,616,893.62</w:t>
            </w:r>
          </w:p>
        </w:tc>
      </w:tr>
    </w:tbl>
    <w:p>
      <w:pPr>
        <w:spacing w:line="240" w:lineRule="auto" w:before="3"/>
        <w:rPr>
          <w:rFonts w:ascii="宋体" w:hAnsi="宋体" w:cs="宋体" w:eastAsia="宋体" w:hint="default"/>
          <w:sz w:val="19"/>
          <w:szCs w:val="19"/>
        </w:rPr>
      </w:pPr>
    </w:p>
    <w:p>
      <w:pPr>
        <w:pStyle w:val="Heading3"/>
        <w:spacing w:line="240" w:lineRule="auto" w:before="36"/>
        <w:ind w:left="253" w:right="0"/>
        <w:jc w:val="left"/>
        <w:rPr>
          <w:b w:val="0"/>
          <w:bCs w:val="0"/>
        </w:rPr>
      </w:pPr>
      <w:bookmarkStart w:name="4）按欠款方归集的期末余额前五名的其他应收款情况" w:id="418"/>
      <w:bookmarkEnd w:id="418"/>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2555"/>
        <w:gridCol w:w="1417"/>
        <w:gridCol w:w="1416"/>
        <w:gridCol w:w="956"/>
        <w:gridCol w:w="1613"/>
        <w:gridCol w:w="1618"/>
      </w:tblGrid>
      <w:tr>
        <w:trPr>
          <w:trHeight w:val="716"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86"/>
              <w:jc w:val="right"/>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深圳市优友通讯器材有限公司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607,365,697.30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28.75%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30,368,284.87</w:t>
            </w:r>
          </w:p>
        </w:tc>
      </w:tr>
      <w:tr>
        <w:trPr>
          <w:trHeight w:val="398"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优友电子商务（深圳）有限公司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483,494,834.72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22.89%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165,712,928.66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7.84%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8,285,646.43</w:t>
            </w:r>
          </w:p>
        </w:tc>
      </w:tr>
      <w:tr>
        <w:trPr>
          <w:trHeight w:val="404"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深圳市优友供应链有限公司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149,666,666.67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8,481,365.65</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深圳市臻和供应链有限公司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127,899,097.22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6,375,000.00</w:t>
            </w:r>
          </w:p>
        </w:tc>
      </w:tr>
      <w:tr>
        <w:trPr>
          <w:trHeight w:val="398"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1,534,139,224.57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72.61%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53,510,296.95</w:t>
            </w:r>
          </w:p>
        </w:tc>
      </w:tr>
    </w:tbl>
    <w:p>
      <w:pPr>
        <w:spacing w:line="240" w:lineRule="auto" w:before="3"/>
        <w:rPr>
          <w:rFonts w:ascii="宋体" w:hAnsi="宋体" w:cs="宋体" w:eastAsia="宋体" w:hint="default"/>
          <w:sz w:val="19"/>
          <w:szCs w:val="19"/>
        </w:rPr>
      </w:pPr>
    </w:p>
    <w:p>
      <w:pPr>
        <w:pStyle w:val="Heading3"/>
        <w:spacing w:line="240" w:lineRule="auto" w:before="36"/>
        <w:ind w:left="253" w:right="0"/>
        <w:jc w:val="left"/>
        <w:rPr>
          <w:b w:val="0"/>
          <w:bCs w:val="0"/>
        </w:rPr>
      </w:pPr>
      <w:bookmarkStart w:name="3、长期股权投资" w:id="419"/>
      <w:bookmarkEnd w:id="41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356"/>
        <w:gridCol w:w="1368"/>
        <w:gridCol w:w="1369"/>
        <w:gridCol w:w="1368"/>
        <w:gridCol w:w="1364"/>
        <w:gridCol w:w="1369"/>
        <w:gridCol w:w="136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1,753,103,416.73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1,753,103,416.73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2"/>
                <w:sz w:val="18"/>
              </w:rPr>
              <w:t>1,742,983,416.73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1,742,983,416.73</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1,753,103,416.73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1,753,103,416.73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2"/>
                <w:sz w:val="18"/>
              </w:rPr>
              <w:t>1,742,983,416.73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1,742,983,416.73</w:t>
            </w:r>
          </w:p>
        </w:tc>
      </w:tr>
    </w:tbl>
    <w:p>
      <w:pPr>
        <w:spacing w:line="240" w:lineRule="auto" w:before="3"/>
        <w:rPr>
          <w:rFonts w:ascii="宋体" w:hAnsi="宋体" w:cs="宋体" w:eastAsia="宋体" w:hint="default"/>
          <w:sz w:val="19"/>
          <w:szCs w:val="19"/>
        </w:rPr>
      </w:pPr>
    </w:p>
    <w:p>
      <w:pPr>
        <w:pStyle w:val="Heading3"/>
        <w:spacing w:line="240" w:lineRule="auto" w:before="36"/>
        <w:ind w:left="253" w:right="0"/>
        <w:jc w:val="left"/>
        <w:rPr>
          <w:b w:val="0"/>
          <w:bCs w:val="0"/>
        </w:rPr>
      </w:pPr>
      <w:bookmarkStart w:name="（1）对子公司投资" w:id="420"/>
      <w:bookmarkEnd w:id="42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844"/>
        <w:gridCol w:w="1421"/>
        <w:gridCol w:w="1133"/>
        <w:gridCol w:w="1133"/>
        <w:gridCol w:w="1277"/>
        <w:gridCol w:w="567"/>
        <w:gridCol w:w="1416"/>
        <w:gridCol w:w="927"/>
      </w:tblGrid>
      <w:tr>
        <w:trPr>
          <w:trHeight w:val="401"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586" w:right="41" w:hanging="54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账面价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41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585" w:right="36" w:hanging="54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账面价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0" w:right="89"/>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深圳市爱施德通讯科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10,228,434.33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10,228,434.33</w:t>
            </w:r>
          </w:p>
        </w:tc>
        <w:tc>
          <w:tcPr>
            <w:tcW w:w="92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3"/>
          <w:pgSz w:w="11910" w:h="16840"/>
          <w:pgMar w:footer="1474" w:header="871" w:top="1060" w:bottom="1660" w:left="8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844"/>
        <w:gridCol w:w="1421"/>
        <w:gridCol w:w="1133"/>
        <w:gridCol w:w="1133"/>
        <w:gridCol w:w="1277"/>
        <w:gridCol w:w="567"/>
        <w:gridCol w:w="1416"/>
        <w:gridCol w:w="927"/>
      </w:tblGrid>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深圳市酷动数码有限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159,998,600.50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159,998,600.50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北京酷人通讯科技有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深圳市乐享无限通讯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西藏酷爱通信有限公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北京酷沃通讯器材有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北京瑞成汇达科技有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85"/>
              <w:jc w:val="left"/>
              <w:rPr>
                <w:rFonts w:ascii="宋体" w:hAnsi="宋体" w:cs="宋体" w:eastAsia="宋体" w:hint="default"/>
                <w:sz w:val="18"/>
                <w:szCs w:val="18"/>
              </w:rPr>
            </w:pPr>
            <w:r>
              <w:rPr>
                <w:rFonts w:ascii="宋体" w:hAnsi="宋体" w:cs="宋体" w:eastAsia="宋体" w:hint="default"/>
                <w:spacing w:val="-3"/>
                <w:sz w:val="18"/>
                <w:szCs w:val="18"/>
              </w:rPr>
              <w:t>天津爱施迪通讯器材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北京酷联通讯科技有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深圳市享易无限营销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爱施德（香港）有限公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4,146,400.00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4,146,400.00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
              <w:jc w:val="left"/>
              <w:rPr>
                <w:rFonts w:ascii="宋体" w:hAnsi="宋体" w:cs="宋体" w:eastAsia="宋体" w:hint="default"/>
                <w:sz w:val="18"/>
                <w:szCs w:val="18"/>
              </w:rPr>
            </w:pPr>
            <w:r>
              <w:rPr>
                <w:rFonts w:ascii="宋体" w:hAnsi="宋体" w:cs="宋体" w:eastAsia="宋体" w:hint="default"/>
                <w:spacing w:val="-2"/>
                <w:sz w:val="18"/>
                <w:szCs w:val="18"/>
              </w:rPr>
              <w:t>优友电子商务（深圳）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彩梦科技公司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65,389,981.90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65,389,981.90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深圳市优友互联有限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壹号电子商务有限公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深圳市酷爱星通讯科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技有限责任公司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西安市爱星通通信器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材有限公司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深圳市优友金融服务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深圳市酷脉科技有限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85"/>
              <w:jc w:val="both"/>
              <w:rPr>
                <w:rFonts w:ascii="宋体" w:hAnsi="宋体" w:cs="宋体" w:eastAsia="宋体" w:hint="default"/>
                <w:sz w:val="18"/>
                <w:szCs w:val="18"/>
              </w:rPr>
            </w:pPr>
            <w:r>
              <w:rPr>
                <w:rFonts w:ascii="宋体" w:hAnsi="宋体" w:cs="宋体" w:eastAsia="宋体" w:hint="default"/>
                <w:spacing w:val="-3"/>
                <w:sz w:val="18"/>
                <w:szCs w:val="18"/>
              </w:rPr>
              <w:t>江西赣江新区爱施德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网络小额贷款有限公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1,000,000,000.00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1,000,000,000.00</w:t>
            </w:r>
          </w:p>
        </w:tc>
        <w:tc>
          <w:tcPr>
            <w:tcW w:w="9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1474" w:top="1060" w:bottom="16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844"/>
        <w:gridCol w:w="1421"/>
        <w:gridCol w:w="1133"/>
        <w:gridCol w:w="1133"/>
        <w:gridCol w:w="1277"/>
        <w:gridCol w:w="567"/>
        <w:gridCol w:w="1416"/>
        <w:gridCol w:w="927"/>
      </w:tblGrid>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深圳市爱享投资有限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3,020,000.00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深圳市一号机科技有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85"/>
              <w:jc w:val="left"/>
              <w:rPr>
                <w:rFonts w:ascii="宋体" w:hAnsi="宋体" w:cs="宋体" w:eastAsia="宋体" w:hint="default"/>
                <w:sz w:val="18"/>
                <w:szCs w:val="18"/>
              </w:rPr>
            </w:pPr>
            <w:r>
              <w:rPr>
                <w:rFonts w:ascii="宋体" w:hAnsi="宋体" w:cs="宋体" w:eastAsia="宋体" w:hint="default"/>
                <w:spacing w:val="-3"/>
                <w:sz w:val="18"/>
                <w:szCs w:val="18"/>
              </w:rPr>
              <w:t>广州爱施德股权投资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142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深圳市实丰科技有限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42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6,100,000.00</w:t>
            </w: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1,742,983,416.73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11,120,000.00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1,753,103,416.73</w:t>
            </w:r>
          </w:p>
        </w:tc>
        <w:tc>
          <w:tcPr>
            <w:tcW w:w="9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253" w:right="0"/>
        <w:jc w:val="left"/>
        <w:rPr>
          <w:b w:val="0"/>
          <w:bCs w:val="0"/>
        </w:rPr>
      </w:pPr>
      <w:bookmarkStart w:name="4、营业收入和营业成本" w:id="421"/>
      <w:bookmarkEnd w:id="42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38,256,504,049.95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37,672,953,301.39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42,041,268,663.43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41,184,190,564.43</w:t>
            </w:r>
          </w:p>
        </w:tc>
      </w:tr>
      <w:tr>
        <w:trPr>
          <w:trHeight w:val="399"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112,124,235.11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81,031,195.06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8,603.78</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38,368,628,285.06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37,672,953,301.39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42,122,299,858.49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41,184,199,168.21</w:t>
            </w:r>
          </w:p>
        </w:tc>
      </w:tr>
    </w:tbl>
    <w:p>
      <w:pPr>
        <w:pStyle w:val="BodyText"/>
        <w:spacing w:line="240" w:lineRule="auto" w:before="53"/>
        <w:ind w:left="253" w:right="0"/>
        <w:jc w:val="left"/>
      </w:pPr>
      <w:r>
        <w:rPr/>
        <w:t>是否已执行新收入准则</w:t>
      </w:r>
    </w:p>
    <w:p>
      <w:pPr>
        <w:pStyle w:val="BodyText"/>
        <w:spacing w:line="240" w:lineRule="auto" w:before="119"/>
        <w:ind w:left="2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left="253" w:right="0"/>
        <w:jc w:val="left"/>
        <w:rPr>
          <w:b w:val="0"/>
          <w:bCs w:val="0"/>
        </w:rPr>
      </w:pPr>
      <w:bookmarkStart w:name="5、投资收益" w:id="422"/>
      <w:bookmarkEnd w:id="42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4682"/>
        <w:gridCol w:w="2411"/>
        <w:gridCol w:w="2482"/>
      </w:tblGrid>
      <w:tr>
        <w:trPr>
          <w:trHeight w:val="398"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146,805,018.60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70,291,978.92</w:t>
            </w:r>
          </w:p>
        </w:tc>
      </w:tr>
      <w:tr>
        <w:trPr>
          <w:trHeight w:val="404"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5,003,453.61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2,034,585.94</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38,042,542.93</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3"/>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以公允价值计量且其变动计入当期损益的金融资产在持有</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期间的投资收益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41,556.34</w:t>
            </w:r>
          </w:p>
        </w:tc>
      </w:tr>
      <w:tr>
        <w:trPr>
          <w:trHeight w:val="716"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43"/>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处置以公允价值计量且其变动计入当期损益的金融资产取</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得的投资收益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29,233,272.42</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12,939,667.24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18,057,878.23</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处置交易性金融负债产生的投资收益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-2,272,000.00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-2,741,105.06</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197,777,577.32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119,659,271.85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880" w:right="0"/>
        </w:sectPr>
      </w:pPr>
    </w:p>
    <w:p>
      <w:pPr>
        <w:spacing w:line="240" w:lineRule="auto" w:before="10"/>
        <w:rPr>
          <w:rFonts w:ascii="宋体" w:hAnsi="宋体" w:cs="宋体" w:eastAsia="宋体" w:hint="default"/>
          <w:sz w:val="23"/>
          <w:szCs w:val="23"/>
        </w:rPr>
      </w:pPr>
    </w:p>
    <w:p>
      <w:pPr>
        <w:pStyle w:val="Heading2"/>
        <w:spacing w:line="240" w:lineRule="auto" w:before="26"/>
        <w:ind w:right="1126"/>
        <w:jc w:val="left"/>
        <w:rPr>
          <w:b w:val="0"/>
          <w:bCs w:val="0"/>
        </w:rPr>
      </w:pPr>
      <w:bookmarkStart w:name="十七、补充资料" w:id="423"/>
      <w:bookmarkEnd w:id="423"/>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6"/>
        <w:jc w:val="left"/>
        <w:rPr>
          <w:b w:val="0"/>
          <w:bCs w:val="0"/>
        </w:rPr>
      </w:pPr>
      <w:bookmarkStart w:name="1、当期非经常性损益明细表" w:id="424"/>
      <w:bookmarkEnd w:id="42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649"/>
        <w:gridCol w:w="1998"/>
        <w:gridCol w:w="1916"/>
      </w:tblGrid>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67"/>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163" w:hRule="exact"/>
        </w:trPr>
        <w:tc>
          <w:tcPr>
            <w:tcW w:w="5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8"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21" w:right="0"/>
              <w:jc w:val="left"/>
              <w:rPr>
                <w:rFonts w:ascii="Times New Roman" w:hAnsi="Times New Roman" w:cs="Times New Roman" w:eastAsia="Times New Roman" w:hint="default"/>
                <w:sz w:val="18"/>
                <w:szCs w:val="18"/>
              </w:rPr>
            </w:pPr>
            <w:r>
              <w:rPr>
                <w:rFonts w:ascii="Times New Roman"/>
                <w:sz w:val="18"/>
              </w:rPr>
              <w:t>26,797,751.41</w:t>
            </w:r>
          </w:p>
        </w:tc>
        <w:tc>
          <w:tcPr>
            <w:tcW w:w="1916" w:type="dxa"/>
            <w:vMerge w:val="restart"/>
            <w:tcBorders>
              <w:top w:val="single" w:sz="4" w:space="0" w:color="000000"/>
              <w:left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主要系处置子公司产生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的收益</w:t>
            </w:r>
          </w:p>
        </w:tc>
      </w:tr>
      <w:tr>
        <w:trPr>
          <w:trHeight w:val="389" w:hRule="exact"/>
        </w:trPr>
        <w:tc>
          <w:tcPr>
            <w:tcW w:w="5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1998" w:type="dxa"/>
            <w:vMerge/>
            <w:tcBorders>
              <w:left w:val="single" w:sz="8" w:space="0" w:color="D2D2D2"/>
              <w:right w:val="single" w:sz="4" w:space="0" w:color="000000"/>
            </w:tcBorders>
          </w:tcPr>
          <w:p>
            <w:pPr/>
          </w:p>
        </w:tc>
        <w:tc>
          <w:tcPr>
            <w:tcW w:w="1916" w:type="dxa"/>
            <w:vMerge/>
            <w:tcBorders>
              <w:left w:val="single" w:sz="4" w:space="0" w:color="000000"/>
              <w:right w:val="single" w:sz="4" w:space="0" w:color="000000"/>
            </w:tcBorders>
          </w:tcPr>
          <w:p>
            <w:pPr/>
          </w:p>
        </w:tc>
      </w:tr>
      <w:tr>
        <w:trPr>
          <w:trHeight w:val="163" w:hRule="exact"/>
        </w:trPr>
        <w:tc>
          <w:tcPr>
            <w:tcW w:w="5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8" w:type="dxa"/>
            <w:vMerge/>
            <w:tcBorders>
              <w:left w:val="single" w:sz="8" w:space="0" w:color="D2D2D2"/>
              <w:bottom w:val="single" w:sz="4" w:space="0" w:color="000000"/>
              <w:right w:val="single" w:sz="4" w:space="0" w:color="000000"/>
            </w:tcBorders>
          </w:tcPr>
          <w:p>
            <w:pPr/>
          </w:p>
        </w:tc>
        <w:tc>
          <w:tcPr>
            <w:tcW w:w="1916" w:type="dxa"/>
            <w:vMerge/>
            <w:tcBorders>
              <w:left w:val="single" w:sz="4" w:space="0" w:color="000000"/>
              <w:bottom w:val="single" w:sz="4" w:space="0" w:color="000000"/>
              <w:right w:val="single" w:sz="4" w:space="0" w:color="000000"/>
            </w:tcBorders>
          </w:tcPr>
          <w:p>
            <w:pPr/>
          </w:p>
        </w:tc>
      </w:tr>
      <w:tr>
        <w:trPr>
          <w:trHeight w:val="71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计入当期损益的政府补助（与企业业务密切相关，按照国家统一标准定</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额或定量享受的政府补助除外）</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22,842,641.97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42"/>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企业取得子公司、联营企业及合营企业的投资成本小于取得投资时应享</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有被投资单位可辨认净资产公允价值产生的收益</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380,142.42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12,941,863.12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95"/>
              <w:jc w:val="right"/>
              <w:rPr>
                <w:rFonts w:ascii="宋体" w:hAnsi="宋体" w:cs="宋体" w:eastAsia="宋体" w:hint="default"/>
                <w:sz w:val="18"/>
                <w:szCs w:val="18"/>
              </w:rPr>
            </w:pPr>
            <w:r>
              <w:rPr>
                <w:rFonts w:ascii="宋体" w:hAnsi="宋体" w:cs="宋体" w:eastAsia="宋体" w:hint="default"/>
                <w:spacing w:val="-2"/>
                <w:sz w:val="18"/>
                <w:szCs w:val="18"/>
              </w:rPr>
              <w:t>银行理财收益</w:t>
            </w:r>
          </w:p>
        </w:tc>
      </w:tr>
      <w:tr>
        <w:trPr>
          <w:trHeight w:val="1340"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2"/>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除同公司正常经营业务相关的有效套期保值业务外，持有交易性金融资</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产、衍生金融资产、交易性金融负债、衍生金融负债产生的公允价值变</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动损益，以及处置交易性金融资产、衍生金融资产、交易性金融负债、</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衍生金融负债和其他债权投资取得的投资收益</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27,834,898.49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74"/>
              <w:jc w:val="left"/>
              <w:rPr>
                <w:rFonts w:ascii="宋体" w:hAnsi="宋体" w:cs="宋体" w:eastAsia="宋体" w:hint="default"/>
                <w:sz w:val="18"/>
                <w:szCs w:val="18"/>
              </w:rPr>
            </w:pPr>
            <w:r>
              <w:rPr>
                <w:rFonts w:ascii="宋体" w:hAnsi="宋体" w:cs="宋体" w:eastAsia="宋体" w:hint="default"/>
                <w:spacing w:val="-2"/>
                <w:sz w:val="18"/>
                <w:szCs w:val="18"/>
              </w:rPr>
              <w:t>投资收益、公允价值变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动损益</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4,888,455.74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23,421,477.60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1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2,536,329.68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69,727,945.87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126"/>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1126"/>
        <w:jc w:val="left"/>
        <w:rPr>
          <w:b w:val="0"/>
          <w:bCs w:val="0"/>
        </w:rPr>
      </w:pPr>
      <w:bookmarkStart w:name="2、净资产收益率及每股收益" w:id="425"/>
      <w:bookmarkEnd w:id="42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6"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7"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0.2773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0.2773</w:t>
            </w:r>
          </w:p>
        </w:tc>
      </w:tr>
      <w:tr>
        <w:trPr>
          <w:trHeight w:val="715"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0.2211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0.2211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1474" w:top="1060" w:bottom="1660" w:left="980" w:right="0"/>
        </w:sectPr>
      </w:pPr>
    </w:p>
    <w:p>
      <w:pPr>
        <w:spacing w:line="240" w:lineRule="auto" w:before="4"/>
        <w:rPr>
          <w:rFonts w:ascii="宋体" w:hAnsi="宋体" w:cs="宋体" w:eastAsia="宋体" w:hint="default"/>
          <w:b/>
          <w:bCs/>
          <w:sz w:val="25"/>
          <w:szCs w:val="25"/>
        </w:rPr>
      </w:pPr>
    </w:p>
    <w:p>
      <w:pPr>
        <w:pStyle w:val="Heading3"/>
        <w:spacing w:line="240" w:lineRule="auto" w:before="36"/>
        <w:ind w:right="1126"/>
        <w:jc w:val="left"/>
        <w:rPr>
          <w:b w:val="0"/>
          <w:bCs w:val="0"/>
        </w:rPr>
      </w:pPr>
      <w:bookmarkStart w:name="3、境内外会计准则下会计数据差异" w:id="426"/>
      <w:bookmarkEnd w:id="42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126"/>
        <w:jc w:val="left"/>
        <w:rPr>
          <w:b w:val="0"/>
          <w:bCs w:val="0"/>
        </w:rPr>
      </w:pPr>
      <w:bookmarkStart w:name="（1）同时按照国际会计准则与按中国会计准则披露的财务报告中净利润和净资产差异情况" w:id="427"/>
      <w:bookmarkEnd w:id="42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126"/>
        <w:jc w:val="left"/>
        <w:rPr>
          <w:b w:val="0"/>
          <w:bCs w:val="0"/>
        </w:rPr>
      </w:pPr>
      <w:bookmarkStart w:name="（2）同时按照境外会计准则与按中国会计准则披露的财务报告中净利润和净资产差异情况" w:id="428"/>
      <w:bookmarkEnd w:id="42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2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1474" w:top="1060" w:bottom="16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283" w:right="1126"/>
        <w:jc w:val="left"/>
        <w:rPr>
          <w:b w:val="0"/>
          <w:bCs w:val="0"/>
        </w:rPr>
      </w:pPr>
      <w:bookmarkStart w:name="第十三节 备查文件目录" w:id="429"/>
      <w:bookmarkEnd w:id="429"/>
      <w:r>
        <w:rPr>
          <w:b w:val="0"/>
          <w:bCs w:val="0"/>
        </w:rPr>
      </w:r>
      <w:bookmarkStart w:name="_bookmark12" w:id="430"/>
      <w:bookmarkEnd w:id="430"/>
      <w:r>
        <w:rPr>
          <w:b w:val="0"/>
          <w:bCs w:val="0"/>
        </w:rPr>
      </w:r>
      <w:r>
        <w:rPr/>
        <w:t>第十三节</w:t>
      </w:r>
      <w:r>
        <w:rPr>
          <w:spacing w:val="1"/>
        </w:rPr>
        <w:t> </w:t>
      </w:r>
      <w:r>
        <w:rPr/>
        <w:t>备查文件目录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Heading3"/>
        <w:spacing w:line="240" w:lineRule="auto" w:before="36"/>
        <w:ind w:right="1126"/>
        <w:jc w:val="left"/>
        <w:rPr>
          <w:b w:val="0"/>
          <w:bCs w:val="0"/>
        </w:rPr>
      </w:pPr>
      <w:r>
        <w:rPr/>
        <w:t>公司在办公地点备置下列文件：</w:t>
      </w:r>
      <w:r>
        <w:rPr>
          <w:b w:val="0"/>
          <w:bCs w:val="0"/>
        </w:rPr>
      </w:r>
    </w:p>
    <w:p>
      <w:pPr>
        <w:spacing w:line="240" w:lineRule="auto" w:before="9"/>
        <w:rPr>
          <w:rFonts w:ascii="宋体" w:hAnsi="宋体" w:cs="宋体" w:eastAsia="宋体" w:hint="default"/>
          <w:b/>
          <w:bCs/>
          <w:sz w:val="15"/>
          <w:szCs w:val="15"/>
        </w:rPr>
      </w:pPr>
    </w:p>
    <w:p>
      <w:pPr>
        <w:pStyle w:val="Heading3"/>
        <w:spacing w:line="240" w:lineRule="auto"/>
        <w:ind w:right="1126"/>
        <w:jc w:val="left"/>
        <w:rPr>
          <w:b w:val="0"/>
          <w:bCs w:val="0"/>
        </w:rPr>
      </w:pPr>
      <w:r>
        <w:rPr>
          <w:rFonts w:ascii="Times New Roman" w:hAnsi="Times New Roman" w:cs="Times New Roman" w:eastAsia="Times New Roman" w:hint="default"/>
        </w:rPr>
        <w:t>1</w:t>
      </w:r>
      <w:r>
        <w:rPr/>
        <w:t>、载有公司法定代表人、主管会计工作负责人、会计机构负责人签名并盖章的会计报表。</w:t>
      </w:r>
      <w:r>
        <w:rPr>
          <w:b w:val="0"/>
          <w:bCs w:val="0"/>
        </w:rPr>
      </w:r>
    </w:p>
    <w:p>
      <w:pPr>
        <w:pStyle w:val="Heading3"/>
        <w:spacing w:line="240" w:lineRule="auto" w:before="189"/>
        <w:ind w:right="1126"/>
        <w:jc w:val="left"/>
        <w:rPr>
          <w:b w:val="0"/>
          <w:bCs w:val="0"/>
        </w:rPr>
      </w:pPr>
      <w:r>
        <w:rPr>
          <w:rFonts w:ascii="Times New Roman" w:hAnsi="Times New Roman" w:cs="Times New Roman" w:eastAsia="Times New Roman" w:hint="default"/>
        </w:rPr>
        <w:t>2</w:t>
      </w:r>
      <w:r>
        <w:rPr/>
        <w:t>、载有亚太（集团）会计师事务所（特殊普通合伙）盖章、注册会计师签名并盖章的审计报告原件。</w:t>
      </w:r>
      <w:r>
        <w:rPr>
          <w:b w:val="0"/>
          <w:bCs w:val="0"/>
        </w:rPr>
      </w:r>
    </w:p>
    <w:p>
      <w:pPr>
        <w:pStyle w:val="Heading3"/>
        <w:spacing w:line="240" w:lineRule="auto" w:before="189"/>
        <w:ind w:right="1126"/>
        <w:jc w:val="left"/>
        <w:rPr>
          <w:b w:val="0"/>
          <w:bCs w:val="0"/>
        </w:rPr>
      </w:pPr>
      <w:r>
        <w:rPr>
          <w:rFonts w:ascii="Times New Roman" w:hAnsi="Times New Roman" w:cs="Times New Roman" w:eastAsia="Times New Roman" w:hint="default"/>
        </w:rPr>
        <w:t>3</w:t>
      </w:r>
      <w:r>
        <w:rPr/>
        <w:t>、报告期内在《中国证券报》、《证券时报》上公开披露过的所有公司文件的正本及公告的原稿。</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3"/>
          <w:szCs w:val="23"/>
        </w:rPr>
      </w:pPr>
    </w:p>
    <w:p>
      <w:pPr>
        <w:pStyle w:val="Heading3"/>
        <w:spacing w:line="420" w:lineRule="auto"/>
        <w:ind w:left="6981" w:right="1406"/>
        <w:jc w:val="center"/>
        <w:rPr>
          <w:b w:val="0"/>
          <w:bCs w:val="0"/>
        </w:rPr>
      </w:pPr>
      <w:r>
        <w:rPr/>
        <w:t>深圳市爱施德股份有限公司</w:t>
      </w:r>
      <w:r>
        <w:rPr>
          <w:w w:val="100"/>
        </w:rPr>
        <w:t> </w:t>
      </w:r>
      <w:r>
        <w:rPr/>
        <w:t>董事会</w:t>
      </w:r>
      <w:r>
        <w:rPr>
          <w:b w:val="0"/>
          <w:bCs w:val="0"/>
        </w:rPr>
      </w:r>
    </w:p>
    <w:p>
      <w:pPr>
        <w:pStyle w:val="Heading3"/>
        <w:spacing w:line="240" w:lineRule="auto" w:before="48"/>
        <w:ind w:left="0" w:right="1991"/>
        <w:jc w:val="right"/>
        <w:rPr>
          <w:b w:val="0"/>
          <w:bCs w:val="0"/>
        </w:rPr>
      </w:pP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21</w:t>
      </w:r>
      <w:r>
        <w:rPr>
          <w:spacing w:val="-1"/>
        </w:rPr>
        <w:t>日</w:t>
      </w:r>
      <w:r>
        <w:rPr>
          <w:b w:val="0"/>
          <w:bCs w:val="0"/>
          <w:spacing w:val="-1"/>
        </w:rPr>
      </w:r>
    </w:p>
    <w:sectPr>
      <w:pgSz w:w="11910" w:h="16840"/>
      <w:pgMar w:header="871" w:footer="1474" w:top="1060" w:bottom="16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744" type="#_x0000_t75" stroked="false">
          <v:imagedata r:id="rId1" o:title=""/>
        </v:shape>
      </w:pict>
    </w:r>
    <w:r>
      <w:rPr/>
      <w:pict>
        <v:shape style="position:absolute;margin-left:294.320007pt;margin-top:781.957336pt;width:6.6pt;height:11.15pt;mso-position-horizontal-relative:page;mso-position-vertical-relative:page;z-index:-118072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312" type="#_x0000_t75" stroked="false">
          <v:imagedata r:id="rId1" o:title=""/>
        </v:shape>
      </w:pict>
    </w:r>
    <w:r>
      <w:rPr/>
      <w:pict>
        <v:shape style="position:absolute;margin-left:289pt;margin-top:757.237366pt;width:17.7pt;height:11.15pt;mso-position-horizontal-relative:page;mso-position-vertical-relative:page;z-index:-118028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264" type="#_x0000_t75" stroked="false">
          <v:imagedata r:id="rId1" o:title=""/>
        </v:shape>
      </w:pict>
    </w:r>
    <w:r>
      <w:rPr/>
      <w:pict>
        <v:shape style="position:absolute;margin-left:289pt;margin-top:757.237366pt;width:17.7pt;height:11.15pt;mso-position-horizontal-relative:page;mso-position-vertical-relative:page;z-index:-118024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216" type="#_x0000_t75" stroked="false">
          <v:imagedata r:id="rId1" o:title=""/>
        </v:shape>
      </w:pict>
    </w:r>
    <w:r>
      <w:rPr/>
      <w:pict>
        <v:shape style="position:absolute;margin-left:289pt;margin-top:757.237366pt;width:17.7pt;height:11.15pt;mso-position-horizontal-relative:page;mso-position-vertical-relative:page;z-index:-118019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168" type="#_x0000_t75" stroked="false">
          <v:imagedata r:id="rId1" o:title=""/>
        </v:shape>
      </w:pict>
    </w:r>
    <w:r>
      <w:rPr/>
      <w:pict>
        <v:shape style="position:absolute;margin-left:289pt;margin-top:757.237366pt;width:17.7pt;height:11.15pt;mso-position-horizontal-relative:page;mso-position-vertical-relative:page;z-index:-118014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120" type="#_x0000_t75" stroked="false">
          <v:imagedata r:id="rId1" o:title=""/>
        </v:shape>
      </w:pict>
    </w:r>
    <w:r>
      <w:rPr/>
      <w:pict>
        <v:shape style="position:absolute;margin-left:289pt;margin-top:757.237366pt;width:17.7pt;height:11.15pt;mso-position-horizontal-relative:page;mso-position-vertical-relative:page;z-index:-11800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072" type="#_x0000_t75" stroked="false">
          <v:imagedata r:id="rId1" o:title=""/>
        </v:shape>
      </w:pict>
    </w:r>
    <w:r>
      <w:rPr/>
      <w:pict>
        <v:shape style="position:absolute;margin-left:76.783997pt;margin-top:744.018494pt;width:463.1pt;height:24.35pt;mso-position-horizontal-relative:page;mso-position-vertical-relative:page;z-index:-1180048" type="#_x0000_t202" filled="false" stroked="false">
          <v:textbox inset="0,0,0,0">
            <w:txbxContent>
              <w:p>
                <w:pPr>
                  <w:pStyle w:val="BodyText"/>
                  <w:spacing w:line="202" w:lineRule="exact"/>
                  <w:ind w:left="20" w:right="0"/>
                  <w:jc w:val="left"/>
                </w:pPr>
                <w:r>
                  <w:rPr>
                    <w:spacing w:val="-2"/>
                  </w:rPr>
                  <w:t>本公司需确认减值损失的金融资产系以摊余成本计量的金融资产、以公允价值计量且其变动计入其他综合收益的债务</w:t>
                </w:r>
              </w:p>
              <w:p>
                <w:pPr>
                  <w:pStyle w:val="BodyText"/>
                  <w:spacing w:line="240" w:lineRule="auto" w:before="61"/>
                  <w:ind w:left="-1" w:right="417"/>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024" type="#_x0000_t75" stroked="false">
          <v:imagedata r:id="rId1" o:title=""/>
        </v:shape>
      </w:pict>
    </w:r>
    <w:r>
      <w:rPr/>
      <w:pict>
        <v:shape style="position:absolute;margin-left:76.783997pt;margin-top:735.858459pt;width:415.9pt;height:11.65pt;mso-position-horizontal-relative:page;mso-position-vertical-relative:page;z-index:-1180000"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spacing w:val="-3"/>
                  </w:rPr>
                  <w:t>B</w:t>
                </w:r>
                <w:r>
                  <w:rPr>
                    <w:spacing w:val="-3"/>
                  </w:rPr>
                  <w:t>．除上述公司之外，本公司将金额为人民币  </w:t>
                </w:r>
                <w:r>
                  <w:rPr>
                    <w:rFonts w:ascii="Times New Roman" w:hAnsi="Times New Roman" w:cs="Times New Roman" w:eastAsia="Times New Roman" w:hint="default"/>
                  </w:rPr>
                  <w:t>500 </w:t>
                </w:r>
                <w:r>
                  <w:rPr>
                    <w:rFonts w:ascii="Times New Roman" w:hAnsi="Times New Roman" w:cs="Times New Roman" w:eastAsia="Times New Roman" w:hint="default"/>
                    <w:spacing w:val="9"/>
                  </w:rPr>
                  <w:t> </w:t>
                </w:r>
                <w:r>
                  <w:rPr>
                    <w:spacing w:val="-3"/>
                  </w:rPr>
                  <w:t>万元以上的应收账款确认为单项金额重大的应收账款。</w:t>
                </w:r>
              </w:p>
            </w:txbxContent>
          </v:textbox>
          <w10:wrap type="none"/>
        </v:shape>
      </w:pict>
    </w:r>
    <w:r>
      <w:rPr/>
      <w:pict>
        <v:shape style="position:absolute;margin-left:289pt;margin-top:757.237366pt;width:17.45pt;height:11.15pt;mso-position-horizontal-relative:page;mso-position-vertical-relative:page;z-index:-117997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9952" type="#_x0000_t75" stroked="false">
          <v:imagedata r:id="rId1" o:title=""/>
        </v:shape>
      </w:pict>
    </w:r>
    <w:r>
      <w:rPr/>
      <w:pict>
        <v:shape style="position:absolute;margin-left:289pt;margin-top:757.237366pt;width:17.45pt;height:11.15pt;mso-position-horizontal-relative:page;mso-position-vertical-relative:page;z-index:-117992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9904" type="#_x0000_t75" stroked="false">
          <v:imagedata r:id="rId1" o:title=""/>
        </v:shape>
      </w:pict>
    </w:r>
    <w:r>
      <w:rPr/>
      <w:pict>
        <v:shape style="position:absolute;margin-left:289pt;margin-top:757.237366pt;width:17.7pt;height:11.15pt;mso-position-horizontal-relative:page;mso-position-vertical-relative:page;z-index:-117988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9856" type="#_x0000_t75" stroked="false">
          <v:imagedata r:id="rId1" o:title=""/>
        </v:shape>
      </w:pict>
    </w:r>
    <w:r>
      <w:rPr/>
      <w:pict>
        <v:shape style="position:absolute;margin-left:289pt;margin-top:757.237366pt;width:17.7pt;height:11.15pt;mso-position-horizontal-relative:page;mso-position-vertical-relative:page;z-index:-11798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696" type="#_x0000_t75" stroked="false">
          <v:imagedata r:id="rId1" o:title=""/>
        </v:shape>
      </w:pict>
    </w:r>
    <w:r>
      <w:rPr/>
      <w:pict>
        <v:shape style="position:absolute;margin-left:293.320007pt;margin-top:771.637329pt;width:8.6pt;height:11.15pt;mso-position-horizontal-relative:page;mso-position-vertical-relative:page;z-index:-118067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w w:val="101"/>
                  </w:rPr>
                  <w:instrText> PAGE </w:instrText>
                </w:r>
                <w:r>
                  <w:rPr/>
                  <w:fldChar w:fldCharType="separate"/>
                </w:r>
                <w:r>
                  <w:rPr/>
                  <w:t>2</w:t>
                </w:r>
                <w:r>
                  <w:rPr/>
                  <w:fldChar w:fldCharType="end"/>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9808" type="#_x0000_t75" stroked="false">
          <v:imagedata r:id="rId1" o:title=""/>
        </v:shape>
      </w:pict>
    </w:r>
    <w:r>
      <w:rPr/>
      <w:pict>
        <v:shape style="position:absolute;margin-left:289pt;margin-top:757.237366pt;width:17.7pt;height:11.15pt;mso-position-horizontal-relative:page;mso-position-vertical-relative:page;z-index:-117978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9760" type="#_x0000_t75" stroked="false">
          <v:imagedata r:id="rId1" o:title=""/>
        </v:shape>
      </w:pict>
    </w:r>
    <w:r>
      <w:rPr/>
      <w:pict>
        <v:shape style="position:absolute;margin-left:497.190002pt;margin-top:743.538513pt;width:42.8pt;height:11.15pt;mso-position-horizontal-relative:page;mso-position-vertical-relative:page;z-index:-1179736" type="#_x0000_t202" filled="false" stroked="false">
          <v:textbox inset="0,0,0,0">
            <w:txbxContent>
              <w:p>
                <w:pPr>
                  <w:pStyle w:val="BodyText"/>
                  <w:spacing w:line="202" w:lineRule="exact"/>
                  <w:ind w:left="20" w:right="0"/>
                  <w:jc w:val="left"/>
                </w:pPr>
                <w:r>
                  <w:rPr/>
                  <w:t>单位：</w:t>
                </w:r>
                <w:r>
                  <w:rPr>
                    <w:spacing w:val="5"/>
                  </w:rPr>
                  <w:t> </w:t>
                </w:r>
                <w:r>
                  <w:rPr/>
                  <w:t>元</w:t>
                </w:r>
              </w:p>
            </w:txbxContent>
          </v:textbox>
          <w10:wrap type="none"/>
        </v:shape>
      </w:pict>
    </w:r>
    <w:r>
      <w:rPr/>
      <w:pict>
        <v:shape style="position:absolute;margin-left:289pt;margin-top:757.237366pt;width:17.7pt;height:11.15pt;mso-position-horizontal-relative:page;mso-position-vertical-relative:page;z-index:-117971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143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9688" type="#_x0000_t75" stroked="false">
          <v:imagedata r:id="rId1" o:title=""/>
        </v:shape>
      </w:pict>
    </w:r>
    <w:r>
      <w:rPr/>
      <w:pict>
        <v:shape style="position:absolute;margin-left:289pt;margin-top:757.237366pt;width:17.7pt;height:11.15pt;mso-position-horizontal-relative:page;mso-position-vertical-relative:page;z-index:-117966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145</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9640" type="#_x0000_t75" stroked="false">
          <v:imagedata r:id="rId1" o:title=""/>
        </v:shape>
      </w:pict>
    </w:r>
    <w:r>
      <w:rPr/>
      <w:pict>
        <v:shape style="position:absolute;margin-left:290pt;margin-top:757.237366pt;width:15.7pt;height:11.15pt;mso-position-horizontal-relative:page;mso-position-vertical-relative:page;z-index:-117961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9592" type="#_x0000_t75" stroked="false">
          <v:imagedata r:id="rId1" o:title=""/>
        </v:shape>
      </w:pict>
    </w:r>
    <w:r>
      <w:rPr/>
      <w:pict>
        <v:shape style="position:absolute;margin-left:289pt;margin-top:757.237366pt;width:17.7pt;height:11.15pt;mso-position-horizontal-relative:page;mso-position-vertical-relative:page;z-index:-117956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648" type="#_x0000_t75" stroked="false">
          <v:imagedata r:id="rId1" o:title=""/>
        </v:shape>
      </w:pict>
    </w:r>
    <w:r>
      <w:rPr/>
      <w:pict>
        <v:shape style="position:absolute;margin-left:293.320007pt;margin-top:757.237366pt;width:8.6pt;height:11.15pt;mso-position-horizontal-relative:page;mso-position-vertical-relative:page;z-index:-11806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w w:val="101"/>
                  </w:rPr>
                  <w:instrText> PAGE </w:instrText>
                </w:r>
                <w:r>
                  <w:rPr/>
                  <w:fldChar w:fldCharType="separate"/>
                </w:r>
                <w:r>
                  <w:rPr/>
                  <w:t>4</w:t>
                </w:r>
                <w:r>
                  <w:rPr/>
                  <w:fldChar w:fldCharType="end"/>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600" type="#_x0000_t75" stroked="false">
          <v:imagedata r:id="rId1" o:title=""/>
        </v:shape>
      </w:pict>
    </w:r>
    <w:r>
      <w:rPr/>
      <w:pict>
        <v:shape style="position:absolute;margin-left:291.160004pt;margin-top:757.237366pt;width:13.15pt;height:11.15pt;mso-position-horizontal-relative:page;mso-position-vertical-relative:page;z-index:-118057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552" type="#_x0000_t75" stroked="false">
          <v:imagedata r:id="rId1" o:title=""/>
        </v:shape>
      </w:pict>
    </w:r>
    <w:r>
      <w:rPr/>
      <w:pict>
        <v:shape style="position:absolute;margin-left:291.160004pt;margin-top:757.237366pt;width:13.15pt;height:11.15pt;mso-position-horizontal-relative:page;mso-position-vertical-relative:page;z-index:-118052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504" type="#_x0000_t75" stroked="false">
          <v:imagedata r:id="rId1" o:title=""/>
        </v:shape>
      </w:pict>
    </w:r>
    <w:r>
      <w:rPr/>
      <w:pict>
        <v:shape style="position:absolute;margin-left:291.160004pt;margin-top:757.237366pt;width:13.15pt;height:11.15pt;mso-position-horizontal-relative:page;mso-position-vertical-relative:page;z-index:-118048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456" type="#_x0000_t75" stroked="false">
          <v:imagedata r:id="rId1" o:title=""/>
        </v:shape>
      </w:pict>
    </w:r>
    <w:r>
      <w:rPr/>
      <w:pict>
        <v:shape style="position:absolute;margin-left:55.664001pt;margin-top:740.620972pt;width:483.9pt;height:27.75pt;mso-position-horizontal-relative:page;mso-position-vertical-relative:page;z-index:-1180432" type="#_x0000_t202" filled="false" stroked="false">
          <v:textbox inset="0,0,0,0">
            <w:txbxContent>
              <w:p>
                <w:pPr>
                  <w:spacing w:line="231" w:lineRule="exact" w:before="0"/>
                  <w:ind w:left="0" w:right="0" w:firstLine="0"/>
                  <w:jc w:val="center"/>
                  <w:rPr>
                    <w:rFonts w:ascii="宋体" w:hAnsi="宋体" w:cs="宋体" w:eastAsia="宋体" w:hint="default"/>
                    <w:sz w:val="21"/>
                    <w:szCs w:val="21"/>
                  </w:rPr>
                </w:pPr>
                <w:r>
                  <w:rPr>
                    <w:rFonts w:ascii="宋体" w:hAnsi="宋体" w:cs="宋体" w:eastAsia="宋体" w:hint="default"/>
                    <w:spacing w:val="-2"/>
                    <w:sz w:val="21"/>
                    <w:szCs w:val="21"/>
                  </w:rPr>
                  <w:t>等制度，进一步完善了公司内部控制制度。目前，公司各项制度已涵盖管理、经营、财务、信息披露、内</w:t>
                </w:r>
              </w:p>
              <w:p>
                <w:pPr>
                  <w:pStyle w:val="BodyText"/>
                  <w:spacing w:line="240" w:lineRule="auto" w:before="100"/>
                  <w:ind w:left="4" w:right="0"/>
                  <w:jc w:val="center"/>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69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408" type="#_x0000_t75" stroked="false">
          <v:imagedata r:id="rId1" o:title=""/>
        </v:shape>
      </w:pict>
    </w:r>
    <w:r>
      <w:rPr/>
      <w:pict>
        <v:shape style="position:absolute;margin-left:291.160004pt;margin-top:757.237366pt;width:13.15pt;height:11.15pt;mso-position-horizontal-relative:page;mso-position-vertical-relative:page;z-index:-118038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0360" type="#_x0000_t75" stroked="false">
          <v:imagedata r:id="rId1" o:title=""/>
        </v:shape>
      </w:pict>
    </w:r>
    <w:r>
      <w:rPr/>
      <w:pict>
        <v:shape style="position:absolute;margin-left:290pt;margin-top:757.237366pt;width:15.7pt;height:11.15pt;mso-position-horizontal-relative:page;mso-position-vertical-relative:page;z-index:-118033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23999pt;margin-top:55.579983pt;width:485pt;height:.1pt;mso-position-horizontal-relative:page;mso-position-vertical-relative:page;z-index:-11808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8.543999pt;margin-top:42.542484pt;width:110.3pt;height:11.15pt;mso-position-horizontal-relative:page;mso-position-vertical-relative:page;z-index:-1180792" type="#_x0000_t202" filled="false" stroked="false">
          <v:textbox inset="0,0,0,0">
            <w:txbxContent>
              <w:p>
                <w:pPr>
                  <w:pStyle w:val="BodyText"/>
                  <w:spacing w:line="202" w:lineRule="exact"/>
                  <w:ind w:left="20" w:right="0"/>
                  <w:jc w:val="left"/>
                </w:pPr>
                <w:r>
                  <w:rPr>
                    <w:spacing w:val="-3"/>
                  </w:rPr>
                  <w:t>深圳市爱施德股份有限公司</w:t>
                </w:r>
              </w:p>
            </w:txbxContent>
          </v:textbox>
          <w10:wrap type="none"/>
        </v:shape>
      </w:pict>
    </w:r>
    <w:r>
      <w:rPr/>
      <w:pict>
        <v:shape style="position:absolute;margin-left:454.690002pt;margin-top:42.542484pt;width:85.35pt;height:11.65pt;mso-position-horizontal-relative:page;mso-position-vertical-relative:page;z-index:-1180768" type="#_x0000_t202" filled="false" stroked="false">
          <v:textbox inset="0,0,0,0">
            <w:txbxContent>
              <w:p>
                <w:pPr>
                  <w:pStyle w:val="BodyText"/>
                  <w:spacing w:line="216" w:lineRule="exact"/>
                  <w:ind w:left="2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8"/>
      <w:ind w:left="153"/>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138"/>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Heading5" w:type="paragraph">
    <w:name w:val="Heading 5"/>
    <w:basedOn w:val="Normal"/>
    <w:uiPriority w:val="1"/>
    <w:qFormat/>
    <w:pPr>
      <w:ind w:left="575"/>
      <w:outlineLvl w:val="5"/>
    </w:pPr>
    <w:rPr>
      <w:rFonts w:ascii="宋体" w:hAnsi="宋体" w:eastAsia="宋体"/>
      <w:b/>
      <w:bCs/>
      <w:sz w:val="20"/>
      <w:szCs w:val="20"/>
    </w:rPr>
  </w:style>
  <w:style w:styleId="Heading6" w:type="paragraph">
    <w:name w:val="Heading 6"/>
    <w:basedOn w:val="Normal"/>
    <w:uiPriority w:val="1"/>
    <w:qFormat/>
    <w:pPr>
      <w:spacing w:before="53"/>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hyperlink" Target="http://www.aisidi.com/" TargetMode="External"/><Relationship Id="rId28" Type="http://schemas.openxmlformats.org/officeDocument/2006/relationships/hyperlink" Target="mailto:ir@aisidi.com" TargetMode="External"/><Relationship Id="rId29" Type="http://schemas.openxmlformats.org/officeDocument/2006/relationships/hyperlink" Target="http://www.cninfo.com.cn/" TargetMode="External"/><Relationship Id="rId30" Type="http://schemas.openxmlformats.org/officeDocument/2006/relationships/footer" Target="footer4.xml"/><Relationship Id="rId31" Type="http://schemas.openxmlformats.org/officeDocument/2006/relationships/footer" Target="footer5.xml"/><Relationship Id="rId32" Type="http://schemas.openxmlformats.org/officeDocument/2006/relationships/hyperlink" Target="http://www/" TargetMode="External"/><Relationship Id="rId33" Type="http://schemas.openxmlformats.org/officeDocument/2006/relationships/footer" Target="footer6.xml"/><Relationship Id="rId34" Type="http://schemas.openxmlformats.org/officeDocument/2006/relationships/image" Target="media/image20.jpeg"/><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hyperlink" Target="http://www.cninfo.com/" TargetMode="External"/><Relationship Id="rId38" Type="http://schemas.openxmlformats.org/officeDocument/2006/relationships/footer" Target="footer9.xml"/><Relationship Id="rId39" Type="http://schemas.openxmlformats.org/officeDocument/2006/relationships/footer" Target="footer10.xml"/><Relationship Id="rId40" Type="http://schemas.openxmlformats.org/officeDocument/2006/relationships/footer" Target="footer11.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footer" Target="footer24.xml"/></Relationships>

</file>

<file path=word/_rels/footer1.xml.rels><?xml version="1.0" encoding="UTF-8" standalone="yes"?>
<Relationships xmlns="http://schemas.openxmlformats.org/package/2006/relationships"><Relationship Id="rId1" Type="http://schemas.openxmlformats.org/officeDocument/2006/relationships/image" Target="media/image19.jpeg"/></Relationships>

</file>

<file path=word/_rels/footer10.xml.rels><?xml version="1.0" encoding="UTF-8" standalone="yes"?>
<Relationships xmlns="http://schemas.openxmlformats.org/package/2006/relationships"><Relationship Id="rId1" Type="http://schemas.openxmlformats.org/officeDocument/2006/relationships/image" Target="media/image19.jpeg"/></Relationships>

</file>

<file path=word/_rels/footer11.xml.rels><?xml version="1.0" encoding="UTF-8" standalone="yes"?>
<Relationships xmlns="http://schemas.openxmlformats.org/package/2006/relationships"><Relationship Id="rId1" Type="http://schemas.openxmlformats.org/officeDocument/2006/relationships/image" Target="media/image19.jpeg"/></Relationships>

</file>

<file path=word/_rels/footer12.xml.rels><?xml version="1.0" encoding="UTF-8" standalone="yes"?>
<Relationships xmlns="http://schemas.openxmlformats.org/package/2006/relationships"><Relationship Id="rId1" Type="http://schemas.openxmlformats.org/officeDocument/2006/relationships/image" Target="media/image19.jpeg"/></Relationships>

</file>

<file path=word/_rels/footer13.xml.rels><?xml version="1.0" encoding="UTF-8" standalone="yes"?>
<Relationships xmlns="http://schemas.openxmlformats.org/package/2006/relationships"><Relationship Id="rId1" Type="http://schemas.openxmlformats.org/officeDocument/2006/relationships/image" Target="media/image19.jpeg"/></Relationships>

</file>

<file path=word/_rels/footer14.xml.rels><?xml version="1.0" encoding="UTF-8" standalone="yes"?>
<Relationships xmlns="http://schemas.openxmlformats.org/package/2006/relationships"><Relationship Id="rId1" Type="http://schemas.openxmlformats.org/officeDocument/2006/relationships/image" Target="media/image19.jpeg"/></Relationships>

</file>

<file path=word/_rels/footer15.xml.rels><?xml version="1.0" encoding="UTF-8" standalone="yes"?>
<Relationships xmlns="http://schemas.openxmlformats.org/package/2006/relationships"><Relationship Id="rId1" Type="http://schemas.openxmlformats.org/officeDocument/2006/relationships/image" Target="media/image19.jpeg"/></Relationships>

</file>

<file path=word/_rels/footer16.xml.rels><?xml version="1.0" encoding="UTF-8" standalone="yes"?>
<Relationships xmlns="http://schemas.openxmlformats.org/package/2006/relationships"><Relationship Id="rId1" Type="http://schemas.openxmlformats.org/officeDocument/2006/relationships/image" Target="media/image19.jpeg"/></Relationships>

</file>

<file path=word/_rels/footer17.xml.rels><?xml version="1.0" encoding="UTF-8" standalone="yes"?>
<Relationships xmlns="http://schemas.openxmlformats.org/package/2006/relationships"><Relationship Id="rId1" Type="http://schemas.openxmlformats.org/officeDocument/2006/relationships/image" Target="media/image19.jpeg"/></Relationships>

</file>

<file path=word/_rels/footer18.xml.rels><?xml version="1.0" encoding="UTF-8" standalone="yes"?>
<Relationships xmlns="http://schemas.openxmlformats.org/package/2006/relationships"><Relationship Id="rId1" Type="http://schemas.openxmlformats.org/officeDocument/2006/relationships/image" Target="media/image19.jpeg"/></Relationships>

</file>

<file path=word/_rels/footer19.xml.rels><?xml version="1.0" encoding="UTF-8" standalone="yes"?>
<Relationships xmlns="http://schemas.openxmlformats.org/package/2006/relationships"><Relationship Id="rId1" Type="http://schemas.openxmlformats.org/officeDocument/2006/relationships/image" Target="media/image19.jpeg"/></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footer20.xml.rels><?xml version="1.0" encoding="UTF-8" standalone="yes"?>
<Relationships xmlns="http://schemas.openxmlformats.org/package/2006/relationships"><Relationship Id="rId1" Type="http://schemas.openxmlformats.org/officeDocument/2006/relationships/image" Target="media/image19.jpeg"/></Relationships>

</file>

<file path=word/_rels/footer21.xml.rels><?xml version="1.0" encoding="UTF-8" standalone="yes"?>
<Relationships xmlns="http://schemas.openxmlformats.org/package/2006/relationships"><Relationship Id="rId1" Type="http://schemas.openxmlformats.org/officeDocument/2006/relationships/image" Target="media/image19.jpeg"/></Relationships>

</file>

<file path=word/_rels/footer22.xml.rels><?xml version="1.0" encoding="UTF-8" standalone="yes"?>
<Relationships xmlns="http://schemas.openxmlformats.org/package/2006/relationships"><Relationship Id="rId1" Type="http://schemas.openxmlformats.org/officeDocument/2006/relationships/image" Target="media/image19.jpeg"/></Relationships>

</file>

<file path=word/_rels/footer23.xml.rels><?xml version="1.0" encoding="UTF-8" standalone="yes"?>
<Relationships xmlns="http://schemas.openxmlformats.org/package/2006/relationships"><Relationship Id="rId1" Type="http://schemas.openxmlformats.org/officeDocument/2006/relationships/image" Target="media/image19.jpeg"/></Relationships>

</file>

<file path=word/_rels/footer24.xml.rels><?xml version="1.0" encoding="UTF-8" standalone="yes"?>
<Relationships xmlns="http://schemas.openxmlformats.org/package/2006/relationships"><Relationship Id="rId1" Type="http://schemas.openxmlformats.org/officeDocument/2006/relationships/image" Target="media/image19.jpeg"/></Relationships>

</file>

<file path=word/_rels/footer3.xml.rels><?xml version="1.0" encoding="UTF-8" standalone="yes"?>
<Relationships xmlns="http://schemas.openxmlformats.org/package/2006/relationships"><Relationship Id="rId1" Type="http://schemas.openxmlformats.org/officeDocument/2006/relationships/image" Target="media/image19.jpeg"/></Relationships>

</file>

<file path=word/_rels/footer4.xml.rels><?xml version="1.0" encoding="UTF-8" standalone="yes"?>
<Relationships xmlns="http://schemas.openxmlformats.org/package/2006/relationships"><Relationship Id="rId1" Type="http://schemas.openxmlformats.org/officeDocument/2006/relationships/image" Target="media/image19.jpeg"/></Relationships>

</file>

<file path=word/_rels/footer5.xml.rels><?xml version="1.0" encoding="UTF-8" standalone="yes"?>
<Relationships xmlns="http://schemas.openxmlformats.org/package/2006/relationships"><Relationship Id="rId1" Type="http://schemas.openxmlformats.org/officeDocument/2006/relationships/image" Target="media/image19.jpeg"/></Relationships>

</file>

<file path=word/_rels/footer6.xml.rels><?xml version="1.0" encoding="UTF-8" standalone="yes"?>
<Relationships xmlns="http://schemas.openxmlformats.org/package/2006/relationships"><Relationship Id="rId1" Type="http://schemas.openxmlformats.org/officeDocument/2006/relationships/image" Target="media/image19.jpeg"/></Relationships>

</file>

<file path=word/_rels/footer7.xml.rels><?xml version="1.0" encoding="UTF-8" standalone="yes"?>
<Relationships xmlns="http://schemas.openxmlformats.org/package/2006/relationships"><Relationship Id="rId1" Type="http://schemas.openxmlformats.org/officeDocument/2006/relationships/image" Target="media/image19.jpeg"/></Relationships>

</file>

<file path=word/_rels/footer8.xml.rels><?xml version="1.0" encoding="UTF-8" standalone="yes"?>
<Relationships xmlns="http://schemas.openxmlformats.org/package/2006/relationships"><Relationship Id="rId1" Type="http://schemas.openxmlformats.org/officeDocument/2006/relationships/image" Target="media/image19.jpeg"/></Relationships>

</file>

<file path=word/_rels/footer9.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LIENX-51</dc:creator>
  <dcterms:created xsi:type="dcterms:W3CDTF">2020-05-19T05:09:22Z</dcterms:created>
  <dcterms:modified xsi:type="dcterms:W3CDTF">2020-05-19T05:09:22Z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Office Word 2007</vt:lpwstr>
  </property>
  <property fmtid="{D5CDD505-2E9C-101B-9397-08002B2CF9AE}" pid="4" name="LastSaved">
    <vt:filetime>2020-05-18T00:00:00Z</vt:filetime>
  </property>
</Properties>
</file>